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Nimbus Roman No9 L" w:hAnsi="Nimbus Roman No9 L" w:eastAsia="方正大标宋简体" w:cs="Nimbus Roman No9 L"/>
          <w:color w:val="auto"/>
          <w:sz w:val="32"/>
          <w:szCs w:val="32"/>
          <w:lang w:val="en-US" w:eastAsia="zh-CN"/>
        </w:rPr>
      </w:pPr>
      <w:r>
        <w:rPr>
          <w:rFonts w:hint="eastAsia" w:ascii="Nimbus Roman No9 L" w:hAnsi="Nimbus Roman No9 L" w:eastAsia="方正大标宋简体" w:cs="Nimbus Roman No9 L"/>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44"/>
          <w:szCs w:val="44"/>
          <w:lang w:eastAsia="zh-CN"/>
        </w:rPr>
      </w:pPr>
      <w:r>
        <w:rPr>
          <w:rFonts w:hint="default" w:ascii="Nimbus Roman No9 L" w:hAnsi="Nimbus Roman No9 L" w:eastAsia="方正小标宋简体" w:cs="Nimbus Roman No9 L"/>
          <w:color w:val="auto"/>
          <w:sz w:val="44"/>
          <w:szCs w:val="44"/>
          <w:lang w:val="en-US" w:eastAsia="zh-CN"/>
        </w:rPr>
        <w:t>湖南省</w:t>
      </w:r>
      <w:r>
        <w:rPr>
          <w:rFonts w:hint="default" w:ascii="Nimbus Roman No9 L" w:hAnsi="Nimbus Roman No9 L" w:eastAsia="方正小标宋简体" w:cs="Nimbus Roman No9 L"/>
          <w:color w:val="auto"/>
          <w:sz w:val="44"/>
          <w:szCs w:val="44"/>
        </w:rPr>
        <w:t>农业农村领域首次轻微违法行为免罚清单</w:t>
      </w:r>
      <w:r>
        <w:rPr>
          <w:rFonts w:hint="default" w:ascii="Nimbus Roman No9 L" w:hAnsi="Nimbus Roman No9 L" w:eastAsia="方正小标宋简体" w:cs="Nimbus Roman No9 L"/>
          <w:color w:val="auto"/>
          <w:sz w:val="44"/>
          <w:szCs w:val="44"/>
          <w:lang w:eastAsia="zh-CN"/>
        </w:rPr>
        <w:t>（</w:t>
      </w:r>
      <w:r>
        <w:rPr>
          <w:rFonts w:hint="default" w:ascii="Nimbus Roman No9 L" w:hAnsi="Nimbus Roman No9 L" w:eastAsia="方正小标宋简体" w:cs="Nimbus Roman No9 L"/>
          <w:color w:val="auto"/>
          <w:sz w:val="44"/>
          <w:szCs w:val="44"/>
          <w:lang w:val="en-US" w:eastAsia="zh-CN"/>
        </w:rPr>
        <w:t>第一批</w:t>
      </w:r>
      <w:r>
        <w:rPr>
          <w:rFonts w:hint="default" w:ascii="Nimbus Roman No9 L" w:hAnsi="Nimbus Roman No9 L" w:eastAsia="方正小标宋简体" w:cs="Nimbus Roman No9 L"/>
          <w:color w:val="auto"/>
          <w:sz w:val="44"/>
          <w:szCs w:val="44"/>
          <w:lang w:eastAsia="zh-CN"/>
        </w:rPr>
        <w:t>）</w:t>
      </w:r>
      <w:r>
        <w:rPr>
          <w:rFonts w:hint="eastAsia" w:ascii="Nimbus Roman No9 L" w:hAnsi="Nimbus Roman No9 L" w:eastAsia="方正小标宋简体" w:cs="Nimbus Roman No9 L"/>
          <w:color w:val="auto"/>
          <w:sz w:val="44"/>
          <w:szCs w:val="44"/>
          <w:lang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44"/>
          <w:szCs w:val="44"/>
        </w:rPr>
      </w:pPr>
    </w:p>
    <w:tbl>
      <w:tblPr>
        <w:tblStyle w:val="5"/>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4056"/>
        <w:gridCol w:w="7511"/>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28"/>
                <w:szCs w:val="28"/>
                <w:vertAlign w:val="baseline"/>
                <w:lang w:val="en-US" w:eastAsia="zh-CN"/>
              </w:rPr>
            </w:pPr>
            <w:r>
              <w:rPr>
                <w:rFonts w:hint="default" w:ascii="Nimbus Roman No9 L" w:hAnsi="Nimbus Roman No9 L" w:eastAsia="方正小标宋简体" w:cs="Nimbus Roman No9 L"/>
                <w:color w:val="auto"/>
                <w:sz w:val="28"/>
                <w:szCs w:val="28"/>
                <w:vertAlign w:val="baseline"/>
                <w:lang w:val="en-US" w:eastAsia="zh-CN"/>
              </w:rPr>
              <w:t>序号</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28"/>
                <w:szCs w:val="28"/>
                <w:vertAlign w:val="baseline"/>
                <w:lang w:val="en-US" w:eastAsia="zh-CN"/>
              </w:rPr>
            </w:pPr>
            <w:r>
              <w:rPr>
                <w:rFonts w:hint="default" w:ascii="Nimbus Roman No9 L" w:hAnsi="Nimbus Roman No9 L" w:eastAsia="方正小标宋简体" w:cs="Nimbus Roman No9 L"/>
                <w:color w:val="auto"/>
                <w:sz w:val="28"/>
                <w:szCs w:val="28"/>
                <w:vertAlign w:val="baseline"/>
                <w:lang w:val="en-US" w:eastAsia="zh-CN"/>
              </w:rPr>
              <w:t>违法行为</w:t>
            </w:r>
          </w:p>
        </w:tc>
        <w:tc>
          <w:tcPr>
            <w:tcW w:w="75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28"/>
                <w:szCs w:val="28"/>
                <w:vertAlign w:val="baseline"/>
                <w:lang w:val="en-US" w:eastAsia="zh-CN"/>
              </w:rPr>
            </w:pPr>
            <w:r>
              <w:rPr>
                <w:rFonts w:hint="default" w:ascii="Nimbus Roman No9 L" w:hAnsi="Nimbus Roman No9 L" w:eastAsia="方正小标宋简体" w:cs="Nimbus Roman No9 L"/>
                <w:color w:val="auto"/>
                <w:sz w:val="28"/>
                <w:szCs w:val="28"/>
                <w:vertAlign w:val="baseline"/>
                <w:lang w:val="en-US" w:eastAsia="zh-CN"/>
              </w:rPr>
              <w:t>适用法律法规规章依据</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z w:val="28"/>
                <w:szCs w:val="28"/>
                <w:vertAlign w:val="baseline"/>
                <w:lang w:val="en-US" w:eastAsia="zh-CN"/>
              </w:rPr>
            </w:pPr>
            <w:r>
              <w:rPr>
                <w:rFonts w:hint="default" w:ascii="Nimbus Roman No9 L" w:hAnsi="Nimbus Roman No9 L" w:eastAsia="方正小标宋简体" w:cs="Nimbus Roman No9 L"/>
                <w:color w:val="auto"/>
                <w:sz w:val="28"/>
                <w:szCs w:val="28"/>
                <w:vertAlign w:val="baseline"/>
                <w:lang w:val="en-US"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农药经营者不执行农药采购台账、 销售台账制度的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农药管理条例</w:t>
            </w: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 xml:space="preserve"> </w:t>
            </w:r>
            <w:r>
              <w:rPr>
                <w:rFonts w:hint="default" w:ascii="Nimbus Roman No9 L" w:hAnsi="Nimbus Roman No9 L" w:eastAsia="仿宋_GB2312" w:cs="Nimbus Roman No9 L"/>
                <w:b/>
                <w:bCs/>
                <w:i w:val="0"/>
                <w:iCs w:val="0"/>
                <w:caps w:val="0"/>
                <w:color w:val="auto"/>
                <w:spacing w:val="0"/>
                <w:sz w:val="24"/>
                <w:szCs w:val="24"/>
              </w:rPr>
              <w:t>第五十八条</w:t>
            </w:r>
            <w:r>
              <w:rPr>
                <w:rFonts w:hint="default" w:ascii="Nimbus Roman No9 L" w:hAnsi="Nimbus Roman No9 L" w:eastAsia="仿宋_GB2312" w:cs="Nimbus Roman No9 L"/>
                <w:b/>
                <w:bCs/>
                <w:i w:val="0"/>
                <w:iCs w:val="0"/>
                <w:caps w:val="0"/>
                <w:color w:val="auto"/>
                <w:spacing w:val="0"/>
                <w:sz w:val="24"/>
                <w:szCs w:val="24"/>
                <w:lang w:val="en-US" w:eastAsia="zh-CN"/>
              </w:rPr>
              <w:t>第一项</w:t>
            </w:r>
            <w:r>
              <w:rPr>
                <w:rFonts w:hint="default" w:ascii="Nimbus Roman No9 L" w:hAnsi="Nimbus Roman No9 L" w:eastAsia="仿宋_GB2312" w:cs="Nimbus Roman No9 L"/>
                <w:i w:val="0"/>
                <w:iCs w:val="0"/>
                <w:caps w:val="0"/>
                <w:color w:val="auto"/>
                <w:spacing w:val="0"/>
                <w:sz w:val="24"/>
                <w:szCs w:val="24"/>
                <w:lang w:eastAsia="zh-CN"/>
              </w:rPr>
              <w:t>：</w:t>
            </w:r>
            <w:r>
              <w:rPr>
                <w:rFonts w:hint="default" w:ascii="Nimbus Roman No9 L" w:hAnsi="Nimbus Roman No9 L" w:eastAsia="仿宋_GB2312" w:cs="Nimbus Roman No9 L"/>
                <w:i w:val="0"/>
                <w:iCs w:val="0"/>
                <w:caps w:val="0"/>
                <w:color w:val="auto"/>
                <w:spacing w:val="0"/>
                <w:sz w:val="24"/>
                <w:szCs w:val="24"/>
              </w:rPr>
              <w:t>农药经营者有下列行为之一的，由县级以上地方人民政府农业主管部门责令改正；拒不改正或者情节严重的，处2000元以上2万元以下罚款，并由发证机关吊销农药经营许可证：（一）不执行农药采购台账、销售台账制度；</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w:t>
            </w:r>
            <w:r>
              <w:rPr>
                <w:rFonts w:hint="default" w:ascii="Nimbus Roman No9 L" w:hAnsi="Nimbus Roman No9 L" w:eastAsia="仿宋_GB2312" w:cs="Nimbus Roman No9 L"/>
                <w:i w:val="0"/>
                <w:iCs w:val="0"/>
                <w:caps w:val="0"/>
                <w:color w:val="auto"/>
                <w:spacing w:val="0"/>
                <w:sz w:val="24"/>
                <w:szCs w:val="24"/>
                <w:highlight w:val="none"/>
                <w:lang w:val="en-US" w:eastAsia="zh-CN"/>
              </w:rPr>
              <w:t>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农药经营者在卫生用农药以外的农药经营场所内经营食品、食用农产品、饲料等</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eastAsia="zh-CN"/>
              </w:rPr>
            </w:pP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农药管理条例</w:t>
            </w: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 xml:space="preserve"> </w:t>
            </w:r>
            <w:r>
              <w:rPr>
                <w:rFonts w:hint="default" w:ascii="Nimbus Roman No9 L" w:hAnsi="Nimbus Roman No9 L" w:eastAsia="仿宋_GB2312" w:cs="Nimbus Roman No9 L"/>
                <w:b/>
                <w:bCs/>
                <w:i w:val="0"/>
                <w:iCs w:val="0"/>
                <w:caps w:val="0"/>
                <w:color w:val="auto"/>
                <w:spacing w:val="0"/>
                <w:sz w:val="24"/>
                <w:szCs w:val="24"/>
              </w:rPr>
              <w:t>第五十八条</w:t>
            </w:r>
            <w:r>
              <w:rPr>
                <w:rFonts w:hint="default" w:ascii="Nimbus Roman No9 L" w:hAnsi="Nimbus Roman No9 L" w:eastAsia="仿宋_GB2312" w:cs="Nimbus Roman No9 L"/>
                <w:b/>
                <w:bCs/>
                <w:i w:val="0"/>
                <w:iCs w:val="0"/>
                <w:caps w:val="0"/>
                <w:color w:val="auto"/>
                <w:spacing w:val="0"/>
                <w:sz w:val="24"/>
                <w:szCs w:val="24"/>
                <w:lang w:val="en-US" w:eastAsia="zh-CN"/>
              </w:rPr>
              <w:t>第二项</w:t>
            </w:r>
            <w:r>
              <w:rPr>
                <w:rFonts w:hint="default" w:ascii="Nimbus Roman No9 L" w:hAnsi="Nimbus Roman No9 L" w:eastAsia="仿宋_GB2312" w:cs="Nimbus Roman No9 L"/>
                <w:i w:val="0"/>
                <w:iCs w:val="0"/>
                <w:caps w:val="0"/>
                <w:color w:val="auto"/>
                <w:spacing w:val="0"/>
                <w:sz w:val="24"/>
                <w:szCs w:val="24"/>
                <w:lang w:eastAsia="zh-CN"/>
              </w:rPr>
              <w:t>：</w:t>
            </w:r>
            <w:r>
              <w:rPr>
                <w:rFonts w:hint="default" w:ascii="Nimbus Roman No9 L" w:hAnsi="Nimbus Roman No9 L" w:eastAsia="仿宋_GB2312" w:cs="Nimbus Roman No9 L"/>
                <w:i w:val="0"/>
                <w:iCs w:val="0"/>
                <w:caps w:val="0"/>
                <w:color w:val="auto"/>
                <w:spacing w:val="0"/>
                <w:sz w:val="24"/>
                <w:szCs w:val="24"/>
              </w:rPr>
              <w:t>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农药经营者未将卫生用农药与其他商品分柜销售</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农药管理条例</w:t>
            </w: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 xml:space="preserve"> </w:t>
            </w:r>
            <w:r>
              <w:rPr>
                <w:rFonts w:hint="default" w:ascii="Nimbus Roman No9 L" w:hAnsi="Nimbus Roman No9 L" w:eastAsia="仿宋_GB2312" w:cs="Nimbus Roman No9 L"/>
                <w:b/>
                <w:bCs/>
                <w:i w:val="0"/>
                <w:iCs w:val="0"/>
                <w:caps w:val="0"/>
                <w:color w:val="auto"/>
                <w:spacing w:val="0"/>
                <w:sz w:val="24"/>
                <w:szCs w:val="24"/>
              </w:rPr>
              <w:t>第五十八条</w:t>
            </w:r>
            <w:r>
              <w:rPr>
                <w:rFonts w:hint="default" w:ascii="Nimbus Roman No9 L" w:hAnsi="Nimbus Roman No9 L" w:eastAsia="仿宋_GB2312" w:cs="Nimbus Roman No9 L"/>
                <w:b/>
                <w:bCs/>
                <w:i w:val="0"/>
                <w:iCs w:val="0"/>
                <w:caps w:val="0"/>
                <w:color w:val="auto"/>
                <w:spacing w:val="0"/>
                <w:sz w:val="24"/>
                <w:szCs w:val="24"/>
                <w:lang w:val="en-US" w:eastAsia="zh-CN"/>
              </w:rPr>
              <w:t>第三项</w:t>
            </w:r>
            <w:r>
              <w:rPr>
                <w:rFonts w:hint="default" w:ascii="Nimbus Roman No9 L" w:hAnsi="Nimbus Roman No9 L" w:eastAsia="仿宋_GB2312" w:cs="Nimbus Roman No9 L"/>
                <w:i w:val="0"/>
                <w:iCs w:val="0"/>
                <w:caps w:val="0"/>
                <w:color w:val="auto"/>
                <w:spacing w:val="0"/>
                <w:sz w:val="24"/>
                <w:szCs w:val="24"/>
                <w:lang w:eastAsia="zh-CN"/>
              </w:rPr>
              <w:t>：</w:t>
            </w:r>
            <w:r>
              <w:rPr>
                <w:rFonts w:hint="default" w:ascii="Nimbus Roman No9 L" w:hAnsi="Nimbus Roman No9 L" w:eastAsia="仿宋_GB2312" w:cs="Nimbus Roman No9 L"/>
                <w:i w:val="0"/>
                <w:iCs w:val="0"/>
                <w:caps w:val="0"/>
                <w:color w:val="auto"/>
                <w:spacing w:val="0"/>
                <w:sz w:val="24"/>
                <w:szCs w:val="24"/>
              </w:rPr>
              <w:t>农药经营者有下列行为之一的，由县级以上地方人民政府农业主管部门责令改正；拒不改正或者情节严重的，处2000元以上2万元以下罚款，并由发证机关吊销农药经营许可证：（三）未将卫生用农药与其他商品分柜销售；</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4</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农药经营者不履行农药废弃物回收义务</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eastAsia="zh-CN"/>
              </w:rPr>
            </w:pP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农药管理条例</w:t>
            </w: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b/>
                <w:bCs/>
                <w:i w:val="0"/>
                <w:iCs w:val="0"/>
                <w:caps w:val="0"/>
                <w:color w:val="auto"/>
                <w:spacing w:val="0"/>
                <w:sz w:val="24"/>
                <w:szCs w:val="24"/>
                <w:lang w:val="en-US" w:eastAsia="zh-CN"/>
              </w:rPr>
              <w:t xml:space="preserve"> </w:t>
            </w:r>
            <w:r>
              <w:rPr>
                <w:rFonts w:hint="default" w:ascii="Nimbus Roman No9 L" w:hAnsi="Nimbus Roman No9 L" w:eastAsia="仿宋_GB2312" w:cs="Nimbus Roman No9 L"/>
                <w:b/>
                <w:bCs/>
                <w:i w:val="0"/>
                <w:iCs w:val="0"/>
                <w:caps w:val="0"/>
                <w:color w:val="auto"/>
                <w:spacing w:val="0"/>
                <w:sz w:val="24"/>
                <w:szCs w:val="24"/>
              </w:rPr>
              <w:t>第五十八条</w:t>
            </w:r>
            <w:r>
              <w:rPr>
                <w:rFonts w:hint="default" w:ascii="Nimbus Roman No9 L" w:hAnsi="Nimbus Roman No9 L" w:eastAsia="仿宋_GB2312" w:cs="Nimbus Roman No9 L"/>
                <w:b/>
                <w:bCs/>
                <w:i w:val="0"/>
                <w:iCs w:val="0"/>
                <w:caps w:val="0"/>
                <w:color w:val="auto"/>
                <w:spacing w:val="0"/>
                <w:sz w:val="24"/>
                <w:szCs w:val="24"/>
                <w:lang w:val="en-US" w:eastAsia="zh-CN"/>
              </w:rPr>
              <w:t>第四项</w:t>
            </w:r>
            <w:r>
              <w:rPr>
                <w:rFonts w:hint="default" w:ascii="Nimbus Roman No9 L" w:hAnsi="Nimbus Roman No9 L" w:eastAsia="仿宋_GB2312" w:cs="Nimbus Roman No9 L"/>
                <w:b/>
                <w:bCs/>
                <w:i w:val="0"/>
                <w:iCs w:val="0"/>
                <w:caps w:val="0"/>
                <w:color w:val="auto"/>
                <w:spacing w:val="0"/>
                <w:sz w:val="24"/>
                <w:szCs w:val="24"/>
                <w:lang w:eastAsia="zh-CN"/>
              </w:rPr>
              <w:t>：</w:t>
            </w:r>
            <w:r>
              <w:rPr>
                <w:rFonts w:hint="default" w:ascii="Nimbus Roman No9 L" w:hAnsi="Nimbus Roman No9 L" w:eastAsia="仿宋_GB2312" w:cs="Nimbus Roman No9 L"/>
                <w:i w:val="0"/>
                <w:iCs w:val="0"/>
                <w:caps w:val="0"/>
                <w:color w:val="auto"/>
                <w:spacing w:val="0"/>
                <w:sz w:val="24"/>
                <w:szCs w:val="24"/>
              </w:rPr>
              <w:t>农药经营者有下列行为之一的，由县级以上地方人民政府农业主管部门责令改正；拒不改正或者情节严重的，处2000元以上2万元以下罚款，并由发证机关吊销农药经营许可证：（四）不履行农药废弃物回收义务。</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5</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农产品生产企业、食品和食用农产品仓储企业、专业化病虫害防治服务组织和从事农产品生产的农民专业合作社等不执行农药使用记录制度的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b/>
                <w:bCs/>
                <w:i w:val="0"/>
                <w:iCs w:val="0"/>
                <w:caps w:val="0"/>
                <w:color w:val="auto"/>
                <w:spacing w:val="0"/>
                <w:sz w:val="24"/>
                <w:szCs w:val="24"/>
                <w:lang w:eastAsia="zh-CN"/>
              </w:rPr>
              <w:t>《农药管理条例》第六十一条：</w:t>
            </w:r>
            <w:r>
              <w:rPr>
                <w:rFonts w:hint="default" w:ascii="Nimbus Roman No9 L" w:hAnsi="Nimbus Roman No9 L" w:eastAsia="仿宋_GB2312" w:cs="Nimbus Roman No9 L"/>
                <w:i w:val="0"/>
                <w:iCs w:val="0"/>
                <w:caps w:val="0"/>
                <w:color w:val="auto"/>
                <w:spacing w:val="0"/>
                <w:sz w:val="24"/>
                <w:szCs w:val="24"/>
                <w:lang w:eastAsia="zh-CN"/>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6</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饲料、饲料添加剂生产企业销售的饲料、饲料添加剂包装、标签不符合规定的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i w:val="0"/>
                <w:iCs w:val="0"/>
                <w:caps w:val="0"/>
                <w:color w:val="auto"/>
                <w:spacing w:val="0"/>
                <w:sz w:val="24"/>
                <w:szCs w:val="24"/>
              </w:rPr>
              <w:t>《</w:t>
            </w:r>
            <w:r>
              <w:rPr>
                <w:rFonts w:hint="default" w:ascii="Nimbus Roman No9 L" w:hAnsi="Nimbus Roman No9 L" w:eastAsia="仿宋_GB2312" w:cs="Nimbus Roman No9 L"/>
                <w:b/>
                <w:bCs/>
                <w:i w:val="0"/>
                <w:iCs w:val="0"/>
                <w:caps w:val="0"/>
                <w:color w:val="auto"/>
                <w:spacing w:val="0"/>
                <w:sz w:val="24"/>
                <w:szCs w:val="24"/>
              </w:rPr>
              <w:t>饲料和饲料添加剂管理条例》第四十一条第二款</w:t>
            </w:r>
            <w:r>
              <w:rPr>
                <w:rFonts w:hint="default" w:ascii="Nimbus Roman No9 L" w:hAnsi="Nimbus Roman No9 L" w:eastAsia="仿宋_GB2312" w:cs="Nimbus Roman No9 L"/>
                <w:b/>
                <w:bCs/>
                <w:i w:val="0"/>
                <w:iCs w:val="0"/>
                <w:caps w:val="0"/>
                <w:color w:val="auto"/>
                <w:spacing w:val="0"/>
                <w:sz w:val="24"/>
                <w:szCs w:val="24"/>
                <w:lang w:val="en-US" w:eastAsia="zh-CN"/>
              </w:rPr>
              <w:t>:</w:t>
            </w:r>
            <w:r>
              <w:rPr>
                <w:rFonts w:hint="default" w:ascii="Nimbus Roman No9 L" w:hAnsi="Nimbus Roman No9 L" w:eastAsia="仿宋_GB2312" w:cs="Nimbus Roman No9 L"/>
                <w:i w:val="0"/>
                <w:iCs w:val="0"/>
                <w:caps w:val="0"/>
                <w:color w:val="auto"/>
                <w:spacing w:val="0"/>
                <w:sz w:val="24"/>
                <w:szCs w:val="24"/>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i w:val="0"/>
                <w:iCs w:val="0"/>
                <w:caps w:val="0"/>
                <w:color w:val="auto"/>
                <w:spacing w:val="0"/>
                <w:sz w:val="24"/>
                <w:szCs w:val="24"/>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i w:val="0"/>
                <w:iCs w:val="0"/>
                <w:caps w:val="0"/>
                <w:color w:val="auto"/>
                <w:spacing w:val="0"/>
                <w:sz w:val="24"/>
                <w:szCs w:val="24"/>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rPr>
            </w:pPr>
            <w:r>
              <w:rPr>
                <w:rFonts w:hint="default" w:ascii="Nimbus Roman No9 L" w:hAnsi="Nimbus Roman No9 L" w:eastAsia="仿宋_GB2312" w:cs="Nimbus Roman No9 L"/>
                <w:i w:val="0"/>
                <w:iCs w:val="0"/>
                <w:caps w:val="0"/>
                <w:color w:val="auto"/>
                <w:spacing w:val="0"/>
                <w:sz w:val="24"/>
                <w:szCs w:val="24"/>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7</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销售授权品种未使用其注册登记的名称的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《中华人民共和国植物新品种保护条例》第四十二条：</w:t>
            </w:r>
            <w:r>
              <w:rPr>
                <w:rFonts w:hint="default" w:ascii="Nimbus Roman No9 L" w:hAnsi="Nimbus Roman No9 L" w:eastAsia="仿宋_GB2312" w:cs="Nimbus Roman No9 L"/>
                <w:i w:val="0"/>
                <w:iCs w:val="0"/>
                <w:caps w:val="0"/>
                <w:color w:val="auto"/>
                <w:spacing w:val="0"/>
                <w:sz w:val="24"/>
                <w:szCs w:val="24"/>
                <w:lang w:val="en-US" w:eastAsia="zh-CN"/>
              </w:rPr>
              <w:t>销售授权品种未使用其注册登记的名称的，由县级以上人民政府农业、林业行政部门依据各自的职权责令限期改正，可以处1000元以下的罚款。</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8</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畜禽养殖场未按规定建立养殖档案的，或者未按照规定保存养殖档案的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《中华人民共和国畜牧法》</w:t>
            </w:r>
            <w:r>
              <w:rPr>
                <w:rFonts w:hint="default" w:ascii="Nimbus Roman No9 L" w:hAnsi="Nimbus Roman No9 L" w:eastAsia="仿宋_GB2312" w:cs="Nimbus Roman No9 L"/>
                <w:b/>
                <w:bCs/>
                <w:i w:val="0"/>
                <w:iCs w:val="0"/>
                <w:caps w:val="0"/>
                <w:color w:val="auto"/>
                <w:spacing w:val="0"/>
                <w:sz w:val="24"/>
                <w:szCs w:val="24"/>
              </w:rPr>
              <w:t>第四十一条：</w:t>
            </w:r>
            <w:r>
              <w:rPr>
                <w:rFonts w:hint="default" w:ascii="Nimbus Roman No9 L" w:hAnsi="Nimbus Roman No9 L" w:eastAsia="仿宋_GB2312" w:cs="Nimbus Roman No9 L"/>
                <w:i w:val="0"/>
                <w:iCs w:val="0"/>
                <w:caps w:val="0"/>
                <w:color w:val="auto"/>
                <w:spacing w:val="0"/>
                <w:sz w:val="24"/>
                <w:szCs w:val="24"/>
              </w:rPr>
              <w:t>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r>
              <w:rPr>
                <w:rFonts w:hint="default" w:ascii="Nimbus Roman No9 L" w:hAnsi="Nimbus Roman No9 L" w:eastAsia="仿宋_GB2312" w:cs="Nimbus Roman No9 L"/>
                <w:b/>
                <w:bCs/>
                <w:i w:val="0"/>
                <w:iCs w:val="0"/>
                <w:caps w:val="0"/>
                <w:color w:val="auto"/>
                <w:spacing w:val="0"/>
                <w:sz w:val="24"/>
                <w:szCs w:val="24"/>
                <w:lang w:val="en-US" w:eastAsia="zh-CN"/>
              </w:rPr>
              <w:t>第六十六条：</w:t>
            </w:r>
            <w:r>
              <w:rPr>
                <w:rFonts w:hint="default" w:ascii="Nimbus Roman No9 L" w:hAnsi="Nimbus Roman No9 L" w:eastAsia="仿宋_GB2312" w:cs="Nimbus Roman No9 L"/>
                <w:i w:val="0"/>
                <w:iCs w:val="0"/>
                <w:caps w:val="0"/>
                <w:color w:val="auto"/>
                <w:spacing w:val="0"/>
                <w:sz w:val="24"/>
                <w:szCs w:val="24"/>
                <w:lang w:val="en-US" w:eastAsia="zh-CN"/>
              </w:rPr>
              <w:t>违反本法第四十一条规定，畜禽养殖场未建立养殖档案的，或者未按照规定保存养殖档案的，由县级以上人民政府畜牧兽医行政主管部门责令限期改正，可以处一万元以下罚款。</w:t>
            </w:r>
          </w:p>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《中华人民共和国动物防疫法》第九十三条</w:t>
            </w:r>
            <w:r>
              <w:rPr>
                <w:rFonts w:hint="default" w:ascii="Nimbus Roman No9 L" w:hAnsi="Nimbus Roman No9 L" w:eastAsia="仿宋_GB2312" w:cs="Nimbus Roman No9 L"/>
                <w:i w:val="0"/>
                <w:iCs w:val="0"/>
                <w:caps w:val="0"/>
                <w:color w:val="auto"/>
                <w:spacing w:val="0"/>
                <w:sz w:val="24"/>
                <w:szCs w:val="24"/>
                <w:lang w:val="en-US" w:eastAsia="zh-CN"/>
              </w:rPr>
              <w:t>：违反本法规定，对经强制免疫的动物未按照国务院兽医主管部门规定建立免疫档案，或者未按照规定加施畜禽标识的，依照《中华人民共和国畜牧法》的有关规定处罚。</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9</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销售的种畜禽未附具种畜禽合格证明、检疫合格证明、家畜系谱的，销售、收购国务院畜牧兽医行政主管部门规定应当加施标识而没有标识的畜禽的，或者重复使用畜禽标识的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《中华人民共和国畜牧法》六十八条第一款：</w:t>
            </w:r>
            <w:r>
              <w:rPr>
                <w:rFonts w:hint="default" w:ascii="Nimbus Roman No9 L" w:hAnsi="Nimbus Roman No9 L" w:eastAsia="仿宋_GB2312" w:cs="Nimbus Roman No9 L"/>
                <w:i w:val="0"/>
                <w:iCs w:val="0"/>
                <w:caps w:val="0"/>
                <w:color w:val="auto"/>
                <w:spacing w:val="0"/>
                <w:sz w:val="24"/>
                <w:szCs w:val="24"/>
                <w:lang w:val="en-US" w:eastAsia="zh-CN"/>
              </w:rPr>
              <w:t>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10</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对饲养的犬只未按照规定定期进行狂犬病免疫接种的；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《中华人民共和国动物防疫法》第九十二条第三项：</w:t>
            </w:r>
            <w:r>
              <w:rPr>
                <w:rFonts w:hint="default" w:ascii="Nimbus Roman No9 L" w:hAnsi="Nimbus Roman No9 L" w:eastAsia="仿宋_GB2312" w:cs="Nimbus Roman No9 L"/>
                <w:i w:val="0"/>
                <w:iCs w:val="0"/>
                <w:caps w:val="0"/>
                <w:color w:val="auto"/>
                <w:spacing w:val="0"/>
                <w:sz w:val="24"/>
                <w:szCs w:val="24"/>
                <w:lang w:val="en-US" w:eastAsia="zh-CN"/>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11</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未按照规定制作和保存生产经营外来物种档案的</w:t>
            </w:r>
          </w:p>
        </w:tc>
        <w:tc>
          <w:tcPr>
            <w:tcW w:w="7511"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《湖南省外来物种管理条例》第三十二条第二项：</w:t>
            </w:r>
            <w:r>
              <w:rPr>
                <w:rFonts w:hint="default" w:ascii="Nimbus Roman No9 L" w:hAnsi="Nimbus Roman No9 L" w:eastAsia="仿宋_GB2312" w:cs="Nimbus Roman No9 L"/>
                <w:i w:val="0"/>
                <w:iCs w:val="0"/>
                <w:caps w:val="0"/>
                <w:color w:val="auto"/>
                <w:spacing w:val="0"/>
                <w:kern w:val="2"/>
                <w:sz w:val="24"/>
                <w:szCs w:val="24"/>
                <w:lang w:val="en-US" w:eastAsia="zh-CN" w:bidi="ar-SA"/>
              </w:rPr>
              <w:t>违反本条例规定，有下列行为之一的，由县级以上人民政府农业、林业或者卫生行政主管部门按照各自职权责令改正，可以处2000元以上1万元以下的罚款：（二）未按照规定制作和保存生产经营外来物种档案的。</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12</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擅自发布农业有害生物预报、警报、农业生物灾害信息的</w:t>
            </w:r>
          </w:p>
        </w:tc>
        <w:tc>
          <w:tcPr>
            <w:tcW w:w="7511" w:type="dxa"/>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《湖南省植物保护条例》</w:t>
            </w:r>
            <w:r>
              <w:rPr>
                <w:rFonts w:hint="default" w:ascii="Nimbus Roman No9 L" w:hAnsi="Nimbus Roman No9 L" w:eastAsia="仿宋_GB2312" w:cs="Nimbus Roman No9 L"/>
                <w:b/>
                <w:bCs/>
                <w:i w:val="0"/>
                <w:iCs w:val="0"/>
                <w:caps w:val="0"/>
                <w:color w:val="auto"/>
                <w:spacing w:val="0"/>
                <w:kern w:val="2"/>
                <w:sz w:val="24"/>
                <w:szCs w:val="24"/>
                <w:lang w:val="en-US" w:eastAsia="zh-CN" w:bidi="ar-SA"/>
              </w:rPr>
              <w:t>第十条</w:t>
            </w:r>
            <w:r>
              <w:rPr>
                <w:rFonts w:hint="default" w:ascii="Nimbus Roman No9 L" w:hAnsi="Nimbus Roman No9 L" w:eastAsia="仿宋_GB2312" w:cs="Nimbus Roman No9 L"/>
                <w:i w:val="0"/>
                <w:iCs w:val="0"/>
                <w:caps w:val="0"/>
                <w:color w:val="auto"/>
                <w:spacing w:val="0"/>
                <w:kern w:val="2"/>
                <w:sz w:val="24"/>
                <w:szCs w:val="24"/>
                <w:lang w:val="en-US" w:eastAsia="zh-CN" w:bidi="ar-SA"/>
              </w:rPr>
              <w:t>:农业有害生物预报、警报由植物保护机构负责发布；农业生物灾害信息由县级以上人民政府农业农村主管部门负责发布。其他任何单位和个人不得擅自向社会发布农业有害生物预报、警报或者农业生物灾害信息。</w:t>
            </w:r>
            <w:r>
              <w:rPr>
                <w:rFonts w:hint="default" w:ascii="Nimbus Roman No9 L" w:hAnsi="Nimbus Roman No9 L" w:eastAsia="仿宋_GB2312" w:cs="Nimbus Roman No9 L"/>
                <w:b/>
                <w:bCs/>
                <w:i w:val="0"/>
                <w:iCs w:val="0"/>
                <w:caps w:val="0"/>
                <w:color w:val="auto"/>
                <w:spacing w:val="0"/>
                <w:sz w:val="24"/>
                <w:szCs w:val="24"/>
                <w:lang w:val="en-US" w:eastAsia="zh-CN"/>
              </w:rPr>
              <w:t>第三十条：</w:t>
            </w:r>
            <w:r>
              <w:rPr>
                <w:rFonts w:hint="default" w:ascii="Nimbus Roman No9 L" w:hAnsi="Nimbus Roman No9 L" w:eastAsia="仿宋_GB2312" w:cs="Nimbus Roman No9 L"/>
                <w:i w:val="0"/>
                <w:iCs w:val="0"/>
                <w:caps w:val="0"/>
                <w:color w:val="auto"/>
                <w:spacing w:val="0"/>
                <w:sz w:val="24"/>
                <w:szCs w:val="24"/>
                <w:lang w:val="en-US" w:eastAsia="zh-CN"/>
              </w:rPr>
              <w:t>违反本条例第十条规定，擅自发布农业有害生物预报、警报、农业生物灾害信息的，由县级以上人民政府农业行政主管部门责令停止违法行为；情节严重的，处1000元以上1万元以下罚款；给农业生产经营者造成损失的，依法承担民事赔偿责任。</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13</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农业投入品使用者为个人的未按照规定及时回收肥料等农业投入品的包装废弃物或者农用薄膜，或者未按照规定及时回收农药包装废弃物交由专门的机构或者组织进行无害化处理的</w:t>
            </w:r>
          </w:p>
        </w:tc>
        <w:tc>
          <w:tcPr>
            <w:tcW w:w="75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Nimbus Roman No9 L" w:hAnsi="Nimbus Roman No9 L" w:cs="Nimbus Roman No9 L"/>
                <w:color w:val="auto"/>
                <w:sz w:val="21"/>
                <w:szCs w:val="21"/>
              </w:rPr>
            </w:pPr>
            <w:r>
              <w:rPr>
                <w:rStyle w:val="7"/>
                <w:rFonts w:hint="default" w:ascii="Nimbus Roman No9 L" w:hAnsi="Nimbus Roman No9 L" w:eastAsia="仿宋_GB2312" w:cs="Nimbus Roman No9 L"/>
                <w:i w:val="0"/>
                <w:iCs w:val="0"/>
                <w:caps w:val="0"/>
                <w:color w:val="auto"/>
                <w:spacing w:val="0"/>
                <w:sz w:val="24"/>
                <w:szCs w:val="24"/>
              </w:rPr>
              <w:t>《中华人民共和国土壤污染防治法》第八十八条</w:t>
            </w:r>
            <w:r>
              <w:rPr>
                <w:rFonts w:hint="default" w:ascii="Nimbus Roman No9 L" w:hAnsi="Nimbus Roman No9 L" w:eastAsia="仿宋_GB2312" w:cs="Nimbus Roman No9 L"/>
                <w:i w:val="0"/>
                <w:iCs w:val="0"/>
                <w:caps w:val="0"/>
                <w:color w:val="auto"/>
                <w:spacing w:val="0"/>
                <w:sz w:val="24"/>
                <w:szCs w:val="24"/>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Nimbus Roman No9 L" w:hAnsi="Nimbus Roman No9 L" w:cs="Nimbus Roman No9 L"/>
                <w:color w:val="auto"/>
                <w:sz w:val="21"/>
                <w:szCs w:val="21"/>
              </w:rPr>
            </w:pPr>
            <w:r>
              <w:rPr>
                <w:rStyle w:val="7"/>
                <w:rFonts w:hint="default" w:ascii="Nimbus Roman No9 L" w:hAnsi="Nimbus Roman No9 L" w:eastAsia="仿宋_GB2312" w:cs="Nimbus Roman No9 L"/>
                <w:i w:val="0"/>
                <w:iCs w:val="0"/>
                <w:caps w:val="0"/>
                <w:color w:val="auto"/>
                <w:spacing w:val="0"/>
                <w:sz w:val="24"/>
                <w:szCs w:val="24"/>
              </w:rPr>
              <w:t>《农用薄膜管理办法》第二十四条</w:t>
            </w:r>
            <w:r>
              <w:rPr>
                <w:rFonts w:hint="default" w:ascii="Nimbus Roman No9 L" w:hAnsi="Nimbus Roman No9 L" w:eastAsia="仿宋_GB2312" w:cs="Nimbus Roman No9 L"/>
                <w:i w:val="0"/>
                <w:iCs w:val="0"/>
                <w:caps w:val="0"/>
                <w:color w:val="auto"/>
                <w:spacing w:val="0"/>
                <w:sz w:val="24"/>
                <w:szCs w:val="24"/>
              </w:rPr>
              <w:t>：农用薄膜生产者、销售者、使用者未按照规定回收农用薄膜的，依照《中华人民共和国土壤污染防治法》第八十八条规定处罚。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Nimbus Roman No9 L" w:hAnsi="Nimbus Roman No9 L" w:eastAsia="宋体" w:cs="Nimbus Roman No9 L"/>
                <w:color w:val="auto"/>
                <w:kern w:val="2"/>
                <w:sz w:val="21"/>
                <w:szCs w:val="21"/>
                <w:lang w:val="en-US" w:eastAsia="zh-CN" w:bidi="ar-SA"/>
              </w:rPr>
            </w:pPr>
            <w:r>
              <w:rPr>
                <w:rStyle w:val="7"/>
                <w:rFonts w:hint="default" w:ascii="Nimbus Roman No9 L" w:hAnsi="Nimbus Roman No9 L" w:eastAsia="仿宋_GB2312" w:cs="Nimbus Roman No9 L"/>
                <w:i w:val="0"/>
                <w:iCs w:val="0"/>
                <w:caps w:val="0"/>
                <w:color w:val="auto"/>
                <w:spacing w:val="0"/>
                <w:sz w:val="24"/>
                <w:szCs w:val="24"/>
              </w:rPr>
              <w:t>《农药包装废弃物回收处理管理办法》第十九条</w:t>
            </w:r>
            <w:r>
              <w:rPr>
                <w:rFonts w:hint="default" w:ascii="Nimbus Roman No9 L" w:hAnsi="Nimbus Roman No9 L" w:eastAsia="仿宋_GB2312" w:cs="Nimbus Roman No9 L"/>
                <w:i w:val="0"/>
                <w:iCs w:val="0"/>
                <w:caps w:val="0"/>
                <w:color w:val="auto"/>
                <w:spacing w:val="0"/>
                <w:sz w:val="24"/>
                <w:szCs w:val="24"/>
              </w:rPr>
              <w:t>：农药生产者、经营者、使用者未按规定履行农药包装废弃物回收处理义务的，由地方人民政府农业农村主管部门按照《中华人民共和国土壤污染防治法》第八十八条规定予以处罚。</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cs="Nimbus Roman No9 L" w:eastAsiaTheme="minorEastAsia"/>
                <w:color w:val="auto"/>
                <w:sz w:val="21"/>
                <w:szCs w:val="21"/>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14</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违反《中华人民共和国农产品质量安全法》和《农产品产地安全管理办法》规定擅自移动、损毁禁止农产品生产区标牌的</w:t>
            </w:r>
          </w:p>
        </w:tc>
        <w:tc>
          <w:tcPr>
            <w:tcW w:w="75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Style w:val="7"/>
                <w:rFonts w:hint="default" w:ascii="Nimbus Roman No9 L" w:hAnsi="Nimbus Roman No9 L" w:eastAsia="仿宋_GB2312" w:cs="Nimbus Roman No9 L"/>
                <w:i w:val="0"/>
                <w:iCs w:val="0"/>
                <w:caps w:val="0"/>
                <w:color w:val="auto"/>
                <w:spacing w:val="0"/>
                <w:sz w:val="24"/>
                <w:szCs w:val="24"/>
              </w:rPr>
            </w:pPr>
            <w:r>
              <w:rPr>
                <w:rStyle w:val="7"/>
                <w:rFonts w:hint="default" w:ascii="Nimbus Roman No9 L" w:hAnsi="Nimbus Roman No9 L" w:eastAsia="仿宋_GB2312" w:cs="Nimbus Roman No9 L"/>
                <w:i w:val="0"/>
                <w:iCs w:val="0"/>
                <w:caps w:val="0"/>
                <w:color w:val="auto"/>
                <w:spacing w:val="0"/>
                <w:sz w:val="24"/>
                <w:szCs w:val="24"/>
              </w:rPr>
              <w:t>《农产品产地安全管理办法》第二十六条:</w:t>
            </w:r>
            <w:r>
              <w:rPr>
                <w:rFonts w:hint="default" w:ascii="Nimbus Roman No9 L" w:hAnsi="Nimbus Roman No9 L" w:eastAsia="仿宋_GB2312" w:cs="Nimbus Roman No9 L"/>
                <w:i w:val="0"/>
                <w:iCs w:val="0"/>
                <w:caps w:val="0"/>
                <w:color w:val="auto"/>
                <w:spacing w:val="0"/>
                <w:sz w:val="24"/>
                <w:szCs w:val="24"/>
              </w:rPr>
              <w:t>违反《中华人民共和国农产品质量安全法》和本办法规定的划定标准和程序划定的禁止生产区无效。违反本办法规定，擅自移动、损毁禁止生产区标牌的，由县级以上地方人民政府农业行政主管部门责令限期改正，可处以一千元以下罚款。其他违反本办法规定的，依照有关法律法规处罚。</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cs="Nimbus Roman No9 L" w:eastAsiaTheme="minorEastAsia"/>
                <w:color w:val="auto"/>
                <w:sz w:val="21"/>
                <w:szCs w:val="21"/>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15</w:t>
            </w:r>
          </w:p>
        </w:tc>
        <w:tc>
          <w:tcPr>
            <w:tcW w:w="4056"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跨区作业中介服务组织不配备相应的服务设施和技术人员，没有兑现服务承诺，只收费不服务或者多收费少服务的</w:t>
            </w:r>
          </w:p>
        </w:tc>
        <w:tc>
          <w:tcPr>
            <w:tcW w:w="75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Nimbus Roman No9 L" w:hAnsi="Nimbus Roman No9 L" w:eastAsia="仿宋_GB2312" w:cs="Nimbus Roman No9 L"/>
                <w:i w:val="0"/>
                <w:iCs w:val="0"/>
                <w:caps w:val="0"/>
                <w:color w:val="auto"/>
                <w:spacing w:val="0"/>
                <w:sz w:val="24"/>
                <w:szCs w:val="24"/>
              </w:rPr>
            </w:pPr>
            <w:r>
              <w:rPr>
                <w:rStyle w:val="7"/>
                <w:rFonts w:hint="default" w:ascii="Nimbus Roman No9 L" w:hAnsi="Nimbus Roman No9 L" w:eastAsia="仿宋_GB2312" w:cs="Nimbus Roman No9 L"/>
                <w:i w:val="0"/>
                <w:iCs w:val="0"/>
                <w:caps w:val="0"/>
                <w:color w:val="auto"/>
                <w:spacing w:val="0"/>
                <w:sz w:val="24"/>
                <w:szCs w:val="24"/>
              </w:rPr>
              <w:t>《联合收割机跨区作业管理办法》第二十八条：</w:t>
            </w:r>
            <w:r>
              <w:rPr>
                <w:rFonts w:hint="default" w:ascii="Nimbus Roman No9 L" w:hAnsi="Nimbus Roman No9 L" w:eastAsia="仿宋_GB2312" w:cs="Nimbus Roman No9 L"/>
                <w:i w:val="0"/>
                <w:iCs w:val="0"/>
                <w:caps w:val="0"/>
                <w:color w:val="auto"/>
                <w:spacing w:val="0"/>
                <w:sz w:val="24"/>
                <w:szCs w:val="24"/>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cs="Nimbus Roman No9 L" w:eastAsiaTheme="minorEastAsia"/>
                <w:color w:val="auto"/>
                <w:sz w:val="21"/>
                <w:szCs w:val="21"/>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16</w:t>
            </w:r>
          </w:p>
        </w:tc>
        <w:tc>
          <w:tcPr>
            <w:tcW w:w="4056"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侵占、损毁、拆除、擅自移动农作物病虫害监测设施设备或者以其他方式妨害农作物病虫害监测设施设备正常运行的</w:t>
            </w:r>
          </w:p>
        </w:tc>
        <w:tc>
          <w:tcPr>
            <w:tcW w:w="7511"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Nimbus Roman No9 L" w:hAnsi="Nimbus Roman No9 L" w:eastAsia="仿宋_GB2312" w:cs="Nimbus Roman No9 L"/>
                <w:i w:val="0"/>
                <w:iCs w:val="0"/>
                <w:caps w:val="0"/>
                <w:color w:val="auto"/>
                <w:spacing w:val="0"/>
                <w:sz w:val="24"/>
                <w:szCs w:val="24"/>
                <w:lang w:eastAsia="zh-CN"/>
              </w:rPr>
            </w:pPr>
            <w:r>
              <w:rPr>
                <w:rFonts w:hint="default" w:ascii="Nimbus Roman No9 L" w:hAnsi="Nimbus Roman No9 L" w:eastAsia="仿宋_GB2312" w:cs="Nimbus Roman No9 L"/>
                <w:b/>
                <w:bCs/>
                <w:i w:val="0"/>
                <w:iCs w:val="0"/>
                <w:caps w:val="0"/>
                <w:color w:val="auto"/>
                <w:spacing w:val="0"/>
                <w:sz w:val="24"/>
                <w:szCs w:val="24"/>
                <w:lang w:val="en-US" w:eastAsia="zh-CN"/>
              </w:rPr>
              <w:t>《农作物病虫害防治条例》第四十条</w:t>
            </w:r>
            <w:r>
              <w:rPr>
                <w:rFonts w:hint="default" w:ascii="Nimbus Roman No9 L" w:hAnsi="Nimbus Roman No9 L" w:eastAsia="仿宋_GB2312" w:cs="Nimbus Roman No9 L"/>
                <w:i w:val="0"/>
                <w:iCs w:val="0"/>
                <w:caps w:val="0"/>
                <w:color w:val="auto"/>
                <w:spacing w:val="0"/>
                <w:sz w:val="24"/>
                <w:szCs w:val="24"/>
                <w:lang w:val="en-US" w:eastAsia="zh-CN"/>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2028" w:type="dxa"/>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1.首次违法；</w:t>
            </w:r>
          </w:p>
          <w:p>
            <w:pPr>
              <w:pStyle w:val="2"/>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2.在期限内改正；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Nimbus Roman No9 L" w:hAnsi="Nimbus Roman No9 L" w:eastAsia="仿宋_GB2312" w:cs="Nimbus Roman No9 L"/>
                <w:i w:val="0"/>
                <w:iCs w:val="0"/>
                <w:caps w:val="0"/>
                <w:color w:val="auto"/>
                <w:spacing w:val="0"/>
                <w:sz w:val="24"/>
                <w:szCs w:val="24"/>
                <w:lang w:val="en-US" w:eastAsia="zh-CN"/>
              </w:rPr>
            </w:pPr>
            <w:r>
              <w:rPr>
                <w:rFonts w:hint="default" w:ascii="Nimbus Roman No9 L" w:hAnsi="Nimbus Roman No9 L" w:eastAsia="仿宋_GB2312" w:cs="Nimbus Roman No9 L"/>
                <w:i w:val="0"/>
                <w:iCs w:val="0"/>
                <w:caps w:val="0"/>
                <w:color w:val="auto"/>
                <w:spacing w:val="0"/>
                <w:sz w:val="24"/>
                <w:szCs w:val="24"/>
                <w:lang w:val="en-US" w:eastAsia="zh-CN"/>
              </w:rPr>
              <w:t>3.危害后果轻微。</w:t>
            </w: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746D47BC"/>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46D47BC"/>
    <w:rsid w:val="7B3B31B8"/>
    <w:rsid w:val="7BC76F20"/>
    <w:rsid w:val="7D1C1CA3"/>
    <w:rsid w:val="7EDA0DA2"/>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2022-08-29T01:49:00Z</dcterms:created>
  <dc:creator>万全鹏</dc:creator>
  <cp:lastModifiedBy>万全鹏</cp:lastModifiedBy>
  <dcterms:modified xsi:type="dcterms:W3CDTF">2022-08-29T01:50:56Z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5B9F5242A811413E9907CFEEA0AD4496</vt:lpwstr>
  </property>
</Properties>
</file>