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30" w:lineRule="atLeast"/>
        <w:jc w:val="center"/>
        <w:outlineLvl w:val="1"/>
        <w:rPr>
          <w:rFonts w:ascii="微软雅黑" w:hAnsi="微软雅黑" w:eastAsia="微软雅黑" w:cs="宋体"/>
          <w:b/>
          <w:bCs/>
          <w:color w:val="333333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32"/>
          <w:szCs w:val="32"/>
        </w:rPr>
        <w:t>《湖南省兽医实验室管理办法》起草说明</w:t>
      </w:r>
      <w:bookmarkStart w:id="0" w:name="_GoBack"/>
      <w:bookmarkEnd w:id="0"/>
    </w:p>
    <w:p>
      <w:pPr>
        <w:widowControl/>
        <w:shd w:val="clear" w:color="auto" w:fill="FFFFFF"/>
        <w:spacing w:line="242" w:lineRule="atLeast"/>
        <w:ind w:firstLine="323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一、《办法》修订的依据和背景</w:t>
      </w:r>
    </w:p>
    <w:p>
      <w:pPr>
        <w:ind w:firstLine="640"/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1.参考</w:t>
      </w:r>
      <w:r>
        <w:rPr>
          <w:rFonts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《中华人民共和国生物安全法》（第五十六号主席令）、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《中华人民共和国动物防疫法》《病原微生物实验室生物安全管理条例》《湖南省实施〈中华人民共和国动物防疫法〉办法》等法律法规。</w:t>
      </w:r>
    </w:p>
    <w:p>
      <w:pPr>
        <w:widowControl/>
        <w:shd w:val="clear" w:color="auto" w:fill="FFFFFF"/>
        <w:spacing w:line="242" w:lineRule="atLeast"/>
        <w:ind w:firstLine="441" w:firstLineChars="184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近年来，我省养殖业规模化集约化程度越来越高，动物疫病防控技术要求越高，各地兽医实验室快速发展，实验室管理运行不规范问题频发，存在一定生物安全隐患。</w:t>
      </w:r>
    </w:p>
    <w:p>
      <w:pPr>
        <w:widowControl/>
        <w:shd w:val="clear" w:color="auto" w:fill="FFFFFF"/>
        <w:spacing w:line="242" w:lineRule="atLeast"/>
        <w:ind w:firstLine="441" w:firstLineChars="184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3.为进一步规范兽医实验室的管理，有效防范和化解生物安全风险，提升动物疫病防控水平，促进我省畜牧业高质量发展。</w:t>
      </w:r>
    </w:p>
    <w:p>
      <w:pPr>
        <w:widowControl/>
        <w:shd w:val="clear" w:color="auto" w:fill="FFFFFF"/>
        <w:spacing w:line="242" w:lineRule="atLeast"/>
        <w:ind w:firstLine="323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二、《办法》的基本框架和主要内容</w:t>
      </w:r>
    </w:p>
    <w:p>
      <w:pPr>
        <w:widowControl/>
        <w:shd w:val="clear" w:color="auto" w:fill="FFFFFF"/>
        <w:spacing w:line="242" w:lineRule="atLeast"/>
        <w:ind w:firstLine="323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《办法》框架，共分五章二十七条。</w:t>
      </w:r>
    </w:p>
    <w:p>
      <w:pPr>
        <w:widowControl/>
        <w:shd w:val="clear" w:color="auto" w:fill="FFFFFF"/>
        <w:spacing w:line="242" w:lineRule="atLeast"/>
        <w:ind w:firstLine="600" w:firstLineChars="250"/>
        <w:jc w:val="left"/>
        <w:rPr>
          <w:rFonts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第一章总则，规定了《办法》的编制目的、依据、基本原则、管理机构职责和适用范围，兽医实验室资质、生物安全等级、生物安全要求等方面做出了规定。</w:t>
      </w:r>
    </w:p>
    <w:p>
      <w:pPr>
        <w:widowControl/>
        <w:shd w:val="clear" w:color="auto" w:fill="FFFFFF"/>
        <w:spacing w:line="242" w:lineRule="atLeas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第二章运行管理，明确了兽医实验室质量、生物安全、事故报告、人员、样本采集、保存、报告发放、档案等各项制度。</w:t>
      </w:r>
    </w:p>
    <w:p>
      <w:pPr>
        <w:widowControl/>
        <w:shd w:val="clear" w:color="auto" w:fill="FFFFFF"/>
        <w:spacing w:line="242" w:lineRule="atLeas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第三章备案管理，规定了新建、改建或者扩建从事动物病原微生物实验活动的一级、二级兽医实验室实行备案管理，明确了实验室备案管理的机构、内容、程序、重新备案及备案的注销等。</w:t>
      </w:r>
    </w:p>
    <w:p>
      <w:pPr>
        <w:widowControl/>
        <w:shd w:val="clear" w:color="auto" w:fill="FFFFFF"/>
        <w:spacing w:line="242" w:lineRule="atLeas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第四章监督管理，规定了兽医实验室接受属地兽医主管部门监督管理时需履行的职责，实验活动范围等。</w:t>
      </w:r>
    </w:p>
    <w:p>
      <w:pPr>
        <w:widowControl/>
        <w:shd w:val="clear" w:color="auto" w:fill="FFFFFF"/>
        <w:spacing w:line="242" w:lineRule="atLeast"/>
        <w:ind w:firstLine="480" w:firstLineChars="200"/>
        <w:jc w:val="left"/>
        <w:rPr>
          <w:rFonts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第五章附则，明确了高等级病原微生物实验室管理依据，规定了实施时间和解释权。</w:t>
      </w:r>
    </w:p>
    <w:p>
      <w:pPr>
        <w:widowControl/>
        <w:shd w:val="clear" w:color="auto" w:fill="FFFFFF"/>
        <w:spacing w:line="242" w:lineRule="atLeast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三、《办法》的主要作用和特点。</w:t>
      </w:r>
    </w:p>
    <w:p>
      <w:pPr>
        <w:widowControl/>
        <w:shd w:val="clear" w:color="auto" w:fill="FFFFFF"/>
        <w:spacing w:line="242" w:lineRule="atLeast"/>
        <w:ind w:firstLine="360" w:firstLineChars="15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</w:rPr>
        <w:t>（一）明确了各类兽医实验室从事动物疫病检测所需达到的条件，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管理机构职责和适用范围，兽医实验室资质、生物安全等级、生物安全要求等方面做出了规定。</w:t>
      </w:r>
    </w:p>
    <w:p>
      <w:pPr>
        <w:widowControl/>
        <w:shd w:val="clear" w:color="auto" w:fill="FFFFFF"/>
        <w:spacing w:line="242" w:lineRule="atLeast"/>
        <w:ind w:firstLine="360" w:firstLineChars="150"/>
        <w:jc w:val="left"/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（二）明确了兽医实验室质量、生物安全、事故报告、人员、样本采集、保存、报告发放、档案等各项制度。</w:t>
      </w:r>
    </w:p>
    <w:p>
      <w:pPr>
        <w:widowControl/>
        <w:shd w:val="clear" w:color="auto" w:fill="FFFFFF"/>
        <w:spacing w:line="242" w:lineRule="atLeast"/>
        <w:ind w:firstLine="360" w:firstLineChars="15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（三）明确了实验室备案管理制度，实验室备案管理的机构、内容、程序、重新备案及备案的注销等。</w:t>
      </w:r>
    </w:p>
    <w:p>
      <w:pPr>
        <w:widowControl/>
        <w:shd w:val="clear" w:color="auto" w:fill="FFFFFF"/>
        <w:spacing w:line="242" w:lineRule="atLeast"/>
        <w:ind w:firstLine="323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（四）规范了兽医实验室属地管理责任和实验活动范围。</w:t>
      </w:r>
    </w:p>
    <w:p>
      <w:pPr>
        <w:widowControl/>
        <w:shd w:val="clear" w:color="auto" w:fill="FFFFFF"/>
        <w:spacing w:line="242" w:lineRule="atLeast"/>
        <w:ind w:firstLine="323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（五）明确了高等级病原微生物实验室管理依据，规定了实施时间和解释权。</w:t>
      </w:r>
    </w:p>
    <w:p>
      <w:pPr>
        <w:widowControl/>
        <w:shd w:val="clear" w:color="auto" w:fill="FFFFFF"/>
        <w:spacing w:line="242" w:lineRule="atLeast"/>
        <w:ind w:firstLine="323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四、《办法》施行时间及贯彻落实</w:t>
      </w:r>
    </w:p>
    <w:p>
      <w:pPr>
        <w:widowControl/>
        <w:shd w:val="clear" w:color="auto" w:fill="FFFFFF"/>
        <w:spacing w:line="242" w:lineRule="atLeast"/>
        <w:ind w:firstLine="323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《办法》自2023年 月日起施行。</w:t>
      </w:r>
    </w:p>
    <w:p>
      <w:pPr>
        <w:widowControl/>
        <w:shd w:val="clear" w:color="auto" w:fill="FFFFFF"/>
        <w:spacing w:line="242" w:lineRule="atLeast"/>
        <w:ind w:firstLine="49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一是积极开展《办法》的宣传工作。通过湖南省农业农村厅网站、短视频、微信等媒介，对《办法》进行广泛宣传。二是全力做好《办法》的答疑解惑工作。对各级畜牧系统从事兽医实验室工作人员就《办法》的重点内容进行详细讲解和说明，帮助相关工作人员准确理解和把握《办法》的内容和要求，确保《办法》的顺利实施。</w:t>
      </w:r>
    </w:p>
    <w:p>
      <w:pPr>
        <w:widowControl/>
        <w:shd w:val="clear" w:color="auto" w:fill="FFFFFF"/>
        <w:spacing w:line="242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2MzJhZDllMzY3MzFiYjIzZTcxZjlhYjM0M2NmMzMifQ=="/>
  </w:docVars>
  <w:rsids>
    <w:rsidRoot w:val="00C044EF"/>
    <w:rsid w:val="00030491"/>
    <w:rsid w:val="000904A5"/>
    <w:rsid w:val="001F3AAD"/>
    <w:rsid w:val="0058046A"/>
    <w:rsid w:val="00700C7E"/>
    <w:rsid w:val="00C044EF"/>
    <w:rsid w:val="00DF53EF"/>
    <w:rsid w:val="226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859</Characters>
  <Lines>7</Lines>
  <Paragraphs>2</Paragraphs>
  <TotalTime>115</TotalTime>
  <ScaleCrop>false</ScaleCrop>
  <LinksUpToDate>false</LinksUpToDate>
  <CharactersWithSpaces>1007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2023-10-09T07:10:00Z</dcterms:created>
  <dc:creator>唐小明</dc:creator>
  <cp:lastModifiedBy>admin</cp:lastModifiedBy>
  <dcterms:modified xsi:type="dcterms:W3CDTF">2023-11-02T06:40:24Z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2509721F170B4AC891682F7FCC46ADFC_12</vt:lpwstr>
  </property>
</Properties>
</file>