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E653A">
      <w:pPr>
        <w:widowControl/>
        <w:spacing w:line="600" w:lineRule="exact"/>
        <w:jc w:val="left"/>
        <w:rPr>
          <w:rFonts w:hint="default" w:ascii="Times New Roman" w:hAnsi="Times New Roman" w:eastAsia="仿宋_GB2312" w:cs="Times New Roman"/>
          <w:bCs/>
          <w:kern w:val="0"/>
          <w:sz w:val="32"/>
          <w:szCs w:val="32"/>
        </w:rPr>
      </w:pPr>
    </w:p>
    <w:p w14:paraId="0E1623A7">
      <w:pPr>
        <w:widowControl/>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lang w:eastAsia="zh-CN"/>
        </w:rPr>
        <w:t>2023</w:t>
      </w:r>
      <w:r>
        <w:rPr>
          <w:rFonts w:hint="default" w:ascii="Times New Roman" w:hAnsi="Times New Roman" w:eastAsia="方正小标宋_GBK" w:cs="Times New Roman"/>
          <w:bCs/>
          <w:kern w:val="0"/>
          <w:sz w:val="44"/>
          <w:szCs w:val="44"/>
        </w:rPr>
        <w:t>年</w:t>
      </w:r>
      <w:r>
        <w:rPr>
          <w:rFonts w:hint="eastAsia" w:eastAsia="方正小标宋_GBK" w:cs="Times New Roman"/>
          <w:bCs/>
          <w:kern w:val="0"/>
          <w:sz w:val="44"/>
          <w:szCs w:val="44"/>
          <w:lang w:eastAsia="zh-CN"/>
        </w:rPr>
        <w:t>湖南省绿色食品办公室</w:t>
      </w:r>
      <w:r>
        <w:rPr>
          <w:rFonts w:hint="default" w:ascii="Times New Roman" w:hAnsi="Times New Roman" w:eastAsia="方正小标宋_GBK" w:cs="Times New Roman"/>
          <w:bCs/>
          <w:kern w:val="0"/>
          <w:sz w:val="44"/>
          <w:szCs w:val="44"/>
        </w:rPr>
        <w:t>预算</w:t>
      </w:r>
    </w:p>
    <w:p w14:paraId="67FF4AC5">
      <w:pPr>
        <w:widowControl/>
        <w:spacing w:line="600" w:lineRule="exact"/>
        <w:jc w:val="center"/>
        <w:rPr>
          <w:rFonts w:hint="default" w:ascii="Times New Roman" w:hAnsi="Times New Roman" w:eastAsia="楷体_GB2312" w:cs="Times New Roman"/>
          <w:bCs/>
          <w:kern w:val="0"/>
          <w:sz w:val="32"/>
          <w:szCs w:val="32"/>
        </w:rPr>
      </w:pPr>
    </w:p>
    <w:p w14:paraId="6B7F07EA">
      <w:pPr>
        <w:widowControl/>
        <w:spacing w:line="60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目 录</w:t>
      </w:r>
    </w:p>
    <w:p w14:paraId="72C761CF">
      <w:pPr>
        <w:widowControl/>
        <w:spacing w:line="600" w:lineRule="exact"/>
        <w:jc w:val="left"/>
        <w:rPr>
          <w:rFonts w:hint="default" w:ascii="Times New Roman" w:hAnsi="Times New Roman" w:eastAsia="黑体" w:cs="Times New Roman"/>
          <w:bCs/>
          <w:kern w:val="0"/>
          <w:sz w:val="32"/>
          <w:szCs w:val="32"/>
        </w:rPr>
      </w:pPr>
    </w:p>
    <w:p w14:paraId="2917EDEC">
      <w:pPr>
        <w:widowControl/>
        <w:spacing w:line="600" w:lineRule="exact"/>
        <w:ind w:firstLine="636" w:firstLineChars="200"/>
        <w:rPr>
          <w:rFonts w:hint="default" w:ascii="Times New Roman" w:hAnsi="Times New Roman" w:eastAsia="方正小标宋_GBK" w:cs="Times New Roman"/>
          <w:b/>
          <w:bCs/>
          <w:kern w:val="0"/>
          <w:sz w:val="32"/>
          <w:szCs w:val="32"/>
        </w:rPr>
      </w:pPr>
      <w:r>
        <w:rPr>
          <w:rFonts w:hint="default" w:ascii="Times New Roman" w:hAnsi="Times New Roman" w:eastAsia="仿宋_GB2312" w:cs="Times New Roman"/>
          <w:b/>
          <w:bCs/>
          <w:kern w:val="0"/>
          <w:sz w:val="32"/>
          <w:szCs w:val="32"/>
        </w:rPr>
        <w:t xml:space="preserve">第一部分 </w:t>
      </w:r>
      <w:r>
        <w:rPr>
          <w:rFonts w:hint="default" w:ascii="Times New Roman" w:hAnsi="Times New Roman" w:eastAsia="方正小标宋_GBK" w:cs="Times New Roman"/>
          <w:b/>
          <w:bCs/>
          <w:kern w:val="0"/>
          <w:sz w:val="32"/>
          <w:szCs w:val="32"/>
          <w:lang w:eastAsia="zh-CN"/>
        </w:rPr>
        <w:t>2023</w:t>
      </w:r>
      <w:r>
        <w:rPr>
          <w:rFonts w:hint="default" w:ascii="Times New Roman" w:hAnsi="Times New Roman" w:eastAsia="仿宋_GB2312" w:cs="Times New Roman"/>
          <w:b/>
          <w:bCs/>
          <w:kern w:val="0"/>
          <w:sz w:val="32"/>
          <w:szCs w:val="32"/>
        </w:rPr>
        <w:t>年单位预算说明</w:t>
      </w:r>
    </w:p>
    <w:p w14:paraId="349C3804">
      <w:pPr>
        <w:widowControl/>
        <w:spacing w:line="600" w:lineRule="exact"/>
        <w:ind w:firstLine="636"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第二部分 </w:t>
      </w:r>
      <w:r>
        <w:rPr>
          <w:rFonts w:hint="default" w:ascii="Times New Roman" w:hAnsi="Times New Roman" w:eastAsia="仿宋_GB2312" w:cs="Times New Roman"/>
          <w:b/>
          <w:bCs/>
          <w:kern w:val="0"/>
          <w:sz w:val="32"/>
          <w:szCs w:val="32"/>
          <w:lang w:eastAsia="zh-CN"/>
        </w:rPr>
        <w:t>2023</w:t>
      </w:r>
      <w:r>
        <w:rPr>
          <w:rFonts w:hint="default" w:ascii="Times New Roman" w:hAnsi="Times New Roman" w:eastAsia="仿宋_GB2312" w:cs="Times New Roman"/>
          <w:b/>
          <w:bCs/>
          <w:kern w:val="0"/>
          <w:sz w:val="32"/>
          <w:szCs w:val="32"/>
        </w:rPr>
        <w:t>年单位预算表</w:t>
      </w:r>
    </w:p>
    <w:p w14:paraId="55690864">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1、收支总表</w:t>
      </w:r>
    </w:p>
    <w:p w14:paraId="714BC8F0">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2、收入总表</w:t>
      </w:r>
    </w:p>
    <w:p w14:paraId="5582158B">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3、支出总表</w:t>
      </w:r>
    </w:p>
    <w:p w14:paraId="170694B8">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4、支出预算分类汇总表（按政府预算经济分类）</w:t>
      </w:r>
    </w:p>
    <w:p w14:paraId="1F6B3170">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5、支出预算分类汇总表（按部门预算经济分类）</w:t>
      </w:r>
    </w:p>
    <w:p w14:paraId="3FAB274F">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6、财政拨款收支总表</w:t>
      </w:r>
    </w:p>
    <w:p w14:paraId="1805B72D">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7、一般公共预算支出表</w:t>
      </w:r>
    </w:p>
    <w:p w14:paraId="7856B054">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8、一般公共预算基本支出表-人员经费（工资福利支出）（按政府预算经济分类）</w:t>
      </w:r>
    </w:p>
    <w:p w14:paraId="331C4051">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9、一般公共预算基本支出表-人员经费（工资福利支出）（按部门预算经济分类）</w:t>
      </w:r>
    </w:p>
    <w:p w14:paraId="20D4FE02">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10、一般公共预算基本支出表-人员经费（对个人和家庭的补助）（按政府预算经济分类）</w:t>
      </w:r>
    </w:p>
    <w:p w14:paraId="5040BFF0">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11、一般公共预算基本支出表-人员经费（对个人和家庭的补助）（按部门预算经济分类）</w:t>
      </w:r>
    </w:p>
    <w:p w14:paraId="6FEBAD1A">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12、一般公共预算基本支出表-公用经费（商品和服务支出）（按政府预算经济分类）</w:t>
      </w:r>
    </w:p>
    <w:p w14:paraId="3AD9AA38">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13、一般公共预算基本支出表-公用经费（商品和服务支出）（按部门预算经济分类）</w:t>
      </w:r>
    </w:p>
    <w:p w14:paraId="0D8089F9">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14、一般公共预算“三公”经费支出表</w:t>
      </w:r>
    </w:p>
    <w:p w14:paraId="384E96BB">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15、政府性基金预算支出表</w:t>
      </w:r>
    </w:p>
    <w:p w14:paraId="3AA5223E">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16、政府性基金预算支出分类汇总表（按政府预算经济分类）</w:t>
      </w:r>
    </w:p>
    <w:p w14:paraId="233861F7">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17、政府性基金预算支出分类汇总表（按部门预算经济分类）</w:t>
      </w:r>
    </w:p>
    <w:p w14:paraId="2CBFEC8E">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18、国有资本经营预算支出表</w:t>
      </w:r>
    </w:p>
    <w:p w14:paraId="7A48C5B9">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19、财政专户管理资金预算支出表</w:t>
      </w:r>
    </w:p>
    <w:p w14:paraId="42218C70">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20、省级专项资金预算汇总表</w:t>
      </w:r>
    </w:p>
    <w:p w14:paraId="5A3506DF">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21、省级专项资金绩效目标表</w:t>
      </w:r>
    </w:p>
    <w:p w14:paraId="304BC2E9">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22、其他项目支出绩效目标表</w:t>
      </w:r>
    </w:p>
    <w:p w14:paraId="6815964C">
      <w:pPr>
        <w:widowControl/>
        <w:spacing w:line="600" w:lineRule="exact"/>
        <w:ind w:firstLine="63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23、部门整体支出绩效目标表</w:t>
      </w:r>
    </w:p>
    <w:p w14:paraId="20243E2F">
      <w:pPr>
        <w:widowControl/>
        <w:spacing w:line="600" w:lineRule="exact"/>
        <w:ind w:firstLine="636" w:firstLineChars="200"/>
        <w:rPr>
          <w:rFonts w:hint="default" w:ascii="Times New Roman" w:hAnsi="Times New Roman" w:eastAsia="仿宋_GB2312" w:cs="Times New Roman"/>
          <w:bCs/>
          <w:kern w:val="0"/>
          <w:sz w:val="32"/>
          <w:szCs w:val="32"/>
        </w:rPr>
      </w:pPr>
    </w:p>
    <w:p w14:paraId="553E712D">
      <w:pPr>
        <w:widowControl/>
        <w:spacing w:line="600" w:lineRule="exact"/>
        <w:rPr>
          <w:rFonts w:hint="default" w:ascii="Times New Roman" w:hAnsi="Times New Roman" w:eastAsia="仿宋_GB2312" w:cs="Times New Roman"/>
          <w:bCs/>
          <w:kern w:val="0"/>
          <w:sz w:val="32"/>
          <w:szCs w:val="32"/>
        </w:rPr>
      </w:pPr>
    </w:p>
    <w:p w14:paraId="021742EE">
      <w:pPr>
        <w:widowControl/>
        <w:spacing w:line="600" w:lineRule="exact"/>
        <w:rPr>
          <w:rFonts w:hint="default" w:ascii="Times New Roman" w:hAnsi="Times New Roman" w:eastAsia="仿宋_GB2312" w:cs="Times New Roman"/>
          <w:bCs/>
          <w:kern w:val="0"/>
          <w:sz w:val="32"/>
          <w:szCs w:val="32"/>
        </w:rPr>
      </w:pPr>
    </w:p>
    <w:p w14:paraId="5F997BC0">
      <w:pPr>
        <w:widowControl/>
        <w:spacing w:line="600" w:lineRule="exact"/>
        <w:rPr>
          <w:rFonts w:hint="default" w:ascii="Times New Roman" w:hAnsi="Times New Roman" w:eastAsia="仿宋_GB2312" w:cs="Times New Roman"/>
          <w:bCs/>
          <w:kern w:val="0"/>
          <w:sz w:val="32"/>
          <w:szCs w:val="32"/>
        </w:rPr>
      </w:pPr>
    </w:p>
    <w:p w14:paraId="30DE09AB">
      <w:pPr>
        <w:widowControl/>
        <w:spacing w:line="600" w:lineRule="exact"/>
        <w:rPr>
          <w:rFonts w:hint="default" w:ascii="Times New Roman" w:hAnsi="Times New Roman" w:eastAsia="仿宋_GB2312" w:cs="Times New Roman"/>
          <w:bCs/>
          <w:kern w:val="0"/>
          <w:sz w:val="32"/>
          <w:szCs w:val="32"/>
        </w:rPr>
      </w:pPr>
    </w:p>
    <w:p w14:paraId="3B0F82F4">
      <w:pPr>
        <w:pStyle w:val="4"/>
        <w:rPr>
          <w:rFonts w:hint="default" w:ascii="Times New Roman" w:hAnsi="Times New Roman" w:eastAsia="仿宋_GB2312" w:cs="Times New Roman"/>
          <w:bCs/>
          <w:kern w:val="0"/>
          <w:sz w:val="32"/>
          <w:szCs w:val="32"/>
        </w:rPr>
      </w:pPr>
    </w:p>
    <w:p w14:paraId="7DFFB336">
      <w:pPr>
        <w:pStyle w:val="4"/>
        <w:rPr>
          <w:rFonts w:hint="default" w:ascii="Times New Roman" w:hAnsi="Times New Roman" w:eastAsia="仿宋_GB2312" w:cs="Times New Roman"/>
          <w:bCs/>
          <w:kern w:val="0"/>
          <w:sz w:val="32"/>
          <w:szCs w:val="32"/>
        </w:rPr>
      </w:pPr>
    </w:p>
    <w:p w14:paraId="606AFFA1">
      <w:pPr>
        <w:pStyle w:val="4"/>
        <w:rPr>
          <w:rFonts w:hint="default" w:ascii="Times New Roman" w:hAnsi="Times New Roman" w:eastAsia="仿宋_GB2312" w:cs="Times New Roman"/>
          <w:bCs/>
          <w:kern w:val="0"/>
          <w:sz w:val="32"/>
          <w:szCs w:val="32"/>
        </w:rPr>
      </w:pPr>
    </w:p>
    <w:p w14:paraId="7A51E129">
      <w:pPr>
        <w:widowControl/>
        <w:spacing w:line="600" w:lineRule="exact"/>
        <w:rPr>
          <w:rFonts w:hint="default" w:ascii="Times New Roman" w:hAnsi="Times New Roman" w:eastAsia="仿宋_GB2312" w:cs="Times New Roman"/>
          <w:bCs/>
          <w:kern w:val="0"/>
          <w:sz w:val="32"/>
          <w:szCs w:val="32"/>
        </w:rPr>
      </w:pPr>
    </w:p>
    <w:p w14:paraId="126F2CEE">
      <w:pPr>
        <w:widowControl/>
        <w:spacing w:line="60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第一部分 </w:t>
      </w:r>
      <w:r>
        <w:rPr>
          <w:rFonts w:hint="default" w:ascii="Times New Roman" w:hAnsi="Times New Roman" w:eastAsia="方正小标宋_GBK" w:cs="Times New Roman"/>
          <w:bCs/>
          <w:kern w:val="0"/>
          <w:sz w:val="36"/>
          <w:szCs w:val="36"/>
          <w:lang w:eastAsia="zh-CN"/>
        </w:rPr>
        <w:t>2023</w:t>
      </w:r>
      <w:r>
        <w:rPr>
          <w:rFonts w:hint="default" w:ascii="Times New Roman" w:hAnsi="Times New Roman" w:eastAsia="方正小标宋_GBK" w:cs="Times New Roman"/>
          <w:bCs/>
          <w:kern w:val="0"/>
          <w:sz w:val="36"/>
          <w:szCs w:val="36"/>
        </w:rPr>
        <w:t>年单位预算说明</w:t>
      </w:r>
    </w:p>
    <w:p w14:paraId="64DC6632">
      <w:pPr>
        <w:widowControl/>
        <w:spacing w:line="600" w:lineRule="exact"/>
        <w:jc w:val="left"/>
        <w:rPr>
          <w:rFonts w:hint="default" w:ascii="Times New Roman" w:hAnsi="Times New Roman" w:eastAsia="仿宋_GB2312" w:cs="Times New Roman"/>
          <w:b/>
          <w:bCs/>
          <w:kern w:val="0"/>
          <w:sz w:val="32"/>
          <w:szCs w:val="32"/>
        </w:rPr>
      </w:pPr>
    </w:p>
    <w:p w14:paraId="19380504">
      <w:pPr>
        <w:widowControl/>
        <w:spacing w:line="600" w:lineRule="exact"/>
        <w:ind w:firstLine="624" w:firstLineChars="196"/>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一、单位基本概况</w:t>
      </w:r>
    </w:p>
    <w:p w14:paraId="07AFC3E9">
      <w:pPr>
        <w:keepNext w:val="0"/>
        <w:keepLines w:val="0"/>
        <w:pageBreakBefore w:val="0"/>
        <w:kinsoku/>
        <w:wordWrap/>
        <w:overflowPunct/>
        <w:topLinePunct w:val="0"/>
        <w:autoSpaceDE/>
        <w:autoSpaceDN/>
        <w:bidi w:val="0"/>
        <w:adjustRightInd/>
        <w:snapToGrid w:val="0"/>
        <w:spacing w:line="540" w:lineRule="exact"/>
        <w:ind w:firstLine="636"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（一）职能职责。</w:t>
      </w:r>
    </w:p>
    <w:p w14:paraId="7C1EDC02">
      <w:pPr>
        <w:keepNext w:val="0"/>
        <w:keepLines w:val="0"/>
        <w:pageBreakBefore w:val="0"/>
        <w:kinsoku/>
        <w:wordWrap/>
        <w:overflowPunct/>
        <w:topLinePunct w:val="0"/>
        <w:autoSpaceDE/>
        <w:autoSpaceDN/>
        <w:bidi w:val="0"/>
        <w:adjustRightInd/>
        <w:snapToGrid w:val="0"/>
        <w:spacing w:line="540" w:lineRule="exact"/>
        <w:ind w:firstLine="636"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南省绿色食品办公室是归口湖南省农业农村厅管理的参公管理的事业单位，为正处级。主要职责是：服务湖南农业农村现代化，大力发展安全、优质、健康的绿色食品、有机农产品和地理标志农产品，培育打造绿色有机地标农产品品牌，推动全省农产品质量安全认证管理事业持续健康发展，引领全省农产品质量安全水平稳步提高。研究制定并组织实施发展绿色食品、有机农产品和农产品地理标志产业政策和发展规划；负责管理权限内建设项目的审核、组织实施和资金管理；组织相关产业的科研推广、标准制订和质量监管；开展相关政策咨询、技术服务、宣传推介和合作交流。</w:t>
      </w:r>
    </w:p>
    <w:p w14:paraId="2C66FC49">
      <w:pPr>
        <w:keepNext w:val="0"/>
        <w:keepLines w:val="0"/>
        <w:pageBreakBefore w:val="0"/>
        <w:widowControl/>
        <w:numPr>
          <w:ilvl w:val="0"/>
          <w:numId w:val="0"/>
        </w:numPr>
        <w:kinsoku/>
        <w:wordWrap/>
        <w:overflowPunct/>
        <w:topLinePunct w:val="0"/>
        <w:autoSpaceDE/>
        <w:autoSpaceDN/>
        <w:bidi w:val="0"/>
        <w:adjustRightInd/>
        <w:spacing w:line="540" w:lineRule="exact"/>
        <w:ind w:firstLine="636"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（二）机构设置。</w:t>
      </w:r>
    </w:p>
    <w:p w14:paraId="5DC55CDC">
      <w:pPr>
        <w:keepNext w:val="0"/>
        <w:keepLines w:val="0"/>
        <w:pageBreakBefore w:val="0"/>
        <w:widowControl/>
        <w:numPr>
          <w:ilvl w:val="0"/>
          <w:numId w:val="0"/>
        </w:numPr>
        <w:kinsoku/>
        <w:wordWrap/>
        <w:overflowPunct/>
        <w:topLinePunct w:val="0"/>
        <w:autoSpaceDE/>
        <w:autoSpaceDN/>
        <w:bidi w:val="0"/>
        <w:adjustRightInd/>
        <w:spacing w:line="540" w:lineRule="exact"/>
        <w:ind w:firstLine="636" w:firstLineChars="200"/>
        <w:textAlignment w:val="auto"/>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eastAsia="zh-CN"/>
        </w:rPr>
        <w:t>湖南省绿色食品办公室</w:t>
      </w:r>
      <w:r>
        <w:rPr>
          <w:rFonts w:hint="eastAsia" w:ascii="仿宋" w:hAnsi="仿宋" w:eastAsia="仿宋" w:cs="仿宋"/>
          <w:bCs/>
          <w:color w:val="auto"/>
          <w:kern w:val="0"/>
          <w:sz w:val="32"/>
          <w:szCs w:val="32"/>
          <w:lang w:val="en-US" w:eastAsia="zh-CN"/>
        </w:rPr>
        <w:t>内</w:t>
      </w:r>
      <w:r>
        <w:rPr>
          <w:rFonts w:hint="eastAsia" w:ascii="仿宋" w:hAnsi="仿宋" w:eastAsia="仿宋" w:cs="仿宋"/>
          <w:bCs/>
          <w:color w:val="auto"/>
          <w:kern w:val="0"/>
          <w:sz w:val="32"/>
          <w:szCs w:val="32"/>
          <w:lang w:eastAsia="zh-CN"/>
        </w:rPr>
        <w:t>设有</w:t>
      </w: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eastAsia="zh-CN"/>
        </w:rPr>
        <w:t>综合科、农产品质量安全科、绿色食品科、有机农产品科、市场监督管理科、市场推广科六个科室。只有湖南省绿色食品办公室本级。</w:t>
      </w:r>
    </w:p>
    <w:p w14:paraId="6B5F7EC0">
      <w:pPr>
        <w:widowControl/>
        <w:spacing w:line="600" w:lineRule="exact"/>
        <w:ind w:firstLine="624" w:firstLineChars="196"/>
        <w:jc w:val="left"/>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lang w:eastAsia="zh-CN"/>
        </w:rPr>
        <w:t>单位</w:t>
      </w:r>
      <w:r>
        <w:rPr>
          <w:rFonts w:hint="eastAsia" w:ascii="Times New Roman" w:hAnsi="Times New Roman" w:eastAsia="黑体" w:cs="Times New Roman"/>
          <w:bCs/>
          <w:kern w:val="0"/>
          <w:sz w:val="32"/>
          <w:szCs w:val="32"/>
        </w:rPr>
        <w:t>预算单位构成</w:t>
      </w:r>
    </w:p>
    <w:p w14:paraId="43CF8B4B">
      <w:pPr>
        <w:pStyle w:val="2"/>
        <w:rPr>
          <w:rFonts w:hint="eastAsia"/>
        </w:rPr>
      </w:pPr>
      <w:r>
        <w:rPr>
          <w:rFonts w:eastAsia="仿宋_GB2312"/>
          <w:sz w:val="32"/>
          <w:szCs w:val="32"/>
        </w:rPr>
        <w:t>本</w:t>
      </w:r>
      <w:r>
        <w:rPr>
          <w:rFonts w:hint="eastAsia" w:eastAsia="仿宋_GB2312"/>
          <w:sz w:val="32"/>
          <w:szCs w:val="32"/>
          <w:lang w:eastAsia="zh-CN"/>
        </w:rPr>
        <w:t>单位</w:t>
      </w:r>
      <w:r>
        <w:rPr>
          <w:rFonts w:eastAsia="仿宋_GB2312"/>
          <w:sz w:val="32"/>
          <w:szCs w:val="32"/>
        </w:rPr>
        <w:t>纳入编制范围的预算单位</w:t>
      </w:r>
      <w:r>
        <w:rPr>
          <w:rFonts w:hint="eastAsia" w:ascii="Times New Roman" w:hAnsi="Times New Roman" w:eastAsia="仿宋_GB2312" w:cs="Times New Roman"/>
          <w:sz w:val="32"/>
          <w:szCs w:val="32"/>
          <w:lang w:eastAsia="zh-CN"/>
        </w:rPr>
        <w:t>仅有单位</w:t>
      </w:r>
      <w:r>
        <w:rPr>
          <w:rFonts w:hint="eastAsia" w:ascii="Times New Roman" w:hAnsi="Times New Roman" w:eastAsia="仿宋_GB2312" w:cs="Times New Roman"/>
          <w:sz w:val="32"/>
          <w:szCs w:val="32"/>
        </w:rPr>
        <w:t>本级。</w:t>
      </w:r>
    </w:p>
    <w:p w14:paraId="51117C7C">
      <w:pPr>
        <w:widowControl/>
        <w:spacing w:line="600" w:lineRule="exact"/>
        <w:ind w:firstLine="624" w:firstLineChars="196"/>
        <w:jc w:val="left"/>
        <w:rPr>
          <w:rFonts w:hint="default" w:ascii="Times New Roman" w:hAnsi="Times New Roman" w:eastAsia="黑体" w:cs="Times New Roman"/>
          <w:bCs/>
          <w:kern w:val="0"/>
          <w:sz w:val="32"/>
          <w:szCs w:val="32"/>
        </w:rPr>
      </w:pPr>
      <w:r>
        <w:rPr>
          <w:rFonts w:hint="eastAsia" w:eastAsia="黑体" w:cs="Times New Roman"/>
          <w:bCs/>
          <w:kern w:val="0"/>
          <w:sz w:val="32"/>
          <w:szCs w:val="32"/>
          <w:lang w:eastAsia="zh-CN"/>
        </w:rPr>
        <w:t>三</w:t>
      </w:r>
      <w:r>
        <w:rPr>
          <w:rFonts w:hint="default" w:ascii="Times New Roman" w:hAnsi="Times New Roman" w:eastAsia="黑体" w:cs="Times New Roman"/>
          <w:bCs/>
          <w:kern w:val="0"/>
          <w:sz w:val="32"/>
          <w:szCs w:val="32"/>
        </w:rPr>
        <w:t>、单位收支总体情况</w:t>
      </w:r>
    </w:p>
    <w:p w14:paraId="6731EEF2">
      <w:pPr>
        <w:widowControl/>
        <w:spacing w:line="600" w:lineRule="exact"/>
        <w:ind w:firstLine="624" w:firstLineChars="196"/>
        <w:rPr>
          <w:rFonts w:hint="default" w:ascii="Times New Roman" w:hAnsi="Times New Roman" w:eastAsia="仿宋_GB2312" w:cs="Times New Roman"/>
          <w:b/>
          <w:sz w:val="32"/>
          <w:szCs w:val="32"/>
          <w:u w:val="none"/>
        </w:rPr>
      </w:pPr>
      <w:r>
        <w:rPr>
          <w:rFonts w:hint="default" w:ascii="Times New Roman" w:hAnsi="Times New Roman" w:eastAsia="楷体_GB2312" w:cs="Times New Roman"/>
          <w:b/>
          <w:sz w:val="32"/>
          <w:szCs w:val="32"/>
        </w:rPr>
        <w:t>（一）收入预算：</w:t>
      </w:r>
      <w:r>
        <w:rPr>
          <w:rFonts w:hint="default" w:ascii="Times New Roman" w:hAnsi="Times New Roman" w:eastAsia="仿宋_GB2312" w:cs="Times New Roman"/>
          <w:sz w:val="32"/>
          <w:szCs w:val="32"/>
        </w:rPr>
        <w:t>包括一般公共预算、政府性基金、国有资本经营预算等财政拨款收入，以及经营收入、事业收入等单位资金。</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年本单位收入预算</w:t>
      </w:r>
      <w:r>
        <w:rPr>
          <w:rFonts w:hint="eastAsia" w:eastAsia="仿宋_GB2312" w:cs="Times New Roman"/>
          <w:sz w:val="32"/>
          <w:szCs w:val="32"/>
          <w:u w:val="none"/>
          <w:lang w:val="en-US" w:eastAsia="zh-CN"/>
        </w:rPr>
        <w:t>697.61</w:t>
      </w:r>
      <w:r>
        <w:rPr>
          <w:rFonts w:hint="default" w:ascii="Times New Roman" w:hAnsi="Times New Roman" w:eastAsia="仿宋_GB2312" w:cs="Times New Roman"/>
          <w:sz w:val="32"/>
          <w:szCs w:val="32"/>
        </w:rPr>
        <w:t>万元，其中，一般公共预算拨款</w:t>
      </w:r>
      <w:r>
        <w:rPr>
          <w:rFonts w:hint="eastAsia" w:eastAsia="仿宋_GB2312" w:cs="Times New Roman"/>
          <w:sz w:val="32"/>
          <w:szCs w:val="32"/>
          <w:u w:val="none"/>
          <w:lang w:val="en-US" w:eastAsia="zh-CN"/>
        </w:rPr>
        <w:t>524.79</w:t>
      </w:r>
      <w:r>
        <w:rPr>
          <w:rFonts w:hint="default" w:ascii="Times New Roman" w:hAnsi="Times New Roman" w:eastAsia="仿宋_GB2312" w:cs="Times New Roman"/>
          <w:sz w:val="32"/>
          <w:szCs w:val="32"/>
        </w:rPr>
        <w:t>万元，政府性基金预算拨款</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u w:val="none"/>
        </w:rPr>
        <w:t xml:space="preserve"> 万元，国有资本经营预算拨款</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万元，纳入专户管理的非税收入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eastAsia" w:eastAsia="仿宋_GB2312" w:cs="Times New Roman"/>
          <w:sz w:val="32"/>
          <w:szCs w:val="32"/>
          <w:u w:val="none"/>
          <w:lang w:val="en-US" w:eastAsia="zh-CN"/>
        </w:rPr>
        <w:t>,事业收入104.78万元，上年结转结余68.04万元</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b w:val="0"/>
          <w:bCs/>
          <w:sz w:val="32"/>
          <w:szCs w:val="32"/>
          <w:u w:val="none"/>
        </w:rPr>
        <w:t>收入较去年减少</w:t>
      </w:r>
      <w:r>
        <w:rPr>
          <w:rFonts w:hint="eastAsia" w:eastAsia="仿宋_GB2312" w:cs="Times New Roman"/>
          <w:b w:val="0"/>
          <w:bCs/>
          <w:sz w:val="32"/>
          <w:szCs w:val="32"/>
          <w:u w:val="none"/>
          <w:lang w:val="en-US" w:eastAsia="zh-CN"/>
        </w:rPr>
        <w:t>29.6</w:t>
      </w:r>
      <w:r>
        <w:rPr>
          <w:rFonts w:hint="default" w:ascii="Times New Roman" w:hAnsi="Times New Roman" w:eastAsia="仿宋_GB2312" w:cs="Times New Roman"/>
          <w:b w:val="0"/>
          <w:bCs/>
          <w:sz w:val="32"/>
          <w:szCs w:val="32"/>
          <w:u w:val="none"/>
        </w:rPr>
        <w:t>万元，主要</w:t>
      </w:r>
      <w:r>
        <w:rPr>
          <w:rFonts w:hint="eastAsia" w:eastAsia="仿宋_GB2312" w:cs="Times New Roman"/>
          <w:b w:val="0"/>
          <w:bCs/>
          <w:sz w:val="32"/>
          <w:szCs w:val="32"/>
          <w:u w:val="none"/>
          <w:lang w:eastAsia="zh-CN"/>
        </w:rPr>
        <w:t>原因</w:t>
      </w:r>
      <w:r>
        <w:rPr>
          <w:rFonts w:hint="default" w:ascii="Times New Roman" w:hAnsi="Times New Roman" w:eastAsia="仿宋_GB2312" w:cs="Times New Roman"/>
          <w:b w:val="0"/>
          <w:bCs/>
          <w:sz w:val="32"/>
          <w:szCs w:val="32"/>
          <w:u w:val="none"/>
        </w:rPr>
        <w:t>是</w:t>
      </w:r>
      <w:r>
        <w:rPr>
          <w:rFonts w:hint="eastAsia" w:eastAsia="仿宋_GB2312" w:cs="Times New Roman"/>
          <w:b w:val="0"/>
          <w:bCs/>
          <w:sz w:val="32"/>
          <w:szCs w:val="32"/>
          <w:u w:val="none"/>
          <w:lang w:eastAsia="zh-CN"/>
        </w:rPr>
        <w:t>：</w:t>
      </w:r>
      <w:r>
        <w:rPr>
          <w:rFonts w:hint="eastAsia" w:eastAsia="仿宋_GB2312" w:cs="Times New Roman"/>
          <w:b w:val="0"/>
          <w:bCs/>
          <w:sz w:val="32"/>
          <w:szCs w:val="32"/>
          <w:u w:val="none"/>
          <w:lang w:val="en-US" w:eastAsia="zh-CN"/>
        </w:rPr>
        <w:t>1、</w:t>
      </w:r>
      <w:r>
        <w:rPr>
          <w:rFonts w:hint="eastAsia" w:eastAsia="仿宋_GB2312"/>
          <w:sz w:val="32"/>
          <w:szCs w:val="32"/>
          <w:lang w:val="en-US" w:eastAsia="zh-CN"/>
        </w:rPr>
        <w:t>实行全口径预算，将中国绿色食品发展中心和北京中绿华夏有机产品认证中心有限责任公司（均系农业农村部下属单位）安排的工作补助经费纳入预算管理的事业收入（单位资金），这部分资金收入</w:t>
      </w:r>
      <w:r>
        <w:rPr>
          <w:rFonts w:hint="eastAsia" w:eastAsia="仿宋_GB2312"/>
          <w:sz w:val="32"/>
          <w:szCs w:val="32"/>
          <w:u w:val="none"/>
          <w:lang w:val="en-US" w:eastAsia="zh-CN"/>
        </w:rPr>
        <w:t>减少了85.19万元。2、绩效奖金等增加</w:t>
      </w:r>
      <w:r>
        <w:rPr>
          <w:rFonts w:hint="eastAsia" w:eastAsia="仿宋_GB2312"/>
          <w:b w:val="0"/>
          <w:bCs/>
          <w:sz w:val="32"/>
          <w:szCs w:val="32"/>
          <w:lang w:eastAsia="zh-CN"/>
        </w:rPr>
        <w:t>而增加了</w:t>
      </w:r>
      <w:r>
        <w:rPr>
          <w:rFonts w:hint="eastAsia" w:eastAsia="仿宋_GB2312"/>
          <w:sz w:val="32"/>
          <w:szCs w:val="32"/>
          <w:lang w:eastAsia="zh-CN"/>
        </w:rPr>
        <w:t>基本支出预算</w:t>
      </w:r>
      <w:r>
        <w:rPr>
          <w:rFonts w:hint="eastAsia" w:eastAsia="仿宋_GB2312"/>
          <w:sz w:val="32"/>
          <w:szCs w:val="32"/>
          <w:lang w:val="en-US" w:eastAsia="zh-CN"/>
        </w:rPr>
        <w:t>13.8万元</w:t>
      </w:r>
      <w:r>
        <w:rPr>
          <w:rFonts w:hint="default" w:ascii="Times New Roman" w:hAnsi="Times New Roman" w:eastAsia="仿宋_GB2312" w:cs="Times New Roman"/>
          <w:b/>
          <w:sz w:val="32"/>
          <w:szCs w:val="32"/>
          <w:u w:val="none"/>
        </w:rPr>
        <w:t>。</w:t>
      </w:r>
      <w:r>
        <w:rPr>
          <w:rFonts w:hint="eastAsia" w:ascii="华文仿宋" w:hAnsi="华文仿宋" w:eastAsia="华文仿宋" w:cs="华文仿宋"/>
          <w:sz w:val="32"/>
          <w:szCs w:val="32"/>
        </w:rPr>
        <w:t>上年结转结余</w:t>
      </w:r>
      <w:r>
        <w:rPr>
          <w:rFonts w:hint="eastAsia" w:ascii="华文仿宋" w:hAnsi="华文仿宋" w:eastAsia="华文仿宋" w:cs="华文仿宋"/>
          <w:sz w:val="32"/>
          <w:szCs w:val="32"/>
          <w:lang w:eastAsia="zh-CN"/>
        </w:rPr>
        <w:t>增加</w:t>
      </w:r>
      <w:r>
        <w:rPr>
          <w:rFonts w:hint="eastAsia" w:ascii="华文仿宋" w:hAnsi="华文仿宋" w:eastAsia="华文仿宋" w:cs="华文仿宋"/>
          <w:sz w:val="32"/>
          <w:szCs w:val="32"/>
          <w:lang w:val="en-US" w:eastAsia="zh-CN"/>
        </w:rPr>
        <w:t>41.79</w:t>
      </w:r>
      <w:r>
        <w:rPr>
          <w:rFonts w:hint="eastAsia" w:ascii="华文仿宋" w:hAnsi="华文仿宋" w:eastAsia="华文仿宋" w:cs="华文仿宋"/>
          <w:sz w:val="32"/>
          <w:szCs w:val="32"/>
        </w:rPr>
        <w:t>万元</w:t>
      </w:r>
      <w:r>
        <w:rPr>
          <w:rFonts w:eastAsia="仿宋_GB2312"/>
          <w:b/>
          <w:sz w:val="32"/>
          <w:szCs w:val="32"/>
        </w:rPr>
        <w:t>。</w:t>
      </w:r>
    </w:p>
    <w:p w14:paraId="3E1FAFC9">
      <w:pPr>
        <w:widowControl/>
        <w:spacing w:line="600" w:lineRule="exact"/>
        <w:ind w:firstLine="624" w:firstLineChars="196"/>
        <w:rPr>
          <w:rFonts w:hint="default" w:ascii="Times New Roman" w:hAnsi="Times New Roman" w:eastAsia="黑体" w:cs="Times New Roman"/>
          <w:b/>
          <w:bCs/>
          <w:kern w:val="0"/>
          <w:sz w:val="32"/>
          <w:szCs w:val="32"/>
          <w:u w:val="none"/>
        </w:rPr>
      </w:pPr>
      <w:r>
        <w:rPr>
          <w:rFonts w:hint="default" w:ascii="Times New Roman" w:hAnsi="Times New Roman" w:eastAsia="楷体_GB2312" w:cs="Times New Roman"/>
          <w:b/>
          <w:sz w:val="32"/>
          <w:szCs w:val="32"/>
        </w:rPr>
        <w:t>（二）</w:t>
      </w:r>
      <w:r>
        <w:rPr>
          <w:rFonts w:hint="default" w:ascii="Times New Roman" w:hAnsi="Times New Roman" w:eastAsia="楷体_GB2312" w:cs="Times New Roman"/>
          <w:b/>
          <w:sz w:val="32"/>
          <w:szCs w:val="32"/>
          <w:u w:val="none"/>
        </w:rPr>
        <w:t>支出预算：</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年本单位支出预算</w:t>
      </w:r>
      <w:r>
        <w:rPr>
          <w:rFonts w:hint="eastAsia" w:eastAsia="仿宋_GB2312" w:cs="Times New Roman"/>
          <w:sz w:val="32"/>
          <w:szCs w:val="32"/>
          <w:u w:val="none"/>
          <w:lang w:val="en-US" w:eastAsia="zh-CN"/>
        </w:rPr>
        <w:t>697.61</w:t>
      </w:r>
      <w:r>
        <w:rPr>
          <w:rFonts w:hint="default" w:ascii="Times New Roman" w:hAnsi="Times New Roman" w:eastAsia="仿宋_GB2312" w:cs="Times New Roman"/>
          <w:sz w:val="32"/>
          <w:szCs w:val="32"/>
          <w:u w:val="none"/>
        </w:rPr>
        <w:t>万元，其中，</w:t>
      </w:r>
      <w:r>
        <w:rPr>
          <w:rFonts w:hint="eastAsia" w:ascii="华文仿宋" w:hAnsi="华文仿宋" w:eastAsia="华文仿宋" w:cs="华文仿宋"/>
          <w:sz w:val="32"/>
          <w:szCs w:val="32"/>
        </w:rPr>
        <w:t>农林水支出</w:t>
      </w:r>
      <w:r>
        <w:rPr>
          <w:rFonts w:hint="eastAsia" w:ascii="华文仿宋" w:hAnsi="华文仿宋" w:eastAsia="华文仿宋" w:cs="华文仿宋"/>
          <w:sz w:val="32"/>
          <w:szCs w:val="32"/>
          <w:u w:val="none"/>
          <w:lang w:val="en-US" w:eastAsia="zh-CN"/>
        </w:rPr>
        <w:t>622.87</w:t>
      </w:r>
      <w:r>
        <w:rPr>
          <w:rFonts w:hint="eastAsia" w:ascii="华文仿宋" w:hAnsi="华文仿宋" w:eastAsia="华文仿宋" w:cs="华文仿宋"/>
          <w:sz w:val="32"/>
          <w:szCs w:val="32"/>
        </w:rPr>
        <w:t>万元，社会保障和就业支出</w:t>
      </w:r>
      <w:r>
        <w:rPr>
          <w:rFonts w:hint="eastAsia" w:ascii="华文仿宋" w:hAnsi="华文仿宋" w:eastAsia="华文仿宋" w:cs="华文仿宋"/>
          <w:sz w:val="32"/>
          <w:szCs w:val="32"/>
          <w:u w:val="none"/>
          <w:lang w:val="en-US" w:eastAsia="zh-CN"/>
        </w:rPr>
        <w:t>74.74</w:t>
      </w:r>
      <w:r>
        <w:rPr>
          <w:rFonts w:hint="eastAsia" w:ascii="华文仿宋" w:hAnsi="华文仿宋" w:eastAsia="华文仿宋" w:cs="华文仿宋"/>
          <w:sz w:val="32"/>
          <w:szCs w:val="32"/>
        </w:rPr>
        <w:t>万元。</w:t>
      </w:r>
      <w:r>
        <w:rPr>
          <w:rFonts w:eastAsia="仿宋_GB2312"/>
          <w:b w:val="0"/>
          <w:bCs/>
          <w:sz w:val="32"/>
          <w:szCs w:val="32"/>
        </w:rPr>
        <w:t>支出较去年</w:t>
      </w:r>
      <w:r>
        <w:rPr>
          <w:rFonts w:hint="eastAsia" w:eastAsia="仿宋_GB2312"/>
          <w:b w:val="0"/>
          <w:bCs/>
          <w:sz w:val="32"/>
          <w:szCs w:val="32"/>
          <w:lang w:eastAsia="zh-CN"/>
        </w:rPr>
        <w:t>减少</w:t>
      </w:r>
      <w:r>
        <w:rPr>
          <w:rFonts w:hint="eastAsia" w:eastAsia="仿宋_GB2312"/>
          <w:b w:val="0"/>
          <w:bCs/>
          <w:sz w:val="32"/>
          <w:szCs w:val="32"/>
          <w:u w:val="none"/>
          <w:lang w:val="en-US" w:eastAsia="zh-CN"/>
        </w:rPr>
        <w:t>29.6</w:t>
      </w:r>
      <w:r>
        <w:rPr>
          <w:rFonts w:eastAsia="仿宋_GB2312"/>
          <w:b w:val="0"/>
          <w:bCs/>
          <w:sz w:val="32"/>
          <w:szCs w:val="32"/>
        </w:rPr>
        <w:t>万元，主要</w:t>
      </w:r>
      <w:r>
        <w:rPr>
          <w:rFonts w:hint="eastAsia" w:eastAsia="仿宋_GB2312"/>
          <w:b w:val="0"/>
          <w:bCs/>
          <w:sz w:val="32"/>
          <w:szCs w:val="32"/>
          <w:lang w:eastAsia="zh-CN"/>
        </w:rPr>
        <w:t>原因</w:t>
      </w:r>
      <w:r>
        <w:rPr>
          <w:rFonts w:eastAsia="仿宋_GB2312"/>
          <w:b w:val="0"/>
          <w:bCs/>
          <w:sz w:val="32"/>
          <w:szCs w:val="32"/>
        </w:rPr>
        <w:t>是</w:t>
      </w:r>
      <w:r>
        <w:rPr>
          <w:rFonts w:hint="eastAsia" w:eastAsia="仿宋_GB2312"/>
          <w:b w:val="0"/>
          <w:bCs/>
          <w:sz w:val="32"/>
          <w:szCs w:val="32"/>
          <w:lang w:eastAsia="zh-CN"/>
        </w:rPr>
        <w:t>：</w:t>
      </w:r>
      <w:r>
        <w:rPr>
          <w:rFonts w:hint="eastAsia" w:eastAsia="仿宋_GB2312"/>
          <w:sz w:val="32"/>
          <w:szCs w:val="32"/>
          <w:lang w:val="en-US" w:eastAsia="zh-CN"/>
        </w:rPr>
        <w:t>实行全口径预算，将中国绿色食品发展中心和北京中绿华夏有机产品认证中心有限责任公司（均系农业农村部下属单位）安排的工作补助经费纳入预算管理，这部分资金支出减少了。</w:t>
      </w:r>
    </w:p>
    <w:p w14:paraId="3C0E44A7">
      <w:pPr>
        <w:widowControl/>
        <w:spacing w:line="600" w:lineRule="exact"/>
        <w:ind w:firstLine="660"/>
        <w:jc w:val="left"/>
        <w:rPr>
          <w:rFonts w:hint="default" w:ascii="Times New Roman" w:hAnsi="Times New Roman" w:eastAsia="黑体" w:cs="Times New Roman"/>
          <w:sz w:val="32"/>
          <w:szCs w:val="32"/>
          <w:u w:val="none"/>
        </w:rPr>
      </w:pPr>
      <w:r>
        <w:rPr>
          <w:rFonts w:hint="eastAsia" w:eastAsia="黑体" w:cs="Times New Roman"/>
          <w:sz w:val="32"/>
          <w:szCs w:val="32"/>
          <w:u w:val="none"/>
          <w:lang w:eastAsia="zh-CN"/>
        </w:rPr>
        <w:t>四</w:t>
      </w:r>
      <w:r>
        <w:rPr>
          <w:rFonts w:hint="default" w:ascii="Times New Roman" w:hAnsi="Times New Roman" w:eastAsia="黑体" w:cs="Times New Roman"/>
          <w:sz w:val="32"/>
          <w:szCs w:val="32"/>
          <w:u w:val="none"/>
        </w:rPr>
        <w:t>、一般公共预算拨款支出</w:t>
      </w:r>
    </w:p>
    <w:p w14:paraId="3C750584">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年本单位一般公共预算拨款支出预算</w:t>
      </w:r>
      <w:r>
        <w:rPr>
          <w:rFonts w:hint="eastAsia" w:eastAsia="仿宋_GB2312" w:cs="Times New Roman"/>
          <w:sz w:val="32"/>
          <w:szCs w:val="32"/>
          <w:u w:val="none"/>
          <w:lang w:val="en-US" w:eastAsia="zh-CN"/>
        </w:rPr>
        <w:t>592.83</w:t>
      </w:r>
      <w:r>
        <w:rPr>
          <w:rFonts w:hint="default" w:ascii="Times New Roman" w:hAnsi="Times New Roman" w:eastAsia="仿宋_GB2312" w:cs="Times New Roman"/>
          <w:sz w:val="32"/>
          <w:szCs w:val="32"/>
          <w:u w:val="none"/>
        </w:rPr>
        <w:t>万元</w:t>
      </w:r>
      <w:r>
        <w:rPr>
          <w:rFonts w:hint="eastAsia" w:ascii="华文仿宋" w:hAnsi="华文仿宋" w:eastAsia="华文仿宋" w:cs="华文仿宋"/>
          <w:sz w:val="32"/>
          <w:szCs w:val="32"/>
        </w:rPr>
        <w:t>（含上年结余</w:t>
      </w:r>
      <w:r>
        <w:rPr>
          <w:rFonts w:hint="eastAsia" w:ascii="华文仿宋" w:hAnsi="华文仿宋" w:eastAsia="华文仿宋" w:cs="华文仿宋"/>
          <w:sz w:val="32"/>
          <w:szCs w:val="32"/>
          <w:u w:val="none"/>
          <w:lang w:val="en-US" w:eastAsia="zh-CN"/>
        </w:rPr>
        <w:t>68.04</w:t>
      </w:r>
      <w:r>
        <w:rPr>
          <w:rFonts w:hint="eastAsia" w:ascii="华文仿宋" w:hAnsi="华文仿宋" w:eastAsia="华文仿宋" w:cs="华文仿宋"/>
          <w:sz w:val="32"/>
          <w:szCs w:val="32"/>
        </w:rPr>
        <w:t>万元）</w:t>
      </w:r>
      <w:r>
        <w:rPr>
          <w:rFonts w:hint="default" w:ascii="Times New Roman" w:hAnsi="Times New Roman" w:eastAsia="仿宋_GB2312" w:cs="Times New Roman"/>
          <w:sz w:val="32"/>
          <w:szCs w:val="32"/>
          <w:u w:val="none"/>
        </w:rPr>
        <w:t>，其中，</w:t>
      </w:r>
      <w:r>
        <w:rPr>
          <w:rFonts w:hint="eastAsia" w:ascii="华文仿宋" w:hAnsi="华文仿宋" w:eastAsia="华文仿宋" w:cs="华文仿宋"/>
          <w:sz w:val="32"/>
          <w:szCs w:val="32"/>
        </w:rPr>
        <w:t>农林水支出</w:t>
      </w:r>
      <w:r>
        <w:rPr>
          <w:rFonts w:hint="eastAsia" w:ascii="华文仿宋" w:hAnsi="华文仿宋" w:eastAsia="华文仿宋" w:cs="华文仿宋"/>
          <w:sz w:val="32"/>
          <w:szCs w:val="32"/>
          <w:u w:val="none"/>
          <w:lang w:val="en-US" w:eastAsia="zh-CN"/>
        </w:rPr>
        <w:t>518.09</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u w:val="none"/>
          <w:lang w:val="en-US" w:eastAsia="zh-CN"/>
        </w:rPr>
        <w:t>87.39</w:t>
      </w:r>
      <w:r>
        <w:rPr>
          <w:rFonts w:hint="eastAsia" w:ascii="华文仿宋" w:hAnsi="华文仿宋" w:eastAsia="华文仿宋" w:cs="华文仿宋"/>
          <w:sz w:val="32"/>
          <w:szCs w:val="32"/>
          <w:u w:val="none"/>
        </w:rPr>
        <w:t xml:space="preserve"> </w:t>
      </w:r>
      <w:r>
        <w:rPr>
          <w:rFonts w:hint="eastAsia" w:ascii="华文仿宋" w:hAnsi="华文仿宋" w:eastAsia="华文仿宋" w:cs="华文仿宋"/>
          <w:sz w:val="32"/>
          <w:szCs w:val="32"/>
        </w:rPr>
        <w:t>%；社会保障和就业支出</w:t>
      </w:r>
      <w:r>
        <w:rPr>
          <w:rFonts w:hint="eastAsia" w:ascii="华文仿宋" w:hAnsi="华文仿宋" w:eastAsia="华文仿宋" w:cs="华文仿宋"/>
          <w:sz w:val="32"/>
          <w:szCs w:val="32"/>
          <w:u w:val="none"/>
          <w:lang w:val="en-US" w:eastAsia="zh-CN"/>
        </w:rPr>
        <w:t>74.74</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u w:val="none"/>
          <w:lang w:val="en-US" w:eastAsia="zh-CN"/>
        </w:rPr>
        <w:t>12.61</w:t>
      </w:r>
      <w:r>
        <w:rPr>
          <w:rFonts w:hint="eastAsia" w:ascii="华文仿宋" w:hAnsi="华文仿宋" w:eastAsia="华文仿宋" w:cs="华文仿宋"/>
          <w:sz w:val="32"/>
          <w:szCs w:val="32"/>
          <w:u w:val="none"/>
        </w:rPr>
        <w:t xml:space="preserve"> %</w:t>
      </w:r>
      <w:r>
        <w:rPr>
          <w:rFonts w:hint="eastAsia" w:ascii="华文仿宋" w:hAnsi="华文仿宋" w:eastAsia="华文仿宋" w:cs="华文仿宋"/>
          <w:sz w:val="32"/>
          <w:szCs w:val="32"/>
          <w:lang w:eastAsia="zh-CN"/>
        </w:rPr>
        <w:t>。</w:t>
      </w:r>
      <w:r>
        <w:rPr>
          <w:rFonts w:hint="default" w:ascii="Times New Roman" w:hAnsi="Times New Roman" w:eastAsia="仿宋_GB2312" w:cs="Times New Roman"/>
          <w:sz w:val="32"/>
          <w:szCs w:val="32"/>
          <w:u w:val="none"/>
        </w:rPr>
        <w:t>具体安排情况如下：</w:t>
      </w:r>
    </w:p>
    <w:p w14:paraId="52E8372E">
      <w:pPr>
        <w:widowControl/>
        <w:spacing w:line="600" w:lineRule="exact"/>
        <w:ind w:firstLine="660"/>
        <w:jc w:val="left"/>
        <w:rPr>
          <w:rFonts w:hint="default" w:ascii="Times New Roman" w:hAnsi="Times New Roman" w:eastAsia="黑体" w:cs="Times New Roman"/>
          <w:sz w:val="32"/>
          <w:szCs w:val="32"/>
          <w:u w:val="none"/>
        </w:rPr>
      </w:pPr>
      <w:r>
        <w:rPr>
          <w:rFonts w:hint="default" w:ascii="Times New Roman" w:hAnsi="Times New Roman" w:eastAsia="楷体_GB2312" w:cs="Times New Roman"/>
          <w:b/>
          <w:sz w:val="32"/>
          <w:szCs w:val="32"/>
          <w:u w:val="none"/>
        </w:rPr>
        <w:t>（一）基本支出：</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年本单位基本支出预算数</w:t>
      </w:r>
      <w:r>
        <w:rPr>
          <w:rFonts w:hint="eastAsia" w:eastAsia="仿宋_GB2312" w:cs="Times New Roman"/>
          <w:sz w:val="32"/>
          <w:szCs w:val="32"/>
          <w:u w:val="none"/>
          <w:lang w:val="en-US" w:eastAsia="zh-CN"/>
        </w:rPr>
        <w:t>418.79</w:t>
      </w:r>
      <w:r>
        <w:rPr>
          <w:rFonts w:hint="default" w:ascii="Times New Roman" w:hAnsi="Times New Roman" w:eastAsia="仿宋_GB2312" w:cs="Times New Roman"/>
          <w:sz w:val="32"/>
          <w:szCs w:val="32"/>
          <w:u w:val="none"/>
        </w:rPr>
        <w:t>万元，</w:t>
      </w:r>
      <w:r>
        <w:rPr>
          <w:rFonts w:hint="eastAsia" w:eastAsia="仿宋_GB2312"/>
          <w:sz w:val="32"/>
          <w:szCs w:val="32"/>
          <w:lang w:eastAsia="zh-CN"/>
        </w:rPr>
        <w:t>（其中：</w:t>
      </w:r>
      <w:r>
        <w:rPr>
          <w:rFonts w:hint="eastAsia" w:ascii="华文仿宋" w:hAnsi="华文仿宋" w:eastAsia="华文仿宋" w:cs="华文仿宋"/>
          <w:sz w:val="32"/>
          <w:szCs w:val="32"/>
        </w:rPr>
        <w:t>工资福利支出</w:t>
      </w:r>
      <w:r>
        <w:rPr>
          <w:rFonts w:hint="eastAsia" w:ascii="华文仿宋" w:hAnsi="华文仿宋" w:eastAsia="华文仿宋" w:cs="华文仿宋"/>
          <w:sz w:val="32"/>
          <w:szCs w:val="32"/>
          <w:u w:val="none"/>
          <w:lang w:val="en-US" w:eastAsia="zh-CN"/>
        </w:rPr>
        <w:t>347.68</w:t>
      </w:r>
      <w:r>
        <w:rPr>
          <w:rFonts w:hint="eastAsia" w:ascii="华文仿宋" w:hAnsi="华文仿宋" w:eastAsia="华文仿宋" w:cs="华文仿宋"/>
          <w:sz w:val="32"/>
          <w:szCs w:val="32"/>
        </w:rPr>
        <w:t>万元，一般商品和服务支出</w:t>
      </w:r>
      <w:r>
        <w:rPr>
          <w:rFonts w:hint="eastAsia" w:ascii="华文仿宋" w:hAnsi="华文仿宋" w:eastAsia="华文仿宋" w:cs="华文仿宋"/>
          <w:sz w:val="32"/>
          <w:szCs w:val="32"/>
          <w:u w:val="none"/>
          <w:lang w:val="en-US" w:eastAsia="zh-CN"/>
        </w:rPr>
        <w:t>50</w:t>
      </w:r>
      <w:r>
        <w:rPr>
          <w:rFonts w:hint="eastAsia" w:ascii="华文仿宋" w:hAnsi="华文仿宋" w:eastAsia="华文仿宋" w:cs="华文仿宋"/>
          <w:sz w:val="32"/>
          <w:szCs w:val="32"/>
        </w:rPr>
        <w:t>万元，对个人和家庭的补助</w:t>
      </w:r>
      <w:r>
        <w:rPr>
          <w:rFonts w:hint="eastAsia" w:ascii="华文仿宋" w:hAnsi="华文仿宋" w:eastAsia="华文仿宋" w:cs="华文仿宋"/>
          <w:sz w:val="32"/>
          <w:szCs w:val="32"/>
          <w:u w:val="none"/>
          <w:lang w:val="en-US" w:eastAsia="zh-CN"/>
        </w:rPr>
        <w:t>21.11</w:t>
      </w:r>
      <w:r>
        <w:rPr>
          <w:rFonts w:hint="eastAsia" w:ascii="华文仿宋" w:hAnsi="华文仿宋" w:eastAsia="华文仿宋" w:cs="华文仿宋"/>
          <w:sz w:val="32"/>
          <w:szCs w:val="32"/>
        </w:rPr>
        <w:t>万元），</w:t>
      </w:r>
      <w:r>
        <w:rPr>
          <w:rFonts w:hint="default" w:ascii="Times New Roman" w:hAnsi="Times New Roman" w:eastAsia="仿宋_GB2312" w:cs="Times New Roman"/>
          <w:sz w:val="32"/>
          <w:szCs w:val="32"/>
          <w:u w:val="none"/>
        </w:rPr>
        <w:t>主要是为保障单位机构正常运转、完成日常工作任务而发生的各项支出，包括用于基本工资、津贴补贴等人员经费以及办公费、印刷费、水电费、办公设备购置等公用经费。</w:t>
      </w:r>
    </w:p>
    <w:p w14:paraId="277416B2">
      <w:pPr>
        <w:widowControl/>
        <w:spacing w:line="600" w:lineRule="exact"/>
        <w:ind w:firstLine="660"/>
        <w:jc w:val="left"/>
        <w:rPr>
          <w:rFonts w:hint="eastAsia" w:ascii="仿宋" w:hAnsi="仿宋" w:eastAsia="仿宋" w:cs="仿宋"/>
          <w:sz w:val="32"/>
          <w:szCs w:val="32"/>
        </w:rPr>
      </w:pPr>
      <w:r>
        <w:rPr>
          <w:rFonts w:hint="default" w:ascii="Times New Roman" w:hAnsi="Times New Roman" w:eastAsia="楷体_GB2312" w:cs="Times New Roman"/>
          <w:b/>
          <w:sz w:val="32"/>
          <w:szCs w:val="32"/>
          <w:u w:val="none"/>
        </w:rPr>
        <w:t>（二）项目支出：</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年本单位项目支出预算</w:t>
      </w:r>
      <w:r>
        <w:rPr>
          <w:rFonts w:hint="eastAsia" w:eastAsia="仿宋_GB2312" w:cs="Times New Roman"/>
          <w:sz w:val="32"/>
          <w:szCs w:val="32"/>
          <w:u w:val="none"/>
          <w:lang w:val="en-US" w:eastAsia="zh-CN"/>
        </w:rPr>
        <w:t>174.04</w:t>
      </w:r>
      <w:r>
        <w:rPr>
          <w:rFonts w:hint="default" w:ascii="Times New Roman" w:hAnsi="Times New Roman" w:eastAsia="仿宋_GB2312" w:cs="Times New Roman"/>
          <w:sz w:val="32"/>
          <w:szCs w:val="32"/>
          <w:u w:val="none"/>
        </w:rPr>
        <w:t>万元</w:t>
      </w:r>
      <w:r>
        <w:rPr>
          <w:rFonts w:hint="eastAsia" w:ascii="华文仿宋" w:hAnsi="华文仿宋" w:eastAsia="华文仿宋" w:cs="华文仿宋"/>
          <w:sz w:val="32"/>
          <w:szCs w:val="32"/>
        </w:rPr>
        <w:t>（含上年结余</w:t>
      </w:r>
      <w:r>
        <w:rPr>
          <w:rFonts w:hint="eastAsia" w:ascii="华文仿宋" w:hAnsi="华文仿宋" w:eastAsia="华文仿宋" w:cs="华文仿宋"/>
          <w:sz w:val="32"/>
          <w:szCs w:val="32"/>
          <w:u w:val="none"/>
          <w:lang w:val="en-US" w:eastAsia="zh-CN"/>
        </w:rPr>
        <w:t>68.04</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val="en-US" w:eastAsia="zh-CN"/>
        </w:rPr>
        <w:t>，</w:t>
      </w:r>
      <w:r>
        <w:rPr>
          <w:rFonts w:hint="default" w:ascii="Times New Roman" w:hAnsi="Times New Roman" w:eastAsia="仿宋_GB2312" w:cs="Times New Roman"/>
          <w:sz w:val="32"/>
          <w:szCs w:val="32"/>
          <w:u w:val="none"/>
        </w:rPr>
        <w:t>主要是部门为完成特定行政工作任务或事业发展目标而发生的支出，包括有关事业发展专项、专项业务费、基本建设支出等，</w:t>
      </w:r>
      <w:r>
        <w:rPr>
          <w:rFonts w:eastAsia="仿宋_GB2312"/>
          <w:sz w:val="32"/>
          <w:szCs w:val="32"/>
        </w:rPr>
        <w:t>其中：</w:t>
      </w:r>
      <w:r>
        <w:rPr>
          <w:rFonts w:hint="eastAsia" w:eastAsia="仿宋_GB2312"/>
          <w:sz w:val="32"/>
          <w:szCs w:val="32"/>
          <w:u w:val="none"/>
          <w:lang w:eastAsia="zh-CN"/>
        </w:rPr>
        <w:t>现代农业发展专项</w:t>
      </w:r>
      <w:r>
        <w:rPr>
          <w:rFonts w:eastAsia="仿宋_GB2312"/>
          <w:sz w:val="32"/>
          <w:szCs w:val="32"/>
        </w:rPr>
        <w:t>支出</w:t>
      </w:r>
      <w:r>
        <w:rPr>
          <w:rFonts w:hint="eastAsia" w:eastAsia="仿宋_GB2312"/>
          <w:sz w:val="32"/>
          <w:szCs w:val="32"/>
          <w:u w:val="none"/>
          <w:lang w:val="en-US" w:eastAsia="zh-CN"/>
        </w:rPr>
        <w:t>106</w:t>
      </w:r>
      <w:r>
        <w:rPr>
          <w:rFonts w:eastAsia="仿宋_GB2312"/>
          <w:sz w:val="32"/>
          <w:szCs w:val="32"/>
        </w:rPr>
        <w:t>万元，主要用于</w:t>
      </w:r>
      <w:r>
        <w:rPr>
          <w:rFonts w:hint="eastAsia" w:eastAsia="仿宋_GB2312"/>
          <w:sz w:val="32"/>
          <w:szCs w:val="32"/>
        </w:rPr>
        <w:t>认证产品监督抽检和风险评估</w:t>
      </w:r>
      <w:r>
        <w:rPr>
          <w:rFonts w:hint="eastAsia" w:eastAsia="仿宋_GB2312"/>
          <w:sz w:val="32"/>
          <w:szCs w:val="32"/>
          <w:lang w:eastAsia="zh-CN"/>
        </w:rPr>
        <w:t>、</w:t>
      </w:r>
      <w:r>
        <w:rPr>
          <w:rFonts w:hint="eastAsia" w:eastAsia="仿宋_GB2312"/>
          <w:sz w:val="32"/>
          <w:szCs w:val="32"/>
          <w:lang w:val="en-US" w:eastAsia="zh-CN"/>
        </w:rPr>
        <w:t>绿色有机地标农产品管理与品牌建设</w:t>
      </w:r>
      <w:r>
        <w:rPr>
          <w:rFonts w:eastAsia="仿宋_GB2312"/>
          <w:sz w:val="32"/>
          <w:szCs w:val="32"/>
        </w:rPr>
        <w:t>等方面</w:t>
      </w:r>
      <w:r>
        <w:rPr>
          <w:rFonts w:hint="eastAsia" w:eastAsia="仿宋_GB2312"/>
          <w:sz w:val="32"/>
          <w:szCs w:val="32"/>
          <w:lang w:eastAsia="zh-CN"/>
        </w:rPr>
        <w:t>；</w:t>
      </w:r>
      <w:r>
        <w:rPr>
          <w:rFonts w:hint="eastAsia" w:ascii="仿宋" w:hAnsi="仿宋" w:eastAsia="仿宋" w:cs="仿宋"/>
          <w:color w:val="auto"/>
          <w:sz w:val="32"/>
          <w:szCs w:val="32"/>
          <w:u w:val="none"/>
        </w:rPr>
        <w:t>上年结余的</w:t>
      </w:r>
      <w:r>
        <w:rPr>
          <w:rFonts w:hint="eastAsia" w:ascii="仿宋" w:hAnsi="仿宋" w:eastAsia="仿宋" w:cs="仿宋"/>
          <w:color w:val="auto"/>
          <w:sz w:val="32"/>
          <w:szCs w:val="32"/>
          <w:u w:val="none"/>
          <w:lang w:val="en-US" w:eastAsia="zh-CN"/>
        </w:rPr>
        <w:t>68.04</w:t>
      </w:r>
      <w:r>
        <w:rPr>
          <w:rFonts w:hint="eastAsia" w:ascii="仿宋" w:hAnsi="仿宋" w:eastAsia="仿宋" w:cs="仿宋"/>
          <w:color w:val="auto"/>
          <w:sz w:val="32"/>
          <w:szCs w:val="32"/>
          <w:u w:val="none"/>
        </w:rPr>
        <w:t>万元主要用于</w:t>
      </w:r>
      <w:r>
        <w:rPr>
          <w:rFonts w:hint="eastAsia" w:eastAsia="仿宋_GB2312"/>
          <w:sz w:val="32"/>
          <w:szCs w:val="32"/>
          <w:u w:val="none"/>
          <w:lang w:eastAsia="zh-CN"/>
        </w:rPr>
        <w:t>现代</w:t>
      </w:r>
      <w:r>
        <w:rPr>
          <w:rFonts w:hint="eastAsia" w:ascii="仿宋" w:hAnsi="仿宋" w:eastAsia="仿宋" w:cs="仿宋"/>
          <w:color w:val="auto"/>
          <w:kern w:val="0"/>
          <w:sz w:val="32"/>
          <w:szCs w:val="32"/>
          <w:u w:val="none"/>
        </w:rPr>
        <w:t>农业发展项目的办公经费</w:t>
      </w:r>
      <w:r>
        <w:rPr>
          <w:rFonts w:hint="eastAsia" w:ascii="仿宋" w:hAnsi="仿宋" w:eastAsia="仿宋" w:cs="仿宋"/>
          <w:color w:val="auto"/>
          <w:kern w:val="0"/>
          <w:sz w:val="32"/>
          <w:szCs w:val="32"/>
          <w:u w:val="none"/>
          <w:lang w:eastAsia="zh-CN"/>
        </w:rPr>
        <w:t>、差旅费、委托业务费、其他商品和服务</w:t>
      </w:r>
      <w:r>
        <w:rPr>
          <w:rFonts w:hint="eastAsia" w:ascii="仿宋" w:hAnsi="仿宋" w:eastAsia="仿宋" w:cs="仿宋"/>
          <w:color w:val="auto"/>
          <w:kern w:val="0"/>
          <w:sz w:val="32"/>
          <w:szCs w:val="32"/>
          <w:u w:val="none"/>
        </w:rPr>
        <w:t>开支及</w:t>
      </w:r>
      <w:r>
        <w:rPr>
          <w:rFonts w:hint="eastAsia" w:ascii="华文仿宋" w:hAnsi="华文仿宋" w:eastAsia="华文仿宋" w:cs="华文仿宋"/>
          <w:color w:val="auto"/>
          <w:sz w:val="32"/>
          <w:szCs w:val="32"/>
          <w:u w:val="none"/>
          <w:lang w:eastAsia="zh-CN"/>
        </w:rPr>
        <w:t>筹建国家地标馆湖南展区开支</w:t>
      </w:r>
      <w:r>
        <w:rPr>
          <w:rFonts w:hint="eastAsia" w:ascii="仿宋" w:hAnsi="仿宋" w:eastAsia="仿宋" w:cs="仿宋"/>
          <w:color w:val="auto"/>
          <w:kern w:val="0"/>
          <w:sz w:val="32"/>
          <w:szCs w:val="32"/>
          <w:u w:val="none"/>
        </w:rPr>
        <w:t>。</w:t>
      </w:r>
    </w:p>
    <w:p w14:paraId="1F3880FA">
      <w:pPr>
        <w:widowControl/>
        <w:spacing w:line="600" w:lineRule="exact"/>
        <w:ind w:firstLine="660"/>
        <w:jc w:val="left"/>
        <w:rPr>
          <w:rFonts w:hint="default" w:ascii="Times New Roman" w:hAnsi="Times New Roman" w:eastAsia="黑体" w:cs="Times New Roman"/>
          <w:sz w:val="32"/>
          <w:szCs w:val="32"/>
          <w:u w:val="none"/>
        </w:rPr>
      </w:pPr>
      <w:r>
        <w:rPr>
          <w:rFonts w:hint="eastAsia" w:eastAsia="黑体" w:cs="Times New Roman"/>
          <w:sz w:val="32"/>
          <w:szCs w:val="32"/>
          <w:u w:val="none"/>
          <w:lang w:eastAsia="zh-CN"/>
        </w:rPr>
        <w:t>五</w:t>
      </w:r>
      <w:r>
        <w:rPr>
          <w:rFonts w:hint="default" w:ascii="Times New Roman" w:hAnsi="Times New Roman" w:eastAsia="黑体" w:cs="Times New Roman"/>
          <w:sz w:val="32"/>
          <w:szCs w:val="32"/>
          <w:u w:val="none"/>
        </w:rPr>
        <w:t>、政府性基金预算支出</w:t>
      </w:r>
    </w:p>
    <w:p w14:paraId="3F972CF8">
      <w:pPr>
        <w:widowControl/>
        <w:spacing w:line="600" w:lineRule="exact"/>
        <w:ind w:firstLine="660"/>
        <w:jc w:val="left"/>
        <w:rPr>
          <w:rFonts w:hint="eastAsia"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w:t>
      </w:r>
      <w:r>
        <w:rPr>
          <w:rFonts w:hint="eastAsia" w:eastAsia="仿宋_GB2312" w:cs="Times New Roman"/>
          <w:sz w:val="32"/>
          <w:szCs w:val="32"/>
          <w:u w:val="none"/>
          <w:lang w:eastAsia="zh-CN"/>
        </w:rPr>
        <w:t>无</w:t>
      </w:r>
      <w:r>
        <w:rPr>
          <w:rFonts w:hint="default" w:ascii="Times New Roman" w:hAnsi="Times New Roman" w:eastAsia="仿宋_GB2312" w:cs="Times New Roman"/>
          <w:sz w:val="32"/>
          <w:szCs w:val="32"/>
          <w:u w:val="none"/>
        </w:rPr>
        <w:t>政府性基金</w:t>
      </w:r>
      <w:r>
        <w:rPr>
          <w:rFonts w:hint="eastAsia" w:eastAsia="仿宋_GB2312" w:cs="Times New Roman"/>
          <w:sz w:val="32"/>
          <w:szCs w:val="32"/>
          <w:u w:val="none"/>
          <w:lang w:eastAsia="zh-CN"/>
        </w:rPr>
        <w:t>安排的</w:t>
      </w:r>
      <w:r>
        <w:rPr>
          <w:rFonts w:hint="default" w:ascii="Times New Roman" w:hAnsi="Times New Roman" w:eastAsia="仿宋_GB2312" w:cs="Times New Roman"/>
          <w:sz w:val="32"/>
          <w:szCs w:val="32"/>
          <w:u w:val="none"/>
        </w:rPr>
        <w:t>支出</w:t>
      </w:r>
      <w:r>
        <w:rPr>
          <w:rFonts w:hint="eastAsia" w:eastAsia="仿宋_GB2312" w:cs="Times New Roman"/>
          <w:sz w:val="32"/>
          <w:szCs w:val="32"/>
          <w:u w:val="none"/>
          <w:lang w:eastAsia="zh-CN"/>
        </w:rPr>
        <w:t>。</w:t>
      </w:r>
    </w:p>
    <w:p w14:paraId="68F0CC3D">
      <w:pPr>
        <w:pStyle w:val="4"/>
        <w:rPr>
          <w:rFonts w:hint="default" w:ascii="Times New Roman" w:hAnsi="Times New Roman" w:eastAsia="黑体" w:cs="Times New Roman"/>
          <w:sz w:val="32"/>
          <w:szCs w:val="32"/>
          <w:u w:val="none"/>
        </w:rPr>
      </w:pPr>
      <w:r>
        <w:rPr>
          <w:rFonts w:hint="eastAsia" w:eastAsia="仿宋_GB2312" w:cs="Times New Roman"/>
          <w:sz w:val="32"/>
          <w:szCs w:val="32"/>
          <w:u w:val="none"/>
          <w:lang w:val="en-US" w:eastAsia="zh-CN"/>
        </w:rPr>
        <w:t xml:space="preserve">  </w:t>
      </w:r>
      <w:r>
        <w:rPr>
          <w:rFonts w:hint="eastAsia" w:ascii="Times New Roman" w:hAnsi="Times New Roman" w:eastAsia="黑体" w:cs="Times New Roman"/>
          <w:sz w:val="32"/>
          <w:szCs w:val="32"/>
          <w:u w:val="none"/>
          <w:lang w:val="en-US" w:eastAsia="zh-CN"/>
        </w:rPr>
        <w:t xml:space="preserve">  六</w:t>
      </w:r>
      <w:r>
        <w:rPr>
          <w:rFonts w:hint="default" w:ascii="Times New Roman" w:hAnsi="Times New Roman" w:eastAsia="黑体" w:cs="Times New Roman"/>
          <w:sz w:val="32"/>
          <w:szCs w:val="32"/>
          <w:u w:val="none"/>
        </w:rPr>
        <w:t>、其他重要事项的情况说明</w:t>
      </w:r>
    </w:p>
    <w:p w14:paraId="07F6B2E4">
      <w:pPr>
        <w:widowControl/>
        <w:spacing w:line="600" w:lineRule="exact"/>
        <w:ind w:firstLine="660"/>
        <w:jc w:val="left"/>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（一）机关运行经费：</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年本单位机关运行经费</w:t>
      </w:r>
      <w:r>
        <w:rPr>
          <w:rFonts w:hint="eastAsia" w:eastAsia="仿宋_GB2312" w:cs="Times New Roman"/>
          <w:sz w:val="32"/>
          <w:szCs w:val="32"/>
          <w:u w:val="none"/>
          <w:lang w:val="en-US" w:eastAsia="zh-CN"/>
        </w:rPr>
        <w:t>50</w:t>
      </w:r>
      <w:r>
        <w:rPr>
          <w:rFonts w:hint="default" w:ascii="Times New Roman" w:hAnsi="Times New Roman" w:eastAsia="仿宋_GB2312" w:cs="Times New Roman"/>
          <w:sz w:val="32"/>
          <w:szCs w:val="32"/>
          <w:u w:val="none"/>
        </w:rPr>
        <w:t>万元，比上年预算减少</w:t>
      </w:r>
      <w:r>
        <w:rPr>
          <w:rFonts w:hint="eastAsia" w:eastAsia="仿宋_GB2312" w:cs="Times New Roman"/>
          <w:sz w:val="32"/>
          <w:szCs w:val="32"/>
          <w:u w:val="none"/>
          <w:lang w:val="en-US" w:eastAsia="zh-CN"/>
        </w:rPr>
        <w:t>2.98</w:t>
      </w:r>
      <w:r>
        <w:rPr>
          <w:rFonts w:hint="default" w:ascii="Times New Roman" w:hAnsi="Times New Roman" w:eastAsia="仿宋_GB2312" w:cs="Times New Roman"/>
          <w:sz w:val="32"/>
          <w:szCs w:val="32"/>
          <w:u w:val="none"/>
        </w:rPr>
        <w:t>万元，下降</w:t>
      </w:r>
      <w:r>
        <w:rPr>
          <w:rFonts w:hint="eastAsia" w:eastAsia="仿宋_GB2312" w:cs="Times New Roman"/>
          <w:sz w:val="32"/>
          <w:szCs w:val="32"/>
          <w:u w:val="none"/>
          <w:lang w:val="en-US" w:eastAsia="zh-CN"/>
        </w:rPr>
        <w:t>5.62</w:t>
      </w:r>
      <w:r>
        <w:rPr>
          <w:rFonts w:hint="default" w:ascii="Times New Roman" w:hAnsi="Times New Roman" w:eastAsia="仿宋_GB2312" w:cs="Times New Roman"/>
          <w:sz w:val="32"/>
          <w:szCs w:val="32"/>
          <w:u w:val="none"/>
        </w:rPr>
        <w:t>%，主要是</w:t>
      </w:r>
      <w:r>
        <w:rPr>
          <w:rFonts w:hint="eastAsia" w:ascii="华文仿宋" w:hAnsi="华文仿宋" w:eastAsia="华文仿宋" w:cs="华文仿宋"/>
          <w:sz w:val="32"/>
          <w:szCs w:val="32"/>
        </w:rPr>
        <w:t>一般</w:t>
      </w:r>
      <w:r>
        <w:rPr>
          <w:rFonts w:hint="eastAsia" w:ascii="华文仿宋" w:hAnsi="华文仿宋" w:eastAsia="华文仿宋" w:cs="华文仿宋"/>
          <w:sz w:val="32"/>
          <w:szCs w:val="32"/>
          <w:lang w:eastAsia="zh-CN"/>
        </w:rPr>
        <w:t>性</w:t>
      </w:r>
      <w:r>
        <w:rPr>
          <w:rFonts w:hint="eastAsia" w:ascii="华文仿宋" w:hAnsi="华文仿宋" w:eastAsia="华文仿宋" w:cs="华文仿宋"/>
          <w:sz w:val="32"/>
          <w:szCs w:val="32"/>
        </w:rPr>
        <w:t>支出的减压</w:t>
      </w:r>
      <w:r>
        <w:rPr>
          <w:rFonts w:hint="eastAsia" w:ascii="华文仿宋" w:hAnsi="华文仿宋" w:eastAsia="华文仿宋" w:cs="华文仿宋"/>
          <w:sz w:val="32"/>
          <w:szCs w:val="32"/>
          <w:lang w:eastAsia="zh-CN"/>
        </w:rPr>
        <w:t>，“三公”经费</w:t>
      </w:r>
      <w:r>
        <w:rPr>
          <w:rFonts w:hint="eastAsia" w:ascii="华文仿宋" w:hAnsi="华文仿宋" w:eastAsia="华文仿宋" w:cs="华文仿宋"/>
          <w:sz w:val="32"/>
          <w:szCs w:val="32"/>
        </w:rPr>
        <w:t>的减压</w:t>
      </w:r>
      <w:r>
        <w:rPr>
          <w:rFonts w:hint="default" w:ascii="Times New Roman" w:hAnsi="Times New Roman" w:eastAsia="仿宋_GB2312" w:cs="Times New Roman"/>
          <w:b w:val="0"/>
          <w:bCs w:val="0"/>
          <w:sz w:val="32"/>
          <w:szCs w:val="32"/>
          <w:u w:val="none"/>
        </w:rPr>
        <w:t>。</w:t>
      </w:r>
    </w:p>
    <w:p w14:paraId="52571193">
      <w:pPr>
        <w:widowControl/>
        <w:spacing w:line="600" w:lineRule="exact"/>
        <w:ind w:firstLine="660"/>
        <w:jc w:val="left"/>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（二）“三公”经费预算：</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年本单位“三公”经费预算数为</w:t>
      </w:r>
      <w:r>
        <w:rPr>
          <w:rFonts w:hint="eastAsia"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万元，其中，公务接待费</w:t>
      </w:r>
      <w:r>
        <w:rPr>
          <w:rFonts w:hint="eastAsia"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万元，公务用车购置及运行费</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万元（其中，公务用车购置费</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万元，公务用车运行费 </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万元），因公出国（境）费</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年“三公”经费预算较上年减少</w:t>
      </w:r>
      <w:r>
        <w:rPr>
          <w:rFonts w:hint="eastAsia"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万元，主要是</w:t>
      </w:r>
      <w:r>
        <w:rPr>
          <w:rFonts w:hint="eastAsia" w:eastAsia="仿宋_GB2312" w:cs="Times New Roman"/>
          <w:sz w:val="32"/>
          <w:szCs w:val="32"/>
          <w:u w:val="none"/>
          <w:lang w:eastAsia="zh-CN"/>
        </w:rPr>
        <w:t>按</w:t>
      </w:r>
      <w:r>
        <w:rPr>
          <w:rFonts w:hint="eastAsia" w:eastAsia="仿宋_GB2312" w:cs="Times New Roman"/>
          <w:b w:val="0"/>
          <w:bCs w:val="0"/>
          <w:sz w:val="32"/>
          <w:szCs w:val="32"/>
          <w:u w:val="none"/>
          <w:lang w:eastAsia="zh-CN"/>
        </w:rPr>
        <w:t>要求较上年</w:t>
      </w:r>
      <w:r>
        <w:rPr>
          <w:rFonts w:hint="default" w:ascii="Times New Roman" w:hAnsi="Times New Roman" w:eastAsia="仿宋_GB2312" w:cs="Times New Roman"/>
          <w:sz w:val="32"/>
          <w:szCs w:val="32"/>
          <w:u w:val="none"/>
        </w:rPr>
        <w:t>支出</w:t>
      </w:r>
      <w:r>
        <w:rPr>
          <w:rFonts w:hint="eastAsia" w:eastAsia="仿宋_GB2312" w:cs="Times New Roman"/>
          <w:sz w:val="32"/>
          <w:szCs w:val="32"/>
          <w:u w:val="none"/>
          <w:lang w:val="en-US" w:eastAsia="zh-CN"/>
        </w:rPr>
        <w:t>数</w:t>
      </w:r>
      <w:r>
        <w:rPr>
          <w:rFonts w:hint="eastAsia" w:eastAsia="仿宋_GB2312" w:cs="Times New Roman"/>
          <w:b w:val="0"/>
          <w:bCs w:val="0"/>
          <w:sz w:val="32"/>
          <w:szCs w:val="32"/>
          <w:u w:val="none"/>
          <w:lang w:eastAsia="zh-CN"/>
        </w:rPr>
        <w:t>有所压减</w:t>
      </w:r>
      <w:r>
        <w:rPr>
          <w:rFonts w:hint="default" w:ascii="Times New Roman" w:hAnsi="Times New Roman" w:eastAsia="仿宋_GB2312" w:cs="Times New Roman"/>
          <w:sz w:val="32"/>
          <w:szCs w:val="32"/>
          <w:u w:val="none"/>
        </w:rPr>
        <w:t>。</w:t>
      </w:r>
    </w:p>
    <w:p w14:paraId="4C5798C5">
      <w:pPr>
        <w:keepNext w:val="0"/>
        <w:keepLines w:val="0"/>
        <w:pageBreakBefore w:val="0"/>
        <w:widowControl/>
        <w:kinsoku/>
        <w:wordWrap/>
        <w:overflowPunct/>
        <w:topLinePunct w:val="0"/>
        <w:autoSpaceDE/>
        <w:autoSpaceDN/>
        <w:bidi w:val="0"/>
        <w:adjustRightInd/>
        <w:snapToGrid/>
        <w:spacing w:line="600" w:lineRule="exact"/>
        <w:ind w:firstLine="684" w:firstLineChars="215"/>
        <w:textAlignment w:val="auto"/>
        <w:rPr>
          <w:rFonts w:hint="eastAsia" w:ascii="华文仿宋" w:hAnsi="华文仿宋" w:eastAsia="华文仿宋" w:cs="华文仿宋"/>
          <w:kern w:val="0"/>
          <w:sz w:val="32"/>
          <w:szCs w:val="32"/>
        </w:rPr>
      </w:pPr>
      <w:r>
        <w:rPr>
          <w:rFonts w:hint="default" w:ascii="Times New Roman" w:hAnsi="Times New Roman" w:eastAsia="楷体_GB2312" w:cs="Times New Roman"/>
          <w:b/>
          <w:sz w:val="32"/>
          <w:szCs w:val="32"/>
          <w:u w:val="none"/>
        </w:rPr>
        <w:t>（三）一般性支出情况：</w:t>
      </w:r>
      <w:r>
        <w:rPr>
          <w:rFonts w:hint="default" w:ascii="Times New Roman" w:hAnsi="Times New Roman" w:eastAsia="仿宋_GB2312" w:cs="Times New Roman"/>
          <w:kern w:val="0"/>
          <w:sz w:val="32"/>
          <w:szCs w:val="32"/>
          <w:u w:val="none"/>
          <w:lang w:eastAsia="zh-CN"/>
        </w:rPr>
        <w:t>2023</w:t>
      </w:r>
      <w:r>
        <w:rPr>
          <w:rFonts w:hint="default" w:ascii="Times New Roman" w:hAnsi="Times New Roman" w:eastAsia="仿宋_GB2312" w:cs="Times New Roman"/>
          <w:kern w:val="0"/>
          <w:sz w:val="32"/>
          <w:szCs w:val="32"/>
          <w:u w:val="none"/>
        </w:rPr>
        <w:t>年本单位会议费预算</w:t>
      </w:r>
      <w:r>
        <w:rPr>
          <w:rFonts w:hint="eastAsia" w:eastAsia="仿宋_GB2312" w:cs="Times New Roman"/>
          <w:sz w:val="32"/>
          <w:szCs w:val="32"/>
          <w:u w:val="none"/>
          <w:lang w:val="en-US" w:eastAsia="zh-CN"/>
        </w:rPr>
        <w:t>4.4</w:t>
      </w:r>
      <w:r>
        <w:rPr>
          <w:rFonts w:hint="default" w:ascii="Times New Roman" w:hAnsi="Times New Roman" w:eastAsia="仿宋_GB2312" w:cs="Times New Roman"/>
          <w:kern w:val="0"/>
          <w:sz w:val="32"/>
          <w:szCs w:val="32"/>
          <w:u w:val="none"/>
        </w:rPr>
        <w:t>万元，拟召开</w:t>
      </w:r>
      <w:r>
        <w:rPr>
          <w:rFonts w:hint="eastAsia" w:eastAsia="仿宋_GB2312" w:cs="Times New Roman"/>
          <w:sz w:val="32"/>
          <w:szCs w:val="32"/>
          <w:u w:val="none"/>
          <w:lang w:val="en-US" w:eastAsia="zh-CN"/>
        </w:rPr>
        <w:t>2次</w:t>
      </w:r>
      <w:r>
        <w:rPr>
          <w:rFonts w:hint="default" w:ascii="Times New Roman" w:hAnsi="Times New Roman" w:eastAsia="仿宋_GB2312" w:cs="Times New Roman"/>
          <w:kern w:val="0"/>
          <w:sz w:val="32"/>
          <w:szCs w:val="32"/>
          <w:u w:val="none"/>
        </w:rPr>
        <w:t>会议，人数</w:t>
      </w:r>
      <w:r>
        <w:rPr>
          <w:rFonts w:hint="eastAsia" w:eastAsia="仿宋_GB2312" w:cs="Times New Roman"/>
          <w:sz w:val="32"/>
          <w:szCs w:val="32"/>
          <w:u w:val="none"/>
          <w:lang w:val="en-US" w:eastAsia="zh-CN"/>
        </w:rPr>
        <w:t>100</w:t>
      </w:r>
      <w:r>
        <w:rPr>
          <w:rFonts w:hint="default" w:ascii="Times New Roman" w:hAnsi="Times New Roman" w:eastAsia="仿宋_GB2312" w:cs="Times New Roman"/>
          <w:kern w:val="0"/>
          <w:sz w:val="32"/>
          <w:szCs w:val="32"/>
          <w:u w:val="none"/>
        </w:rPr>
        <w:t>人，内容为</w:t>
      </w:r>
      <w:r>
        <w:rPr>
          <w:rFonts w:hint="eastAsia" w:eastAsia="仿宋_GB2312" w:cs="Times New Roman"/>
          <w:kern w:val="0"/>
          <w:sz w:val="32"/>
          <w:szCs w:val="32"/>
          <w:u w:val="none"/>
          <w:lang w:eastAsia="zh-CN"/>
        </w:rPr>
        <w:t>两品一标工作座谈会和</w:t>
      </w:r>
      <w:r>
        <w:rPr>
          <w:rFonts w:hint="eastAsia" w:eastAsia="仿宋_GB2312" w:cs="Times New Roman"/>
          <w:kern w:val="0"/>
          <w:sz w:val="32"/>
          <w:szCs w:val="32"/>
          <w:u w:val="none"/>
          <w:lang w:val="en-US" w:eastAsia="zh-CN"/>
        </w:rPr>
        <w:t>2023年地理标志农产品保护工程推进会</w:t>
      </w:r>
      <w:r>
        <w:rPr>
          <w:rFonts w:hint="default" w:ascii="Times New Roman" w:hAnsi="Times New Roman" w:eastAsia="仿宋_GB2312" w:cs="Times New Roman"/>
          <w:kern w:val="0"/>
          <w:sz w:val="32"/>
          <w:szCs w:val="32"/>
          <w:u w:val="none"/>
        </w:rPr>
        <w:t>。</w:t>
      </w:r>
      <w:r>
        <w:rPr>
          <w:rFonts w:hint="eastAsia" w:ascii="华文仿宋" w:hAnsi="华文仿宋" w:eastAsia="华文仿宋" w:cs="华文仿宋"/>
          <w:kern w:val="0"/>
          <w:sz w:val="32"/>
          <w:szCs w:val="32"/>
        </w:rPr>
        <w:t>会议项目：</w:t>
      </w:r>
    </w:p>
    <w:p w14:paraId="5BBD0F02">
      <w:pPr>
        <w:keepNext w:val="0"/>
        <w:keepLines w:val="0"/>
        <w:pageBreakBefore w:val="0"/>
        <w:widowControl/>
        <w:kinsoku/>
        <w:wordWrap/>
        <w:overflowPunct/>
        <w:topLinePunct w:val="0"/>
        <w:autoSpaceDE/>
        <w:autoSpaceDN/>
        <w:bidi w:val="0"/>
        <w:adjustRightInd/>
        <w:snapToGrid/>
        <w:spacing w:line="600" w:lineRule="exact"/>
        <w:ind w:firstLine="684" w:firstLineChars="215"/>
        <w:textAlignment w:val="auto"/>
        <w:rPr>
          <w:rFonts w:hint="eastAsia" w:ascii="华文仿宋" w:hAnsi="华文仿宋" w:eastAsia="仿宋_GB2312" w:cs="华文仿宋"/>
          <w:sz w:val="32"/>
          <w:szCs w:val="32"/>
          <w:u w:val="none"/>
          <w:lang w:eastAsia="zh-CN"/>
        </w:rPr>
      </w:pPr>
      <w:r>
        <w:rPr>
          <w:rFonts w:hint="eastAsia" w:ascii="华文仿宋" w:hAnsi="华文仿宋" w:eastAsia="华文仿宋" w:cs="华文仿宋"/>
          <w:kern w:val="0"/>
          <w:sz w:val="32"/>
          <w:szCs w:val="32"/>
          <w:u w:val="none"/>
        </w:rPr>
        <w:t>1、</w:t>
      </w:r>
      <w:r>
        <w:rPr>
          <w:rFonts w:hint="eastAsia" w:eastAsia="仿宋_GB2312" w:cs="Times New Roman"/>
          <w:kern w:val="0"/>
          <w:sz w:val="32"/>
          <w:szCs w:val="32"/>
          <w:u w:val="none"/>
          <w:lang w:eastAsia="zh-CN"/>
        </w:rPr>
        <w:t>两品一标</w:t>
      </w:r>
      <w:r>
        <w:rPr>
          <w:rFonts w:hint="eastAsia" w:ascii="华文仿宋" w:hAnsi="华文仿宋" w:eastAsia="华文仿宋" w:cs="华文仿宋"/>
          <w:sz w:val="32"/>
          <w:szCs w:val="32"/>
          <w:u w:val="none"/>
          <w:lang w:eastAsia="zh-CN"/>
        </w:rPr>
        <w:t>工作</w:t>
      </w:r>
      <w:r>
        <w:rPr>
          <w:rFonts w:hint="eastAsia" w:ascii="华文仿宋" w:hAnsi="华文仿宋" w:eastAsia="华文仿宋" w:cs="华文仿宋"/>
          <w:sz w:val="32"/>
          <w:szCs w:val="32"/>
          <w:u w:val="none"/>
        </w:rPr>
        <w:t>座谈会</w:t>
      </w:r>
      <w:r>
        <w:rPr>
          <w:rFonts w:hint="eastAsia" w:ascii="华文仿宋" w:hAnsi="华文仿宋" w:eastAsia="华文仿宋" w:cs="华文仿宋"/>
          <w:sz w:val="32"/>
          <w:szCs w:val="32"/>
          <w:u w:val="none"/>
          <w:lang w:eastAsia="zh-CN"/>
        </w:rPr>
        <w:t>：按</w:t>
      </w:r>
      <w:r>
        <w:rPr>
          <w:rFonts w:hint="eastAsia" w:ascii="华文仿宋" w:hAnsi="华文仿宋" w:eastAsia="华文仿宋" w:cs="华文仿宋"/>
          <w:sz w:val="32"/>
          <w:szCs w:val="32"/>
          <w:u w:val="none"/>
          <w:lang w:val="en-US" w:eastAsia="zh-CN"/>
        </w:rPr>
        <w:t>6</w:t>
      </w:r>
      <w:r>
        <w:rPr>
          <w:rFonts w:hint="eastAsia" w:ascii="华文仿宋" w:hAnsi="华文仿宋" w:eastAsia="华文仿宋" w:cs="华文仿宋"/>
          <w:sz w:val="32"/>
          <w:szCs w:val="32"/>
          <w:u w:val="none"/>
        </w:rPr>
        <w:t>0人</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1天</w:t>
      </w:r>
      <w:r>
        <w:rPr>
          <w:rFonts w:hint="eastAsia" w:ascii="华文仿宋" w:hAnsi="华文仿宋" w:eastAsia="华文仿宋" w:cs="华文仿宋"/>
          <w:sz w:val="32"/>
          <w:szCs w:val="32"/>
          <w:u w:val="none"/>
          <w:lang w:eastAsia="zh-CN"/>
        </w:rPr>
        <w:t>会议时间</w:t>
      </w:r>
      <w:r>
        <w:rPr>
          <w:rFonts w:hint="eastAsia" w:ascii="华文仿宋" w:hAnsi="华文仿宋" w:eastAsia="华文仿宋" w:cs="华文仿宋"/>
          <w:sz w:val="32"/>
          <w:szCs w:val="32"/>
          <w:u w:val="none"/>
          <w:lang w:val="en-US" w:eastAsia="zh-CN"/>
        </w:rPr>
        <w:t>,每天每人440元预算开支标准计算，</w:t>
      </w:r>
      <w:r>
        <w:rPr>
          <w:rFonts w:eastAsia="仿宋_GB2312"/>
          <w:kern w:val="0"/>
          <w:sz w:val="32"/>
          <w:szCs w:val="32"/>
        </w:rPr>
        <w:t>会议费预</w:t>
      </w:r>
      <w:r>
        <w:rPr>
          <w:rFonts w:eastAsia="仿宋_GB2312"/>
          <w:kern w:val="0"/>
          <w:sz w:val="32"/>
          <w:szCs w:val="32"/>
          <w:u w:val="none"/>
        </w:rPr>
        <w:t>算</w:t>
      </w:r>
      <w:r>
        <w:rPr>
          <w:rFonts w:eastAsia="仿宋_GB2312"/>
          <w:sz w:val="32"/>
          <w:szCs w:val="32"/>
          <w:u w:val="none"/>
        </w:rPr>
        <w:t xml:space="preserve"> </w:t>
      </w:r>
      <w:r>
        <w:rPr>
          <w:rFonts w:hint="eastAsia" w:eastAsia="仿宋_GB2312"/>
          <w:sz w:val="32"/>
          <w:szCs w:val="32"/>
          <w:u w:val="none"/>
          <w:lang w:val="en-US" w:eastAsia="zh-CN"/>
        </w:rPr>
        <w:t>2.64</w:t>
      </w:r>
      <w:r>
        <w:rPr>
          <w:rFonts w:eastAsia="仿宋_GB2312"/>
          <w:kern w:val="0"/>
          <w:sz w:val="32"/>
          <w:szCs w:val="32"/>
          <w:u w:val="none"/>
        </w:rPr>
        <w:t>万元</w:t>
      </w:r>
      <w:r>
        <w:rPr>
          <w:rFonts w:hint="eastAsia" w:eastAsia="仿宋_GB2312"/>
          <w:kern w:val="0"/>
          <w:sz w:val="32"/>
          <w:szCs w:val="32"/>
          <w:u w:val="none"/>
          <w:lang w:eastAsia="zh-CN"/>
        </w:rPr>
        <w:t>。</w:t>
      </w:r>
    </w:p>
    <w:p w14:paraId="71FA8ED0">
      <w:pPr>
        <w:keepNext w:val="0"/>
        <w:keepLines w:val="0"/>
        <w:pageBreakBefore w:val="0"/>
        <w:numPr>
          <w:ilvl w:val="0"/>
          <w:numId w:val="0"/>
        </w:numPr>
        <w:kinsoku/>
        <w:wordWrap/>
        <w:overflowPunct/>
        <w:topLinePunct w:val="0"/>
        <w:autoSpaceDE/>
        <w:autoSpaceDN/>
        <w:bidi w:val="0"/>
        <w:adjustRightInd/>
        <w:snapToGrid/>
        <w:spacing w:line="600" w:lineRule="exact"/>
        <w:ind w:firstLine="636" w:firstLineChars="200"/>
        <w:textAlignment w:val="auto"/>
        <w:rPr>
          <w:rFonts w:hint="eastAsia" w:ascii="华文仿宋" w:hAnsi="华文仿宋" w:eastAsia="仿宋_GB2312" w:cs="华文仿宋"/>
          <w:sz w:val="32"/>
          <w:szCs w:val="32"/>
          <w:u w:val="none"/>
          <w:lang w:eastAsia="zh-CN"/>
        </w:rPr>
      </w:pPr>
      <w:r>
        <w:rPr>
          <w:rFonts w:hint="eastAsia" w:ascii="华文仿宋" w:hAnsi="华文仿宋" w:eastAsia="华文仿宋" w:cs="华文仿宋"/>
          <w:kern w:val="0"/>
          <w:sz w:val="32"/>
          <w:szCs w:val="32"/>
          <w:u w:val="none"/>
          <w:lang w:val="en-US" w:eastAsia="zh-CN"/>
        </w:rPr>
        <w:t>2、</w:t>
      </w:r>
      <w:r>
        <w:rPr>
          <w:rFonts w:hint="eastAsia" w:eastAsia="仿宋_GB2312" w:cs="Times New Roman"/>
          <w:kern w:val="0"/>
          <w:sz w:val="32"/>
          <w:szCs w:val="32"/>
          <w:u w:val="none"/>
          <w:lang w:val="en-US" w:eastAsia="zh-CN"/>
        </w:rPr>
        <w:t>2023年地理标志农产品保护工程推进会</w:t>
      </w:r>
      <w:r>
        <w:rPr>
          <w:rFonts w:hint="eastAsia" w:ascii="华文仿宋" w:hAnsi="华文仿宋" w:eastAsia="华文仿宋" w:cs="华文仿宋"/>
          <w:color w:val="auto"/>
          <w:kern w:val="0"/>
          <w:sz w:val="32"/>
          <w:szCs w:val="32"/>
          <w:u w:val="none"/>
          <w:lang w:eastAsia="zh-CN"/>
        </w:rPr>
        <w:t>：</w:t>
      </w:r>
      <w:r>
        <w:rPr>
          <w:rFonts w:hint="eastAsia" w:ascii="华文仿宋" w:hAnsi="华文仿宋" w:eastAsia="华文仿宋" w:cs="华文仿宋"/>
          <w:sz w:val="32"/>
          <w:szCs w:val="32"/>
          <w:u w:val="none"/>
        </w:rPr>
        <w:t>按</w:t>
      </w:r>
      <w:r>
        <w:rPr>
          <w:rFonts w:hint="eastAsia" w:ascii="华文仿宋" w:hAnsi="华文仿宋" w:eastAsia="华文仿宋" w:cs="华文仿宋"/>
          <w:sz w:val="32"/>
          <w:szCs w:val="32"/>
          <w:u w:val="none"/>
          <w:lang w:val="en-US" w:eastAsia="zh-CN"/>
        </w:rPr>
        <w:t>4</w:t>
      </w:r>
      <w:r>
        <w:rPr>
          <w:rFonts w:hint="eastAsia" w:ascii="华文仿宋" w:hAnsi="华文仿宋" w:eastAsia="华文仿宋" w:cs="华文仿宋"/>
          <w:sz w:val="32"/>
          <w:szCs w:val="32"/>
          <w:u w:val="none"/>
        </w:rPr>
        <w:t>0人计算</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1天</w:t>
      </w:r>
      <w:r>
        <w:rPr>
          <w:rFonts w:hint="eastAsia" w:ascii="华文仿宋" w:hAnsi="华文仿宋" w:eastAsia="华文仿宋" w:cs="华文仿宋"/>
          <w:sz w:val="32"/>
          <w:szCs w:val="32"/>
          <w:u w:val="none"/>
          <w:lang w:eastAsia="zh-CN"/>
        </w:rPr>
        <w:t>会议时间</w:t>
      </w:r>
      <w:r>
        <w:rPr>
          <w:rFonts w:hint="eastAsia" w:ascii="华文仿宋" w:hAnsi="华文仿宋" w:eastAsia="华文仿宋" w:cs="华文仿宋"/>
          <w:sz w:val="32"/>
          <w:szCs w:val="32"/>
          <w:u w:val="none"/>
          <w:lang w:val="en-US" w:eastAsia="zh-CN"/>
        </w:rPr>
        <w:t>,每天每人440元预算开支标准计算，</w:t>
      </w:r>
      <w:r>
        <w:rPr>
          <w:rFonts w:hint="eastAsia" w:ascii="华文仿宋" w:hAnsi="华文仿宋" w:eastAsia="华文仿宋" w:cs="华文仿宋"/>
          <w:sz w:val="32"/>
          <w:szCs w:val="32"/>
          <w:u w:val="none"/>
          <w:lang w:eastAsia="zh-CN"/>
        </w:rPr>
        <w:t>会议</w:t>
      </w:r>
      <w:r>
        <w:rPr>
          <w:rFonts w:eastAsia="仿宋_GB2312"/>
          <w:kern w:val="0"/>
          <w:sz w:val="32"/>
          <w:szCs w:val="32"/>
          <w:u w:val="none"/>
        </w:rPr>
        <w:t>费预算</w:t>
      </w:r>
      <w:r>
        <w:rPr>
          <w:rFonts w:hint="eastAsia" w:eastAsia="仿宋_GB2312"/>
          <w:sz w:val="32"/>
          <w:szCs w:val="32"/>
          <w:u w:val="none"/>
          <w:lang w:val="en-US" w:eastAsia="zh-CN"/>
        </w:rPr>
        <w:t>1.76</w:t>
      </w:r>
      <w:r>
        <w:rPr>
          <w:rFonts w:eastAsia="仿宋_GB2312"/>
          <w:kern w:val="0"/>
          <w:sz w:val="32"/>
          <w:szCs w:val="32"/>
          <w:u w:val="none"/>
        </w:rPr>
        <w:t>万元</w:t>
      </w:r>
      <w:r>
        <w:rPr>
          <w:rFonts w:hint="eastAsia" w:eastAsia="仿宋_GB2312"/>
          <w:kern w:val="0"/>
          <w:sz w:val="32"/>
          <w:szCs w:val="32"/>
          <w:u w:val="none"/>
          <w:lang w:eastAsia="zh-CN"/>
        </w:rPr>
        <w:t>。</w:t>
      </w:r>
    </w:p>
    <w:p w14:paraId="225BFF79">
      <w:pPr>
        <w:widowControl/>
        <w:spacing w:line="600" w:lineRule="exact"/>
        <w:ind w:firstLine="660"/>
        <w:rPr>
          <w:rFonts w:hint="default" w:ascii="Times New Roman" w:hAnsi="Times New Roman" w:eastAsia="仿宋_GB2312" w:cs="Times New Roman"/>
          <w:sz w:val="32"/>
          <w:szCs w:val="32"/>
          <w:u w:val="none"/>
        </w:rPr>
      </w:pPr>
      <w:r>
        <w:rPr>
          <w:rFonts w:hint="default" w:ascii="Times New Roman" w:hAnsi="Times New Roman" w:eastAsia="楷体_GB2312" w:cs="Times New Roman"/>
          <w:b/>
          <w:sz w:val="32"/>
          <w:szCs w:val="32"/>
          <w:u w:val="none"/>
        </w:rPr>
        <w:t>（四）政府采购情况：</w:t>
      </w:r>
      <w:r>
        <w:rPr>
          <w:rFonts w:hint="default" w:ascii="Times New Roman" w:hAnsi="Times New Roman" w:eastAsia="仿宋_GB2312" w:cs="Times New Roman"/>
          <w:sz w:val="32"/>
          <w:szCs w:val="32"/>
          <w:u w:val="none"/>
          <w:lang w:eastAsia="zh-CN"/>
        </w:rPr>
        <w:t>2023</w:t>
      </w:r>
      <w:r>
        <w:rPr>
          <w:rFonts w:hint="default" w:ascii="Times New Roman" w:hAnsi="Times New Roman" w:eastAsia="仿宋_GB2312" w:cs="Times New Roman"/>
          <w:sz w:val="32"/>
          <w:szCs w:val="32"/>
          <w:u w:val="none"/>
        </w:rPr>
        <w:t xml:space="preserve">年本部门政府采购预算总额   </w:t>
      </w:r>
      <w:r>
        <w:rPr>
          <w:rFonts w:hint="eastAsia" w:eastAsia="仿宋_GB2312" w:cs="Times New Roman"/>
          <w:sz w:val="32"/>
          <w:szCs w:val="32"/>
          <w:u w:val="none"/>
          <w:lang w:val="en-US" w:eastAsia="zh-CN"/>
        </w:rPr>
        <w:t>8.4</w:t>
      </w:r>
      <w:r>
        <w:rPr>
          <w:rFonts w:hint="default" w:ascii="Times New Roman" w:hAnsi="Times New Roman" w:eastAsia="仿宋_GB2312" w:cs="Times New Roman"/>
          <w:sz w:val="32"/>
          <w:szCs w:val="32"/>
          <w:u w:val="none"/>
        </w:rPr>
        <w:t>万元，其中，货物类采购预算</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万元；工程类采购预算</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万元；服务类采购预算</w:t>
      </w:r>
      <w:r>
        <w:rPr>
          <w:rFonts w:hint="eastAsia" w:eastAsia="仿宋_GB2312" w:cs="Times New Roman"/>
          <w:sz w:val="32"/>
          <w:szCs w:val="32"/>
          <w:u w:val="none"/>
          <w:lang w:val="en-US" w:eastAsia="zh-CN"/>
        </w:rPr>
        <w:t>8.4</w:t>
      </w:r>
      <w:r>
        <w:rPr>
          <w:rFonts w:hint="default" w:ascii="Times New Roman" w:hAnsi="Times New Roman" w:eastAsia="仿宋_GB2312" w:cs="Times New Roman"/>
          <w:sz w:val="32"/>
          <w:szCs w:val="32"/>
          <w:u w:val="none"/>
        </w:rPr>
        <w:t>万元。</w:t>
      </w:r>
    </w:p>
    <w:p w14:paraId="3A87705E">
      <w:pPr>
        <w:widowControl/>
        <w:spacing w:line="600" w:lineRule="exact"/>
        <w:ind w:firstLine="660"/>
        <w:jc w:val="left"/>
        <w:rPr>
          <w:rFonts w:hint="default" w:ascii="Times New Roman" w:hAnsi="Times New Roman" w:eastAsia="仿宋_GB2312" w:cs="Times New Roman"/>
          <w:bCs/>
          <w:kern w:val="0"/>
          <w:sz w:val="32"/>
          <w:szCs w:val="32"/>
          <w:u w:val="none"/>
        </w:rPr>
      </w:pPr>
      <w:r>
        <w:rPr>
          <w:rFonts w:hint="default" w:ascii="Times New Roman" w:hAnsi="Times New Roman" w:eastAsia="楷体_GB2312" w:cs="Times New Roman"/>
          <w:b/>
          <w:sz w:val="32"/>
          <w:szCs w:val="32"/>
          <w:u w:val="none"/>
        </w:rPr>
        <w:t>（五）国有资产占用使用及新增资产配置情况：</w:t>
      </w:r>
      <w:r>
        <w:rPr>
          <w:rFonts w:hint="default" w:ascii="Times New Roman" w:hAnsi="Times New Roman" w:eastAsia="仿宋_GB2312" w:cs="Times New Roman"/>
          <w:sz w:val="32"/>
          <w:szCs w:val="32"/>
          <w:u w:val="none"/>
        </w:rPr>
        <w:t>截至202</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年12月底，本单位</w:t>
      </w:r>
      <w:r>
        <w:rPr>
          <w:rFonts w:hint="default" w:ascii="Times New Roman" w:hAnsi="Times New Roman" w:eastAsia="仿宋_GB2312" w:cs="Times New Roman"/>
          <w:bCs/>
          <w:kern w:val="0"/>
          <w:sz w:val="32"/>
          <w:szCs w:val="32"/>
          <w:u w:val="none"/>
        </w:rPr>
        <w:t>共有公务用车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辆，其中，机要通信用车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辆，应急保障用车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辆，执法执勤用车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辆，特种专业技术用车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辆，其他按照规定配备的公务用车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辆；单位价值50万元以上通用设备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台，单位价值100万元以上专用设备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w:t>
      </w:r>
      <w:r>
        <w:rPr>
          <w:rFonts w:hint="default" w:ascii="Times New Roman" w:hAnsi="Times New Roman" w:eastAsia="仿宋_GB2312" w:cs="Times New Roman"/>
          <w:bCs/>
          <w:kern w:val="0"/>
          <w:sz w:val="32"/>
          <w:szCs w:val="32"/>
          <w:u w:val="none"/>
          <w:lang w:eastAsia="zh-CN"/>
        </w:rPr>
        <w:t>2023</w:t>
      </w:r>
      <w:r>
        <w:rPr>
          <w:rFonts w:hint="default" w:ascii="Times New Roman" w:hAnsi="Times New Roman" w:eastAsia="仿宋_GB2312" w:cs="Times New Roman"/>
          <w:bCs/>
          <w:kern w:val="0"/>
          <w:sz w:val="32"/>
          <w:szCs w:val="32"/>
          <w:u w:val="none"/>
        </w:rPr>
        <w:t>年拟新增配置公务用车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辆，其中，机要通信用车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辆，应急保障用车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辆，执法执勤用车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辆，特种专业技术用车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辆，其他按照规定配备的公务用车</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辆；新增配备单位价值50万元以上通用设备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台，单位价值100万元以上专用设备</w:t>
      </w:r>
      <w:r>
        <w:rPr>
          <w:rFonts w:hint="eastAsia" w:eastAsia="仿宋_GB2312" w:cs="Times New Roman"/>
          <w:bCs/>
          <w:kern w:val="0"/>
          <w:sz w:val="32"/>
          <w:szCs w:val="32"/>
          <w:u w:val="none"/>
          <w:lang w:val="en-US" w:eastAsia="zh-CN"/>
        </w:rPr>
        <w:t>0</w:t>
      </w:r>
      <w:r>
        <w:rPr>
          <w:rFonts w:hint="default" w:ascii="Times New Roman" w:hAnsi="Times New Roman" w:eastAsia="仿宋_GB2312" w:cs="Times New Roman"/>
          <w:bCs/>
          <w:kern w:val="0"/>
          <w:sz w:val="32"/>
          <w:szCs w:val="32"/>
          <w:u w:val="none"/>
        </w:rPr>
        <w:t>台。</w:t>
      </w:r>
    </w:p>
    <w:p w14:paraId="0A9F0319">
      <w:pPr>
        <w:widowControl/>
        <w:spacing w:line="600" w:lineRule="exact"/>
        <w:ind w:firstLine="660"/>
        <w:jc w:val="left"/>
        <w:rPr>
          <w:rFonts w:hint="default" w:ascii="Times New Roman" w:hAnsi="Times New Roman" w:eastAsia="仿宋_GB2312" w:cs="Times New Roman"/>
          <w:bCs/>
          <w:kern w:val="0"/>
          <w:sz w:val="32"/>
          <w:szCs w:val="32"/>
          <w:u w:val="none"/>
        </w:rPr>
      </w:pPr>
      <w:r>
        <w:rPr>
          <w:rFonts w:hint="default" w:ascii="Times New Roman" w:hAnsi="Times New Roman" w:eastAsia="楷体_GB2312" w:cs="Times New Roman"/>
          <w:b/>
          <w:bCs/>
          <w:kern w:val="0"/>
          <w:sz w:val="32"/>
          <w:szCs w:val="32"/>
          <w:u w:val="none"/>
        </w:rPr>
        <w:t>（六）预算绩效目标说明：</w:t>
      </w:r>
      <w:r>
        <w:rPr>
          <w:rFonts w:hint="default" w:ascii="Times New Roman" w:hAnsi="Times New Roman" w:eastAsia="仿宋_GB2312" w:cs="Times New Roman"/>
          <w:bCs/>
          <w:kern w:val="0"/>
          <w:sz w:val="32"/>
          <w:szCs w:val="32"/>
          <w:u w:val="none"/>
        </w:rPr>
        <w:t>本单位所有支出实行绩效目标管理。纳入</w:t>
      </w:r>
      <w:r>
        <w:rPr>
          <w:rFonts w:hint="default" w:ascii="Times New Roman" w:hAnsi="Times New Roman" w:eastAsia="仿宋_GB2312" w:cs="Times New Roman"/>
          <w:bCs/>
          <w:kern w:val="0"/>
          <w:sz w:val="32"/>
          <w:szCs w:val="32"/>
          <w:u w:val="none"/>
          <w:lang w:eastAsia="zh-CN"/>
        </w:rPr>
        <w:t>2023</w:t>
      </w:r>
      <w:r>
        <w:rPr>
          <w:rFonts w:hint="default" w:ascii="Times New Roman" w:hAnsi="Times New Roman" w:eastAsia="仿宋_GB2312" w:cs="Times New Roman"/>
          <w:bCs/>
          <w:kern w:val="0"/>
          <w:sz w:val="32"/>
          <w:szCs w:val="32"/>
          <w:u w:val="none"/>
        </w:rPr>
        <w:t>年单位整体支出绩效目标的金额为</w:t>
      </w:r>
      <w:r>
        <w:rPr>
          <w:rFonts w:hint="eastAsia" w:eastAsia="仿宋_GB2312" w:cs="Times New Roman"/>
          <w:sz w:val="32"/>
          <w:szCs w:val="32"/>
          <w:u w:val="none"/>
          <w:lang w:val="en-US" w:eastAsia="zh-CN"/>
        </w:rPr>
        <w:t>697.61</w:t>
      </w:r>
      <w:r>
        <w:rPr>
          <w:rFonts w:hint="default" w:ascii="Times New Roman" w:hAnsi="Times New Roman" w:eastAsia="仿宋_GB2312" w:cs="Times New Roman"/>
          <w:bCs/>
          <w:kern w:val="0"/>
          <w:sz w:val="32"/>
          <w:szCs w:val="32"/>
          <w:u w:val="none"/>
        </w:rPr>
        <w:t>万元，其中，基本支出</w:t>
      </w:r>
      <w:r>
        <w:rPr>
          <w:rFonts w:hint="eastAsia" w:eastAsia="仿宋_GB2312" w:cs="Times New Roman"/>
          <w:sz w:val="32"/>
          <w:szCs w:val="32"/>
          <w:u w:val="none"/>
          <w:lang w:val="en-US" w:eastAsia="zh-CN"/>
        </w:rPr>
        <w:t>418.79</w:t>
      </w:r>
      <w:r>
        <w:rPr>
          <w:rFonts w:hint="default" w:ascii="Times New Roman" w:hAnsi="Times New Roman" w:eastAsia="仿宋_GB2312" w:cs="Times New Roman"/>
          <w:bCs/>
          <w:kern w:val="0"/>
          <w:sz w:val="32"/>
          <w:szCs w:val="32"/>
          <w:u w:val="none"/>
        </w:rPr>
        <w:t>万元，项目支出</w:t>
      </w:r>
      <w:r>
        <w:rPr>
          <w:rFonts w:hint="eastAsia" w:eastAsia="仿宋_GB2312" w:cs="Times New Roman"/>
          <w:sz w:val="32"/>
          <w:szCs w:val="32"/>
          <w:u w:val="none"/>
          <w:lang w:val="en-US" w:eastAsia="zh-CN"/>
        </w:rPr>
        <w:t>278.82</w:t>
      </w:r>
      <w:r>
        <w:rPr>
          <w:rFonts w:hint="default" w:ascii="Times New Roman" w:hAnsi="Times New Roman" w:eastAsia="仿宋_GB2312" w:cs="Times New Roman"/>
          <w:bCs/>
          <w:kern w:val="0"/>
          <w:sz w:val="32"/>
          <w:szCs w:val="32"/>
          <w:u w:val="none"/>
        </w:rPr>
        <w:t>万元，具体绩效目标详见报表。</w:t>
      </w:r>
    </w:p>
    <w:p w14:paraId="0E37B97B">
      <w:pPr>
        <w:widowControl/>
        <w:spacing w:line="600" w:lineRule="exact"/>
        <w:ind w:firstLine="660"/>
        <w:rPr>
          <w:rFonts w:hint="default" w:ascii="Times New Roman" w:hAnsi="Times New Roman" w:eastAsia="黑体" w:cs="Times New Roman"/>
          <w:sz w:val="32"/>
          <w:szCs w:val="32"/>
        </w:rPr>
      </w:pPr>
      <w:r>
        <w:rPr>
          <w:rFonts w:hint="eastAsia" w:eastAsia="黑体" w:cs="Times New Roman"/>
          <w:sz w:val="32"/>
          <w:szCs w:val="32"/>
          <w:lang w:eastAsia="zh-CN"/>
        </w:rPr>
        <w:t>七</w:t>
      </w:r>
      <w:r>
        <w:rPr>
          <w:rFonts w:hint="default" w:ascii="Times New Roman" w:hAnsi="Times New Roman" w:eastAsia="黑体" w:cs="Times New Roman"/>
          <w:sz w:val="32"/>
          <w:szCs w:val="32"/>
        </w:rPr>
        <w:t>、名词解释</w:t>
      </w:r>
    </w:p>
    <w:p w14:paraId="7E2B4F91">
      <w:pPr>
        <w:widowControl/>
        <w:spacing w:line="60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4D26CCA3">
      <w:pPr>
        <w:widowControl/>
        <w:spacing w:line="60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2、“三公”经费：纳入省（市/县）财政预算管理的</w:t>
      </w:r>
      <w:bookmarkStart w:id="0" w:name="_GoBack"/>
      <w:r>
        <w:rPr>
          <w:rFonts w:hint="eastAsia" w:eastAsia="仿宋_GB2312" w:cs="Times New Roman"/>
          <w:sz w:val="32"/>
          <w:szCs w:val="32"/>
          <w:lang w:eastAsia="zh-CN"/>
        </w:rPr>
        <w:t>“三公”经费</w:t>
      </w:r>
      <w:bookmarkEnd w:id="0"/>
      <w:r>
        <w:rPr>
          <w:rFonts w:hint="default" w:ascii="Times New Roman" w:hAnsi="Times New Roman" w:eastAsia="仿宋_GB2312" w:cs="Times New Roman"/>
          <w:sz w:val="32"/>
          <w:szCs w:val="32"/>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71C3C1D8">
      <w:pPr>
        <w:widowControl/>
        <w:spacing w:line="600" w:lineRule="exact"/>
        <w:jc w:val="left"/>
        <w:rPr>
          <w:rFonts w:hint="default" w:ascii="Times New Roman" w:hAnsi="Times New Roman" w:eastAsia="黑体" w:cs="Times New Roman"/>
          <w:sz w:val="32"/>
          <w:szCs w:val="32"/>
        </w:rPr>
      </w:pPr>
    </w:p>
    <w:p w14:paraId="5311F36A">
      <w:pPr>
        <w:widowControl/>
        <w:spacing w:line="600" w:lineRule="exact"/>
        <w:jc w:val="left"/>
        <w:rPr>
          <w:rFonts w:hint="default" w:ascii="Times New Roman" w:hAnsi="Times New Roman" w:eastAsia="黑体" w:cs="Times New Roman"/>
          <w:sz w:val="32"/>
          <w:szCs w:val="32"/>
        </w:rPr>
      </w:pPr>
    </w:p>
    <w:p w14:paraId="64E01E31">
      <w:pPr>
        <w:spacing w:line="600" w:lineRule="exact"/>
        <w:rPr>
          <w:rFonts w:hint="default" w:ascii="Times New Roman" w:hAnsi="Times New Roman" w:eastAsia="黑体" w:cs="Times New Roman"/>
          <w:sz w:val="32"/>
          <w:szCs w:val="32"/>
        </w:rPr>
      </w:pPr>
    </w:p>
    <w:p w14:paraId="44C281D2">
      <w:pPr>
        <w:widowControl/>
        <w:spacing w:line="600" w:lineRule="exact"/>
        <w:jc w:val="left"/>
        <w:rPr>
          <w:rFonts w:hint="default" w:ascii="Times New Roman" w:hAnsi="Times New Roman" w:eastAsia="黑体" w:cs="Times New Roman"/>
          <w:sz w:val="32"/>
          <w:szCs w:val="32"/>
        </w:rPr>
      </w:pPr>
    </w:p>
    <w:p w14:paraId="673B8D57">
      <w:pPr>
        <w:widowControl/>
        <w:spacing w:line="600" w:lineRule="exact"/>
        <w:jc w:val="left"/>
        <w:rPr>
          <w:rFonts w:hint="default" w:ascii="Times New Roman" w:hAnsi="Times New Roman" w:eastAsia="黑体" w:cs="Times New Roman"/>
          <w:sz w:val="32"/>
          <w:szCs w:val="32"/>
        </w:rPr>
      </w:pPr>
    </w:p>
    <w:p w14:paraId="59872ABC">
      <w:pPr>
        <w:pStyle w:val="2"/>
        <w:rPr>
          <w:rFonts w:hint="default" w:ascii="Times New Roman" w:hAnsi="Times New Roman" w:eastAsia="黑体" w:cs="Times New Roman"/>
          <w:sz w:val="32"/>
          <w:szCs w:val="32"/>
        </w:rPr>
      </w:pPr>
    </w:p>
    <w:p w14:paraId="21CE9172">
      <w:pPr>
        <w:pStyle w:val="2"/>
        <w:rPr>
          <w:rFonts w:hint="default" w:ascii="Times New Roman" w:hAnsi="Times New Roman" w:eastAsia="黑体" w:cs="Times New Roman"/>
          <w:sz w:val="32"/>
          <w:szCs w:val="32"/>
        </w:rPr>
      </w:pPr>
    </w:p>
    <w:p w14:paraId="26F207DB">
      <w:pPr>
        <w:pStyle w:val="2"/>
        <w:rPr>
          <w:rFonts w:hint="default" w:ascii="Times New Roman" w:hAnsi="Times New Roman" w:eastAsia="黑体" w:cs="Times New Roman"/>
          <w:sz w:val="32"/>
          <w:szCs w:val="32"/>
        </w:rPr>
      </w:pPr>
    </w:p>
    <w:p w14:paraId="070F1979">
      <w:pPr>
        <w:widowControl/>
        <w:spacing w:line="600" w:lineRule="exact"/>
        <w:ind w:firstLine="716" w:firstLineChars="200"/>
        <w:jc w:val="center"/>
        <w:rPr>
          <w:rFonts w:hint="default" w:ascii="Times New Roman" w:hAnsi="Times New Roman" w:eastAsia="方正小标宋_GBK" w:cs="Times New Roman"/>
          <w:bCs/>
          <w:kern w:val="0"/>
          <w:sz w:val="36"/>
          <w:szCs w:val="36"/>
        </w:rPr>
      </w:pPr>
    </w:p>
    <w:p w14:paraId="7D106B30">
      <w:pPr>
        <w:widowControl/>
        <w:spacing w:line="600" w:lineRule="exact"/>
        <w:ind w:firstLine="716" w:firstLineChars="200"/>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第二部分 </w:t>
      </w:r>
      <w:r>
        <w:rPr>
          <w:rFonts w:hint="default" w:ascii="Times New Roman" w:hAnsi="Times New Roman" w:eastAsia="方正小标宋_GBK" w:cs="Times New Roman"/>
          <w:bCs/>
          <w:kern w:val="0"/>
          <w:sz w:val="36"/>
          <w:szCs w:val="36"/>
          <w:lang w:eastAsia="zh-CN"/>
        </w:rPr>
        <w:t>2023</w:t>
      </w:r>
      <w:r>
        <w:rPr>
          <w:rFonts w:hint="default" w:ascii="Times New Roman" w:hAnsi="Times New Roman" w:eastAsia="方正小标宋_GBK" w:cs="Times New Roman"/>
          <w:bCs/>
          <w:kern w:val="0"/>
          <w:sz w:val="36"/>
          <w:szCs w:val="36"/>
        </w:rPr>
        <w:t>年单位预算表</w:t>
      </w:r>
    </w:p>
    <w:p w14:paraId="5570EC62">
      <w:pPr>
        <w:widowControl/>
        <w:spacing w:line="600" w:lineRule="exact"/>
        <w:jc w:val="left"/>
        <w:rPr>
          <w:rFonts w:hint="default" w:ascii="Times New Roman" w:hAnsi="Times New Roman" w:eastAsia="黑体" w:cs="Times New Roman"/>
          <w:sz w:val="32"/>
          <w:szCs w:val="32"/>
        </w:rPr>
      </w:pPr>
    </w:p>
    <w:p w14:paraId="512DEE60">
      <w:pPr>
        <w:pStyle w:val="4"/>
        <w:rPr>
          <w:rFonts w:hint="default"/>
        </w:rPr>
      </w:pPr>
    </w:p>
    <w:p w14:paraId="59E03538">
      <w:pPr>
        <w:widowControl/>
        <w:spacing w:line="600" w:lineRule="exact"/>
        <w:jc w:val="left"/>
        <w:rPr>
          <w:rFonts w:hint="default" w:ascii="Times New Roman" w:hAnsi="Times New Roman" w:eastAsia="黑体" w:cs="Times New Roman"/>
          <w:sz w:val="32"/>
          <w:szCs w:val="32"/>
        </w:rPr>
      </w:pPr>
    </w:p>
    <w:p w14:paraId="2BC44A4F">
      <w:pPr>
        <w:widowControl/>
        <w:spacing w:line="600" w:lineRule="exact"/>
        <w:jc w:val="left"/>
        <w:rPr>
          <w:rFonts w:hint="default" w:ascii="Times New Roman" w:hAnsi="Times New Roman" w:eastAsia="黑体" w:cs="Times New Roman"/>
          <w:sz w:val="32"/>
          <w:szCs w:val="32"/>
        </w:rPr>
      </w:pPr>
    </w:p>
    <w:p w14:paraId="01F0F6BA">
      <w:pPr>
        <w:widowControl/>
        <w:spacing w:line="600" w:lineRule="exact"/>
        <w:jc w:val="left"/>
        <w:rPr>
          <w:rFonts w:hint="default" w:ascii="Times New Roman" w:hAnsi="Times New Roman" w:eastAsia="黑体" w:cs="Times New Roman"/>
          <w:sz w:val="32"/>
          <w:szCs w:val="32"/>
        </w:rPr>
      </w:pPr>
    </w:p>
    <w:p w14:paraId="33A07924">
      <w:pPr>
        <w:widowControl/>
        <w:spacing w:line="600" w:lineRule="exact"/>
        <w:jc w:val="left"/>
        <w:rPr>
          <w:rFonts w:hint="default" w:ascii="Times New Roman" w:hAnsi="Times New Roman" w:eastAsia="黑体" w:cs="Times New Roman"/>
          <w:sz w:val="32"/>
          <w:szCs w:val="32"/>
        </w:rPr>
      </w:pPr>
    </w:p>
    <w:p w14:paraId="4BCC21EC">
      <w:pPr>
        <w:widowControl/>
        <w:spacing w:line="600" w:lineRule="exact"/>
        <w:jc w:val="left"/>
        <w:rPr>
          <w:rFonts w:hint="default" w:ascii="Times New Roman" w:hAnsi="Times New Roman" w:eastAsia="黑体" w:cs="Times New Roman"/>
          <w:sz w:val="32"/>
          <w:szCs w:val="32"/>
        </w:rPr>
      </w:pPr>
    </w:p>
    <w:p w14:paraId="7F7CC456">
      <w:pPr>
        <w:widowControl/>
        <w:spacing w:line="600" w:lineRule="exact"/>
        <w:jc w:val="left"/>
        <w:rPr>
          <w:rFonts w:hint="default" w:ascii="Times New Roman" w:hAnsi="Times New Roman" w:eastAsia="黑体" w:cs="Times New Roman"/>
          <w:sz w:val="32"/>
          <w:szCs w:val="32"/>
        </w:rPr>
      </w:pPr>
    </w:p>
    <w:p w14:paraId="49663A78">
      <w:pPr>
        <w:widowControl/>
        <w:spacing w:line="600" w:lineRule="exact"/>
        <w:jc w:val="left"/>
        <w:rPr>
          <w:rFonts w:hint="default" w:ascii="Times New Roman" w:hAnsi="Times New Roman" w:eastAsia="黑体" w:cs="Times New Roman"/>
          <w:sz w:val="32"/>
          <w:szCs w:val="32"/>
        </w:rPr>
      </w:pPr>
    </w:p>
    <w:p w14:paraId="19414234">
      <w:pPr>
        <w:widowControl/>
        <w:spacing w:line="600" w:lineRule="exact"/>
        <w:jc w:val="left"/>
        <w:rPr>
          <w:rFonts w:hint="default" w:ascii="Times New Roman" w:hAnsi="Times New Roman" w:eastAsia="黑体" w:cs="Times New Roman"/>
          <w:sz w:val="32"/>
          <w:szCs w:val="32"/>
        </w:rPr>
      </w:pPr>
    </w:p>
    <w:p w14:paraId="532265F5">
      <w:pPr>
        <w:widowControl/>
        <w:spacing w:line="600" w:lineRule="exact"/>
        <w:jc w:val="left"/>
        <w:rPr>
          <w:rFonts w:hint="default" w:ascii="Times New Roman" w:hAnsi="Times New Roman" w:eastAsia="黑体" w:cs="Times New Roman"/>
          <w:sz w:val="32"/>
          <w:szCs w:val="32"/>
        </w:rPr>
      </w:pPr>
    </w:p>
    <w:p w14:paraId="3ED0D8F4">
      <w:pPr>
        <w:widowControl/>
        <w:spacing w:line="600" w:lineRule="exact"/>
        <w:jc w:val="left"/>
        <w:rPr>
          <w:rFonts w:hint="default" w:ascii="Times New Roman" w:hAnsi="Times New Roman" w:eastAsia="黑体" w:cs="Times New Roman"/>
          <w:sz w:val="32"/>
          <w:szCs w:val="32"/>
        </w:rPr>
      </w:pPr>
    </w:p>
    <w:p w14:paraId="6EC73A1B"/>
    <w:sectPr>
      <w:footerReference r:id="rId3" w:type="default"/>
      <w:footerReference r:id="rId4" w:type="even"/>
      <w:pgSz w:w="11907" w:h="16840"/>
      <w:pgMar w:top="1134" w:right="1797" w:bottom="1304" w:left="1797" w:header="851" w:footer="992" w:gutter="0"/>
      <w:cols w:space="720" w:num="1"/>
      <w:docGrid w:type="linesAndChars" w:linePitch="495" w:charSpace="-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658F6A-DBB5-4686-AF33-8E6074E7E1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1A1B19C-FAE7-4A17-BB11-7BB43C9749D7}"/>
  </w:font>
  <w:font w:name="仿宋_GB2312">
    <w:panose1 w:val="02010609030101010101"/>
    <w:charset w:val="86"/>
    <w:family w:val="modern"/>
    <w:pitch w:val="default"/>
    <w:sig w:usb0="00000001" w:usb1="080E0000" w:usb2="00000000" w:usb3="00000000" w:csb0="00040000" w:csb1="00000000"/>
    <w:embedRegular r:id="rId3" w:fontKey="{A5810DD9-D007-4C7B-9309-B7C6B5434F80}"/>
  </w:font>
  <w:font w:name="方正小标宋_GBK">
    <w:panose1 w:val="02000000000000000000"/>
    <w:charset w:val="86"/>
    <w:family w:val="script"/>
    <w:pitch w:val="default"/>
    <w:sig w:usb0="A00002BF" w:usb1="38CF7CFA" w:usb2="00082016" w:usb3="00000000" w:csb0="00040001" w:csb1="00000000"/>
    <w:embedRegular r:id="rId4" w:fontKey="{18034EBF-9447-40F0-AE73-223FEB0A3920}"/>
  </w:font>
  <w:font w:name="楷体_GB2312">
    <w:panose1 w:val="02010609030101010101"/>
    <w:charset w:val="86"/>
    <w:family w:val="modern"/>
    <w:pitch w:val="default"/>
    <w:sig w:usb0="00000001" w:usb1="080E0000" w:usb2="00000000" w:usb3="00000000" w:csb0="00040000" w:csb1="00000000"/>
    <w:embedRegular r:id="rId5" w:fontKey="{5DD1377F-777C-4081-8788-0A3105286A42}"/>
  </w:font>
  <w:font w:name="仿宋">
    <w:panose1 w:val="02010609060101010101"/>
    <w:charset w:val="86"/>
    <w:family w:val="auto"/>
    <w:pitch w:val="default"/>
    <w:sig w:usb0="800002BF" w:usb1="38CF7CFA" w:usb2="00000016" w:usb3="00000000" w:csb0="00040001" w:csb1="00000000"/>
    <w:embedRegular r:id="rId6" w:fontKey="{00673258-270E-47DD-A6A7-FC03E9C93B95}"/>
  </w:font>
  <w:font w:name="华文仿宋">
    <w:panose1 w:val="02010600040101010101"/>
    <w:charset w:val="86"/>
    <w:family w:val="auto"/>
    <w:pitch w:val="default"/>
    <w:sig w:usb0="00000287" w:usb1="080F0000" w:usb2="00000000" w:usb3="00000000" w:csb0="0004009F" w:csb1="DFD70000"/>
    <w:embedRegular r:id="rId7" w:fontKey="{535A5268-81F2-4879-AAF7-138DE880F3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107">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14F8120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9954F">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4FD46C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OGJjZWI3OGQ4ZjM1YzRlMjUyZTg5NTJlM2ZiNzQifQ=="/>
  </w:docVars>
  <w:rsids>
    <w:rsidRoot w:val="3B92647C"/>
    <w:rsid w:val="0EB148F6"/>
    <w:rsid w:val="110702FF"/>
    <w:rsid w:val="14AB6366"/>
    <w:rsid w:val="285D3C1B"/>
    <w:rsid w:val="2C015E3D"/>
    <w:rsid w:val="2E1F4301"/>
    <w:rsid w:val="3B4F5F22"/>
    <w:rsid w:val="3B92647C"/>
    <w:rsid w:val="405C09A7"/>
    <w:rsid w:val="410D2746"/>
    <w:rsid w:val="44AB1A64"/>
    <w:rsid w:val="5BA2287A"/>
    <w:rsid w:val="5D5F23E3"/>
    <w:rsid w:val="63971518"/>
    <w:rsid w:val="74F1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4"/>
    </w:pPr>
    <w:rPr>
      <w:rFonts w:eastAsia="仿宋_GB2312"/>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2901</Words>
  <Characters>3134</Characters>
  <Lines>0</Lines>
  <Paragraphs>0</Paragraphs>
  <TotalTime>0</TotalTime>
  <ScaleCrop>false</ScaleCrop>
  <LinksUpToDate>false</LinksUpToDate>
  <CharactersWithSpaces>3154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2023-02-22T12:17:00Z</dcterms:created>
  <dc:creator>LENOVO</dc:creator>
  <cp:lastModifiedBy>Rocy</cp:lastModifiedBy>
  <dcterms:modified xsi:type="dcterms:W3CDTF">2025-05-08T03:09:51Z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9B7A034EF7A44234B74A35574B28D25E</vt:lpwstr>
  </property>
  <property fmtid="{D5CDD505-2E9C-101B-9397-08002B2CF9AE}" pid="4" name="KSOTemplateDocerSaveRecord">
    <vt:lpwstr>eyJoZGlkIjoiYjY3ZGExZjYwMTI4YmMyMDhjZTQxZmYxZDI0ZTcyMmYiLCJ1c2VySWQiOiIzNzEwMTY1OTEifQ==</vt:lpwstr>
  </property>
</Properties>
</file>