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2AB59">
      <w:pPr>
        <w:spacing w:line="600" w:lineRule="exact"/>
        <w:jc w:val="center"/>
        <w:rPr>
          <w:rFonts w:hint="default" w:ascii="Times New Roman" w:hAnsi="Times New Roman" w:eastAsia="方正小标宋简体" w:cs="Times New Roman"/>
          <w:sz w:val="44"/>
          <w:szCs w:val="44"/>
        </w:rPr>
      </w:pPr>
      <w:bookmarkStart w:id="0" w:name="_Toc455499232"/>
      <w:bookmarkStart w:id="1" w:name="_Toc455471526"/>
    </w:p>
    <w:p w14:paraId="67F2EF1F">
      <w:pPr>
        <w:keepNext/>
        <w:keepLines/>
        <w:adjustRightInd/>
        <w:snapToGrid/>
        <w:spacing w:line="700" w:lineRule="exact"/>
        <w:ind w:firstLine="0" w:firstLineChars="0"/>
        <w:jc w:val="center"/>
        <w:outlineLvl w:val="0"/>
        <w:rPr>
          <w:rFonts w:hint="default" w:ascii="Times New Roman" w:hAnsi="Times New Roman" w:eastAsia="方正小标宋简体" w:cs="Times New Roman"/>
          <w:bCs/>
          <w:spacing w:val="-8"/>
          <w:kern w:val="44"/>
          <w:sz w:val="44"/>
          <w:szCs w:val="44"/>
        </w:rPr>
      </w:pPr>
      <w:r>
        <w:rPr>
          <w:rFonts w:hint="default" w:ascii="Times New Roman" w:hAnsi="Times New Roman" w:eastAsia="方正小标宋简体" w:cs="Times New Roman"/>
          <w:bCs/>
          <w:spacing w:val="-8"/>
          <w:kern w:val="44"/>
          <w:sz w:val="44"/>
          <w:szCs w:val="44"/>
          <w:lang w:eastAsia="zh-CN"/>
        </w:rPr>
        <w:t>湖南省</w:t>
      </w:r>
      <w:r>
        <w:rPr>
          <w:rFonts w:hint="default" w:ascii="Times New Roman" w:hAnsi="Times New Roman" w:eastAsia="方正小标宋简体" w:cs="Times New Roman"/>
          <w:bCs/>
          <w:spacing w:val="-8"/>
          <w:kern w:val="44"/>
          <w:sz w:val="44"/>
          <w:szCs w:val="44"/>
          <w:lang w:val="en-US" w:eastAsia="zh-CN"/>
        </w:rPr>
        <w:t>2023年度</w:t>
      </w:r>
      <w:r>
        <w:rPr>
          <w:rFonts w:hint="eastAsia" w:ascii="Times New Roman" w:hAnsi="Times New Roman" w:eastAsia="方正小标宋简体" w:cs="Times New Roman"/>
          <w:bCs/>
          <w:spacing w:val="-8"/>
          <w:kern w:val="44"/>
          <w:sz w:val="44"/>
          <w:szCs w:val="44"/>
          <w:lang w:val="en-US" w:eastAsia="zh-CN"/>
        </w:rPr>
        <w:t>省级</w:t>
      </w:r>
      <w:r>
        <w:rPr>
          <w:rFonts w:hint="default" w:ascii="Times New Roman" w:hAnsi="Times New Roman" w:eastAsia="方正小标宋简体" w:cs="Times New Roman"/>
          <w:bCs/>
          <w:spacing w:val="-8"/>
          <w:kern w:val="44"/>
          <w:sz w:val="44"/>
          <w:szCs w:val="44"/>
          <w:lang w:eastAsia="zh-CN"/>
        </w:rPr>
        <w:t>农田建设</w:t>
      </w:r>
      <w:r>
        <w:rPr>
          <w:rFonts w:hint="default" w:ascii="Times New Roman" w:hAnsi="Times New Roman" w:eastAsia="方正小标宋简体" w:cs="Times New Roman"/>
          <w:bCs/>
          <w:spacing w:val="-8"/>
          <w:kern w:val="44"/>
          <w:sz w:val="44"/>
          <w:szCs w:val="44"/>
        </w:rPr>
        <w:t>项目支出绩效</w:t>
      </w:r>
    </w:p>
    <w:p w14:paraId="74C60446">
      <w:pPr>
        <w:keepNext/>
        <w:keepLines/>
        <w:adjustRightInd/>
        <w:snapToGrid/>
        <w:spacing w:line="700" w:lineRule="exact"/>
        <w:ind w:firstLine="0" w:firstLineChars="0"/>
        <w:jc w:val="center"/>
        <w:outlineLvl w:val="0"/>
        <w:rPr>
          <w:rFonts w:hint="default" w:ascii="Times New Roman" w:hAnsi="Times New Roman" w:eastAsia="方正小标宋简体" w:cs="Times New Roman"/>
          <w:bCs/>
          <w:spacing w:val="-8"/>
          <w:kern w:val="44"/>
          <w:sz w:val="44"/>
          <w:szCs w:val="44"/>
        </w:rPr>
      </w:pPr>
      <w:r>
        <w:rPr>
          <w:rFonts w:hint="default" w:ascii="Times New Roman" w:hAnsi="Times New Roman" w:eastAsia="方正小标宋简体" w:cs="Times New Roman"/>
          <w:bCs/>
          <w:spacing w:val="-8"/>
          <w:kern w:val="44"/>
          <w:sz w:val="44"/>
          <w:szCs w:val="44"/>
        </w:rPr>
        <w:t>自评报告</w:t>
      </w:r>
    </w:p>
    <w:p w14:paraId="1900D0D2">
      <w:pPr>
        <w:pStyle w:val="2"/>
        <w:rPr>
          <w:rFonts w:hint="default" w:ascii="Times New Roman" w:hAnsi="Times New Roman" w:eastAsia="方正小标宋简体" w:cs="Times New Roman"/>
          <w:bCs/>
          <w:spacing w:val="-8"/>
          <w:kern w:val="44"/>
          <w:sz w:val="44"/>
          <w:szCs w:val="44"/>
        </w:rPr>
      </w:pPr>
    </w:p>
    <w:p w14:paraId="6237C180">
      <w:pPr>
        <w:adjustRightInd w:val="0"/>
        <w:snapToGrid w:val="0"/>
        <w:spacing w:line="596"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为贯彻落实中央和省委省政府关于全面实施预算绩效管理的决策部署，强化绩效意识和支出责任，切实提高财政资金使用效益，</w:t>
      </w:r>
      <w:r>
        <w:rPr>
          <w:rFonts w:hint="default" w:ascii="Times New Roman" w:hAnsi="Times New Roman" w:eastAsia="仿宋_GB2312" w:cs="Times New Roman"/>
          <w:sz w:val="32"/>
          <w:szCs w:val="32"/>
        </w:rPr>
        <w:t>根据《中共中央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国务院关于全面实施预算绩效管理的意见》《项目支出绩效评价管理办</w:t>
      </w:r>
      <w:r>
        <w:rPr>
          <w:rFonts w:ascii="Times New Roman" w:hAnsi="Times New Roman" w:eastAsia="仿宋_GB2312" w:cs="Times New Roman"/>
          <w:sz w:val="32"/>
          <w:szCs w:val="32"/>
        </w:rPr>
        <w:t>法》（财预〔2020〕10号）</w:t>
      </w:r>
      <w:r>
        <w:rPr>
          <w:rFonts w:hint="eastAsia" w:ascii="Times New Roman" w:hAnsi="Times New Roman" w:eastAsia="仿宋_GB2312" w:cs="Times New Roman"/>
          <w:sz w:val="32"/>
          <w:szCs w:val="32"/>
        </w:rPr>
        <w:t>、《中共湖南省委办公厅 湖南省人民政府办公厅关于全面实施预算绩效管理的实施意见》（湘办发〔2019〕10号）、《湖南省财政厅关于开展202</w:t>
      </w:r>
      <w:r>
        <w:rPr>
          <w:rFonts w:hint="default" w:ascii="Times New Roman" w:hAnsi="Times New Roman" w:eastAsia="仿宋_GB2312" w:cs="Times New Roman"/>
          <w:sz w:val="32"/>
          <w:szCs w:val="32"/>
          <w:lang w:val="en"/>
        </w:rPr>
        <w:t>3</w:t>
      </w:r>
      <w:r>
        <w:rPr>
          <w:rFonts w:hint="eastAsia" w:ascii="Times New Roman" w:hAnsi="Times New Roman" w:eastAsia="仿宋_GB2312" w:cs="Times New Roman"/>
          <w:sz w:val="32"/>
          <w:szCs w:val="32"/>
        </w:rPr>
        <w:t>年度部门整体支出绩效自评和省级专项资金部门评价工作的通知》（湘财绩〔202</w:t>
      </w:r>
      <w:r>
        <w:rPr>
          <w:rFonts w:hint="default" w:ascii="Times New Roman" w:hAnsi="Times New Roman" w:eastAsia="仿宋_GB2312" w:cs="Times New Roman"/>
          <w:sz w:val="32"/>
          <w:szCs w:val="32"/>
          <w:lang w:val="en"/>
        </w:rPr>
        <w:t>4</w:t>
      </w:r>
      <w:r>
        <w:rPr>
          <w:rFonts w:hint="eastAsia" w:ascii="Times New Roman" w:hAnsi="Times New Roman" w:eastAsia="仿宋_GB2312" w:cs="Times New Roman"/>
          <w:sz w:val="32"/>
          <w:szCs w:val="32"/>
        </w:rPr>
        <w:t>〕1号）等</w:t>
      </w:r>
      <w:r>
        <w:rPr>
          <w:rFonts w:hint="eastAsia" w:ascii="Times New Roman" w:hAnsi="Times New Roman" w:eastAsia="仿宋_GB2312" w:cs="Times New Roman"/>
          <w:sz w:val="32"/>
          <w:szCs w:val="32"/>
          <w:lang w:eastAsia="zh-CN"/>
        </w:rPr>
        <w:t>文件规定</w:t>
      </w:r>
      <w:r>
        <w:rPr>
          <w:rFonts w:hint="eastAsia" w:ascii="Times New Roman" w:hAnsi="Times New Roman" w:eastAsia="仿宋_GB2312" w:cs="Times New Roman"/>
          <w:sz w:val="32"/>
          <w:szCs w:val="32"/>
        </w:rPr>
        <w:t>要求，我厅对202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省级</w:t>
      </w:r>
      <w:r>
        <w:rPr>
          <w:rFonts w:hint="eastAsia" w:ascii="Times New Roman" w:hAnsi="Times New Roman" w:eastAsia="仿宋_GB2312" w:cs="Times New Roman"/>
          <w:sz w:val="32"/>
          <w:szCs w:val="32"/>
        </w:rPr>
        <w:t>农</w:t>
      </w:r>
      <w:r>
        <w:rPr>
          <w:rFonts w:hint="eastAsia" w:ascii="Times New Roman" w:hAnsi="Times New Roman" w:eastAsia="仿宋_GB2312" w:cs="Times New Roman"/>
          <w:sz w:val="32"/>
          <w:szCs w:val="32"/>
          <w:lang w:eastAsia="zh-CN"/>
        </w:rPr>
        <w:t>田建设</w:t>
      </w:r>
      <w:r>
        <w:rPr>
          <w:rFonts w:hint="eastAsia" w:ascii="Times New Roman" w:hAnsi="Times New Roman" w:eastAsia="仿宋_GB2312" w:cs="Times New Roman"/>
          <w:sz w:val="32"/>
          <w:szCs w:val="32"/>
        </w:rPr>
        <w:t>专项资金进行了绩效自评，现将绩效自评情况汇报如下：</w:t>
      </w:r>
    </w:p>
    <w:p w14:paraId="29B8FB51">
      <w:pPr>
        <w:pStyle w:val="12"/>
        <w:keepNext w:val="0"/>
        <w:keepLines w:val="0"/>
        <w:pageBreakBefore w:val="0"/>
        <w:widowControl w:val="0"/>
        <w:kinsoku/>
        <w:wordWrap/>
        <w:overflowPunct/>
        <w:topLinePunct w:val="0"/>
        <w:autoSpaceDE/>
        <w:autoSpaceDN/>
        <w:bidi w:val="0"/>
        <w:adjustRightInd/>
        <w:spacing w:afterAutospacing="0"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14:paraId="560A4EB2">
      <w:pPr>
        <w:pStyle w:val="12"/>
        <w:keepNext w:val="0"/>
        <w:keepLines w:val="0"/>
        <w:pageBreakBefore w:val="0"/>
        <w:widowControl w:val="0"/>
        <w:kinsoku/>
        <w:wordWrap/>
        <w:overflowPunct/>
        <w:topLinePunct w:val="0"/>
        <w:autoSpaceDE/>
        <w:autoSpaceDN/>
        <w:bidi w:val="0"/>
        <w:adjustRightInd/>
        <w:spacing w:afterAutospacing="0" w:line="58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（一）专项概况</w:t>
      </w:r>
    </w:p>
    <w:p w14:paraId="227DE136">
      <w:pPr>
        <w:pStyle w:val="12"/>
        <w:keepNext w:val="0"/>
        <w:keepLines w:val="0"/>
        <w:pageBreakBefore w:val="0"/>
        <w:widowControl w:val="0"/>
        <w:kinsoku/>
        <w:wordWrap/>
        <w:overflowPunct/>
        <w:topLinePunct w:val="0"/>
        <w:autoSpaceDE/>
        <w:autoSpaceDN/>
        <w:bidi w:val="0"/>
        <w:adjustRightInd/>
        <w:spacing w:afterAutospacing="0" w:line="580" w:lineRule="exact"/>
        <w:ind w:firstLine="640" w:firstLineChars="200"/>
        <w:jc w:val="both"/>
        <w:textAlignment w:val="auto"/>
        <w:rPr>
          <w:rFonts w:hint="default" w:ascii="Times New Roman" w:hAnsi="Times New Roman" w:cs="Times New Roman"/>
          <w:highlight w:val="yellow"/>
        </w:rPr>
      </w:pPr>
      <w:r>
        <w:rPr>
          <w:rFonts w:hint="default" w:ascii="Times New Roman" w:hAnsi="Times New Roman" w:eastAsia="仿宋_GB2312" w:cs="Times New Roman"/>
          <w:sz w:val="32"/>
          <w:szCs w:val="32"/>
        </w:rPr>
        <w:t>2023年，我省以习近平新时代中国特色社会主义思想为指导，深入贯彻党的二十大精神，落实党中央、国务院决策部署，紧紧围绕农田建设中心任务，注重创新思路、强化管理、提升能力、服务大局，高标准农田建设各项工作取得了较好成效。</w:t>
      </w:r>
      <w:r>
        <w:rPr>
          <w:rFonts w:hint="eastAsia"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rPr>
        <w:t>省级</w:t>
      </w:r>
      <w:r>
        <w:rPr>
          <w:rFonts w:hint="eastAsia" w:ascii="Times New Roman" w:hAnsi="Times New Roman" w:eastAsia="仿宋_GB2312" w:cs="Times New Roman"/>
          <w:sz w:val="32"/>
          <w:szCs w:val="32"/>
          <w:lang w:eastAsia="zh-CN"/>
        </w:rPr>
        <w:t>农田建设专项</w:t>
      </w:r>
      <w:r>
        <w:rPr>
          <w:rFonts w:hint="default"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127730万</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，全省</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高标准农田</w:t>
      </w:r>
      <w:r>
        <w:rPr>
          <w:rFonts w:hint="default" w:ascii="Times New Roman" w:hAnsi="Times New Roman" w:eastAsia="仿宋_GB2312" w:cs="Times New Roman"/>
          <w:sz w:val="32"/>
          <w:szCs w:val="32"/>
          <w:lang w:val="en-US" w:eastAsia="zh-CN"/>
        </w:rPr>
        <w:t>345</w:t>
      </w:r>
      <w:r>
        <w:rPr>
          <w:rFonts w:hint="default" w:ascii="Times New Roman" w:hAnsi="Times New Roman" w:eastAsia="仿宋_GB2312" w:cs="Times New Roman"/>
          <w:sz w:val="32"/>
          <w:szCs w:val="32"/>
        </w:rPr>
        <w:t>万亩</w:t>
      </w:r>
      <w:r>
        <w:rPr>
          <w:rFonts w:hint="default" w:ascii="Times New Roman" w:hAnsi="Times New Roman" w:eastAsia="仿宋_GB2312" w:cs="Times New Roman"/>
          <w:sz w:val="32"/>
          <w:szCs w:val="32"/>
          <w:lang w:eastAsia="zh-CN"/>
        </w:rPr>
        <w:t>，其中新建</w:t>
      </w:r>
      <w:r>
        <w:rPr>
          <w:rFonts w:hint="default" w:ascii="Times New Roman" w:hAnsi="Times New Roman" w:eastAsia="仿宋_GB2312" w:cs="Times New Roman"/>
          <w:sz w:val="32"/>
          <w:szCs w:val="32"/>
          <w:lang w:val="en-US" w:eastAsia="zh-CN"/>
        </w:rPr>
        <w:t>175万亩、改造提升170万亩</w:t>
      </w:r>
      <w:r>
        <w:rPr>
          <w:rFonts w:hint="default" w:ascii="Times New Roman" w:hAnsi="Times New Roman" w:eastAsia="仿宋_GB2312" w:cs="Times New Roman"/>
          <w:color w:val="000000"/>
          <w:sz w:val="32"/>
          <w:szCs w:val="32"/>
        </w:rPr>
        <w:t>，全面完成年度目标任务</w:t>
      </w:r>
      <w:r>
        <w:rPr>
          <w:rFonts w:hint="default" w:ascii="Times New Roman" w:hAnsi="Times New Roman" w:eastAsia="仿宋_GB2312" w:cs="Times New Roman"/>
          <w:sz w:val="32"/>
          <w:szCs w:val="32"/>
          <w:lang w:eastAsia="zh-CN"/>
        </w:rPr>
        <w:t>。</w:t>
      </w:r>
    </w:p>
    <w:p w14:paraId="0B198DE3">
      <w:pPr>
        <w:pStyle w:val="12"/>
        <w:keepNext w:val="0"/>
        <w:keepLines w:val="0"/>
        <w:pageBreakBefore w:val="0"/>
        <w:widowControl w:val="0"/>
        <w:kinsoku/>
        <w:wordWrap/>
        <w:overflowPunct/>
        <w:topLinePunct w:val="0"/>
        <w:autoSpaceDE/>
        <w:autoSpaceDN/>
        <w:bidi w:val="0"/>
        <w:adjustRightInd/>
        <w:spacing w:afterAutospacing="0" w:line="580" w:lineRule="exact"/>
        <w:ind w:firstLine="643" w:firstLineChars="200"/>
        <w:textAlignment w:val="auto"/>
        <w:rPr>
          <w:rFonts w:hint="default" w:ascii="Times New Roman" w:hAnsi="Times New Roman" w:eastAsia="华文细黑" w:cs="Times New Roman"/>
          <w:sz w:val="32"/>
          <w:szCs w:val="32"/>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专项实施情况分析</w:t>
      </w:r>
    </w:p>
    <w:p w14:paraId="2EED6857">
      <w:pPr>
        <w:pStyle w:val="12"/>
        <w:keepNext w:val="0"/>
        <w:keepLines w:val="0"/>
        <w:pageBreakBefore w:val="0"/>
        <w:widowControl w:val="0"/>
        <w:kinsoku/>
        <w:wordWrap/>
        <w:overflowPunct/>
        <w:topLinePunct w:val="0"/>
        <w:autoSpaceDE/>
        <w:autoSpaceDN/>
        <w:bidi w:val="0"/>
        <w:adjustRightInd/>
        <w:spacing w:afterAutospacing="0" w:line="58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lang w:eastAsia="zh-CN"/>
        </w:rPr>
        <w:t>项目资金到位和使用情况</w:t>
      </w:r>
    </w:p>
    <w:p w14:paraId="08867226">
      <w:pPr>
        <w:spacing w:line="60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年省级</w:t>
      </w:r>
      <w:r>
        <w:rPr>
          <w:rFonts w:hint="eastAsia" w:ascii="Times New Roman" w:hAnsi="Times New Roman" w:eastAsia="仿宋_GB2312" w:cs="Times New Roman"/>
          <w:sz w:val="32"/>
          <w:szCs w:val="32"/>
          <w:highlight w:val="none"/>
          <w:lang w:eastAsia="zh-CN"/>
        </w:rPr>
        <w:t>农田建设</w:t>
      </w:r>
      <w:r>
        <w:rPr>
          <w:rFonts w:hint="default" w:ascii="Times New Roman" w:hAnsi="Times New Roman" w:eastAsia="仿宋_GB2312" w:cs="Times New Roman"/>
          <w:color w:val="000000"/>
          <w:sz w:val="32"/>
          <w:szCs w:val="32"/>
          <w:highlight w:val="none"/>
        </w:rPr>
        <w:t>资金具体下达情况如下：</w:t>
      </w:r>
    </w:p>
    <w:tbl>
      <w:tblPr>
        <w:tblStyle w:val="19"/>
        <w:tblW w:w="8760" w:type="dxa"/>
        <w:jc w:val="center"/>
        <w:tblLayout w:type="fixed"/>
        <w:tblCellMar>
          <w:top w:w="0" w:type="dxa"/>
          <w:left w:w="108" w:type="dxa"/>
          <w:bottom w:w="0" w:type="dxa"/>
          <w:right w:w="108" w:type="dxa"/>
        </w:tblCellMar>
      </w:tblPr>
      <w:tblGrid>
        <w:gridCol w:w="795"/>
        <w:gridCol w:w="2700"/>
        <w:gridCol w:w="3990"/>
        <w:gridCol w:w="1275"/>
      </w:tblGrid>
      <w:tr w14:paraId="4680866C">
        <w:tblPrEx>
          <w:tblCellMar>
            <w:top w:w="0" w:type="dxa"/>
            <w:left w:w="108" w:type="dxa"/>
            <w:bottom w:w="0" w:type="dxa"/>
            <w:right w:w="108" w:type="dxa"/>
          </w:tblCellMar>
        </w:tblPrEx>
        <w:trPr>
          <w:trHeight w:val="740" w:hRule="atLeast"/>
          <w:jc w:val="center"/>
        </w:trPr>
        <w:tc>
          <w:tcPr>
            <w:tcW w:w="795"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60AEE7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序号</w:t>
            </w:r>
          </w:p>
        </w:tc>
        <w:tc>
          <w:tcPr>
            <w:tcW w:w="2700" w:type="dxa"/>
            <w:tcBorders>
              <w:top w:val="single" w:color="auto" w:sz="4" w:space="0"/>
              <w:left w:val="nil"/>
              <w:bottom w:val="single" w:color="auto" w:sz="4" w:space="0"/>
              <w:right w:val="single" w:color="000000" w:sz="8" w:space="0"/>
            </w:tcBorders>
            <w:shd w:val="clear" w:color="auto" w:fill="auto"/>
            <w:vAlign w:val="center"/>
          </w:tcPr>
          <w:p w14:paraId="70326E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指标文号</w:t>
            </w:r>
          </w:p>
        </w:tc>
        <w:tc>
          <w:tcPr>
            <w:tcW w:w="3990" w:type="dxa"/>
            <w:tcBorders>
              <w:top w:val="single" w:color="auto" w:sz="4" w:space="0"/>
              <w:left w:val="nil"/>
              <w:bottom w:val="single" w:color="auto" w:sz="4" w:space="0"/>
              <w:right w:val="single" w:color="000000" w:sz="8" w:space="0"/>
            </w:tcBorders>
            <w:shd w:val="clear" w:color="auto" w:fill="auto"/>
            <w:vAlign w:val="center"/>
          </w:tcPr>
          <w:p w14:paraId="4D33DE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指标内容</w:t>
            </w:r>
          </w:p>
        </w:tc>
        <w:tc>
          <w:tcPr>
            <w:tcW w:w="1275" w:type="dxa"/>
            <w:tcBorders>
              <w:top w:val="single" w:color="auto" w:sz="4" w:space="0"/>
              <w:left w:val="nil"/>
              <w:bottom w:val="single" w:color="auto" w:sz="4" w:space="0"/>
              <w:right w:val="single" w:color="auto" w:sz="4" w:space="0"/>
            </w:tcBorders>
            <w:shd w:val="clear" w:color="auto" w:fill="auto"/>
            <w:vAlign w:val="center"/>
          </w:tcPr>
          <w:p w14:paraId="3B98BB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金额</w:t>
            </w:r>
          </w:p>
          <w:p w14:paraId="3A9B3B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（万元）</w:t>
            </w:r>
          </w:p>
        </w:tc>
      </w:tr>
      <w:tr w14:paraId="4A2B12BA">
        <w:tblPrEx>
          <w:tblCellMar>
            <w:top w:w="0" w:type="dxa"/>
            <w:left w:w="108" w:type="dxa"/>
            <w:bottom w:w="0" w:type="dxa"/>
            <w:right w:w="108" w:type="dxa"/>
          </w:tblCellMar>
        </w:tblPrEx>
        <w:trPr>
          <w:trHeight w:val="695" w:hRule="atLeast"/>
          <w:jc w:val="center"/>
        </w:trPr>
        <w:tc>
          <w:tcPr>
            <w:tcW w:w="795"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3F3995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w:t>
            </w:r>
          </w:p>
        </w:tc>
        <w:tc>
          <w:tcPr>
            <w:tcW w:w="2700" w:type="dxa"/>
            <w:tcBorders>
              <w:top w:val="single" w:color="auto" w:sz="4" w:space="0"/>
              <w:left w:val="nil"/>
              <w:bottom w:val="single" w:color="auto" w:sz="4" w:space="0"/>
              <w:right w:val="single" w:color="000000" w:sz="8" w:space="0"/>
            </w:tcBorders>
            <w:shd w:val="clear" w:color="auto" w:fill="auto"/>
            <w:vAlign w:val="center"/>
          </w:tcPr>
          <w:p w14:paraId="78D412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湘财农指〔202</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31</w:t>
            </w:r>
            <w:r>
              <w:rPr>
                <w:rFonts w:hint="default" w:ascii="Times New Roman" w:hAnsi="Times New Roman" w:eastAsia="仿宋_GB2312" w:cs="Times New Roman"/>
                <w:sz w:val="24"/>
                <w:szCs w:val="24"/>
                <w:highlight w:val="none"/>
                <w:lang w:eastAsia="zh-CN"/>
              </w:rPr>
              <w:t>号</w:t>
            </w:r>
          </w:p>
        </w:tc>
        <w:tc>
          <w:tcPr>
            <w:tcW w:w="3990" w:type="dxa"/>
            <w:tcBorders>
              <w:top w:val="single" w:color="auto" w:sz="4" w:space="0"/>
              <w:left w:val="nil"/>
              <w:bottom w:val="single" w:color="auto" w:sz="4" w:space="0"/>
              <w:right w:val="single" w:color="000000" w:sz="8" w:space="0"/>
            </w:tcBorders>
            <w:shd w:val="clear" w:color="auto" w:fill="auto"/>
            <w:vAlign w:val="center"/>
          </w:tcPr>
          <w:p w14:paraId="517979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湖南省财政厅关于下达202</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lang w:eastAsia="zh-CN"/>
              </w:rPr>
              <w:t>年省级农田建设补助资金的通知</w:t>
            </w:r>
          </w:p>
        </w:tc>
        <w:tc>
          <w:tcPr>
            <w:tcW w:w="1275" w:type="dxa"/>
            <w:tcBorders>
              <w:top w:val="single" w:color="auto" w:sz="4" w:space="0"/>
              <w:left w:val="nil"/>
              <w:bottom w:val="single" w:color="auto" w:sz="4" w:space="0"/>
              <w:right w:val="single" w:color="auto" w:sz="4" w:space="0"/>
            </w:tcBorders>
            <w:shd w:val="clear" w:color="auto" w:fill="auto"/>
            <w:vAlign w:val="center"/>
          </w:tcPr>
          <w:p w14:paraId="1DE6B9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127430</w:t>
            </w:r>
          </w:p>
        </w:tc>
      </w:tr>
      <w:tr w14:paraId="67EEDCD8">
        <w:tblPrEx>
          <w:tblCellMar>
            <w:top w:w="0" w:type="dxa"/>
            <w:left w:w="108" w:type="dxa"/>
            <w:bottom w:w="0" w:type="dxa"/>
            <w:right w:w="108" w:type="dxa"/>
          </w:tblCellMar>
        </w:tblPrEx>
        <w:trPr>
          <w:trHeight w:val="679" w:hRule="atLeast"/>
          <w:jc w:val="center"/>
        </w:trPr>
        <w:tc>
          <w:tcPr>
            <w:tcW w:w="795" w:type="dxa"/>
            <w:tcBorders>
              <w:top w:val="single" w:color="auto" w:sz="4" w:space="0"/>
              <w:left w:val="single" w:color="000000" w:sz="8" w:space="0"/>
              <w:bottom w:val="single" w:color="000000" w:sz="4" w:space="0"/>
              <w:right w:val="single" w:color="000000" w:sz="8" w:space="0"/>
            </w:tcBorders>
            <w:shd w:val="clear" w:color="auto" w:fill="auto"/>
            <w:noWrap/>
            <w:vAlign w:val="center"/>
          </w:tcPr>
          <w:p w14:paraId="74C14E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2</w:t>
            </w:r>
          </w:p>
        </w:tc>
        <w:tc>
          <w:tcPr>
            <w:tcW w:w="2700" w:type="dxa"/>
            <w:tcBorders>
              <w:top w:val="single" w:color="auto" w:sz="4" w:space="0"/>
              <w:left w:val="nil"/>
              <w:bottom w:val="single" w:color="000000" w:sz="8" w:space="0"/>
              <w:right w:val="single" w:color="000000" w:sz="8" w:space="0"/>
            </w:tcBorders>
            <w:shd w:val="clear" w:color="auto" w:fill="auto"/>
            <w:vAlign w:val="center"/>
          </w:tcPr>
          <w:p w14:paraId="3967AA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湘财预〔2023〕20号</w:t>
            </w:r>
          </w:p>
        </w:tc>
        <w:tc>
          <w:tcPr>
            <w:tcW w:w="3990" w:type="dxa"/>
            <w:tcBorders>
              <w:top w:val="single" w:color="auto" w:sz="4" w:space="0"/>
              <w:left w:val="nil"/>
              <w:bottom w:val="single" w:color="000000" w:sz="8" w:space="0"/>
              <w:right w:val="single" w:color="000000" w:sz="8" w:space="0"/>
            </w:tcBorders>
            <w:shd w:val="clear" w:color="auto" w:fill="auto"/>
            <w:vAlign w:val="center"/>
          </w:tcPr>
          <w:p w14:paraId="77891F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湖南省财政厅关于省农业农村厅等五家单位2023年部门预算的批复</w:t>
            </w:r>
          </w:p>
        </w:tc>
        <w:tc>
          <w:tcPr>
            <w:tcW w:w="1275" w:type="dxa"/>
            <w:tcBorders>
              <w:top w:val="single" w:color="auto" w:sz="4" w:space="0"/>
              <w:left w:val="nil"/>
              <w:bottom w:val="single" w:color="000000" w:sz="8" w:space="0"/>
              <w:right w:val="single" w:color="000000" w:sz="8" w:space="0"/>
            </w:tcBorders>
            <w:shd w:val="clear" w:color="auto" w:fill="auto"/>
            <w:vAlign w:val="center"/>
          </w:tcPr>
          <w:p w14:paraId="369570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300</w:t>
            </w:r>
          </w:p>
        </w:tc>
      </w:tr>
      <w:tr w14:paraId="3F5E0AD2">
        <w:tblPrEx>
          <w:tblCellMar>
            <w:top w:w="0" w:type="dxa"/>
            <w:left w:w="108" w:type="dxa"/>
            <w:bottom w:w="0" w:type="dxa"/>
            <w:right w:w="108" w:type="dxa"/>
          </w:tblCellMar>
        </w:tblPrEx>
        <w:trPr>
          <w:trHeight w:val="557" w:hRule="atLeast"/>
          <w:jc w:val="center"/>
        </w:trPr>
        <w:tc>
          <w:tcPr>
            <w:tcW w:w="79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54E9D2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p>
        </w:tc>
        <w:tc>
          <w:tcPr>
            <w:tcW w:w="2700" w:type="dxa"/>
            <w:tcBorders>
              <w:top w:val="nil"/>
              <w:left w:val="nil"/>
              <w:bottom w:val="single" w:color="000000" w:sz="8" w:space="0"/>
              <w:right w:val="single" w:color="000000" w:sz="8" w:space="0"/>
            </w:tcBorders>
            <w:shd w:val="clear" w:color="auto" w:fill="auto"/>
            <w:vAlign w:val="center"/>
          </w:tcPr>
          <w:p w14:paraId="440783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合计</w:t>
            </w:r>
          </w:p>
        </w:tc>
        <w:tc>
          <w:tcPr>
            <w:tcW w:w="3990" w:type="dxa"/>
            <w:tcBorders>
              <w:top w:val="nil"/>
              <w:left w:val="nil"/>
              <w:bottom w:val="single" w:color="000000" w:sz="8" w:space="0"/>
              <w:right w:val="single" w:color="000000" w:sz="8" w:space="0"/>
            </w:tcBorders>
            <w:shd w:val="clear" w:color="auto" w:fill="auto"/>
            <w:vAlign w:val="center"/>
          </w:tcPr>
          <w:p w14:paraId="56AD75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eastAsia="zh-CN"/>
              </w:rPr>
            </w:pPr>
          </w:p>
        </w:tc>
        <w:tc>
          <w:tcPr>
            <w:tcW w:w="1275" w:type="dxa"/>
            <w:tcBorders>
              <w:top w:val="nil"/>
              <w:left w:val="nil"/>
              <w:bottom w:val="single" w:color="000000" w:sz="8" w:space="0"/>
              <w:right w:val="single" w:color="000000" w:sz="8" w:space="0"/>
            </w:tcBorders>
            <w:shd w:val="clear" w:color="auto" w:fill="auto"/>
            <w:vAlign w:val="center"/>
          </w:tcPr>
          <w:p w14:paraId="77EEB3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127730</w:t>
            </w:r>
          </w:p>
        </w:tc>
      </w:tr>
    </w:tbl>
    <w:p w14:paraId="3733F619">
      <w:pPr>
        <w:keepNext w:val="0"/>
        <w:keepLines w:val="0"/>
        <w:pageBreakBefore w:val="0"/>
        <w:widowControl w:val="0"/>
        <w:kinsoku/>
        <w:wordWrap/>
        <w:overflowPunct/>
        <w:topLinePunct w:val="0"/>
        <w:autoSpaceDE/>
        <w:autoSpaceDN/>
        <w:bidi w:val="0"/>
        <w:adjustRightInd/>
        <w:snapToGrid/>
        <w:spacing w:before="157" w:beforeLines="5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以上所有资金全部用于我省202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年度</w:t>
      </w:r>
      <w:r>
        <w:rPr>
          <w:rFonts w:hint="default" w:ascii="Times New Roman" w:hAnsi="Times New Roman" w:eastAsia="仿宋_GB2312" w:cs="Times New Roman"/>
          <w:color w:val="000000"/>
          <w:sz w:val="32"/>
          <w:szCs w:val="32"/>
          <w:lang w:val="en-US" w:eastAsia="zh-CN"/>
        </w:rPr>
        <w:t>345</w:t>
      </w:r>
      <w:r>
        <w:rPr>
          <w:rFonts w:hint="default" w:ascii="Times New Roman" w:hAnsi="Times New Roman" w:eastAsia="仿宋_GB2312" w:cs="Times New Roman"/>
          <w:color w:val="000000"/>
          <w:sz w:val="32"/>
          <w:szCs w:val="32"/>
        </w:rPr>
        <w:t>万亩高标准农田建设，分布于全省14个市州12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个县市区（管理区）。以土地平整、土壤改良、灌溉与排水、高效节水灌溉、田间道路、农田防护与生态环境保护、科技推广措施和其他工作及措施等八大类别实施。</w:t>
      </w:r>
    </w:p>
    <w:p w14:paraId="4D49A250">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2、资金管理情况</w:t>
      </w:r>
    </w:p>
    <w:p w14:paraId="05FBEEDD">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color w:val="000000"/>
          <w:sz w:val="32"/>
          <w:szCs w:val="32"/>
          <w:shd w:val="clear" w:color="auto" w:fill="FFFFFF"/>
        </w:rPr>
        <w:t>严格执行《农田建设补助资金管理办法》相关规定，</w:t>
      </w:r>
      <w:r>
        <w:rPr>
          <w:rFonts w:hint="default" w:ascii="Times New Roman" w:hAnsi="Times New Roman" w:eastAsia="仿宋_GB2312" w:cs="Times New Roman"/>
          <w:color w:val="000000"/>
          <w:sz w:val="32"/>
          <w:szCs w:val="32"/>
          <w:shd w:val="clear" w:color="auto" w:fill="FFFFFF"/>
          <w:lang w:eastAsia="zh-CN"/>
        </w:rPr>
        <w:t>要求各县市区</w:t>
      </w:r>
      <w:r>
        <w:rPr>
          <w:rFonts w:hint="default" w:ascii="Times New Roman" w:hAnsi="Times New Roman" w:eastAsia="仿宋_GB2312" w:cs="Times New Roman"/>
          <w:color w:val="000000"/>
          <w:sz w:val="32"/>
          <w:szCs w:val="32"/>
          <w:shd w:val="clear" w:color="auto" w:fill="FFFFFF"/>
        </w:rPr>
        <w:t>按合同约定支付，对资金拨付滞后的县予以通报，下达督办函督促整改。各县市区根据本级情况制定了相应的资金管理制度，健全了项目资金支付手续。资金管理人员和项目实施监管人员</w:t>
      </w:r>
      <w:r>
        <w:rPr>
          <w:rFonts w:hint="eastAsia" w:ascii="Times New Roman" w:hAnsi="Times New Roman" w:eastAsia="仿宋_GB2312" w:cs="Times New Roman"/>
          <w:color w:val="000000"/>
          <w:sz w:val="32"/>
          <w:szCs w:val="32"/>
          <w:shd w:val="clear" w:color="auto" w:fill="FFFFFF"/>
          <w:lang w:eastAsia="zh-CN"/>
        </w:rPr>
        <w:t>既</w:t>
      </w:r>
      <w:r>
        <w:rPr>
          <w:rFonts w:hint="default" w:ascii="Times New Roman" w:hAnsi="Times New Roman" w:eastAsia="仿宋_GB2312" w:cs="Times New Roman"/>
          <w:color w:val="000000"/>
          <w:sz w:val="32"/>
          <w:szCs w:val="32"/>
          <w:shd w:val="clear" w:color="auto" w:fill="FFFFFF"/>
        </w:rPr>
        <w:t>分工又合作，确保财政资金安全。项目建设期间，在项目区对建设规模、工期、财政资金数量进行公示，让当地群众知道国家投入了多少资金，做了多少事情，邀请项目区乡镇有关部门、群众代表到项目区进行工程质量、数量的监督，加强了社会监督。施工期间，由专业的工程监理进行现场监理，农业农村部门农田建设技术人员</w:t>
      </w:r>
      <w:r>
        <w:rPr>
          <w:rFonts w:hint="eastAsia" w:ascii="Times New Roman" w:hAnsi="Times New Roman" w:eastAsia="仿宋_GB2312" w:cs="Times New Roman"/>
          <w:color w:val="000000"/>
          <w:sz w:val="32"/>
          <w:szCs w:val="32"/>
          <w:shd w:val="clear" w:color="auto" w:fill="FFFFFF"/>
          <w:lang w:eastAsia="zh-CN"/>
        </w:rPr>
        <w:t>跟踪监督</w:t>
      </w:r>
      <w:r>
        <w:rPr>
          <w:rFonts w:hint="default" w:ascii="Times New Roman" w:hAnsi="Times New Roman" w:eastAsia="仿宋_GB2312" w:cs="Times New Roman"/>
          <w:color w:val="000000"/>
          <w:sz w:val="32"/>
          <w:szCs w:val="32"/>
          <w:shd w:val="clear" w:color="auto" w:fill="FFFFFF"/>
        </w:rPr>
        <w:t>，定期或不定期到项目现场进行检查，形成政府监督、第三方公司监管、群众参与的多方监管体系，保证了项目的建设质量。项目资金投入事前有预算评审，事后有结算评审，充分发挥财政资金的经济效益和社会效益。</w:t>
      </w:r>
    </w:p>
    <w:p w14:paraId="71B14F99">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rPr>
        <w:t>3</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项目组织和管理情况</w:t>
      </w:r>
    </w:p>
    <w:p w14:paraId="608B283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2023年1月，我</w:t>
      </w:r>
      <w:r>
        <w:rPr>
          <w:rFonts w:hint="eastAsia"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统筹考虑各县市新建高标准农田潜力、粮食播种任务和工作绩效等</w:t>
      </w:r>
      <w:r>
        <w:rPr>
          <w:rFonts w:hint="default" w:ascii="Times New Roman" w:hAnsi="Times New Roman" w:eastAsia="仿宋_GB2312" w:cs="Times New Roman"/>
          <w:color w:val="000000"/>
          <w:sz w:val="32"/>
          <w:szCs w:val="32"/>
        </w:rPr>
        <w:t>因素</w:t>
      </w:r>
      <w:r>
        <w:rPr>
          <w:rFonts w:hint="default" w:ascii="Times New Roman" w:hAnsi="Times New Roman" w:eastAsia="仿宋_GB2312" w:cs="Times New Roman"/>
          <w:sz w:val="32"/>
          <w:szCs w:val="32"/>
        </w:rPr>
        <w:t>，下发了《关于下达2023年农田建设任务及编制项目实施计划的通知》（湘农发〔2023〕8号），将345万亩高标准农田建设任务分解到14个市州的125个县市区（管理区），各地在收到任务后，迅速启动了2023年度项目建设各项工作。</w:t>
      </w:r>
    </w:p>
    <w:p w14:paraId="4135CA1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6月，各市州农业农村部门组织完成了项目初步设计评审和年度实施计划编制并报省农业农村厅备案审批。7月，完成了2023年高标准农田建设项目实施计划的批复并报农业农村部备案，同时组织各市州、县市区及时填报农田建设综合监测监管系统，按时完成了项目审批及备案工作。</w:t>
      </w:r>
    </w:p>
    <w:p w14:paraId="237A7849">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我省高标准农田建设项目全部采用公开招标方式，实行代理招标。各县市区农业农村部门制定202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高标准农田建设项目招标方案，并上报各市州农业农村局审批。方案经审批后，各县市区相继在湖南省招标投标监管网等媒体上发布工程招标公告，随后采用电子招投标形式进行公开招投标，最后在网站公示中标候选人，期满后签订了施工合同。高标准农田建设项目的招投标按照国家招投标相关规定进行，目前没有发现违法事件。严格执行项目调整的有关规定，确保了项目按计划落实。我省高标准农田建设项目验收按照县级初验、市级验收、省级抽查进行。</w:t>
      </w:r>
      <w:r>
        <w:rPr>
          <w:rFonts w:hint="eastAsia"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厅印发了《关于做好农田建设项目竣工验收工作的通知》（湘农办农建〔2021〕75 号），明确了项目竣工验收主体及责任，严格了项目竣工验收条件，确定了项目竣工验收内容，规范了项目竣工验收程序，目前各市州、县市区正在开展项目竣工验收工作</w:t>
      </w:r>
      <w:r>
        <w:rPr>
          <w:rFonts w:hint="default" w:ascii="Times New Roman" w:hAnsi="Times New Roman" w:eastAsia="仿宋_GB2312" w:cs="Times New Roman"/>
          <w:sz w:val="32"/>
          <w:szCs w:val="32"/>
          <w:lang w:eastAsia="zh-CN"/>
        </w:rPr>
        <w:t>。</w:t>
      </w:r>
    </w:p>
    <w:p w14:paraId="53D0EE2D">
      <w:p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highlight w:val="none"/>
          <w:lang w:eastAsia="zh-CN"/>
        </w:rPr>
        <w:t>二、绩效情况</w:t>
      </w:r>
    </w:p>
    <w:p w14:paraId="435DC59A">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省通过高标准农田建设和整合其他资金，预计可新增耕地面积1.62万亩，新增和改善灌溉达标面积249.44万亩；新增和改善排水达标面积161.74万亩；新增高效节水灌溉面积14.67万亩，年节约水量58225.07万立方米；增加机耕面积70.6万亩。预计新增粮食37913.59万公斤。项目区年直接受益农户数量1592973户，项目区年直接受益农业人口6098878人，项目区直接受益农民年纯收入增加总额90297.65万元。</w:t>
      </w:r>
    </w:p>
    <w:p w14:paraId="302B109A">
      <w:pPr>
        <w:autoSpaceDE w:val="0"/>
        <w:autoSpaceDN w:val="0"/>
        <w:adjustRightInd w:val="0"/>
        <w:spacing w:line="600" w:lineRule="exact"/>
        <w:ind w:firstLine="640" w:firstLineChars="200"/>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项目竣工验收后，按照“谁受益、谁管护，谁使用、谁管护”的原则，项目建设单位将形成的资产及时移交给管护责任主体，由管护责任主体确定管护责任人进行管护，保证项目在设计使用期限内正常运转，使项目发挥最大效益。根据项目的实施、日常监管和抽查，未发现工程质量不达标情况。</w:t>
      </w:r>
    </w:p>
    <w:p w14:paraId="5AC22524">
      <w:pPr>
        <w:pStyle w:val="2"/>
        <w:ind w:left="0" w:leftChars="0" w:firstLine="640" w:firstLineChars="200"/>
        <w:rPr>
          <w:rFonts w:hint="default" w:eastAsia="仿宋_GB2312"/>
          <w:lang w:val="en-US" w:eastAsia="zh-CN"/>
        </w:rPr>
      </w:pPr>
      <w:r>
        <w:rPr>
          <w:rFonts w:hint="eastAsia" w:ascii="Times New Roman" w:hAnsi="Times New Roman" w:eastAsia="仿宋_GB2312" w:cs="Times New Roman"/>
          <w:color w:val="000000"/>
          <w:sz w:val="32"/>
          <w:szCs w:val="32"/>
          <w:shd w:val="clear" w:color="auto" w:fill="FFFFFF"/>
          <w:lang w:val="en-US" w:eastAsia="zh-CN"/>
        </w:rPr>
        <w:t>2023年</w:t>
      </w:r>
      <w:r>
        <w:rPr>
          <w:rFonts w:hint="eastAsia" w:ascii="Times New Roman" w:hAnsi="Times New Roman" w:eastAsia="仿宋_GB2312" w:cs="Times New Roman"/>
          <w:color w:val="000000"/>
          <w:sz w:val="32"/>
          <w:szCs w:val="32"/>
          <w:shd w:val="clear" w:color="auto" w:fill="FFFFFF"/>
          <w:lang w:eastAsia="zh-CN"/>
        </w:rPr>
        <w:t>绩效目标指标完成情况见附件</w:t>
      </w:r>
      <w:r>
        <w:rPr>
          <w:rFonts w:hint="eastAsia" w:ascii="Times New Roman" w:hAnsi="Times New Roman" w:eastAsia="仿宋_GB2312" w:cs="Times New Roman"/>
          <w:color w:val="000000"/>
          <w:sz w:val="32"/>
          <w:szCs w:val="32"/>
          <w:shd w:val="clear" w:color="auto" w:fill="FFFFFF"/>
          <w:lang w:val="en-US" w:eastAsia="zh-CN"/>
        </w:rPr>
        <w:t>1。</w:t>
      </w:r>
    </w:p>
    <w:p w14:paraId="2F3E0514">
      <w:pPr>
        <w:spacing w:line="600" w:lineRule="exact"/>
        <w:ind w:firstLine="640" w:firstLineChars="200"/>
        <w:rPr>
          <w:rFonts w:hint="default" w:ascii="Times New Roman" w:hAnsi="Times New Roman" w:eastAsia="黑体" w:cs="Times New Roman"/>
          <w:sz w:val="32"/>
          <w:szCs w:val="32"/>
          <w:lang w:val="en" w:eastAsia="zh-CN"/>
        </w:rPr>
      </w:pPr>
      <w:r>
        <w:rPr>
          <w:rFonts w:hint="eastAsia" w:ascii="Times New Roman" w:hAnsi="Times New Roman" w:eastAsia="黑体" w:cs="Times New Roman"/>
          <w:sz w:val="32"/>
          <w:szCs w:val="32"/>
          <w:lang w:val="en" w:eastAsia="zh-CN"/>
        </w:rPr>
        <w:t>三、评价情况及结论</w:t>
      </w:r>
    </w:p>
    <w:p w14:paraId="475ADAD5">
      <w:pPr>
        <w:autoSpaceDE w:val="0"/>
        <w:autoSpaceDN w:val="0"/>
        <w:adjustRightInd w:val="0"/>
        <w:spacing w:line="600" w:lineRule="exact"/>
        <w:ind w:firstLine="640" w:firstLineChars="200"/>
        <w:rPr>
          <w:rFonts w:hint="default" w:ascii="Times New Roman" w:hAnsi="Times New Roman" w:eastAsia="仿宋_GB2312" w:cs="Times New Roman"/>
          <w:lang w:val="en-US" w:eastAsia="zh-CN"/>
        </w:rPr>
      </w:pPr>
      <w:r>
        <w:rPr>
          <w:rFonts w:hint="eastAsia" w:ascii="Times New Roman" w:hAnsi="Times New Roman" w:eastAsia="仿宋_GB2312" w:cs="Times New Roman"/>
          <w:color w:val="000000"/>
          <w:sz w:val="32"/>
          <w:szCs w:val="32"/>
          <w:shd w:val="clear" w:color="auto" w:fill="FFFFFF"/>
          <w:lang w:val="en-US" w:eastAsia="zh-CN"/>
        </w:rPr>
        <w:t>根据《湖南省财政厅关于开展2023年度部门整体支出绩效自评和省级专项资金部门评价工作的通知》（湘财绩〔2024〕1号）的要求，我厅</w:t>
      </w:r>
      <w:r>
        <w:rPr>
          <w:rFonts w:hint="default" w:ascii="Times New Roman" w:hAnsi="Times New Roman" w:eastAsia="仿宋_GB2312" w:cs="Times New Roman"/>
          <w:color w:val="000000"/>
          <w:sz w:val="32"/>
          <w:szCs w:val="32"/>
          <w:shd w:val="clear" w:color="auto" w:fill="FFFFFF"/>
        </w:rPr>
        <w:t>从项目资金、年度总体目标、产出指标、效益指标与满意度指标等方面，对高标准农田建设项目进行</w:t>
      </w:r>
      <w:r>
        <w:rPr>
          <w:rFonts w:hint="eastAsia" w:ascii="Times New Roman" w:hAnsi="Times New Roman" w:eastAsia="仿宋_GB2312" w:cs="Times New Roman"/>
          <w:color w:val="000000"/>
          <w:sz w:val="32"/>
          <w:szCs w:val="32"/>
          <w:shd w:val="clear" w:color="auto" w:fill="FFFFFF"/>
          <w:lang w:val="en-US" w:eastAsia="zh-CN"/>
        </w:rPr>
        <w:t>总结</w:t>
      </w:r>
      <w:r>
        <w:rPr>
          <w:rFonts w:hint="default" w:ascii="Times New Roman" w:hAnsi="Times New Roman" w:eastAsia="仿宋_GB2312" w:cs="Times New Roman"/>
          <w:color w:val="000000"/>
          <w:sz w:val="32"/>
          <w:szCs w:val="32"/>
          <w:shd w:val="clear" w:color="auto" w:fill="FFFFFF"/>
        </w:rPr>
        <w:t>自查</w:t>
      </w: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同时，委派湖南嘉宏会计师事务所（普通合伙）等3家第三方评价机构于2024年5月7日至17日赶赴现场进行评价，抽取了武冈市、洞口县等34个县市区，涉及34个子项目共计46178万元，达到绩效评价要求。通过县级自评及实地抽查，</w:t>
      </w:r>
      <w:r>
        <w:rPr>
          <w:rFonts w:hint="default" w:ascii="Times New Roman" w:hAnsi="Times New Roman" w:eastAsia="仿宋_GB2312" w:cs="Times New Roman"/>
          <w:color w:val="000000"/>
          <w:sz w:val="32"/>
          <w:szCs w:val="32"/>
          <w:shd w:val="clear" w:color="auto" w:fill="FFFFFF"/>
        </w:rPr>
        <w:t>得出我省高标准农田建设项目绩效评价得分为</w:t>
      </w:r>
      <w:r>
        <w:rPr>
          <w:rFonts w:hint="default" w:ascii="Times New Roman" w:hAnsi="Times New Roman" w:eastAsia="仿宋_GB2312" w:cs="Times New Roman"/>
          <w:color w:val="000000"/>
          <w:sz w:val="32"/>
          <w:szCs w:val="32"/>
          <w:highlight w:val="none"/>
          <w:shd w:val="clear" w:color="auto" w:fill="FFFFFF"/>
        </w:rPr>
        <w:t>100</w:t>
      </w:r>
      <w:r>
        <w:rPr>
          <w:rFonts w:hint="default" w:ascii="Times New Roman" w:hAnsi="Times New Roman" w:eastAsia="仿宋_GB2312" w:cs="Times New Roman"/>
          <w:color w:val="000000"/>
          <w:sz w:val="32"/>
          <w:szCs w:val="32"/>
          <w:shd w:val="clear" w:color="auto" w:fill="FFFFFF"/>
        </w:rPr>
        <w:t>分，绩效等级为“优”。</w:t>
      </w:r>
    </w:p>
    <w:p w14:paraId="2ADEA8A6">
      <w:pPr>
        <w:autoSpaceDE w:val="0"/>
        <w:autoSpaceDN w:val="0"/>
        <w:adjustRightInd w:val="0"/>
        <w:spacing w:line="600" w:lineRule="exact"/>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主要经验及做法</w:t>
      </w:r>
    </w:p>
    <w:p w14:paraId="24E0C77D">
      <w:pPr>
        <w:autoSpaceDE w:val="0"/>
        <w:autoSpaceDN w:val="0"/>
        <w:adjustRightInd w:val="0"/>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2023年我们坚持高位推动、抓早抓实、多元筹资、示范引领、注重管护，较好地完成了年度目标任务，主要做法如下：</w:t>
      </w:r>
    </w:p>
    <w:p w14:paraId="13CA54D2">
      <w:pPr>
        <w:widowControl w:val="0"/>
        <w:adjustRightInd w:val="0"/>
        <w:snapToGrid w:val="0"/>
        <w:spacing w:line="579" w:lineRule="atLeast"/>
        <w:ind w:firstLine="643" w:firstLineChars="200"/>
        <w:jc w:val="both"/>
        <w:outlineLvl w:val="2"/>
        <w:rPr>
          <w:rFonts w:hint="default" w:ascii="Times New Roman" w:hAnsi="Times New Roman" w:eastAsia="楷体_GB2312" w:cs="Times New Roman"/>
          <w:b/>
          <w:bCs/>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（一）高位统筹推进</w:t>
      </w:r>
    </w:p>
    <w:p w14:paraId="30BE7074">
      <w:pPr>
        <w:autoSpaceDE w:val="0"/>
        <w:autoSpaceDN w:val="0"/>
        <w:adjustRightInd w:val="0"/>
        <w:spacing w:line="600" w:lineRule="exact"/>
        <w:ind w:firstLine="643" w:firstLineChars="200"/>
        <w:rPr>
          <w:rFonts w:hint="default" w:ascii="Times New Roman" w:hAnsi="Times New Roman" w:eastAsia="仿宋_GB2312" w:cs="Times New Roman"/>
          <w:sz w:val="32"/>
        </w:rPr>
      </w:pPr>
      <w:r>
        <w:rPr>
          <w:rFonts w:hint="default" w:ascii="Times New Roman" w:hAnsi="Times New Roman" w:eastAsia="楷体_GB2312" w:cs="Times New Roman"/>
          <w:b/>
          <w:sz w:val="32"/>
        </w:rPr>
        <w:t>一是高位推动。</w:t>
      </w:r>
      <w:r>
        <w:rPr>
          <w:rFonts w:hint="default" w:ascii="Times New Roman" w:hAnsi="Times New Roman" w:eastAsia="仿宋_GB2312" w:cs="Times New Roman"/>
          <w:sz w:val="32"/>
        </w:rPr>
        <w:t>省委、省政府高度重视高标准农田建设，专题研究高标准农田建设工作，主要领导实地调研督导，分管领导经常研究调度。将高标准农田建设列入全省十大重点基础设施建设项目，纳入省政府真抓实干督查激励、粮食安全责任制考核、乡村振兴考核等重要考核内容，对省政府真抓实干激励县，按中央和省级财政年度农田建设资金的5%予以奖励，推动形成各级党委、政府重视支持、齐抓共管的良好格局。</w:t>
      </w:r>
      <w:r>
        <w:rPr>
          <w:rFonts w:hint="default" w:ascii="Times New Roman" w:hAnsi="Times New Roman" w:eastAsia="楷体_GB2312" w:cs="Times New Roman"/>
          <w:b/>
          <w:sz w:val="32"/>
        </w:rPr>
        <w:t>二是统筹整合。</w:t>
      </w:r>
      <w:r>
        <w:rPr>
          <w:rFonts w:hint="default" w:ascii="Times New Roman" w:hAnsi="Times New Roman" w:eastAsia="仿宋_GB2312" w:cs="Times New Roman"/>
          <w:sz w:val="32"/>
        </w:rPr>
        <w:t>省级层面将中央预算内高标准农田投资及建设任务进行统筹，真正实现了规划布局、建设标准、组织实施、验收考核、上图入库的“五统一”管理。</w:t>
      </w:r>
      <w:r>
        <w:rPr>
          <w:rFonts w:hint="default" w:ascii="Times New Roman" w:hAnsi="Times New Roman" w:eastAsia="楷体_GB2312" w:cs="Times New Roman"/>
          <w:b/>
          <w:sz w:val="32"/>
        </w:rPr>
        <w:t>三是突出重点。</w:t>
      </w:r>
      <w:r>
        <w:rPr>
          <w:rFonts w:hint="default" w:ascii="Times New Roman" w:hAnsi="Times New Roman" w:eastAsia="仿宋_GB2312" w:cs="Times New Roman"/>
          <w:sz w:val="32"/>
        </w:rPr>
        <w:t>把提升粮食产能作为首要目标，重点布局在永久基本农田、粮食生产功能区、重要农产品生产保护区。将任务向产粮大县、双季稻区和制种基地县倾斜。</w:t>
      </w:r>
    </w:p>
    <w:p w14:paraId="7DF41AFD">
      <w:pPr>
        <w:autoSpaceDE w:val="0"/>
        <w:autoSpaceDN w:val="0"/>
        <w:adjustRightInd w:val="0"/>
        <w:spacing w:line="600" w:lineRule="exact"/>
        <w:ind w:firstLine="643" w:firstLineChars="200"/>
        <w:rPr>
          <w:rFonts w:hint="default" w:ascii="Times New Roman" w:hAnsi="Times New Roman" w:eastAsia="楷体_GB2312" w:cs="Times New Roman"/>
          <w:b/>
          <w:bCs/>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（二）创新多元筹资</w:t>
      </w:r>
    </w:p>
    <w:p w14:paraId="56BD8EE8">
      <w:pPr>
        <w:autoSpaceDE w:val="0"/>
        <w:autoSpaceDN w:val="0"/>
        <w:adjustRightInd w:val="0"/>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会同省财政厅下发建立健全农田建设多元化投入机制的通知，鼓励引导各地撬动社会资本多元投入，2023年亩均投入达到3000元。</w:t>
      </w:r>
      <w:r>
        <w:rPr>
          <w:rFonts w:hint="default" w:ascii="Times New Roman" w:hAnsi="Times New Roman" w:eastAsia="仿宋_GB2312" w:cs="Times New Roman"/>
          <w:b/>
          <w:sz w:val="32"/>
        </w:rPr>
        <w:t>一是加大财政投入力度。</w:t>
      </w:r>
      <w:r>
        <w:rPr>
          <w:rFonts w:hint="default" w:ascii="Times New Roman" w:hAnsi="Times New Roman" w:eastAsia="仿宋_GB2312" w:cs="Times New Roman"/>
          <w:sz w:val="32"/>
        </w:rPr>
        <w:t>省财政将高标准农田建设作为支持乡村振兴战略实施的重要方向，2023年安排省级农田建设补助资金1</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77</w:t>
      </w:r>
      <w:r>
        <w:rPr>
          <w:rFonts w:hint="default" w:ascii="Times New Roman" w:hAnsi="Times New Roman" w:eastAsia="仿宋_GB2312" w:cs="Times New Roman"/>
          <w:sz w:val="32"/>
        </w:rPr>
        <w:t>亿元。同时，将市县财政投入作为资金分配、激励评价的重要因素，引导市县加大财政投入。</w:t>
      </w:r>
      <w:r>
        <w:rPr>
          <w:rFonts w:hint="default" w:ascii="Times New Roman" w:hAnsi="Times New Roman" w:eastAsia="仿宋_GB2312" w:cs="Times New Roman"/>
          <w:b/>
          <w:sz w:val="32"/>
        </w:rPr>
        <w:t>二是加大投融资创新力度。</w:t>
      </w:r>
      <w:r>
        <w:rPr>
          <w:rFonts w:hint="eastAsia" w:ascii="Times New Roman" w:hAnsi="Times New Roman" w:eastAsia="仿宋_GB2312" w:cs="Times New Roman"/>
          <w:sz w:val="32"/>
          <w:lang w:eastAsia="zh-CN"/>
        </w:rPr>
        <w:t>我</w:t>
      </w:r>
      <w:r>
        <w:rPr>
          <w:rFonts w:hint="default" w:ascii="Times New Roman" w:hAnsi="Times New Roman" w:eastAsia="仿宋_GB2312" w:cs="Times New Roman"/>
          <w:sz w:val="32"/>
        </w:rPr>
        <w:t>厅会同省发展和改革委员会、省财政厅、省自然资源厅联合印发了《全省高标准农田建设投贷联动等投融资创新实施意见》，从推进土地流转、择优选择主体、加快项目立项、多元筹措资金、规范项目实施、及时验收确认、加快收益变现、兑现财政补助、稳定利益链接等9个方面，明确具体的实施要求，打通投融资创新项目和资金管理的闭环链条。充分利用自有资金或以农田改造后带来的产能增加收益、租金溢价收益等市场化经营收益作为还本付息来源或以农田经营权等作抵押向金融机构贷款，吸引中长期信贷资金投入，通过创新投融资，将亩均投资标准提高到3000元以上。如岳阳市汨罗市15个镇62个村共引进社会资本1.9亿元，整市推进“小田改大田”6万亩；安仁县筹集资金1.8亿元建设高标准农田6万亩；赫山区投入1.6亿多元在11个村建设高标准农田4.29万亩。</w:t>
      </w:r>
      <w:r>
        <w:rPr>
          <w:rFonts w:hint="default" w:ascii="Times New Roman" w:hAnsi="Times New Roman" w:eastAsia="仿宋_GB2312" w:cs="Times New Roman"/>
          <w:b/>
          <w:sz w:val="32"/>
        </w:rPr>
        <w:t>三是加大整合支持力度。</w:t>
      </w:r>
      <w:r>
        <w:rPr>
          <w:rFonts w:hint="default" w:ascii="Times New Roman" w:hAnsi="Times New Roman" w:eastAsia="仿宋_GB2312" w:cs="Times New Roman"/>
          <w:sz w:val="32"/>
        </w:rPr>
        <w:t>积极发挥农业项目引导作用，统筹可用于农田基础设施建设相关的项目资金，按照主体不变、渠道不乱、用途不改、优势互补、形成合力的原则，引导各地整合其他项目资金投入高标准农田建设。</w:t>
      </w:r>
    </w:p>
    <w:p w14:paraId="3EBFC64D">
      <w:pPr>
        <w:autoSpaceDE w:val="0"/>
        <w:autoSpaceDN w:val="0"/>
        <w:adjustRightInd w:val="0"/>
        <w:spacing w:line="600" w:lineRule="exact"/>
        <w:ind w:firstLine="643" w:firstLineChars="200"/>
        <w:rPr>
          <w:rFonts w:hint="default" w:ascii="Times New Roman" w:hAnsi="Times New Roman" w:eastAsia="楷体_GB2312" w:cs="Times New Roman"/>
          <w:b/>
          <w:bCs/>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（三）注重示范引领</w:t>
      </w:r>
    </w:p>
    <w:p w14:paraId="49902FD5">
      <w:pPr>
        <w:autoSpaceDE w:val="0"/>
        <w:autoSpaceDN w:val="0"/>
        <w:adjustRightInd w:val="0"/>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依据地形地貌、机械作业等因素，因地制宜创新建设思路和模式，大力开展示范区建设，</w:t>
      </w:r>
      <w:r>
        <w:rPr>
          <w:rStyle w:val="71"/>
          <w:rFonts w:hint="default" w:ascii="Times New Roman" w:hAnsi="Times New Roman" w:eastAsia="仿宋_GB2312" w:cs="Times New Roman"/>
          <w:color w:val="000000"/>
          <w:sz w:val="32"/>
        </w:rPr>
        <w:t>结合平湖区、丘陵山区的不同特点，分区域推进田块整治，实施小田改大田，开展耕地质量提升、智慧农业、绿色农田和数字农田建设等示范，</w:t>
      </w:r>
      <w:r>
        <w:rPr>
          <w:rStyle w:val="71"/>
          <w:rFonts w:hint="default" w:ascii="Times New Roman" w:hAnsi="Times New Roman" w:eastAsia="仿宋_GB2312" w:cs="Times New Roman"/>
          <w:sz w:val="32"/>
        </w:rPr>
        <w:t>要求每个县每年重点建设一个高标准农田建设示范区。</w:t>
      </w:r>
      <w:r>
        <w:rPr>
          <w:rFonts w:hint="default" w:ascii="Times New Roman" w:hAnsi="Times New Roman" w:eastAsia="仿宋_GB2312" w:cs="Times New Roman"/>
          <w:sz w:val="32"/>
        </w:rPr>
        <w:t>通过示范区建设，有效提升了农业的规模化、标准化、集约化水平，达到了建一片、成一片、示范带动一片的效果。</w:t>
      </w:r>
    </w:p>
    <w:p w14:paraId="2861C35D">
      <w:pPr>
        <w:autoSpaceDE w:val="0"/>
        <w:autoSpaceDN w:val="0"/>
        <w:adjustRightInd w:val="0"/>
        <w:spacing w:line="600" w:lineRule="exact"/>
        <w:ind w:firstLine="643" w:firstLineChars="200"/>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楷体_GB2312" w:cs="Times New Roman"/>
          <w:b/>
          <w:bCs/>
          <w:kern w:val="0"/>
          <w:sz w:val="32"/>
          <w:szCs w:val="32"/>
          <w:lang w:val="en-US" w:eastAsia="zh-CN" w:bidi="ar-SA"/>
        </w:rPr>
        <w:t xml:space="preserve">（四）实行精细管控 </w:t>
      </w:r>
    </w:p>
    <w:p w14:paraId="15DE4413">
      <w:pPr>
        <w:autoSpaceDE w:val="0"/>
        <w:autoSpaceDN w:val="0"/>
        <w:adjustRightInd w:val="0"/>
        <w:spacing w:line="600" w:lineRule="exact"/>
        <w:ind w:firstLine="643" w:firstLineChars="200"/>
        <w:rPr>
          <w:rFonts w:hint="default" w:ascii="Times New Roman" w:hAnsi="Times New Roman" w:eastAsia="仿宋_GB2312" w:cs="Times New Roman"/>
          <w:sz w:val="32"/>
        </w:rPr>
      </w:pPr>
      <w:r>
        <w:rPr>
          <w:rFonts w:hint="default" w:ascii="Times New Roman" w:hAnsi="Times New Roman" w:eastAsia="楷体_GB2312" w:cs="Times New Roman"/>
          <w:b/>
          <w:sz w:val="32"/>
        </w:rPr>
        <w:t>一是建好制度机制。</w:t>
      </w:r>
      <w:r>
        <w:rPr>
          <w:rFonts w:hint="default" w:ascii="Times New Roman" w:hAnsi="Times New Roman" w:eastAsia="仿宋_GB2312" w:cs="Times New Roman"/>
          <w:sz w:val="32"/>
        </w:rPr>
        <w:t>建立健全农田建设项目管理、资金管理、竣工验收、建后管护、评价激励等制度办法，推行“政府监督、专业监理、群众参与”的三位一体监管模式，强化事前、事中、事后全过程质量管控。</w:t>
      </w:r>
      <w:r>
        <w:rPr>
          <w:rFonts w:hint="default" w:ascii="Times New Roman" w:hAnsi="Times New Roman" w:eastAsia="楷体_GB2312" w:cs="Times New Roman"/>
          <w:b/>
          <w:sz w:val="32"/>
        </w:rPr>
        <w:t>二是把好关键环节</w:t>
      </w:r>
      <w:r>
        <w:rPr>
          <w:rFonts w:hint="default" w:ascii="Times New Roman" w:hAnsi="Times New Roman" w:eastAsia="仿宋_GB2312" w:cs="Times New Roman"/>
          <w:sz w:val="32"/>
        </w:rPr>
        <w:t>。在工程设计方面，分区分类编制农田建设工程设计典型图集，提高设计实用性、标准化水平；在工程招投标方面，制定《湖南省农业工程建设项目招投标管理办法》，编制《湖南省农田建设项目工程电子招标投标施工招标文件示范文本》，全面实行电子化招投标，做到公开公平公正；在工程施工方面，推行人脸识别电子考勤，加强对施工单位主要人员的履约管理，严格实施环节管控，严把工程质量关。</w:t>
      </w:r>
      <w:r>
        <w:rPr>
          <w:rFonts w:hint="default" w:ascii="Times New Roman" w:hAnsi="Times New Roman" w:eastAsia="楷体_GB2312" w:cs="Times New Roman"/>
          <w:b/>
          <w:sz w:val="32"/>
        </w:rPr>
        <w:t>三是防好风险隐患。</w:t>
      </w:r>
      <w:r>
        <w:rPr>
          <w:rFonts w:hint="default" w:ascii="Times New Roman" w:hAnsi="Times New Roman" w:eastAsia="仿宋_GB2312" w:cs="Times New Roman"/>
          <w:sz w:val="32"/>
        </w:rPr>
        <w:t>与各级纪检监察部门协同联动，组织开展全省高标准农田建设专项监督</w:t>
      </w:r>
      <w:r>
        <w:rPr>
          <w:rFonts w:hint="default" w:ascii="Times New Roman" w:hAnsi="Times New Roman" w:eastAsia="仿宋_GB2312" w:cs="Times New Roman"/>
          <w:color w:val="000000"/>
          <w:sz w:val="32"/>
          <w:szCs w:val="32"/>
          <w:shd w:val="clear" w:color="auto" w:fill="FFFFFF"/>
        </w:rPr>
        <w:t>检查</w:t>
      </w:r>
      <w:r>
        <w:rPr>
          <w:rFonts w:hint="default" w:ascii="Times New Roman" w:hAnsi="Times New Roman" w:eastAsia="仿宋_GB2312" w:cs="Times New Roman"/>
          <w:sz w:val="32"/>
        </w:rPr>
        <w:t>，大力整治违规串标围标、转包分包等行为，通过第三方监管、全过程造价咨询、跟踪审计等方式加强监管，确保项目资金规范运行。开展工程质量专项整治百日行动和安全生产“大排查”行动，发现一起整改一起，及时消除隐患。</w:t>
      </w:r>
    </w:p>
    <w:p w14:paraId="3C2090A6">
      <w:pPr>
        <w:autoSpaceDE w:val="0"/>
        <w:autoSpaceDN w:val="0"/>
        <w:adjustRightInd w:val="0"/>
        <w:spacing w:line="600" w:lineRule="exact"/>
        <w:ind w:firstLine="643" w:firstLineChars="200"/>
        <w:rPr>
          <w:rFonts w:hint="default" w:ascii="Times New Roman" w:hAnsi="Times New Roman" w:eastAsia="楷体_GB2312" w:cs="Times New Roman"/>
          <w:b/>
          <w:bCs/>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（五）强化管护利用</w:t>
      </w:r>
    </w:p>
    <w:p w14:paraId="0377A42E">
      <w:pPr>
        <w:autoSpaceDE w:val="0"/>
        <w:autoSpaceDN w:val="0"/>
        <w:adjustRightInd w:val="0"/>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bCs/>
          <w:sz w:val="32"/>
        </w:rPr>
        <w:t>在完善管护制度、落实管护主体、筹集管护资金的基础上，加大管护工作力度。</w:t>
      </w:r>
      <w:r>
        <w:rPr>
          <w:rFonts w:hint="default" w:ascii="Times New Roman" w:hAnsi="Times New Roman" w:eastAsia="仿宋_GB2312" w:cs="Times New Roman"/>
          <w:b/>
          <w:sz w:val="32"/>
        </w:rPr>
        <w:t>一是通过模式创新促进管护。</w:t>
      </w:r>
      <w:r>
        <w:rPr>
          <w:rFonts w:hint="default" w:ascii="Times New Roman" w:hAnsi="Times New Roman" w:eastAsia="仿宋_GB2312" w:cs="Times New Roman"/>
          <w:sz w:val="32"/>
        </w:rPr>
        <w:t>积极推广村集体经济组织“统管模式”、新型主体“托管模式”、专业队伍“专管模式”，推进投资、建设、运营、管护一体化发展。对有新型农业经营主体流转的，由其作为管护主体，</w:t>
      </w:r>
      <w:r>
        <w:rPr>
          <w:rFonts w:hint="default" w:ascii="Times New Roman" w:hAnsi="Times New Roman" w:eastAsia="仿宋_GB2312" w:cs="Times New Roman"/>
          <w:color w:val="000000"/>
          <w:sz w:val="32"/>
          <w:szCs w:val="32"/>
          <w:shd w:val="clear" w:color="auto" w:fill="FFFFFF"/>
        </w:rPr>
        <w:t>村委会</w:t>
      </w:r>
      <w:r>
        <w:rPr>
          <w:rFonts w:hint="default" w:ascii="Times New Roman" w:hAnsi="Times New Roman" w:eastAsia="仿宋_GB2312" w:cs="Times New Roman"/>
          <w:sz w:val="32"/>
        </w:rPr>
        <w:t>与其签订管护协议，并将管护落实情况作为后续优先土地流转的重要指标。部分县市引入保险公司对工程质量提供全过程风险保险，完工五年内如出现质量问题由保险公司负责理赔；汨罗市推行“谁种、谁改、谁管护”新模式，确保农田有人种，工程设施有人管。近年来高标准农田设施较好发挥了保水、蓄水、节水作用，为我省粮食夺丰收</w:t>
      </w:r>
      <w:r>
        <w:rPr>
          <w:rFonts w:hint="eastAsia" w:ascii="Times New Roman" w:hAnsi="Times New Roman" w:eastAsia="仿宋_GB2312" w:cs="Times New Roman"/>
          <w:sz w:val="32"/>
          <w:lang w:eastAsia="zh-CN"/>
        </w:rPr>
        <w:t>作</w:t>
      </w:r>
      <w:r>
        <w:rPr>
          <w:rFonts w:hint="default" w:ascii="Times New Roman" w:hAnsi="Times New Roman" w:eastAsia="仿宋_GB2312" w:cs="Times New Roman"/>
          <w:sz w:val="32"/>
        </w:rPr>
        <w:t>出了积极贡献。</w:t>
      </w:r>
      <w:r>
        <w:rPr>
          <w:rFonts w:hint="default" w:ascii="Times New Roman" w:hAnsi="Times New Roman" w:eastAsia="仿宋_GB2312" w:cs="Times New Roman"/>
          <w:b/>
          <w:bCs/>
          <w:sz w:val="32"/>
        </w:rPr>
        <w:t>二</w:t>
      </w:r>
      <w:r>
        <w:rPr>
          <w:rFonts w:hint="default" w:ascii="Times New Roman" w:hAnsi="Times New Roman" w:eastAsia="仿宋_GB2312" w:cs="Times New Roman"/>
          <w:b/>
          <w:sz w:val="32"/>
        </w:rPr>
        <w:t>是通过用途管制强化管护。</w:t>
      </w:r>
      <w:r>
        <w:rPr>
          <w:rFonts w:hint="default" w:ascii="Times New Roman" w:hAnsi="Times New Roman" w:eastAsia="仿宋_GB2312" w:cs="Times New Roman"/>
          <w:sz w:val="32"/>
        </w:rPr>
        <w:t>将高标准农田纳入最新土地利用现状图，与永久基本农田、粮食生产功能区等实行“一张图”管理，明确要求新建高标准农田全部用于粮食生产，以粮食稳产高产为目标，从选址、设计、实施、验收、评价等全环节严格把关，强化用途管控，给予特殊保护，确保良田粮用，长效利用。</w:t>
      </w:r>
    </w:p>
    <w:p w14:paraId="5351AED7">
      <w:pPr>
        <w:autoSpaceDE w:val="0"/>
        <w:autoSpaceDN w:val="0"/>
        <w:adjustRightInd w:val="0"/>
        <w:spacing w:line="600" w:lineRule="exact"/>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存在的问题及原因分析</w:t>
      </w:r>
    </w:p>
    <w:p w14:paraId="1BC11232">
      <w:pPr>
        <w:autoSpaceDE w:val="0"/>
        <w:autoSpaceDN w:val="0"/>
        <w:adjustRightInd w:val="0"/>
        <w:spacing w:line="600" w:lineRule="exact"/>
        <w:ind w:firstLine="640" w:firstLineChars="200"/>
        <w:rPr>
          <w:rFonts w:hint="default" w:ascii="Times New Roman" w:hAnsi="Times New Roman" w:eastAsia="楷体_GB2312" w:cs="Times New Roman"/>
          <w:b/>
          <w:bCs/>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 xml:space="preserve">    </w:t>
      </w:r>
      <w:r>
        <w:rPr>
          <w:rFonts w:hint="default" w:ascii="Times New Roman" w:hAnsi="Times New Roman" w:eastAsia="楷体_GB2312" w:cs="Times New Roman"/>
          <w:b/>
          <w:bCs/>
          <w:i w:val="0"/>
          <w:iCs w:val="0"/>
          <w:kern w:val="2"/>
          <w:sz w:val="32"/>
          <w:szCs w:val="24"/>
          <w:lang w:val="en" w:eastAsia="zh-CN" w:bidi="ar-SA"/>
        </w:rPr>
        <w:t>（一）</w:t>
      </w:r>
      <w:r>
        <w:rPr>
          <w:rFonts w:hint="default" w:ascii="Times New Roman" w:hAnsi="Times New Roman" w:eastAsia="楷体_GB2312" w:cs="Times New Roman"/>
          <w:b/>
          <w:bCs/>
          <w:kern w:val="2"/>
          <w:sz w:val="32"/>
          <w:szCs w:val="24"/>
          <w:lang w:val="en-US" w:eastAsia="zh-CN" w:bidi="ar-SA"/>
        </w:rPr>
        <w:t>投入压力较大</w:t>
      </w:r>
    </w:p>
    <w:p w14:paraId="78408D8D">
      <w:pPr>
        <w:autoSpaceDE w:val="0"/>
        <w:autoSpaceDN w:val="0"/>
        <w:adjustRightInd w:val="0"/>
        <w:spacing w:line="600" w:lineRule="exact"/>
        <w:ind w:firstLine="640" w:firstLineChars="200"/>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 xml:space="preserve">    </w:t>
      </w:r>
      <w:r>
        <w:rPr>
          <w:rFonts w:hint="default" w:ascii="Times New Roman" w:hAnsi="Times New Roman" w:eastAsia="仿宋_GB2312" w:cs="Times New Roman"/>
          <w:kern w:val="2"/>
          <w:sz w:val="32"/>
          <w:szCs w:val="24"/>
          <w:lang w:val="en-US" w:eastAsia="zh-CN" w:bidi="ar-SA"/>
        </w:rPr>
        <w:t>我省农田基础设施相对薄弱，一些地区农田设施老化和不配套问题比较突出。从建设成本看，近年来劳动力成本，砂石、水泥等建筑材料价格不断上涨，高标准农田建设成本持续攀升，一些丘陵山区建设成本更高。目前，我省高标准农田建设主要依靠中央和省级财政资金投入，财政资金投入不能满足实际建设要求。虽然开展了投融资创新，但因土地流转、田块整治、新增耕地等方面还存在一些困难，投融资创新力度还缺乏足够动力。在目前种粮比较效益较低的情况下，社会主体投入后收回所投资金比较困难、途径不多，限制了社会主体的积极性，投入高标准农田建设的动能不足。</w:t>
      </w:r>
    </w:p>
    <w:p w14:paraId="5693F9B6">
      <w:pPr>
        <w:autoSpaceDE w:val="0"/>
        <w:autoSpaceDN w:val="0"/>
        <w:adjustRightInd w:val="0"/>
        <w:spacing w:line="600" w:lineRule="exact"/>
        <w:ind w:firstLine="643" w:firstLineChars="200"/>
        <w:rPr>
          <w:rFonts w:hint="default" w:ascii="Times New Roman" w:hAnsi="Times New Roman" w:eastAsia="楷体_GB2312" w:cs="Times New Roman"/>
          <w:b/>
          <w:bCs/>
          <w:kern w:val="2"/>
          <w:sz w:val="32"/>
          <w:szCs w:val="24"/>
          <w:lang w:val="en-US" w:eastAsia="zh-CN" w:bidi="ar-SA"/>
        </w:rPr>
      </w:pPr>
      <w:r>
        <w:rPr>
          <w:rFonts w:hint="default" w:ascii="Times New Roman" w:hAnsi="Times New Roman" w:eastAsia="楷体_GB2312" w:cs="Times New Roman"/>
          <w:b/>
          <w:bCs/>
          <w:kern w:val="2"/>
          <w:sz w:val="32"/>
          <w:szCs w:val="24"/>
          <w:lang w:val="en-US" w:eastAsia="zh-CN" w:bidi="ar-SA"/>
        </w:rPr>
        <w:t>（</w:t>
      </w:r>
      <w:r>
        <w:rPr>
          <w:rFonts w:hint="eastAsia" w:ascii="Times New Roman" w:hAnsi="Times New Roman" w:eastAsia="楷体_GB2312" w:cs="Times New Roman"/>
          <w:b/>
          <w:bCs/>
          <w:kern w:val="2"/>
          <w:sz w:val="32"/>
          <w:szCs w:val="24"/>
          <w:lang w:val="en-US" w:eastAsia="zh-CN" w:bidi="ar-SA"/>
        </w:rPr>
        <w:t>二</w:t>
      </w:r>
      <w:r>
        <w:rPr>
          <w:rFonts w:hint="default" w:ascii="Times New Roman" w:hAnsi="Times New Roman" w:eastAsia="楷体_GB2312" w:cs="Times New Roman"/>
          <w:b/>
          <w:bCs/>
          <w:kern w:val="2"/>
          <w:sz w:val="32"/>
          <w:szCs w:val="24"/>
          <w:lang w:val="en-US" w:eastAsia="zh-CN" w:bidi="ar-SA"/>
        </w:rPr>
        <w:t>）建后管护有待加强</w:t>
      </w:r>
    </w:p>
    <w:p w14:paraId="09ECFA7A">
      <w:pPr>
        <w:autoSpaceDE w:val="0"/>
        <w:autoSpaceDN w:val="0"/>
        <w:adjustRightInd w:val="0"/>
        <w:spacing w:line="600" w:lineRule="exact"/>
        <w:ind w:firstLine="640" w:firstLineChars="200"/>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高标准农田建设工程点多、线长、面广，工程的建后管护直接影响长久效益发挥，由于现有高标准农田建设项目不能提取工程管护费，各级财政基本没有配套相应的管护经费，而受益主体管护意识不强，管护有待进一步加强。虽然制定了建后管护办法，及时进行了资产移交，但没有完全真正落实到位</w:t>
      </w:r>
      <w:r>
        <w:rPr>
          <w:rFonts w:hint="eastAsia" w:ascii="Times New Roman" w:hAnsi="Times New Roman" w:eastAsia="仿宋_GB2312" w:cs="Times New Roman"/>
          <w:kern w:val="2"/>
          <w:sz w:val="32"/>
          <w:szCs w:val="24"/>
          <w:lang w:val="en-US" w:eastAsia="zh-CN" w:bidi="ar-SA"/>
        </w:rPr>
        <w:t>。</w:t>
      </w:r>
    </w:p>
    <w:p w14:paraId="259591DF">
      <w:pPr>
        <w:numPr>
          <w:ilvl w:val="0"/>
          <w:numId w:val="0"/>
        </w:numPr>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、政策建议</w:t>
      </w:r>
    </w:p>
    <w:p w14:paraId="18800DC7">
      <w:pPr>
        <w:autoSpaceDE w:val="0"/>
        <w:autoSpaceDN w:val="0"/>
        <w:adjustRightInd w:val="0"/>
        <w:spacing w:line="600" w:lineRule="exact"/>
        <w:ind w:firstLine="643" w:firstLineChars="200"/>
        <w:rPr>
          <w:rStyle w:val="70"/>
          <w:rFonts w:hint="default" w:ascii="Times New Roman" w:hAnsi="Times New Roman" w:cs="Times New Roman"/>
          <w:szCs w:val="32"/>
        </w:rPr>
      </w:pPr>
      <w:r>
        <w:rPr>
          <w:rStyle w:val="70"/>
          <w:rFonts w:hint="default" w:ascii="Times New Roman" w:hAnsi="Times New Roman" w:eastAsia="楷体_GB2312" w:cs="Times New Roman"/>
          <w:b/>
          <w:szCs w:val="32"/>
        </w:rPr>
        <w:t>（一）加大财政投入力度。</w:t>
      </w:r>
      <w:r>
        <w:rPr>
          <w:rStyle w:val="70"/>
          <w:rFonts w:hint="default" w:ascii="Times New Roman" w:hAnsi="Times New Roman" w:cs="Times New Roman"/>
          <w:szCs w:val="32"/>
        </w:rPr>
        <w:t>农田建设公益性强，投资大，各级财政在确保农田建设预算内资金稳步增长的基础上，加大专项资金的投入，逐渐建立起农田建设资金来源稳定增长、投入稳定增长、效益稳定增长的保障机制。</w:t>
      </w:r>
      <w:r>
        <w:rPr>
          <w:rStyle w:val="70"/>
          <w:rFonts w:hint="eastAsia" w:ascii="Times New Roman" w:hAnsi="Times New Roman" w:cs="Times New Roman"/>
          <w:szCs w:val="32"/>
        </w:rPr>
        <w:t>建议</w:t>
      </w:r>
      <w:r>
        <w:rPr>
          <w:rStyle w:val="70"/>
          <w:rFonts w:hint="default" w:ascii="Times New Roman" w:hAnsi="Times New Roman" w:cs="Times New Roman"/>
          <w:szCs w:val="32"/>
        </w:rPr>
        <w:t>中央加大高标准农田建设</w:t>
      </w:r>
      <w:r>
        <w:rPr>
          <w:rStyle w:val="70"/>
          <w:rFonts w:hint="eastAsia" w:ascii="Times New Roman" w:hAnsi="Times New Roman" w:cs="Times New Roman"/>
          <w:szCs w:val="32"/>
        </w:rPr>
        <w:t>投入</w:t>
      </w:r>
      <w:r>
        <w:rPr>
          <w:rStyle w:val="70"/>
          <w:rFonts w:hint="default" w:ascii="Times New Roman" w:hAnsi="Times New Roman" w:cs="Times New Roman"/>
          <w:szCs w:val="32"/>
        </w:rPr>
        <w:t>，让农田建设得到充足的资金支持。</w:t>
      </w:r>
    </w:p>
    <w:p w14:paraId="34202C67">
      <w:pPr>
        <w:spacing w:line="600" w:lineRule="exact"/>
        <w:ind w:firstLine="643" w:firstLineChars="200"/>
        <w:rPr>
          <w:rFonts w:hint="default" w:ascii="Times New Roman" w:hAnsi="Times New Roman" w:eastAsia="仿宋_GB2312" w:cs="Times New Roman"/>
          <w:b w:val="0"/>
          <w:bCs w:val="0"/>
          <w:kern w:val="2"/>
          <w:sz w:val="32"/>
          <w:szCs w:val="32"/>
          <w:lang w:val="en-US" w:eastAsia="zh-CN" w:bidi="ar-SA"/>
        </w:rPr>
      </w:pPr>
      <w:r>
        <w:rPr>
          <w:rStyle w:val="70"/>
          <w:rFonts w:hint="default" w:ascii="Times New Roman" w:hAnsi="Times New Roman" w:eastAsia="楷体_GB2312" w:cs="Times New Roman"/>
          <w:b/>
          <w:szCs w:val="32"/>
        </w:rPr>
        <w:t>（</w:t>
      </w:r>
      <w:r>
        <w:rPr>
          <w:rStyle w:val="70"/>
          <w:rFonts w:hint="eastAsia" w:ascii="Times New Roman" w:hAnsi="Times New Roman" w:eastAsia="楷体_GB2312" w:cs="Times New Roman"/>
          <w:b/>
          <w:szCs w:val="32"/>
        </w:rPr>
        <w:t>二</w:t>
      </w:r>
      <w:r>
        <w:rPr>
          <w:rStyle w:val="70"/>
          <w:rFonts w:hint="default" w:ascii="Times New Roman" w:hAnsi="Times New Roman" w:eastAsia="楷体_GB2312" w:cs="Times New Roman"/>
          <w:b/>
          <w:szCs w:val="32"/>
        </w:rPr>
        <w:t>）明确专项管护资金。</w:t>
      </w:r>
      <w:r>
        <w:rPr>
          <w:rFonts w:hint="default" w:ascii="Times New Roman" w:hAnsi="Times New Roman" w:eastAsia="仿宋_GB2312" w:cs="Times New Roman"/>
          <w:b w:val="0"/>
          <w:bCs w:val="0"/>
          <w:kern w:val="2"/>
          <w:sz w:val="32"/>
          <w:szCs w:val="32"/>
          <w:lang w:val="en-US" w:eastAsia="zh-CN" w:bidi="ar-SA"/>
        </w:rPr>
        <w:t>在</w:t>
      </w:r>
      <w:r>
        <w:rPr>
          <w:rFonts w:hint="default" w:ascii="Times New Roman" w:hAnsi="Times New Roman" w:eastAsia="仿宋_GB2312" w:cs="Times New Roman"/>
          <w:sz w:val="32"/>
          <w:szCs w:val="32"/>
          <w:lang w:val="en-US" w:eastAsia="zh-CN"/>
        </w:rPr>
        <w:t>当前</w:t>
      </w:r>
      <w:r>
        <w:rPr>
          <w:rFonts w:hint="default" w:ascii="Times New Roman" w:hAnsi="Times New Roman" w:eastAsia="仿宋_GB2312" w:cs="Times New Roman"/>
          <w:b w:val="0"/>
          <w:bCs w:val="0"/>
          <w:kern w:val="2"/>
          <w:sz w:val="32"/>
          <w:szCs w:val="32"/>
          <w:lang w:val="en-US" w:eastAsia="zh-CN" w:bidi="ar-SA"/>
        </w:rPr>
        <w:t>农田建设没有专项管护资金投</w:t>
      </w:r>
      <w:r>
        <w:rPr>
          <w:rFonts w:hint="default" w:ascii="Times New Roman" w:hAnsi="Times New Roman" w:eastAsia="仿宋_GB2312" w:cs="Times New Roman"/>
          <w:sz w:val="32"/>
          <w:szCs w:val="32"/>
          <w:lang w:val="en-US" w:eastAsia="zh-CN"/>
        </w:rPr>
        <w:t>入的情况下，建议中央财政每年从中央农田建设补助资金中，切块一定的资金专项用于高标准农田建设管护，推动建后管护真正落地。</w:t>
      </w:r>
    </w:p>
    <w:bookmarkEnd w:id="0"/>
    <w:bookmarkEnd w:id="1"/>
    <w:p w14:paraId="7B1C1611">
      <w:pPr>
        <w:spacing w:line="600" w:lineRule="exact"/>
        <w:ind w:left="319" w:leftChars="152" w:firstLine="480" w:firstLineChars="150"/>
        <w:rPr>
          <w:rFonts w:hint="default" w:ascii="Times New Roman" w:hAnsi="Times New Roman" w:eastAsia="仿宋_GB2312" w:cs="Times New Roman"/>
          <w:sz w:val="32"/>
          <w:szCs w:val="32"/>
          <w:lang w:val="en-US" w:eastAsia="zh-CN"/>
        </w:rPr>
      </w:pPr>
    </w:p>
    <w:p w14:paraId="36E5FDF9">
      <w:pPr>
        <w:pStyle w:val="5"/>
        <w:keepNext/>
        <w:keepLines/>
        <w:pageBreakBefore w:val="0"/>
        <w:widowControl w:val="0"/>
        <w:kinsoku/>
        <w:wordWrap/>
        <w:overflowPunct/>
        <w:topLinePunct w:val="0"/>
        <w:autoSpaceDE/>
        <w:autoSpaceDN/>
        <w:bidi w:val="0"/>
        <w:adjustRightInd/>
        <w:snapToGrid/>
        <w:spacing w:before="0" w:after="0" w:line="416" w:lineRule="auto"/>
        <w:ind w:left="0" w:leftChars="0" w:firstLine="0" w:firstLineChars="0"/>
        <w:textAlignment w:val="auto"/>
        <w:rPr>
          <w:rFonts w:hint="default" w:ascii="Times New Roman" w:hAnsi="Times New Roman" w:eastAsia="仿宋_GB2312" w:cs="Times New Roman"/>
          <w:b w:val="0"/>
          <w:bCs w:val="0"/>
          <w:kern w:val="0"/>
          <w:sz w:val="32"/>
          <w:szCs w:val="32"/>
          <w:highlight w:val="none"/>
          <w:lang w:val="en-US" w:eastAsia="zh-CN" w:bidi="ar-SA"/>
        </w:rPr>
      </w:pPr>
      <w:r>
        <w:rPr>
          <w:rFonts w:hint="eastAsia" w:ascii="Times New Roman" w:hAnsi="Times New Roman" w:eastAsia="仿宋_GB2312" w:cs="Times New Roman"/>
          <w:b w:val="0"/>
          <w:bCs w:val="0"/>
          <w:kern w:val="0"/>
          <w:sz w:val="32"/>
          <w:szCs w:val="32"/>
          <w:highlight w:val="none"/>
          <w:lang w:val="en-US" w:eastAsia="zh-CN" w:bidi="ar-SA"/>
        </w:rPr>
        <w:t>附件1：</w:t>
      </w:r>
      <w:r>
        <w:rPr>
          <w:rFonts w:hint="default" w:ascii="Times New Roman" w:hAnsi="Times New Roman" w:eastAsia="仿宋_GB2312" w:cs="Times New Roman"/>
          <w:b w:val="0"/>
          <w:bCs w:val="0"/>
          <w:kern w:val="0"/>
          <w:sz w:val="32"/>
          <w:szCs w:val="32"/>
          <w:highlight w:val="none"/>
          <w:lang w:val="en-US" w:eastAsia="zh-CN" w:bidi="ar-SA"/>
        </w:rPr>
        <w:t>202</w:t>
      </w:r>
      <w:r>
        <w:rPr>
          <w:rFonts w:hint="eastAsia" w:ascii="Times New Roman" w:hAnsi="Times New Roman" w:eastAsia="仿宋_GB2312" w:cs="Times New Roman"/>
          <w:b w:val="0"/>
          <w:bCs w:val="0"/>
          <w:kern w:val="0"/>
          <w:sz w:val="32"/>
          <w:szCs w:val="32"/>
          <w:highlight w:val="none"/>
          <w:lang w:val="en-US" w:eastAsia="zh-CN" w:bidi="ar-SA"/>
        </w:rPr>
        <w:t>3</w:t>
      </w:r>
      <w:r>
        <w:rPr>
          <w:rFonts w:hint="default" w:ascii="Times New Roman" w:hAnsi="Times New Roman" w:eastAsia="仿宋_GB2312" w:cs="Times New Roman"/>
          <w:b w:val="0"/>
          <w:bCs w:val="0"/>
          <w:kern w:val="0"/>
          <w:sz w:val="32"/>
          <w:szCs w:val="32"/>
          <w:highlight w:val="none"/>
          <w:lang w:val="en-US" w:eastAsia="zh-CN" w:bidi="ar-SA"/>
        </w:rPr>
        <w:t>年</w:t>
      </w:r>
      <w:r>
        <w:rPr>
          <w:rFonts w:hint="eastAsia" w:ascii="Times New Roman" w:hAnsi="Times New Roman" w:eastAsia="仿宋_GB2312" w:cs="Times New Roman"/>
          <w:b w:val="0"/>
          <w:bCs w:val="0"/>
          <w:kern w:val="0"/>
          <w:sz w:val="32"/>
          <w:szCs w:val="32"/>
          <w:highlight w:val="none"/>
          <w:lang w:val="en-US" w:eastAsia="zh-CN" w:bidi="ar-SA"/>
        </w:rPr>
        <w:t>度省级农田建设专项资金</w:t>
      </w:r>
      <w:r>
        <w:rPr>
          <w:rFonts w:hint="default" w:ascii="Times New Roman" w:hAnsi="Times New Roman" w:eastAsia="仿宋_GB2312" w:cs="Times New Roman"/>
          <w:b w:val="0"/>
          <w:bCs w:val="0"/>
          <w:kern w:val="0"/>
          <w:sz w:val="32"/>
          <w:szCs w:val="32"/>
          <w:highlight w:val="none"/>
          <w:lang w:val="en-US" w:eastAsia="zh-CN" w:bidi="ar-SA"/>
        </w:rPr>
        <w:t>支出绩效自评表</w:t>
      </w:r>
    </w:p>
    <w:p w14:paraId="0887FAC2">
      <w:pPr>
        <w:pStyle w:val="5"/>
        <w:keepNext/>
        <w:keepLines/>
        <w:pageBreakBefore w:val="0"/>
        <w:widowControl w:val="0"/>
        <w:kinsoku/>
        <w:wordWrap/>
        <w:overflowPunct/>
        <w:topLinePunct w:val="0"/>
        <w:autoSpaceDE/>
        <w:autoSpaceDN/>
        <w:bidi w:val="0"/>
        <w:adjustRightInd/>
        <w:snapToGrid/>
        <w:spacing w:before="0" w:after="0" w:line="416" w:lineRule="auto"/>
        <w:ind w:left="0" w:leftChars="0" w:firstLine="0" w:firstLineChars="0"/>
        <w:textAlignment w:val="auto"/>
        <w:rPr>
          <w:rFonts w:hint="eastAsia" w:ascii="Times New Roman" w:hAnsi="Times New Roman" w:eastAsia="仿宋_GB2312" w:cs="Times New Roman"/>
          <w:b w:val="0"/>
          <w:bCs w:val="0"/>
          <w:kern w:val="0"/>
          <w:sz w:val="32"/>
          <w:szCs w:val="32"/>
          <w:highlight w:val="none"/>
          <w:lang w:val="en-US" w:eastAsia="zh-CN" w:bidi="ar-SA"/>
        </w:rPr>
      </w:pPr>
      <w:r>
        <w:rPr>
          <w:rFonts w:hint="eastAsia" w:ascii="Times New Roman" w:hAnsi="Times New Roman" w:eastAsia="仿宋_GB2312" w:cs="Times New Roman"/>
          <w:b w:val="0"/>
          <w:bCs w:val="0"/>
          <w:kern w:val="0"/>
          <w:sz w:val="32"/>
          <w:szCs w:val="32"/>
          <w:highlight w:val="none"/>
          <w:lang w:val="en-US" w:eastAsia="zh-CN" w:bidi="ar-SA"/>
        </w:rPr>
        <w:t>附件2：</w:t>
      </w:r>
      <w:r>
        <w:rPr>
          <w:rFonts w:hint="default" w:ascii="Times New Roman" w:hAnsi="Times New Roman" w:eastAsia="仿宋_GB2312" w:cs="Times New Roman"/>
          <w:b w:val="0"/>
          <w:bCs w:val="0"/>
          <w:kern w:val="0"/>
          <w:sz w:val="32"/>
          <w:szCs w:val="32"/>
          <w:highlight w:val="none"/>
          <w:lang w:val="en-US" w:eastAsia="zh-CN" w:bidi="ar-SA"/>
        </w:rPr>
        <w:t>202</w:t>
      </w:r>
      <w:r>
        <w:rPr>
          <w:rFonts w:hint="eastAsia" w:ascii="Times New Roman" w:hAnsi="Times New Roman" w:eastAsia="仿宋_GB2312" w:cs="Times New Roman"/>
          <w:b w:val="0"/>
          <w:bCs w:val="0"/>
          <w:kern w:val="0"/>
          <w:sz w:val="32"/>
          <w:szCs w:val="32"/>
          <w:highlight w:val="none"/>
          <w:lang w:val="en-US" w:eastAsia="zh-CN" w:bidi="ar-SA"/>
        </w:rPr>
        <w:t>3</w:t>
      </w:r>
      <w:r>
        <w:rPr>
          <w:rFonts w:hint="default" w:ascii="Times New Roman" w:hAnsi="Times New Roman" w:eastAsia="仿宋_GB2312" w:cs="Times New Roman"/>
          <w:b w:val="0"/>
          <w:bCs w:val="0"/>
          <w:kern w:val="0"/>
          <w:sz w:val="32"/>
          <w:szCs w:val="32"/>
          <w:highlight w:val="none"/>
          <w:lang w:val="en-US" w:eastAsia="zh-CN" w:bidi="ar-SA"/>
        </w:rPr>
        <w:t>年</w:t>
      </w:r>
      <w:r>
        <w:rPr>
          <w:rFonts w:hint="eastAsia" w:ascii="Times New Roman" w:hAnsi="Times New Roman" w:eastAsia="仿宋_GB2312" w:cs="Times New Roman"/>
          <w:b w:val="0"/>
          <w:bCs w:val="0"/>
          <w:kern w:val="0"/>
          <w:sz w:val="32"/>
          <w:szCs w:val="32"/>
          <w:highlight w:val="none"/>
          <w:lang w:val="en-US" w:eastAsia="zh-CN" w:bidi="ar-SA"/>
        </w:rPr>
        <w:t>度省级农田建设专项资金</w:t>
      </w:r>
      <w:r>
        <w:rPr>
          <w:rFonts w:hint="default" w:ascii="Times New Roman" w:hAnsi="Times New Roman" w:eastAsia="仿宋_GB2312" w:cs="Times New Roman"/>
          <w:b w:val="0"/>
          <w:bCs w:val="0"/>
          <w:kern w:val="0"/>
          <w:sz w:val="32"/>
          <w:szCs w:val="32"/>
          <w:highlight w:val="none"/>
          <w:lang w:val="en-US" w:eastAsia="zh-CN" w:bidi="ar-SA"/>
        </w:rPr>
        <w:t>支出绩效</w:t>
      </w:r>
      <w:r>
        <w:rPr>
          <w:rFonts w:hint="eastAsia" w:ascii="Times New Roman" w:hAnsi="Times New Roman" w:eastAsia="仿宋_GB2312" w:cs="Times New Roman"/>
          <w:b w:val="0"/>
          <w:bCs w:val="0"/>
          <w:kern w:val="0"/>
          <w:sz w:val="32"/>
          <w:szCs w:val="32"/>
          <w:highlight w:val="none"/>
          <w:lang w:val="en-US" w:eastAsia="zh-CN" w:bidi="ar-SA"/>
        </w:rPr>
        <w:t>评价指标评分表</w:t>
      </w:r>
    </w:p>
    <w:p w14:paraId="0A35916E">
      <w:pPr>
        <w:rPr>
          <w:rFonts w:hint="default"/>
          <w:lang w:val="en-US" w:eastAsia="zh-CN"/>
        </w:rPr>
      </w:pPr>
      <w:r>
        <w:rPr>
          <w:rFonts w:hint="eastAsia" w:ascii="Times New Roman" w:hAnsi="Times New Roman" w:eastAsia="仿宋_GB2312" w:cs="Times New Roman"/>
          <w:b w:val="0"/>
          <w:bCs w:val="0"/>
          <w:kern w:val="0"/>
          <w:sz w:val="32"/>
          <w:szCs w:val="32"/>
          <w:highlight w:val="none"/>
          <w:lang w:val="en-US" w:eastAsia="zh-CN" w:bidi="ar-SA"/>
        </w:rPr>
        <w:t>附件3：</w:t>
      </w:r>
      <w:r>
        <w:rPr>
          <w:rFonts w:hint="default" w:ascii="Times New Roman" w:hAnsi="Times New Roman" w:eastAsia="仿宋_GB2312" w:cs="Times New Roman"/>
          <w:b w:val="0"/>
          <w:bCs w:val="0"/>
          <w:kern w:val="0"/>
          <w:sz w:val="32"/>
          <w:szCs w:val="32"/>
          <w:highlight w:val="none"/>
          <w:lang w:val="en-US" w:eastAsia="zh-CN" w:bidi="ar-SA"/>
        </w:rPr>
        <w:t>202</w:t>
      </w:r>
      <w:r>
        <w:rPr>
          <w:rFonts w:hint="eastAsia" w:ascii="Times New Roman" w:hAnsi="Times New Roman" w:eastAsia="仿宋_GB2312" w:cs="Times New Roman"/>
          <w:b w:val="0"/>
          <w:bCs w:val="0"/>
          <w:kern w:val="0"/>
          <w:sz w:val="32"/>
          <w:szCs w:val="32"/>
          <w:highlight w:val="none"/>
          <w:lang w:val="en-US" w:eastAsia="zh-CN" w:bidi="ar-SA"/>
        </w:rPr>
        <w:t>3</w:t>
      </w:r>
      <w:r>
        <w:rPr>
          <w:rFonts w:hint="default" w:ascii="Times New Roman" w:hAnsi="Times New Roman" w:eastAsia="仿宋_GB2312" w:cs="Times New Roman"/>
          <w:b w:val="0"/>
          <w:bCs w:val="0"/>
          <w:kern w:val="0"/>
          <w:sz w:val="32"/>
          <w:szCs w:val="32"/>
          <w:highlight w:val="none"/>
          <w:lang w:val="en-US" w:eastAsia="zh-CN" w:bidi="ar-SA"/>
        </w:rPr>
        <w:t>年</w:t>
      </w:r>
      <w:r>
        <w:rPr>
          <w:rFonts w:hint="eastAsia" w:ascii="Times New Roman" w:hAnsi="Times New Roman" w:eastAsia="仿宋_GB2312" w:cs="Times New Roman"/>
          <w:b w:val="0"/>
          <w:bCs w:val="0"/>
          <w:kern w:val="0"/>
          <w:sz w:val="32"/>
          <w:szCs w:val="32"/>
          <w:highlight w:val="none"/>
          <w:lang w:val="en-US" w:eastAsia="zh-CN" w:bidi="ar-SA"/>
        </w:rPr>
        <w:t>度省级农田建设专项资金现场抽取项目清单</w:t>
      </w:r>
    </w:p>
    <w:p w14:paraId="6D94E814">
      <w:pPr>
        <w:rPr>
          <w:rFonts w:hint="default"/>
          <w:lang w:val="en-US" w:eastAsia="zh-CN"/>
        </w:rPr>
      </w:pPr>
    </w:p>
    <w:p w14:paraId="060D4F21">
      <w:pPr>
        <w:pStyle w:val="2"/>
        <w:rPr>
          <w:rFonts w:hint="default" w:ascii="Times New Roman" w:hAnsi="Times New Roman" w:eastAsia="仿宋_GB2312" w:cs="Times New Roman"/>
          <w:sz w:val="32"/>
          <w:szCs w:val="32"/>
          <w:lang w:val="en-US" w:eastAsia="zh-CN"/>
        </w:rPr>
      </w:pPr>
    </w:p>
    <w:p w14:paraId="474915CF">
      <w:pPr>
        <w:rPr>
          <w:rFonts w:hint="default"/>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湖南省农业农村厅</w:t>
      </w:r>
    </w:p>
    <w:p w14:paraId="6AD4C1EA">
      <w:pPr>
        <w:spacing w:line="600" w:lineRule="exact"/>
        <w:ind w:left="319" w:leftChars="152" w:firstLine="480" w:firstLineChars="15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2024年5月29日</w:t>
      </w:r>
    </w:p>
    <w:p w14:paraId="6C18DB1B">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br w:type="page"/>
      </w:r>
    </w:p>
    <w:p w14:paraId="3E058B94">
      <w:pPr>
        <w:pStyle w:val="5"/>
        <w:keepNext/>
        <w:keepLines/>
        <w:pageBreakBefore w:val="0"/>
        <w:widowControl w:val="0"/>
        <w:kinsoku/>
        <w:wordWrap/>
        <w:overflowPunct/>
        <w:topLinePunct w:val="0"/>
        <w:autoSpaceDE/>
        <w:autoSpaceDN/>
        <w:bidi w:val="0"/>
        <w:adjustRightInd/>
        <w:snapToGrid/>
        <w:spacing w:before="0" w:after="0" w:line="416" w:lineRule="auto"/>
        <w:textAlignment w:val="auto"/>
        <w:rPr>
          <w:rFonts w:hint="default" w:ascii="Times New Roman" w:hAnsi="Times New Roman" w:eastAsia="仿宋_GB2312" w:cs="Times New Roman"/>
          <w:b w:val="0"/>
          <w:bCs w:val="0"/>
          <w:kern w:val="0"/>
          <w:sz w:val="32"/>
          <w:szCs w:val="32"/>
          <w:highlight w:val="none"/>
          <w:lang w:val="en-US" w:eastAsia="zh-CN" w:bidi="ar-SA"/>
        </w:rPr>
      </w:pPr>
      <w:r>
        <w:rPr>
          <w:rFonts w:hint="default" w:ascii="Times New Roman" w:hAnsi="Times New Roman" w:eastAsia="仿宋_GB2312" w:cs="Times New Roman"/>
          <w:b w:val="0"/>
          <w:bCs w:val="0"/>
          <w:kern w:val="0"/>
          <w:sz w:val="32"/>
          <w:szCs w:val="32"/>
          <w:highlight w:val="none"/>
          <w:lang w:val="en-US" w:eastAsia="zh-CN" w:bidi="ar-SA"/>
        </w:rPr>
        <w:t>附件1</w:t>
      </w:r>
    </w:p>
    <w:p w14:paraId="698B42F5">
      <w:pPr>
        <w:spacing w:line="600" w:lineRule="exact"/>
        <w:ind w:firstLine="640" w:firstLineChars="20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2023年度省级农田建设项目支出绩效自评表</w:t>
      </w:r>
    </w:p>
    <w:tbl>
      <w:tblPr>
        <w:tblStyle w:val="19"/>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14:paraId="2F19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A1C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项目支出名称</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08757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高标准农田建设项目</w:t>
            </w:r>
          </w:p>
        </w:tc>
      </w:tr>
      <w:tr w14:paraId="6E19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69A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主管部门</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EFB62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农业农村部门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CF8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实施单位</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03751">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68F7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55C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项目资金（万元）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8E91E">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289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年初预算数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007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B4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全年执行数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EB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136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45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自评得分</w:t>
            </w:r>
          </w:p>
        </w:tc>
      </w:tr>
      <w:tr w14:paraId="2AB8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21177">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D12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51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77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4C6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64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238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5AA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r>
      <w:tr w14:paraId="5BE3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1A4B2">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872D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其中：当年财政拨款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52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2C6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28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5FAE">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0F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B0A3">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r>
      <w:tr w14:paraId="5CB8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BA2E3">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4FFC8">
            <w:pPr>
              <w:keepNext w:val="0"/>
              <w:keepLines w:val="0"/>
              <w:pageBreakBefore w:val="0"/>
              <w:widowControl/>
              <w:suppressLineNumbers w:val="0"/>
              <w:kinsoku/>
              <w:wordWrap/>
              <w:overflowPunct/>
              <w:topLinePunct w:val="0"/>
              <w:autoSpaceDE/>
              <w:autoSpaceDN/>
              <w:bidi w:val="0"/>
              <w:adjustRightInd/>
              <w:snapToGrid/>
              <w:spacing w:line="220" w:lineRule="exact"/>
              <w:ind w:firstLineChars="30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上年结转资金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D409">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3876">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6D1F">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ACFD">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9E27">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E489">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4D66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098ED">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774FA">
            <w:pPr>
              <w:keepNext w:val="0"/>
              <w:keepLines w:val="0"/>
              <w:pageBreakBefore w:val="0"/>
              <w:widowControl/>
              <w:suppressLineNumbers w:val="0"/>
              <w:kinsoku/>
              <w:wordWrap/>
              <w:overflowPunct/>
              <w:topLinePunct w:val="0"/>
              <w:autoSpaceDE/>
              <w:autoSpaceDN/>
              <w:bidi w:val="0"/>
              <w:adjustRightInd/>
              <w:snapToGrid/>
              <w:spacing w:line="220" w:lineRule="exact"/>
              <w:ind w:firstLineChars="30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EA83">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1224">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39C5">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D720">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54DD">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C768">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4C84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632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年度总体目标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8E60E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预期目标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0DF37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实际完成情况　</w:t>
            </w:r>
          </w:p>
        </w:tc>
      </w:tr>
      <w:tr w14:paraId="24DB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4BA68">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30F63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计划建设高标准农田345万亩，其中新增建设175万亩，改造提升170万亩，同步发展高效节水灌溉面积14万亩。</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0890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建设高标准农田345万亩，其中新增建设175万亩，改造提升170万亩，同步发展高效节水灌溉面积14万亩。</w:t>
            </w:r>
          </w:p>
        </w:tc>
      </w:tr>
      <w:tr w14:paraId="78D4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3551180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2B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9C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8B5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47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23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8F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C66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自评得分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EF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偏差原因分析及改进措施</w:t>
            </w:r>
          </w:p>
        </w:tc>
      </w:tr>
      <w:tr w14:paraId="143F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583ECA5">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5C3EEA8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产出指标(50分)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096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7D7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新建高标准农田面积(万亩)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B0E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B5D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99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21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AB74">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0BBF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7A9349D">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55AA70C">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CE253">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CB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改造提升高标准农田面积(万亩)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B2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55E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FC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594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1D49">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289B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1A5F6D7">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2F5DE7C">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4E862">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47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新增高效节水灌溉面积(万亩)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1E9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6F4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92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7A4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D5BE">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1400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989BE8A">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009FF9D">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85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6D9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高标准农田建设项目验收合格率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55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25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046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CE3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C110">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20B7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D47C081">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1E26157">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61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F92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高标准农田建设任务完成及时性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61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AB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909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58F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B995">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3D61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89DC3C5">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8E1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效益指标（30分）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D0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经济效益指标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68F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粮食综合生产能力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BD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亩均新增粮食产能100公斤左右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080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亩均新增粮食产能100公斤左右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11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B4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00D3">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3DFE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C3C02D7">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99A4A">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640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6E7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田间道路通达度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2D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平原区达到100%,丘陵区≥90%。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70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平原区100%，丘陵区92%。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720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42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088E">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7845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4335C4C">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C1D87">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27F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生态效益指标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D99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耕地质量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63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逐步提升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FAE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逐步提升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209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34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01F8">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5A9F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2A1C979">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3B6FA">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986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207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水资源利用率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B38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逐步提升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8F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逐步提升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802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6CA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6450">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6350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919593C">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1DD5B9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满意度指标（10分）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3A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A95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受益群众满意率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C33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41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29B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1B3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1042">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4330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AFC43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BE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06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20AE">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bl>
    <w:p w14:paraId="19916C6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仿宋" w:cs="Times New Roman"/>
          <w:kern w:val="0"/>
          <w:sz w:val="21"/>
          <w:szCs w:val="21"/>
        </w:rPr>
        <w:sectPr>
          <w:headerReference r:id="rId3" w:type="default"/>
          <w:footerReference r:id="rId4" w:type="default"/>
          <w:pgSz w:w="11906" w:h="16838"/>
          <w:pgMar w:top="1417" w:right="1587" w:bottom="1417" w:left="1587" w:header="851" w:footer="992" w:gutter="0"/>
          <w:cols w:space="720" w:num="1"/>
          <w:docGrid w:type="lines" w:linePitch="312" w:charSpace="0"/>
        </w:sectPr>
      </w:pPr>
    </w:p>
    <w:p w14:paraId="24423546">
      <w:pPr>
        <w:pStyle w:val="5"/>
        <w:keepNext/>
        <w:keepLines/>
        <w:pageBreakBefore w:val="0"/>
        <w:widowControl w:val="0"/>
        <w:kinsoku/>
        <w:wordWrap/>
        <w:overflowPunct/>
        <w:topLinePunct w:val="0"/>
        <w:autoSpaceDE/>
        <w:autoSpaceDN/>
        <w:bidi w:val="0"/>
        <w:adjustRightInd/>
        <w:snapToGrid/>
        <w:spacing w:before="0" w:after="0" w:line="360" w:lineRule="exact"/>
        <w:textAlignment w:val="auto"/>
        <w:rPr>
          <w:rFonts w:hint="eastAsia" w:ascii="Times New Roman" w:hAnsi="Times New Roman" w:eastAsia="仿宋_GB2312" w:cs="Times New Roman"/>
          <w:b w:val="0"/>
          <w:bCs w:val="0"/>
          <w:kern w:val="0"/>
          <w:sz w:val="32"/>
          <w:szCs w:val="32"/>
          <w:highlight w:val="none"/>
          <w:lang w:val="en-US" w:eastAsia="zh-CN" w:bidi="ar-SA"/>
        </w:rPr>
      </w:pPr>
      <w:r>
        <w:rPr>
          <w:rFonts w:hint="eastAsia" w:ascii="Times New Roman" w:hAnsi="Times New Roman" w:eastAsia="仿宋_GB2312" w:cs="Times New Roman"/>
          <w:b w:val="0"/>
          <w:bCs w:val="0"/>
          <w:kern w:val="0"/>
          <w:sz w:val="32"/>
          <w:szCs w:val="32"/>
          <w:highlight w:val="none"/>
          <w:lang w:val="en-US" w:eastAsia="zh-CN" w:bidi="ar-SA"/>
        </w:rPr>
        <w:t>附表2</w:t>
      </w:r>
    </w:p>
    <w:p w14:paraId="3C81CBFF">
      <w:pPr>
        <w:pStyle w:val="5"/>
        <w:keepNext/>
        <w:keepLines/>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2023年度农田专项资金绩效评价指标评分表</w:t>
      </w:r>
    </w:p>
    <w:tbl>
      <w:tblPr>
        <w:tblStyle w:val="19"/>
        <w:tblW w:w="13777" w:type="dxa"/>
        <w:jc w:val="center"/>
        <w:shd w:val="clear" w:color="auto" w:fill="auto"/>
        <w:tblLayout w:type="fixed"/>
        <w:tblCellMar>
          <w:top w:w="0" w:type="dxa"/>
          <w:left w:w="0" w:type="dxa"/>
          <w:bottom w:w="0" w:type="dxa"/>
          <w:right w:w="0" w:type="dxa"/>
        </w:tblCellMar>
      </w:tblPr>
      <w:tblGrid>
        <w:gridCol w:w="928"/>
        <w:gridCol w:w="915"/>
        <w:gridCol w:w="945"/>
        <w:gridCol w:w="705"/>
        <w:gridCol w:w="2685"/>
        <w:gridCol w:w="5835"/>
        <w:gridCol w:w="770"/>
        <w:gridCol w:w="994"/>
      </w:tblGrid>
      <w:tr w14:paraId="2AF548D4">
        <w:tblPrEx>
          <w:shd w:val="clear" w:color="auto" w:fill="auto"/>
          <w:tblCellMar>
            <w:top w:w="0" w:type="dxa"/>
            <w:left w:w="0" w:type="dxa"/>
            <w:bottom w:w="0" w:type="dxa"/>
            <w:right w:w="0" w:type="dxa"/>
          </w:tblCellMar>
        </w:tblPrEx>
        <w:trPr>
          <w:trHeight w:val="576" w:hRule="atLeast"/>
          <w:tblHeader/>
          <w:jc w:val="center"/>
        </w:trPr>
        <w:tc>
          <w:tcPr>
            <w:tcW w:w="92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F75A345">
            <w:pPr>
              <w:jc w:val="center"/>
              <w:rPr>
                <w:rFonts w:hint="eastAsia" w:ascii="黑体" w:hAnsi="黑体" w:eastAsia="黑体" w:cs="黑体"/>
                <w:lang w:val="en-US" w:eastAsia="zh-CN"/>
              </w:rPr>
            </w:pPr>
            <w:r>
              <w:rPr>
                <w:rFonts w:hint="eastAsia" w:ascii="黑体" w:hAnsi="黑体" w:eastAsia="黑体" w:cs="黑体"/>
                <w:lang w:val="en-US" w:eastAsia="zh-CN"/>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A606253">
            <w:pPr>
              <w:jc w:val="center"/>
              <w:rPr>
                <w:rFonts w:hint="eastAsia" w:ascii="黑体" w:hAnsi="黑体" w:eastAsia="黑体" w:cs="黑体"/>
                <w:lang w:val="en-US" w:eastAsia="zh-CN"/>
              </w:rPr>
            </w:pPr>
            <w:r>
              <w:rPr>
                <w:rFonts w:hint="eastAsia" w:ascii="黑体" w:hAnsi="黑体" w:eastAsia="黑体" w:cs="黑体"/>
                <w:lang w:val="en-US" w:eastAsia="zh-CN"/>
              </w:rPr>
              <w:t>二级指标</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A5CD831">
            <w:pPr>
              <w:jc w:val="center"/>
              <w:rPr>
                <w:rFonts w:hint="eastAsia" w:ascii="黑体" w:hAnsi="黑体" w:eastAsia="黑体" w:cs="黑体"/>
                <w:lang w:val="en-US" w:eastAsia="zh-CN"/>
              </w:rPr>
            </w:pPr>
            <w:r>
              <w:rPr>
                <w:rFonts w:hint="eastAsia" w:ascii="黑体" w:hAnsi="黑体" w:eastAsia="黑体" w:cs="黑体"/>
                <w:lang w:val="en-US" w:eastAsia="zh-CN"/>
              </w:rPr>
              <w:t>三级</w:t>
            </w:r>
          </w:p>
          <w:p w14:paraId="0E440367">
            <w:pPr>
              <w:jc w:val="center"/>
              <w:rPr>
                <w:rFonts w:hint="eastAsia" w:ascii="黑体" w:hAnsi="黑体" w:eastAsia="黑体" w:cs="黑体"/>
                <w:lang w:val="en-US" w:eastAsia="zh-CN"/>
              </w:rPr>
            </w:pPr>
            <w:r>
              <w:rPr>
                <w:rFonts w:hint="eastAsia" w:ascii="黑体" w:hAnsi="黑体" w:eastAsia="黑体" w:cs="黑体"/>
                <w:lang w:val="en-US" w:eastAsia="zh-CN"/>
              </w:rPr>
              <w:t>指标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07A46FC">
            <w:pPr>
              <w:jc w:val="center"/>
              <w:rPr>
                <w:rFonts w:hint="eastAsia" w:ascii="仿宋" w:hAnsi="仿宋" w:eastAsia="仿宋" w:cs="仿宋"/>
                <w:lang w:val="en-US" w:eastAsia="zh-CN"/>
              </w:rPr>
            </w:pPr>
            <w:r>
              <w:rPr>
                <w:rFonts w:hint="eastAsia" w:ascii="黑体" w:hAnsi="黑体" w:eastAsia="黑体" w:cs="黑体"/>
                <w:lang w:val="en-US" w:eastAsia="zh-CN"/>
              </w:rPr>
              <w:t>三级指标权重</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AF81951">
            <w:pPr>
              <w:jc w:val="center"/>
              <w:rPr>
                <w:rFonts w:hint="eastAsia" w:ascii="仿宋" w:hAnsi="仿宋" w:eastAsia="仿宋" w:cs="仿宋"/>
                <w:lang w:val="en-US" w:eastAsia="zh-CN"/>
              </w:rPr>
            </w:pPr>
            <w:r>
              <w:rPr>
                <w:rFonts w:hint="eastAsia" w:ascii="黑体" w:hAnsi="黑体" w:eastAsia="黑体" w:cs="黑体"/>
                <w:lang w:val="en-US" w:eastAsia="zh-CN"/>
              </w:rPr>
              <w:t>指标说明</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D65EE82">
            <w:pPr>
              <w:jc w:val="center"/>
              <w:rPr>
                <w:rFonts w:hint="eastAsia" w:ascii="仿宋" w:hAnsi="仿宋" w:eastAsia="仿宋" w:cs="仿宋"/>
                <w:lang w:val="en-US" w:eastAsia="zh-CN"/>
              </w:rPr>
            </w:pPr>
            <w:r>
              <w:rPr>
                <w:rFonts w:hint="eastAsia" w:ascii="黑体" w:hAnsi="黑体" w:eastAsia="黑体" w:cs="黑体"/>
                <w:lang w:val="en-US" w:eastAsia="zh-CN"/>
              </w:rPr>
              <w:t>评分标准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9457DFE">
            <w:pPr>
              <w:jc w:val="center"/>
              <w:rPr>
                <w:rFonts w:hint="eastAsia" w:ascii="黑体" w:hAnsi="黑体" w:eastAsia="黑体" w:cs="黑体"/>
                <w:lang w:val="en-US" w:eastAsia="zh-CN"/>
              </w:rPr>
            </w:pPr>
            <w:r>
              <w:rPr>
                <w:rFonts w:hint="eastAsia" w:ascii="黑体" w:hAnsi="黑体" w:eastAsia="黑体" w:cs="黑体"/>
                <w:lang w:val="en-US" w:eastAsia="zh-CN"/>
              </w:rPr>
              <w:t>评价</w:t>
            </w:r>
          </w:p>
          <w:p w14:paraId="721F58E6">
            <w:pPr>
              <w:jc w:val="center"/>
              <w:rPr>
                <w:rFonts w:hint="eastAsia" w:ascii="仿宋" w:hAnsi="仿宋" w:eastAsia="仿宋" w:cs="仿宋"/>
                <w:lang w:val="en-US" w:eastAsia="zh-CN"/>
              </w:rPr>
            </w:pPr>
            <w:r>
              <w:rPr>
                <w:rFonts w:hint="eastAsia" w:ascii="黑体" w:hAnsi="黑体" w:eastAsia="黑体" w:cs="黑体"/>
                <w:lang w:val="en-US" w:eastAsia="zh-CN"/>
              </w:rPr>
              <w:t>得分</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0B683D3">
            <w:pPr>
              <w:jc w:val="center"/>
              <w:rPr>
                <w:rFonts w:hint="eastAsia" w:ascii="仿宋" w:hAnsi="仿宋" w:eastAsia="仿宋" w:cs="仿宋"/>
                <w:lang w:val="en-US" w:eastAsia="zh-CN"/>
              </w:rPr>
            </w:pPr>
            <w:r>
              <w:rPr>
                <w:rFonts w:hint="eastAsia" w:ascii="黑体" w:hAnsi="黑体" w:eastAsia="黑体" w:cs="黑体"/>
                <w:lang w:val="en-US" w:eastAsia="zh-CN"/>
              </w:rPr>
              <w:t>备注</w:t>
            </w:r>
          </w:p>
        </w:tc>
      </w:tr>
      <w:tr w14:paraId="4A436BE8">
        <w:tblPrEx>
          <w:tblCellMar>
            <w:top w:w="0" w:type="dxa"/>
            <w:left w:w="0" w:type="dxa"/>
            <w:bottom w:w="0" w:type="dxa"/>
            <w:right w:w="0" w:type="dxa"/>
          </w:tblCellMar>
        </w:tblPrEx>
        <w:trPr>
          <w:trHeight w:val="1739"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99DA7C">
            <w:pPr>
              <w:jc w:val="center"/>
              <w:rPr>
                <w:rFonts w:hint="eastAsia" w:ascii="仿宋" w:hAnsi="仿宋" w:eastAsia="仿宋" w:cs="仿宋"/>
                <w:lang w:val="en-US" w:eastAsia="zh-CN"/>
              </w:rPr>
            </w:pPr>
            <w:r>
              <w:rPr>
                <w:rFonts w:hint="eastAsia" w:ascii="仿宋" w:hAnsi="仿宋" w:eastAsia="仿宋" w:cs="仿宋"/>
                <w:lang w:val="en-US" w:eastAsia="zh-CN"/>
              </w:rPr>
              <w:t>决策</w:t>
            </w:r>
          </w:p>
          <w:p w14:paraId="42348BBE">
            <w:pPr>
              <w:jc w:val="center"/>
              <w:rPr>
                <w:rFonts w:hint="eastAsia" w:ascii="仿宋" w:hAnsi="仿宋" w:eastAsia="仿宋" w:cs="仿宋"/>
                <w:lang w:val="en-US" w:eastAsia="zh-CN"/>
              </w:rPr>
            </w:pPr>
            <w:r>
              <w:rPr>
                <w:rFonts w:hint="eastAsia" w:ascii="仿宋" w:hAnsi="仿宋" w:eastAsia="仿宋" w:cs="仿宋"/>
                <w:lang w:val="en-US" w:eastAsia="zh-CN"/>
              </w:rPr>
              <w:t>（14分）</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72E8942">
            <w:pPr>
              <w:jc w:val="center"/>
              <w:rPr>
                <w:rFonts w:hint="eastAsia" w:ascii="仿宋" w:hAnsi="仿宋" w:eastAsia="仿宋" w:cs="仿宋"/>
                <w:lang w:val="en-US" w:eastAsia="zh-CN"/>
              </w:rPr>
            </w:pPr>
            <w:r>
              <w:rPr>
                <w:rFonts w:hint="eastAsia" w:ascii="仿宋" w:hAnsi="仿宋" w:eastAsia="仿宋" w:cs="仿宋"/>
                <w:lang w:val="en-US" w:eastAsia="zh-CN"/>
              </w:rPr>
              <w:t>项目立项</w:t>
            </w:r>
          </w:p>
          <w:p w14:paraId="6985BA12">
            <w:pPr>
              <w:jc w:val="center"/>
              <w:rPr>
                <w:rFonts w:hint="eastAsia" w:ascii="仿宋" w:hAnsi="仿宋" w:eastAsia="仿宋" w:cs="仿宋"/>
                <w:lang w:val="en-US" w:eastAsia="zh-CN"/>
              </w:rPr>
            </w:pPr>
            <w:r>
              <w:rPr>
                <w:rFonts w:hint="eastAsia" w:ascii="仿宋" w:hAnsi="仿宋" w:eastAsia="仿宋" w:cs="仿宋"/>
                <w:lang w:val="en-US" w:eastAsia="zh-CN"/>
              </w:rPr>
              <w:t>（4分）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D6748B2">
            <w:pPr>
              <w:jc w:val="center"/>
              <w:rPr>
                <w:rFonts w:hint="eastAsia" w:ascii="仿宋" w:hAnsi="仿宋" w:eastAsia="仿宋" w:cs="仿宋"/>
                <w:lang w:val="en-US" w:eastAsia="zh-CN"/>
              </w:rPr>
            </w:pPr>
            <w:r>
              <w:rPr>
                <w:rFonts w:hint="eastAsia" w:ascii="仿宋" w:hAnsi="仿宋" w:eastAsia="仿宋" w:cs="仿宋"/>
                <w:lang w:val="en-US" w:eastAsia="zh-CN"/>
              </w:rPr>
              <w:t>立项依据充分性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304E390">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510A575">
            <w:pPr>
              <w:jc w:val="both"/>
              <w:rPr>
                <w:rFonts w:hint="eastAsia" w:ascii="仿宋" w:hAnsi="仿宋" w:eastAsia="仿宋" w:cs="仿宋"/>
                <w:lang w:val="en-US" w:eastAsia="zh-CN"/>
              </w:rPr>
            </w:pPr>
            <w:r>
              <w:rPr>
                <w:rFonts w:hint="eastAsia" w:ascii="仿宋" w:hAnsi="仿宋" w:eastAsia="仿宋" w:cs="仿宋"/>
                <w:lang w:val="en-US" w:eastAsia="zh-CN"/>
              </w:rPr>
              <w:t>项目立项是否符合法律法规、相关政策、发展规划以及部门职责，用以反映和考核项目立项依据情况。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465691E">
            <w:pPr>
              <w:jc w:val="both"/>
              <w:rPr>
                <w:rFonts w:hint="eastAsia" w:ascii="仿宋" w:hAnsi="仿宋" w:eastAsia="仿宋" w:cs="仿宋"/>
                <w:lang w:val="en-US" w:eastAsia="zh-CN"/>
              </w:rPr>
            </w:pPr>
            <w:r>
              <w:rPr>
                <w:rFonts w:hint="eastAsia" w:ascii="仿宋" w:hAnsi="仿宋" w:eastAsia="仿宋" w:cs="仿宋"/>
                <w:lang w:val="en-US" w:eastAsia="zh-CN"/>
              </w:rPr>
              <w:t>①项目立项是否符合国家相关法律法规、国民经济发展规划和相关政策；</w:t>
            </w:r>
          </w:p>
          <w:p w14:paraId="3187DCA7">
            <w:pPr>
              <w:jc w:val="both"/>
              <w:rPr>
                <w:rFonts w:hint="eastAsia" w:ascii="仿宋" w:hAnsi="仿宋" w:eastAsia="仿宋" w:cs="仿宋"/>
                <w:lang w:val="en-US" w:eastAsia="zh-CN"/>
              </w:rPr>
            </w:pPr>
            <w:r>
              <w:rPr>
                <w:rFonts w:hint="eastAsia" w:ascii="仿宋" w:hAnsi="仿宋" w:eastAsia="仿宋" w:cs="仿宋"/>
                <w:lang w:val="en-US" w:eastAsia="zh-CN"/>
              </w:rPr>
              <w:t>②项目立项是否符合行业发展规划和政策要求；</w:t>
            </w:r>
          </w:p>
          <w:p w14:paraId="1375F95C">
            <w:pPr>
              <w:jc w:val="both"/>
              <w:rPr>
                <w:rFonts w:hint="eastAsia" w:ascii="仿宋" w:hAnsi="仿宋" w:eastAsia="仿宋" w:cs="仿宋"/>
                <w:lang w:val="en-US" w:eastAsia="zh-CN"/>
              </w:rPr>
            </w:pPr>
            <w:r>
              <w:rPr>
                <w:rFonts w:hint="eastAsia" w:ascii="仿宋" w:hAnsi="仿宋" w:eastAsia="仿宋" w:cs="仿宋"/>
                <w:lang w:val="en-US" w:eastAsia="zh-CN"/>
              </w:rPr>
              <w:t>③项目立项是否与部门职责范围相符；</w:t>
            </w:r>
          </w:p>
          <w:p w14:paraId="095AD9E5">
            <w:pPr>
              <w:jc w:val="both"/>
              <w:rPr>
                <w:rFonts w:hint="eastAsia" w:ascii="仿宋" w:hAnsi="仿宋" w:eastAsia="仿宋" w:cs="仿宋"/>
                <w:lang w:val="en-US" w:eastAsia="zh-CN"/>
              </w:rPr>
            </w:pPr>
            <w:r>
              <w:rPr>
                <w:rFonts w:hint="eastAsia" w:ascii="仿宋" w:hAnsi="仿宋" w:eastAsia="仿宋" w:cs="仿宋"/>
                <w:lang w:val="en-US" w:eastAsia="zh-CN"/>
              </w:rPr>
              <w:t>④项目立项是否与相关部门或部门内部相关项目存在重复。</w:t>
            </w:r>
          </w:p>
          <w:p w14:paraId="0B47E37E">
            <w:pPr>
              <w:jc w:val="both"/>
              <w:rPr>
                <w:rFonts w:hint="eastAsia" w:ascii="仿宋" w:hAnsi="仿宋" w:eastAsia="仿宋" w:cs="仿宋"/>
                <w:lang w:val="en-US" w:eastAsia="zh-CN"/>
              </w:rPr>
            </w:pPr>
            <w:r>
              <w:rPr>
                <w:rFonts w:hint="eastAsia" w:ascii="仿宋" w:hAnsi="仿宋" w:eastAsia="仿宋" w:cs="仿宋"/>
                <w:lang w:val="en-US" w:eastAsia="zh-CN"/>
              </w:rPr>
              <w:t>每发现一例不符的按占现场评价资金比扣分。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B5F9E35">
            <w:pPr>
              <w:jc w:val="center"/>
              <w:rPr>
                <w:rFonts w:hint="default" w:ascii="仿宋" w:hAnsi="仿宋" w:eastAsia="仿宋" w:cs="仿宋"/>
                <w:lang w:val="en-US" w:eastAsia="zh-CN"/>
              </w:rPr>
            </w:pPr>
            <w:r>
              <w:rPr>
                <w:rFonts w:hint="eastAsia" w:ascii="仿宋" w:hAnsi="仿宋" w:eastAsia="仿宋" w:cs="仿宋"/>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F51B1E">
            <w:pPr>
              <w:jc w:val="center"/>
              <w:rPr>
                <w:rFonts w:hint="eastAsia" w:ascii="仿宋" w:hAnsi="仿宋" w:eastAsia="仿宋" w:cs="仿宋"/>
                <w:lang w:val="en-US" w:eastAsia="zh-CN"/>
              </w:rPr>
            </w:pPr>
          </w:p>
        </w:tc>
      </w:tr>
      <w:tr w14:paraId="749F3400">
        <w:tblPrEx>
          <w:tblCellMar>
            <w:top w:w="0" w:type="dxa"/>
            <w:left w:w="0" w:type="dxa"/>
            <w:bottom w:w="0" w:type="dxa"/>
            <w:right w:w="0" w:type="dxa"/>
          </w:tblCellMar>
        </w:tblPrEx>
        <w:trPr>
          <w:trHeight w:val="1264"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69296BD">
            <w:pPr>
              <w:jc w:val="cente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F99A5DB">
            <w:pPr>
              <w:jc w:val="cente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D6A7FCC">
            <w:pPr>
              <w:jc w:val="center"/>
              <w:rPr>
                <w:rFonts w:hint="eastAsia" w:ascii="仿宋" w:hAnsi="仿宋" w:eastAsia="仿宋" w:cs="仿宋"/>
                <w:lang w:val="en-US" w:eastAsia="zh-CN"/>
              </w:rPr>
            </w:pPr>
            <w:r>
              <w:rPr>
                <w:rFonts w:hint="eastAsia" w:ascii="仿宋" w:hAnsi="仿宋" w:eastAsia="仿宋" w:cs="仿宋"/>
                <w:lang w:val="en-US" w:eastAsia="zh-CN"/>
              </w:rPr>
              <w:t>立项程序规范性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3A26788">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A82BAA9">
            <w:pPr>
              <w:jc w:val="both"/>
              <w:rPr>
                <w:rFonts w:hint="eastAsia" w:ascii="仿宋" w:hAnsi="仿宋" w:eastAsia="仿宋" w:cs="仿宋"/>
                <w:lang w:val="en-US" w:eastAsia="zh-CN"/>
              </w:rPr>
            </w:pPr>
            <w:r>
              <w:rPr>
                <w:rFonts w:hint="eastAsia" w:ascii="仿宋" w:hAnsi="仿宋" w:eastAsia="仿宋" w:cs="仿宋"/>
                <w:lang w:val="en-US" w:eastAsia="zh-CN"/>
              </w:rPr>
              <w:t>项目申请、设立过程是否符合相关要求，用以反映和考核决策（立项）的规范情况。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08C9E4E">
            <w:pPr>
              <w:jc w:val="both"/>
              <w:rPr>
                <w:rFonts w:hint="eastAsia" w:ascii="仿宋" w:hAnsi="仿宋" w:eastAsia="仿宋" w:cs="仿宋"/>
                <w:lang w:val="en-US" w:eastAsia="zh-CN"/>
              </w:rPr>
            </w:pPr>
            <w:r>
              <w:rPr>
                <w:rFonts w:hint="eastAsia" w:ascii="仿宋" w:hAnsi="仿宋" w:eastAsia="仿宋" w:cs="仿宋"/>
                <w:lang w:val="en-US" w:eastAsia="zh-CN"/>
              </w:rPr>
              <w:t>①项目是否按照规定的程序申请设立，计0.5分；②审批文件、材料是否符合相关要求，计0.5分；③事前是否已经过必要的可行性研究、专家论证、集体决策等必要论证，计1分。</w:t>
            </w:r>
          </w:p>
          <w:p w14:paraId="4C0CDAE0">
            <w:pPr>
              <w:jc w:val="both"/>
              <w:rPr>
                <w:rFonts w:hint="eastAsia" w:ascii="仿宋" w:hAnsi="仿宋" w:eastAsia="仿宋" w:cs="仿宋"/>
                <w:lang w:val="en-US" w:eastAsia="zh-CN"/>
              </w:rPr>
            </w:pPr>
            <w:r>
              <w:rPr>
                <w:rFonts w:hint="eastAsia" w:ascii="仿宋" w:hAnsi="仿宋" w:eastAsia="仿宋" w:cs="仿宋"/>
                <w:lang w:val="en-US" w:eastAsia="zh-CN"/>
              </w:rPr>
              <w:t>每发现一例不符的按占现场评价资金比扣分。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0CA110">
            <w:pPr>
              <w:jc w:val="center"/>
              <w:rPr>
                <w:rFonts w:hint="default" w:ascii="仿宋" w:hAnsi="仿宋" w:eastAsia="仿宋" w:cs="仿宋"/>
                <w:lang w:val="en-US" w:eastAsia="zh-CN"/>
              </w:rPr>
            </w:pPr>
            <w:r>
              <w:rPr>
                <w:rFonts w:hint="eastAsia" w:ascii="仿宋" w:hAnsi="仿宋" w:eastAsia="仿宋" w:cs="仿宋"/>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7EB8A8C">
            <w:pPr>
              <w:jc w:val="center"/>
              <w:rPr>
                <w:rFonts w:hint="eastAsia" w:ascii="仿宋" w:hAnsi="仿宋" w:eastAsia="仿宋" w:cs="仿宋"/>
                <w:lang w:val="en-US" w:eastAsia="zh-CN"/>
              </w:rPr>
            </w:pPr>
          </w:p>
        </w:tc>
      </w:tr>
      <w:tr w14:paraId="24913DC7">
        <w:tblPrEx>
          <w:tblCellMar>
            <w:top w:w="0" w:type="dxa"/>
            <w:left w:w="0" w:type="dxa"/>
            <w:bottom w:w="0" w:type="dxa"/>
            <w:right w:w="0" w:type="dxa"/>
          </w:tblCellMar>
        </w:tblPrEx>
        <w:trPr>
          <w:trHeight w:val="1421"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0935CCD">
            <w:pPr>
              <w:jc w:val="center"/>
              <w:rPr>
                <w:rFonts w:hint="eastAsia" w:ascii="仿宋" w:hAnsi="仿宋" w:eastAsia="仿宋" w:cs="仿宋"/>
                <w:lang w:val="en-US" w:eastAsia="zh-CN"/>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2133109">
            <w:pPr>
              <w:jc w:val="center"/>
              <w:rPr>
                <w:rFonts w:hint="eastAsia" w:ascii="仿宋" w:hAnsi="仿宋" w:eastAsia="仿宋" w:cs="仿宋"/>
                <w:lang w:val="en-US" w:eastAsia="zh-CN"/>
              </w:rPr>
            </w:pPr>
            <w:r>
              <w:rPr>
                <w:rFonts w:hint="eastAsia" w:ascii="仿宋" w:hAnsi="仿宋" w:eastAsia="仿宋" w:cs="仿宋"/>
                <w:lang w:val="en-US" w:eastAsia="zh-CN"/>
              </w:rPr>
              <w:t>绩效目标</w:t>
            </w:r>
          </w:p>
          <w:p w14:paraId="46ABDAA9">
            <w:pPr>
              <w:jc w:val="center"/>
              <w:rPr>
                <w:rFonts w:hint="eastAsia" w:ascii="仿宋" w:hAnsi="仿宋" w:eastAsia="仿宋" w:cs="仿宋"/>
                <w:lang w:val="en-US" w:eastAsia="zh-CN"/>
              </w:rPr>
            </w:pPr>
            <w:r>
              <w:rPr>
                <w:rFonts w:hint="eastAsia" w:ascii="仿宋" w:hAnsi="仿宋" w:eastAsia="仿宋" w:cs="仿宋"/>
                <w:lang w:val="en-US" w:eastAsia="zh-CN"/>
              </w:rPr>
              <w:t>（6分）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98C41EB">
            <w:pPr>
              <w:jc w:val="center"/>
              <w:rPr>
                <w:rFonts w:hint="eastAsia" w:ascii="仿宋" w:hAnsi="仿宋" w:eastAsia="仿宋" w:cs="仿宋"/>
                <w:lang w:val="en-US" w:eastAsia="zh-CN"/>
              </w:rPr>
            </w:pPr>
            <w:r>
              <w:rPr>
                <w:rFonts w:hint="eastAsia" w:ascii="仿宋" w:hAnsi="仿宋" w:eastAsia="仿宋" w:cs="仿宋"/>
                <w:lang w:val="en-US" w:eastAsia="zh-CN"/>
              </w:rPr>
              <w:t>绩效目标合理性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B035E27">
            <w:pPr>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023439E">
            <w:pPr>
              <w:jc w:val="both"/>
              <w:rPr>
                <w:rFonts w:hint="eastAsia" w:ascii="仿宋" w:hAnsi="仿宋" w:eastAsia="仿宋" w:cs="仿宋"/>
                <w:lang w:val="en-US" w:eastAsia="zh-CN"/>
              </w:rPr>
            </w:pPr>
            <w:r>
              <w:rPr>
                <w:rFonts w:hint="eastAsia" w:ascii="仿宋" w:hAnsi="仿宋" w:eastAsia="仿宋" w:cs="仿宋"/>
                <w:lang w:val="en-US" w:eastAsia="zh-CN"/>
              </w:rPr>
              <w:t>专项资金所设定的绩效目标是否依据充分，是否符合客观实际，用以反映和考核专项资金绩效目标与项目实施的相符情况。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0ED0A27">
            <w:pPr>
              <w:jc w:val="both"/>
              <w:rPr>
                <w:rFonts w:hint="eastAsia" w:ascii="仿宋" w:hAnsi="仿宋" w:eastAsia="仿宋" w:cs="仿宋"/>
                <w:lang w:val="en-US" w:eastAsia="zh-CN"/>
              </w:rPr>
            </w:pPr>
            <w:r>
              <w:rPr>
                <w:rFonts w:hint="eastAsia" w:ascii="仿宋" w:hAnsi="仿宋" w:eastAsia="仿宋" w:cs="仿宋"/>
                <w:lang w:val="en-US" w:eastAsia="zh-CN"/>
              </w:rPr>
              <w:t>①专项资金是否有绩效目标；②专项资金绩效目标与实际工作内容是否具有相关性；③项目预期产出效益和效果是否符合正常的业绩水平；是否与预算确定的项目投资额或资金量相匹配。（如未设定项目绩效目标，也可考核其他工作任务目标）每项计1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41FB166">
            <w:pPr>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8C0B452">
            <w:pPr>
              <w:jc w:val="center"/>
              <w:rPr>
                <w:rFonts w:hint="eastAsia" w:ascii="仿宋" w:hAnsi="仿宋" w:eastAsia="仿宋" w:cs="仿宋"/>
                <w:lang w:val="en-US" w:eastAsia="zh-CN"/>
              </w:rPr>
            </w:pPr>
          </w:p>
        </w:tc>
      </w:tr>
      <w:tr w14:paraId="11109605">
        <w:tblPrEx>
          <w:tblCellMar>
            <w:top w:w="0" w:type="dxa"/>
            <w:left w:w="0" w:type="dxa"/>
            <w:bottom w:w="0" w:type="dxa"/>
            <w:right w:w="0" w:type="dxa"/>
          </w:tblCellMar>
        </w:tblPrEx>
        <w:trPr>
          <w:trHeight w:val="1294"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A45875D">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0675296">
            <w:pP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42BE257">
            <w:pPr>
              <w:jc w:val="center"/>
              <w:rPr>
                <w:rFonts w:hint="eastAsia" w:ascii="仿宋" w:hAnsi="仿宋" w:eastAsia="仿宋" w:cs="仿宋"/>
                <w:lang w:val="en-US" w:eastAsia="zh-CN"/>
              </w:rPr>
            </w:pPr>
            <w:r>
              <w:rPr>
                <w:rFonts w:hint="eastAsia" w:ascii="仿宋" w:hAnsi="仿宋" w:eastAsia="仿宋" w:cs="仿宋"/>
                <w:lang w:val="en-US" w:eastAsia="zh-CN"/>
              </w:rPr>
              <w:t>绩效指标明确性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101C2C4">
            <w:pPr>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A291BF5">
            <w:pPr>
              <w:jc w:val="both"/>
              <w:rPr>
                <w:rFonts w:hint="eastAsia" w:ascii="仿宋" w:hAnsi="仿宋" w:eastAsia="仿宋" w:cs="仿宋"/>
                <w:lang w:val="en-US" w:eastAsia="zh-CN"/>
              </w:rPr>
            </w:pPr>
            <w:r>
              <w:rPr>
                <w:rFonts w:hint="eastAsia" w:ascii="仿宋" w:hAnsi="仿宋" w:eastAsia="仿宋" w:cs="仿宋"/>
                <w:lang w:val="en-US" w:eastAsia="zh-CN"/>
              </w:rPr>
              <w:t>依据绩效目标设定的绩效指标是否清晰、细化、可衡量等，用以反映和考核项目绩效目标的明细化情况。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6C76BD1">
            <w:pPr>
              <w:jc w:val="both"/>
              <w:rPr>
                <w:rFonts w:hint="eastAsia" w:ascii="仿宋" w:hAnsi="仿宋" w:eastAsia="仿宋" w:cs="仿宋"/>
                <w:lang w:val="en-US" w:eastAsia="zh-CN"/>
              </w:rPr>
            </w:pPr>
            <w:r>
              <w:rPr>
                <w:rFonts w:hint="eastAsia" w:ascii="仿宋" w:hAnsi="仿宋" w:eastAsia="仿宋" w:cs="仿宋"/>
                <w:lang w:val="en-US" w:eastAsia="zh-CN"/>
              </w:rPr>
              <w:t>①是否将项目绩效目标细化分解为具体的绩效指标；②是否通过清晰、可衡量的指标值予以体现；③是否与专项资金目标任务数或计划数相对应。每项计1分。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DE6FEB">
            <w:pPr>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CF2079A">
            <w:pPr>
              <w:jc w:val="center"/>
              <w:rPr>
                <w:rFonts w:hint="eastAsia" w:ascii="仿宋" w:hAnsi="仿宋" w:eastAsia="仿宋" w:cs="仿宋"/>
                <w:lang w:val="en-US" w:eastAsia="zh-CN"/>
              </w:rPr>
            </w:pPr>
          </w:p>
        </w:tc>
      </w:tr>
      <w:tr w14:paraId="06E6AFD4">
        <w:tblPrEx>
          <w:tblCellMar>
            <w:top w:w="0" w:type="dxa"/>
            <w:left w:w="0" w:type="dxa"/>
            <w:bottom w:w="0" w:type="dxa"/>
            <w:right w:w="0" w:type="dxa"/>
          </w:tblCellMar>
        </w:tblPrEx>
        <w:trPr>
          <w:trHeight w:val="1523"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6E8939D">
            <w:pPr>
              <w:rPr>
                <w:rFonts w:hint="eastAsia" w:ascii="仿宋" w:hAnsi="仿宋" w:eastAsia="仿宋" w:cs="仿宋"/>
                <w:lang w:val="en-US" w:eastAsia="zh-CN"/>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4F433E5">
            <w:pPr>
              <w:jc w:val="center"/>
              <w:rPr>
                <w:rFonts w:hint="eastAsia" w:ascii="仿宋" w:hAnsi="仿宋" w:eastAsia="仿宋" w:cs="仿宋"/>
                <w:lang w:val="en-US" w:eastAsia="zh-CN"/>
              </w:rPr>
            </w:pPr>
            <w:r>
              <w:rPr>
                <w:rFonts w:hint="eastAsia" w:ascii="仿宋" w:hAnsi="仿宋" w:eastAsia="仿宋" w:cs="仿宋"/>
                <w:lang w:val="en-US" w:eastAsia="zh-CN"/>
              </w:rPr>
              <w:t>资金投入</w:t>
            </w:r>
          </w:p>
          <w:p w14:paraId="7A5ECE49">
            <w:pPr>
              <w:jc w:val="center"/>
              <w:rPr>
                <w:rFonts w:hint="eastAsia" w:ascii="仿宋" w:hAnsi="仿宋" w:eastAsia="仿宋" w:cs="仿宋"/>
                <w:lang w:val="en-US" w:eastAsia="zh-CN"/>
              </w:rPr>
            </w:pPr>
            <w:r>
              <w:rPr>
                <w:rFonts w:hint="eastAsia" w:ascii="仿宋" w:hAnsi="仿宋" w:eastAsia="仿宋" w:cs="仿宋"/>
                <w:lang w:val="en-US" w:eastAsia="zh-CN"/>
              </w:rPr>
              <w:t>（4分）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DCCBC52">
            <w:pPr>
              <w:jc w:val="center"/>
              <w:rPr>
                <w:rFonts w:hint="eastAsia" w:ascii="仿宋" w:hAnsi="仿宋" w:eastAsia="仿宋" w:cs="仿宋"/>
                <w:lang w:val="en-US" w:eastAsia="zh-CN"/>
              </w:rPr>
            </w:pPr>
            <w:r>
              <w:rPr>
                <w:rFonts w:hint="eastAsia" w:ascii="仿宋" w:hAnsi="仿宋" w:eastAsia="仿宋" w:cs="仿宋"/>
                <w:lang w:val="en-US" w:eastAsia="zh-CN"/>
              </w:rPr>
              <w:t>预算编制科学性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F1BB9BB">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F6A6776">
            <w:pPr>
              <w:jc w:val="both"/>
              <w:rPr>
                <w:rFonts w:hint="eastAsia" w:ascii="仿宋" w:hAnsi="仿宋" w:eastAsia="仿宋" w:cs="仿宋"/>
                <w:lang w:val="en-US" w:eastAsia="zh-CN"/>
              </w:rPr>
            </w:pPr>
            <w:r>
              <w:rPr>
                <w:rFonts w:hint="eastAsia" w:ascii="仿宋" w:hAnsi="仿宋" w:eastAsia="仿宋" w:cs="仿宋"/>
                <w:lang w:val="en-US" w:eastAsia="zh-CN"/>
              </w:rPr>
              <w:t>预算编制是否经过科学论证、有明确标准，资金额度与年度目标是否相适应，用以反映和考核项目预算编制的科学性、合理性情况。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A2C5D6">
            <w:pPr>
              <w:jc w:val="both"/>
              <w:rPr>
                <w:rFonts w:hint="eastAsia" w:ascii="仿宋" w:hAnsi="仿宋" w:eastAsia="仿宋" w:cs="仿宋"/>
                <w:lang w:val="en-US" w:eastAsia="zh-CN"/>
              </w:rPr>
            </w:pPr>
            <w:r>
              <w:rPr>
                <w:rFonts w:hint="eastAsia" w:ascii="仿宋" w:hAnsi="仿宋" w:eastAsia="仿宋" w:cs="仿宋"/>
                <w:lang w:val="en-US" w:eastAsia="zh-CN"/>
              </w:rPr>
              <w:t>①预算编制是否经过科学论证；②预算内容与支出内容是否匹配；③预算额度测算依据是否充分，是否按照标准编制；④预算确定的项目投资额或资金量是否与工作任务相匹配。每项计0.5分。每发现一例不符的按占现场评价资金比扣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5A2EA87">
            <w:pPr>
              <w:jc w:val="center"/>
              <w:rPr>
                <w:rFonts w:hint="default" w:ascii="仿宋" w:hAnsi="仿宋" w:eastAsia="仿宋" w:cs="仿宋"/>
                <w:lang w:val="en-US" w:eastAsia="zh-CN"/>
              </w:rPr>
            </w:pPr>
            <w:r>
              <w:rPr>
                <w:rFonts w:hint="eastAsia" w:ascii="仿宋" w:hAnsi="仿宋" w:eastAsia="仿宋" w:cs="仿宋"/>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50843FB">
            <w:pPr>
              <w:jc w:val="center"/>
              <w:rPr>
                <w:rFonts w:hint="eastAsia" w:ascii="仿宋" w:hAnsi="仿宋" w:eastAsia="仿宋" w:cs="仿宋"/>
                <w:lang w:val="en-US" w:eastAsia="zh-CN"/>
              </w:rPr>
            </w:pPr>
          </w:p>
        </w:tc>
      </w:tr>
      <w:tr w14:paraId="279A504E">
        <w:tblPrEx>
          <w:tblCellMar>
            <w:top w:w="0" w:type="dxa"/>
            <w:left w:w="0" w:type="dxa"/>
            <w:bottom w:w="0" w:type="dxa"/>
            <w:right w:w="0" w:type="dxa"/>
          </w:tblCellMar>
        </w:tblPrEx>
        <w:trPr>
          <w:trHeight w:val="1511"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A58878A">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899E3D2">
            <w:pP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A87771A">
            <w:pPr>
              <w:jc w:val="center"/>
              <w:rPr>
                <w:rFonts w:hint="eastAsia" w:ascii="仿宋" w:hAnsi="仿宋" w:eastAsia="仿宋" w:cs="仿宋"/>
                <w:lang w:val="en-US" w:eastAsia="zh-CN"/>
              </w:rPr>
            </w:pPr>
            <w:r>
              <w:rPr>
                <w:rFonts w:hint="eastAsia" w:ascii="仿宋" w:hAnsi="仿宋" w:eastAsia="仿宋" w:cs="仿宋"/>
                <w:lang w:val="en-US" w:eastAsia="zh-CN"/>
              </w:rPr>
              <w:t>资金分配合理性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5D1A41D">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3507786">
            <w:pPr>
              <w:jc w:val="both"/>
              <w:rPr>
                <w:rFonts w:hint="eastAsia" w:ascii="仿宋" w:hAnsi="仿宋" w:eastAsia="仿宋" w:cs="仿宋"/>
                <w:lang w:val="en-US" w:eastAsia="zh-CN"/>
              </w:rPr>
            </w:pPr>
            <w:r>
              <w:rPr>
                <w:rFonts w:hint="eastAsia" w:ascii="仿宋" w:hAnsi="仿宋" w:eastAsia="仿宋" w:cs="仿宋"/>
                <w:lang w:val="en-US" w:eastAsia="zh-CN"/>
              </w:rPr>
              <w:t>预算资金分配是否有测算依据，与补助单位或地方实际是否相适应，用以反映和考核项目预算资金分配的科学性、合理性情况。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2C94675">
            <w:pPr>
              <w:jc w:val="both"/>
              <w:rPr>
                <w:rFonts w:hint="eastAsia" w:ascii="仿宋" w:hAnsi="仿宋" w:eastAsia="仿宋" w:cs="仿宋"/>
                <w:lang w:val="en-US" w:eastAsia="zh-CN"/>
              </w:rPr>
            </w:pPr>
            <w:r>
              <w:rPr>
                <w:rFonts w:hint="eastAsia" w:ascii="仿宋" w:hAnsi="仿宋" w:eastAsia="仿宋" w:cs="仿宋"/>
                <w:lang w:val="en-US" w:eastAsia="zh-CN"/>
              </w:rPr>
              <w:t>①预算资金分配依据是否充分；②资金分配额度是否合理，与项目实施单位或地方实际是否相适应。每项计1分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11959A">
            <w:pPr>
              <w:jc w:val="center"/>
              <w:rPr>
                <w:rFonts w:hint="default" w:ascii="仿宋" w:hAnsi="仿宋" w:eastAsia="仿宋" w:cs="仿宋"/>
                <w:lang w:val="en-US" w:eastAsia="zh-CN"/>
              </w:rPr>
            </w:pPr>
            <w:r>
              <w:rPr>
                <w:rFonts w:hint="eastAsia" w:ascii="仿宋" w:hAnsi="仿宋" w:eastAsia="仿宋" w:cs="仿宋"/>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72B7A90">
            <w:pPr>
              <w:jc w:val="center"/>
              <w:rPr>
                <w:rFonts w:hint="eastAsia" w:ascii="仿宋" w:hAnsi="仿宋" w:eastAsia="仿宋" w:cs="仿宋"/>
                <w:lang w:val="en-US" w:eastAsia="zh-CN"/>
              </w:rPr>
            </w:pPr>
          </w:p>
        </w:tc>
      </w:tr>
      <w:tr w14:paraId="5F6B450C">
        <w:tblPrEx>
          <w:tblCellMar>
            <w:top w:w="0" w:type="dxa"/>
            <w:left w:w="0" w:type="dxa"/>
            <w:bottom w:w="0" w:type="dxa"/>
            <w:right w:w="0" w:type="dxa"/>
          </w:tblCellMar>
        </w:tblPrEx>
        <w:trPr>
          <w:trHeight w:val="2328"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22E3D0C">
            <w:pPr>
              <w:jc w:val="center"/>
              <w:rPr>
                <w:rFonts w:hint="eastAsia" w:ascii="仿宋" w:hAnsi="仿宋" w:eastAsia="仿宋" w:cs="仿宋"/>
                <w:lang w:val="en-US" w:eastAsia="zh-CN"/>
              </w:rPr>
            </w:pPr>
            <w:r>
              <w:rPr>
                <w:rFonts w:hint="eastAsia" w:ascii="仿宋" w:hAnsi="仿宋" w:eastAsia="仿宋" w:cs="仿宋"/>
                <w:lang w:val="en-US" w:eastAsia="zh-CN"/>
              </w:rPr>
              <w:t>过程</w:t>
            </w:r>
          </w:p>
          <w:p w14:paraId="04E0782C">
            <w:pPr>
              <w:jc w:val="center"/>
              <w:rPr>
                <w:rFonts w:hint="eastAsia" w:ascii="仿宋" w:hAnsi="仿宋" w:eastAsia="仿宋" w:cs="仿宋"/>
                <w:lang w:val="en-US" w:eastAsia="zh-CN"/>
              </w:rPr>
            </w:pPr>
            <w:r>
              <w:rPr>
                <w:rFonts w:hint="eastAsia" w:ascii="仿宋" w:hAnsi="仿宋" w:eastAsia="仿宋" w:cs="仿宋"/>
                <w:lang w:val="en-US" w:eastAsia="zh-CN"/>
              </w:rPr>
              <w:t>（26分）</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910EC67">
            <w:pPr>
              <w:jc w:val="center"/>
              <w:rPr>
                <w:rFonts w:hint="eastAsia" w:ascii="仿宋" w:hAnsi="仿宋" w:eastAsia="仿宋" w:cs="仿宋"/>
                <w:lang w:val="en-US" w:eastAsia="zh-CN"/>
              </w:rPr>
            </w:pPr>
            <w:r>
              <w:rPr>
                <w:rFonts w:hint="eastAsia" w:ascii="仿宋" w:hAnsi="仿宋" w:eastAsia="仿宋" w:cs="仿宋"/>
                <w:lang w:val="en-US" w:eastAsia="zh-CN"/>
              </w:rPr>
              <w:t>资金管理</w:t>
            </w:r>
          </w:p>
          <w:p w14:paraId="5C69895A">
            <w:pPr>
              <w:jc w:val="center"/>
              <w:rPr>
                <w:rFonts w:hint="eastAsia" w:ascii="仿宋" w:hAnsi="仿宋" w:eastAsia="仿宋" w:cs="仿宋"/>
                <w:lang w:val="en-US" w:eastAsia="zh-CN"/>
              </w:rPr>
            </w:pPr>
            <w:r>
              <w:rPr>
                <w:rFonts w:hint="eastAsia" w:ascii="仿宋" w:hAnsi="仿宋" w:eastAsia="仿宋" w:cs="仿宋"/>
                <w:lang w:val="en-US" w:eastAsia="zh-CN"/>
              </w:rPr>
              <w:t>（16分）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0545879">
            <w:pPr>
              <w:jc w:val="center"/>
              <w:rPr>
                <w:rFonts w:hint="eastAsia" w:ascii="仿宋" w:hAnsi="仿宋" w:eastAsia="仿宋" w:cs="仿宋"/>
                <w:lang w:val="en-US" w:eastAsia="zh-CN"/>
              </w:rPr>
            </w:pPr>
            <w:r>
              <w:rPr>
                <w:rFonts w:hint="eastAsia" w:ascii="仿宋" w:hAnsi="仿宋" w:eastAsia="仿宋" w:cs="仿宋"/>
                <w:lang w:val="en-US" w:eastAsia="zh-CN"/>
              </w:rPr>
              <w:t>资金</w:t>
            </w:r>
          </w:p>
          <w:p w14:paraId="06525033">
            <w:pPr>
              <w:jc w:val="center"/>
              <w:rPr>
                <w:rFonts w:hint="eastAsia" w:ascii="仿宋" w:hAnsi="仿宋" w:eastAsia="仿宋" w:cs="仿宋"/>
                <w:lang w:val="en-US" w:eastAsia="zh-CN"/>
              </w:rPr>
            </w:pPr>
            <w:r>
              <w:rPr>
                <w:rFonts w:hint="eastAsia" w:ascii="仿宋" w:hAnsi="仿宋" w:eastAsia="仿宋" w:cs="仿宋"/>
                <w:lang w:val="en-US" w:eastAsia="zh-CN"/>
              </w:rPr>
              <w:t>到位率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D754CF6">
            <w:pPr>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4BF169">
            <w:pPr>
              <w:jc w:val="both"/>
              <w:rPr>
                <w:rFonts w:hint="eastAsia" w:ascii="仿宋" w:hAnsi="仿宋" w:eastAsia="仿宋" w:cs="仿宋"/>
                <w:lang w:val="en-US" w:eastAsia="zh-CN"/>
              </w:rPr>
            </w:pPr>
            <w:r>
              <w:rPr>
                <w:rFonts w:hint="eastAsia" w:ascii="仿宋" w:hAnsi="仿宋" w:eastAsia="仿宋" w:cs="仿宋"/>
                <w:lang w:val="en-US" w:eastAsia="zh-CN"/>
              </w:rPr>
              <w:t>项目资金是否拨付到项目实施单位，是否按照原预算标准拨付。实际到位资金：一定时期（本年度或项目期）内落实到具体项目的资金。预算资金：一定时期（本年度或项目期）内预算安排到具体项目的资金。</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8BB092B">
            <w:pPr>
              <w:jc w:val="both"/>
              <w:rPr>
                <w:rFonts w:hint="eastAsia" w:ascii="仿宋" w:hAnsi="仿宋" w:eastAsia="仿宋" w:cs="仿宋"/>
                <w:lang w:val="en-US" w:eastAsia="zh-CN"/>
              </w:rPr>
            </w:pPr>
            <w:r>
              <w:rPr>
                <w:rFonts w:hint="eastAsia" w:ascii="仿宋" w:hAnsi="仿宋" w:eastAsia="仿宋" w:cs="仿宋"/>
                <w:lang w:val="en-US" w:eastAsia="zh-CN"/>
              </w:rPr>
              <w:t>资金到位率=100%，得4分；每下降一个百分点，扣0.2分，扣完为止。</w:t>
            </w:r>
          </w:p>
          <w:p w14:paraId="3FFC692B">
            <w:pPr>
              <w:jc w:val="both"/>
              <w:rPr>
                <w:rFonts w:hint="eastAsia" w:ascii="仿宋" w:hAnsi="仿宋" w:eastAsia="仿宋" w:cs="仿宋"/>
                <w:highlight w:val="none"/>
                <w:lang w:val="en-US" w:eastAsia="zh-CN"/>
              </w:rPr>
            </w:pPr>
            <w:r>
              <w:rPr>
                <w:rFonts w:hint="eastAsia" w:ascii="仿宋" w:hAnsi="仿宋" w:eastAsia="仿宋" w:cs="仿宋"/>
                <w:lang w:val="en-US" w:eastAsia="zh-CN"/>
              </w:rPr>
              <w:t>资金到位率=（</w:t>
            </w:r>
            <w:r>
              <w:rPr>
                <w:rFonts w:hint="eastAsia" w:ascii="仿宋" w:hAnsi="仿宋" w:eastAsia="仿宋" w:cs="仿宋"/>
                <w:highlight w:val="none"/>
                <w:lang w:val="en-US" w:eastAsia="zh-CN"/>
              </w:rPr>
              <w:t>实际到位资金/预算资金）×100%。</w:t>
            </w:r>
          </w:p>
          <w:p w14:paraId="5090046C">
            <w:pPr>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实际到位资金：2023年度内省落实到对应市县的资金。</w:t>
            </w:r>
          </w:p>
          <w:p w14:paraId="489AF6D8">
            <w:pPr>
              <w:jc w:val="both"/>
              <w:rPr>
                <w:rFonts w:hint="eastAsia" w:ascii="仿宋" w:hAnsi="仿宋" w:eastAsia="仿宋" w:cs="仿宋"/>
                <w:lang w:val="en-US" w:eastAsia="zh-CN"/>
              </w:rPr>
            </w:pPr>
            <w:r>
              <w:rPr>
                <w:rFonts w:hint="eastAsia" w:ascii="仿宋" w:hAnsi="仿宋" w:eastAsia="仿宋" w:cs="仿宋"/>
                <w:highlight w:val="none"/>
                <w:lang w:val="en-US" w:eastAsia="zh-CN"/>
              </w:rPr>
              <w:t>预算资金：2023年度内省预算安排的资金。</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3C3D394">
            <w:pPr>
              <w:jc w:val="center"/>
              <w:rPr>
                <w:rFonts w:hint="default" w:ascii="仿宋" w:hAnsi="仿宋" w:eastAsia="仿宋" w:cs="仿宋"/>
                <w:lang w:val="en-US" w:eastAsia="zh-CN"/>
              </w:rPr>
            </w:pPr>
            <w:r>
              <w:rPr>
                <w:rFonts w:hint="eastAsia" w:ascii="仿宋" w:hAnsi="仿宋" w:eastAsia="仿宋" w:cs="仿宋"/>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3A128EB">
            <w:pPr>
              <w:jc w:val="center"/>
              <w:rPr>
                <w:rFonts w:hint="eastAsia" w:ascii="仿宋" w:hAnsi="仿宋" w:eastAsia="仿宋" w:cs="仿宋"/>
                <w:lang w:val="en-US" w:eastAsia="zh-CN"/>
              </w:rPr>
            </w:pPr>
          </w:p>
        </w:tc>
      </w:tr>
      <w:tr w14:paraId="034FF0B9">
        <w:tblPrEx>
          <w:tblCellMar>
            <w:top w:w="0" w:type="dxa"/>
            <w:left w:w="0" w:type="dxa"/>
            <w:bottom w:w="0" w:type="dxa"/>
            <w:right w:w="0" w:type="dxa"/>
          </w:tblCellMar>
        </w:tblPrEx>
        <w:trPr>
          <w:trHeight w:val="1908"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E19AC3">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F4B74A6">
            <w:pPr>
              <w:jc w:val="cente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019FB7">
            <w:pPr>
              <w:jc w:val="center"/>
              <w:rPr>
                <w:rFonts w:hint="eastAsia" w:ascii="仿宋" w:hAnsi="仿宋" w:eastAsia="仿宋" w:cs="仿宋"/>
                <w:lang w:val="en-US" w:eastAsia="zh-CN"/>
              </w:rPr>
            </w:pPr>
            <w:r>
              <w:rPr>
                <w:rFonts w:hint="eastAsia" w:ascii="仿宋" w:hAnsi="仿宋" w:eastAsia="仿宋" w:cs="仿宋"/>
                <w:lang w:val="en-US" w:eastAsia="zh-CN"/>
              </w:rPr>
              <w:t>预算</w:t>
            </w:r>
          </w:p>
          <w:p w14:paraId="7AFF1C05">
            <w:pPr>
              <w:jc w:val="center"/>
              <w:rPr>
                <w:rFonts w:hint="eastAsia" w:ascii="仿宋" w:hAnsi="仿宋" w:eastAsia="仿宋" w:cs="仿宋"/>
                <w:lang w:val="en-US" w:eastAsia="zh-CN"/>
              </w:rPr>
            </w:pPr>
            <w:r>
              <w:rPr>
                <w:rFonts w:hint="eastAsia" w:ascii="仿宋" w:hAnsi="仿宋" w:eastAsia="仿宋" w:cs="仿宋"/>
                <w:lang w:val="en-US" w:eastAsia="zh-CN"/>
              </w:rPr>
              <w:t>执行率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54CC053">
            <w:pPr>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8818A78">
            <w:pPr>
              <w:jc w:val="both"/>
              <w:rPr>
                <w:rFonts w:hint="eastAsia" w:ascii="仿宋" w:hAnsi="仿宋" w:eastAsia="仿宋" w:cs="仿宋"/>
                <w:lang w:val="en-US" w:eastAsia="zh-CN"/>
              </w:rPr>
            </w:pPr>
            <w:r>
              <w:rPr>
                <w:rFonts w:hint="eastAsia" w:ascii="仿宋" w:hAnsi="仿宋" w:eastAsia="仿宋" w:cs="仿宋"/>
                <w:lang w:val="en-US" w:eastAsia="zh-CN"/>
              </w:rPr>
              <w:t>预算资金是否按照计划执行，用以反映或考核项目预算执行情况。实际支出资金：一定时期（本年度或项目期）内项目实际拨付的资金。</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54514A5">
            <w:pPr>
              <w:jc w:val="both"/>
              <w:rPr>
                <w:rFonts w:hint="eastAsia" w:ascii="仿宋" w:hAnsi="仿宋" w:eastAsia="仿宋" w:cs="仿宋"/>
                <w:lang w:val="en-US" w:eastAsia="zh-CN"/>
              </w:rPr>
            </w:pPr>
            <w:r>
              <w:rPr>
                <w:rFonts w:hint="eastAsia" w:ascii="仿宋" w:hAnsi="仿宋" w:eastAsia="仿宋" w:cs="仿宋"/>
                <w:lang w:val="en-US" w:eastAsia="zh-CN"/>
              </w:rPr>
              <w:t>预算执行率=100%，得5分；每下降一个百分点，扣0.2分，扣完为止。</w:t>
            </w:r>
          </w:p>
          <w:p w14:paraId="3D975B20">
            <w:pPr>
              <w:jc w:val="both"/>
              <w:rPr>
                <w:rFonts w:hint="eastAsia" w:ascii="仿宋" w:hAnsi="仿宋" w:eastAsia="仿宋" w:cs="仿宋"/>
                <w:lang w:val="en-US" w:eastAsia="zh-CN"/>
              </w:rPr>
            </w:pPr>
            <w:r>
              <w:rPr>
                <w:rFonts w:hint="eastAsia" w:ascii="仿宋" w:hAnsi="仿宋" w:eastAsia="仿宋" w:cs="仿宋"/>
                <w:lang w:val="en-US" w:eastAsia="zh-CN"/>
              </w:rPr>
              <w:t>比率计算公式：</w:t>
            </w:r>
          </w:p>
          <w:p w14:paraId="0010E3C1">
            <w:pPr>
              <w:jc w:val="both"/>
              <w:rPr>
                <w:rFonts w:hint="eastAsia" w:ascii="仿宋" w:hAnsi="仿宋" w:eastAsia="仿宋" w:cs="仿宋"/>
                <w:highlight w:val="none"/>
                <w:lang w:val="en-US" w:eastAsia="zh-CN"/>
              </w:rPr>
            </w:pPr>
            <w:r>
              <w:rPr>
                <w:rFonts w:hint="eastAsia" w:ascii="仿宋" w:hAnsi="仿宋" w:eastAsia="仿宋" w:cs="仿宋"/>
                <w:lang w:val="en-US" w:eastAsia="zh-CN"/>
              </w:rPr>
              <w:t>预算执行率=（实际支出</w:t>
            </w:r>
            <w:r>
              <w:rPr>
                <w:rFonts w:hint="eastAsia" w:ascii="仿宋" w:hAnsi="仿宋" w:eastAsia="仿宋" w:cs="仿宋"/>
                <w:highlight w:val="none"/>
                <w:lang w:val="en-US" w:eastAsia="zh-CN"/>
              </w:rPr>
              <w:t>资金/实际到位资金）×100%。</w:t>
            </w:r>
          </w:p>
          <w:p w14:paraId="33B1773D">
            <w:pPr>
              <w:jc w:val="both"/>
              <w:rPr>
                <w:rFonts w:hint="eastAsia" w:ascii="仿宋" w:hAnsi="仿宋" w:eastAsia="仿宋" w:cs="仿宋"/>
                <w:lang w:val="en-US" w:eastAsia="zh-CN"/>
              </w:rPr>
            </w:pPr>
            <w:r>
              <w:rPr>
                <w:rFonts w:hint="eastAsia" w:ascii="仿宋" w:hAnsi="仿宋" w:eastAsia="仿宋" w:cs="仿宋"/>
                <w:highlight w:val="none"/>
                <w:lang w:val="en-US" w:eastAsia="zh-CN"/>
              </w:rPr>
              <w:t>实际支出资金：2023年度内实际支出的省级专项资金。</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1F84FC5">
            <w:pPr>
              <w:jc w:val="center"/>
              <w:rPr>
                <w:rFonts w:hint="default" w:ascii="仿宋" w:hAnsi="仿宋" w:eastAsia="仿宋" w:cs="仿宋"/>
                <w:lang w:val="en-US" w:eastAsia="zh-CN"/>
              </w:rPr>
            </w:pPr>
            <w:r>
              <w:rPr>
                <w:rFonts w:hint="eastAsia" w:ascii="仿宋" w:hAnsi="仿宋" w:eastAsia="仿宋" w:cs="仿宋"/>
                <w:highlight w:val="none"/>
                <w:lang w:val="en-US" w:eastAsia="zh-CN"/>
              </w:rPr>
              <w:t>5</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0696035">
            <w:pPr>
              <w:jc w:val="center"/>
              <w:rPr>
                <w:rFonts w:hint="default" w:ascii="仿宋" w:hAnsi="仿宋" w:eastAsia="仿宋" w:cs="仿宋"/>
                <w:lang w:val="en-US" w:eastAsia="zh-CN"/>
              </w:rPr>
            </w:pPr>
          </w:p>
        </w:tc>
      </w:tr>
      <w:tr w14:paraId="463D7923">
        <w:tblPrEx>
          <w:tblCellMar>
            <w:top w:w="0" w:type="dxa"/>
            <w:left w:w="0" w:type="dxa"/>
            <w:bottom w:w="0" w:type="dxa"/>
            <w:right w:w="0" w:type="dxa"/>
          </w:tblCellMar>
        </w:tblPrEx>
        <w:trPr>
          <w:trHeight w:val="3660"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9DCD095">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43C2501">
            <w:pPr>
              <w:jc w:val="cente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45671D">
            <w:pPr>
              <w:jc w:val="center"/>
              <w:rPr>
                <w:rFonts w:hint="eastAsia" w:ascii="仿宋" w:hAnsi="仿宋" w:eastAsia="仿宋" w:cs="仿宋"/>
                <w:lang w:val="en-US" w:eastAsia="zh-CN"/>
              </w:rPr>
            </w:pPr>
            <w:r>
              <w:rPr>
                <w:rFonts w:hint="eastAsia" w:ascii="仿宋" w:hAnsi="仿宋" w:eastAsia="仿宋" w:cs="仿宋"/>
                <w:lang w:val="en-US" w:eastAsia="zh-CN"/>
              </w:rPr>
              <w:t>资金使用合规性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44C1073">
            <w:pPr>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38BF64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资金使用是否符合相关的财务管理制度规定，用以反映和考核项目单位使用资金的规范运行情况。</w:t>
            </w:r>
          </w:p>
          <w:p w14:paraId="483FC00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①项目单位使用资金是否符合国家财经法规和财务管理制度以及有关专项资金管理办法的规定；</w:t>
            </w:r>
          </w:p>
          <w:p w14:paraId="7B80E3A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②项目单位使用资金是否符合项目预算批复或合同规定的用途；</w:t>
            </w:r>
          </w:p>
          <w:p w14:paraId="0829F07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③项目单位使用资金是否存在截留、挤占、挪用、虚列支出等情况。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F17A163">
            <w:pPr>
              <w:jc w:val="both"/>
              <w:rPr>
                <w:rFonts w:hint="eastAsia" w:ascii="仿宋" w:hAnsi="仿宋" w:eastAsia="仿宋" w:cs="仿宋"/>
                <w:lang w:val="en-US" w:eastAsia="zh-CN"/>
              </w:rPr>
            </w:pPr>
            <w:r>
              <w:rPr>
                <w:rFonts w:hint="eastAsia" w:ascii="仿宋" w:hAnsi="仿宋" w:eastAsia="仿宋" w:cs="仿宋"/>
                <w:lang w:val="en-US" w:eastAsia="zh-CN"/>
              </w:rPr>
              <w:t>①是否符合国家财经法规和财务管理制度以及有关专项资金管理办法的规定，计1分；②资金的拨付是否有完整的审批程序和手续，计1分；③是否符合项目预算批复或合同规定的用途，计1分；每有一例不符合扣0.1分，扣完为止。④是否存在截留、挤占、挪用、虚列支出等情况，无该情况，计4分，每发现一例扣0.1分，本4分扣完为止。</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753801B">
            <w:pPr>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D7B3871">
            <w:pPr>
              <w:jc w:val="center"/>
              <w:rPr>
                <w:rFonts w:hint="default" w:ascii="仿宋" w:hAnsi="仿宋" w:eastAsia="仿宋" w:cs="仿宋"/>
                <w:highlight w:val="none"/>
                <w:lang w:val="en-US" w:eastAsia="zh-CN"/>
              </w:rPr>
            </w:pPr>
          </w:p>
        </w:tc>
      </w:tr>
      <w:tr w14:paraId="67A4E073">
        <w:tblPrEx>
          <w:tblCellMar>
            <w:top w:w="0" w:type="dxa"/>
            <w:left w:w="0" w:type="dxa"/>
            <w:bottom w:w="0" w:type="dxa"/>
            <w:right w:w="0" w:type="dxa"/>
          </w:tblCellMar>
        </w:tblPrEx>
        <w:trPr>
          <w:trHeight w:val="1241"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4AC4187">
            <w:pPr>
              <w:rPr>
                <w:rFonts w:hint="eastAsia" w:ascii="仿宋" w:hAnsi="仿宋" w:eastAsia="仿宋" w:cs="仿宋"/>
                <w:lang w:val="en-US" w:eastAsia="zh-CN"/>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F7AD0F5">
            <w:pPr>
              <w:jc w:val="center"/>
              <w:rPr>
                <w:rFonts w:hint="eastAsia" w:ascii="仿宋" w:hAnsi="仿宋" w:eastAsia="仿宋" w:cs="仿宋"/>
                <w:lang w:val="en-US" w:eastAsia="zh-CN"/>
              </w:rPr>
            </w:pPr>
            <w:r>
              <w:rPr>
                <w:rFonts w:hint="eastAsia" w:ascii="仿宋" w:hAnsi="仿宋" w:eastAsia="仿宋" w:cs="仿宋"/>
                <w:lang w:val="en-US" w:eastAsia="zh-CN"/>
              </w:rPr>
              <w:t>组织实施（10分）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0E68E">
            <w:pPr>
              <w:jc w:val="center"/>
              <w:rPr>
                <w:rFonts w:hint="eastAsia" w:ascii="仿宋" w:hAnsi="仿宋" w:eastAsia="仿宋" w:cs="仿宋"/>
                <w:lang w:val="en-US" w:eastAsia="zh-CN"/>
              </w:rPr>
            </w:pPr>
            <w:r>
              <w:rPr>
                <w:rFonts w:hint="eastAsia" w:ascii="仿宋" w:hAnsi="仿宋" w:eastAsia="仿宋" w:cs="仿宋"/>
                <w:lang w:val="en-US" w:eastAsia="zh-CN"/>
              </w:rPr>
              <w:t>管理制度健全性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FA6E04">
            <w:pPr>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789165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项目实施单位的财务和业务管理制度是否健全，用以反映和考核财务和业务管理制度对项目顺利实施的保障情况。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AAD9FBB">
            <w:pPr>
              <w:jc w:val="both"/>
              <w:rPr>
                <w:rFonts w:hint="eastAsia" w:ascii="仿宋" w:hAnsi="仿宋" w:eastAsia="仿宋" w:cs="仿宋"/>
                <w:lang w:val="en-US" w:eastAsia="zh-CN"/>
              </w:rPr>
            </w:pPr>
            <w:r>
              <w:rPr>
                <w:rFonts w:hint="eastAsia" w:ascii="仿宋" w:hAnsi="仿宋" w:eastAsia="仿宋" w:cs="仿宋"/>
                <w:lang w:val="en-US" w:eastAsia="zh-CN"/>
              </w:rPr>
              <w:t>①是否已制定或具有相应的项目资金管理办法和项目管理制度，计2分；②项目资金管理办法和项目管理制度是否合法、合规、完整，计2分，否则占现场评价资金比扣分。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9C49ACD">
            <w:pPr>
              <w:jc w:val="center"/>
              <w:rPr>
                <w:rFonts w:hint="default" w:ascii="仿宋" w:hAnsi="仿宋" w:eastAsia="仿宋" w:cs="仿宋"/>
                <w:lang w:val="en-US" w:eastAsia="zh-CN"/>
              </w:rPr>
            </w:pPr>
            <w:r>
              <w:rPr>
                <w:rFonts w:hint="eastAsia" w:ascii="仿宋" w:hAnsi="仿宋" w:eastAsia="仿宋" w:cs="仿宋"/>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0191322">
            <w:pPr>
              <w:jc w:val="center"/>
              <w:rPr>
                <w:rFonts w:hint="eastAsia" w:ascii="仿宋" w:hAnsi="仿宋" w:eastAsia="仿宋" w:cs="仿宋"/>
                <w:lang w:val="en-US" w:eastAsia="zh-CN"/>
              </w:rPr>
            </w:pPr>
          </w:p>
        </w:tc>
      </w:tr>
      <w:tr w14:paraId="589179FD">
        <w:tblPrEx>
          <w:tblCellMar>
            <w:top w:w="0" w:type="dxa"/>
            <w:left w:w="0" w:type="dxa"/>
            <w:bottom w:w="0" w:type="dxa"/>
            <w:right w:w="0" w:type="dxa"/>
          </w:tblCellMar>
        </w:tblPrEx>
        <w:trPr>
          <w:trHeight w:val="1128"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CC82E87">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29A957C">
            <w:pPr>
              <w:jc w:val="cente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C81302">
            <w:pPr>
              <w:jc w:val="center"/>
              <w:rPr>
                <w:rFonts w:hint="eastAsia" w:ascii="仿宋" w:hAnsi="仿宋" w:eastAsia="仿宋" w:cs="仿宋"/>
                <w:lang w:val="en-US" w:eastAsia="zh-CN"/>
              </w:rPr>
            </w:pPr>
            <w:r>
              <w:rPr>
                <w:rFonts w:hint="eastAsia" w:ascii="仿宋" w:hAnsi="仿宋" w:eastAsia="仿宋" w:cs="仿宋"/>
                <w:lang w:val="en-US" w:eastAsia="zh-CN"/>
              </w:rPr>
              <w:t>制度执行有效性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F580722">
            <w:pPr>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2A2955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项目实施是否符合相关业务管理规定，用以反映和考核业务管理制度的有效执行情况。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8782A50">
            <w:pPr>
              <w:jc w:val="both"/>
              <w:rPr>
                <w:rFonts w:hint="eastAsia" w:ascii="仿宋" w:hAnsi="仿宋" w:eastAsia="仿宋" w:cs="仿宋"/>
                <w:lang w:val="en-US" w:eastAsia="zh-CN"/>
              </w:rPr>
            </w:pPr>
            <w:r>
              <w:rPr>
                <w:rFonts w:hint="eastAsia" w:ascii="仿宋" w:hAnsi="仿宋" w:eastAsia="仿宋" w:cs="仿宋"/>
                <w:lang w:val="en-US" w:eastAsia="zh-CN"/>
              </w:rPr>
              <w:t>①是否遵守相关法律法规和相关管理规定，计2分；②项目调整及支出调整手续是否完备，计1分；③项目单位是否自查验收，主管部门是否及时组织验收，计1分。每有一例不符合要求，扣0.1分，本项扣完为止。</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AC116">
            <w:pPr>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142AF85">
            <w:pPr>
              <w:jc w:val="center"/>
              <w:rPr>
                <w:rFonts w:hint="default" w:ascii="仿宋" w:hAnsi="仿宋" w:eastAsia="仿宋" w:cs="仿宋"/>
                <w:highlight w:val="none"/>
                <w:lang w:val="en-US" w:eastAsia="zh-CN"/>
              </w:rPr>
            </w:pPr>
          </w:p>
        </w:tc>
      </w:tr>
      <w:tr w14:paraId="1718B2B0">
        <w:tblPrEx>
          <w:tblCellMar>
            <w:top w:w="0" w:type="dxa"/>
            <w:left w:w="0" w:type="dxa"/>
            <w:bottom w:w="0" w:type="dxa"/>
            <w:right w:w="0" w:type="dxa"/>
          </w:tblCellMar>
        </w:tblPrEx>
        <w:trPr>
          <w:trHeight w:val="1113"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267B618">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04629DD">
            <w:pPr>
              <w:jc w:val="cente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3508D">
            <w:pPr>
              <w:jc w:val="center"/>
              <w:rPr>
                <w:rFonts w:hint="eastAsia" w:ascii="仿宋" w:hAnsi="仿宋" w:eastAsia="仿宋" w:cs="仿宋"/>
                <w:lang w:val="en-US" w:eastAsia="zh-CN"/>
              </w:rPr>
            </w:pPr>
            <w:r>
              <w:rPr>
                <w:rFonts w:hint="eastAsia" w:ascii="仿宋" w:hAnsi="仿宋" w:eastAsia="仿宋" w:cs="仿宋"/>
                <w:lang w:val="en-US" w:eastAsia="zh-CN"/>
              </w:rPr>
              <w:t>建档率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7EDF6F2">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E0DD98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是否按照资料清单提供了相关资料，项目合同书、支付凭证、验收资料等资料是否齐全并及时归档。</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AE886B8">
            <w:pPr>
              <w:jc w:val="both"/>
              <w:rPr>
                <w:rFonts w:hint="eastAsia" w:ascii="仿宋" w:hAnsi="仿宋" w:eastAsia="仿宋" w:cs="仿宋"/>
                <w:lang w:val="en-US" w:eastAsia="zh-CN"/>
              </w:rPr>
            </w:pPr>
            <w:r>
              <w:rPr>
                <w:rFonts w:hint="eastAsia" w:ascii="仿宋" w:hAnsi="仿宋" w:eastAsia="仿宋" w:cs="仿宋"/>
                <w:lang w:val="en-US" w:eastAsia="zh-CN"/>
              </w:rPr>
              <w:t>项目单位：根据资料清单提供项目资料较完整，且项目资料归档情况较好，计2分，每有一例项目资料严重缺失（比如项目人员更换资料未移交，项目资料丢失情况等），项目档案管理零散，扣0.2分，本项扣完为止。</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A5B38CE">
            <w:pPr>
              <w:jc w:val="center"/>
              <w:rPr>
                <w:rFonts w:hint="default" w:ascii="仿宋" w:hAnsi="仿宋" w:eastAsia="仿宋" w:cs="仿宋"/>
                <w:lang w:val="en-US" w:eastAsia="zh-CN"/>
              </w:rPr>
            </w:pPr>
            <w:r>
              <w:rPr>
                <w:rFonts w:hint="eastAsia" w:ascii="仿宋" w:hAnsi="仿宋" w:eastAsia="仿宋" w:cs="仿宋"/>
                <w:highlight w:val="none"/>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2B10CFB">
            <w:pPr>
              <w:jc w:val="center"/>
              <w:rPr>
                <w:rFonts w:hint="default" w:ascii="仿宋" w:hAnsi="仿宋" w:eastAsia="仿宋" w:cs="仿宋"/>
                <w:lang w:val="en-US" w:eastAsia="zh-CN"/>
              </w:rPr>
            </w:pPr>
          </w:p>
        </w:tc>
      </w:tr>
      <w:tr w14:paraId="0C7BA032">
        <w:tblPrEx>
          <w:tblCellMar>
            <w:top w:w="0" w:type="dxa"/>
            <w:left w:w="0" w:type="dxa"/>
            <w:bottom w:w="0" w:type="dxa"/>
            <w:right w:w="0" w:type="dxa"/>
          </w:tblCellMar>
        </w:tblPrEx>
        <w:trPr>
          <w:trHeight w:val="2484"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F7E94E1">
            <w:pPr>
              <w:jc w:val="center"/>
              <w:rPr>
                <w:rFonts w:hint="eastAsia" w:ascii="仿宋" w:hAnsi="仿宋" w:eastAsia="仿宋" w:cs="仿宋"/>
                <w:lang w:val="en-US" w:eastAsia="zh-CN"/>
              </w:rPr>
            </w:pPr>
            <w:r>
              <w:rPr>
                <w:rFonts w:hint="eastAsia" w:ascii="仿宋" w:hAnsi="仿宋" w:eastAsia="仿宋" w:cs="仿宋"/>
                <w:lang w:val="en-US" w:eastAsia="zh-CN"/>
              </w:rPr>
              <w:t>产出</w:t>
            </w:r>
          </w:p>
          <w:p w14:paraId="5DDD46C1">
            <w:pPr>
              <w:jc w:val="center"/>
              <w:rPr>
                <w:rFonts w:hint="eastAsia" w:ascii="仿宋" w:hAnsi="仿宋" w:eastAsia="仿宋" w:cs="仿宋"/>
                <w:lang w:val="en-US" w:eastAsia="zh-CN"/>
              </w:rPr>
            </w:pPr>
            <w:r>
              <w:rPr>
                <w:rFonts w:hint="eastAsia" w:ascii="仿宋" w:hAnsi="仿宋" w:eastAsia="仿宋" w:cs="仿宋"/>
                <w:lang w:val="en-US" w:eastAsia="zh-CN"/>
              </w:rPr>
              <w:t>（30分）</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C67DDA5">
            <w:pPr>
              <w:jc w:val="center"/>
              <w:rPr>
                <w:rFonts w:hint="eastAsia" w:ascii="仿宋" w:hAnsi="仿宋" w:eastAsia="仿宋" w:cs="仿宋"/>
                <w:lang w:val="en-US" w:eastAsia="zh-CN"/>
              </w:rPr>
            </w:pPr>
            <w:r>
              <w:rPr>
                <w:rFonts w:hint="eastAsia" w:ascii="仿宋" w:hAnsi="仿宋" w:eastAsia="仿宋" w:cs="仿宋"/>
                <w:lang w:val="en-US" w:eastAsia="zh-CN"/>
              </w:rPr>
              <w:t>数量指标（8分）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B15F72">
            <w:pPr>
              <w:jc w:val="center"/>
              <w:rPr>
                <w:rFonts w:hint="eastAsia" w:ascii="仿宋" w:hAnsi="仿宋" w:eastAsia="仿宋" w:cs="仿宋"/>
                <w:lang w:val="en-US" w:eastAsia="zh-CN"/>
              </w:rPr>
            </w:pPr>
            <w:r>
              <w:rPr>
                <w:rFonts w:hint="eastAsia" w:ascii="仿宋" w:hAnsi="仿宋" w:eastAsia="仿宋" w:cs="仿宋"/>
                <w:lang w:val="en-US" w:eastAsia="zh-CN"/>
              </w:rPr>
              <w:t>实际</w:t>
            </w:r>
          </w:p>
          <w:p w14:paraId="10E5DDB4">
            <w:pPr>
              <w:jc w:val="center"/>
              <w:rPr>
                <w:rFonts w:hint="eastAsia" w:ascii="仿宋" w:hAnsi="仿宋" w:eastAsia="仿宋" w:cs="仿宋"/>
                <w:lang w:val="en-US" w:eastAsia="zh-CN"/>
              </w:rPr>
            </w:pPr>
            <w:r>
              <w:rPr>
                <w:rFonts w:hint="eastAsia" w:ascii="仿宋" w:hAnsi="仿宋" w:eastAsia="仿宋" w:cs="仿宋"/>
                <w:lang w:val="en-US" w:eastAsia="zh-CN"/>
              </w:rPr>
              <w:t>完成率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AD96D95">
            <w:pPr>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8D9F9C1">
            <w:pPr>
              <w:jc w:val="both"/>
              <w:rPr>
                <w:rFonts w:hint="eastAsia" w:ascii="仿宋" w:hAnsi="仿宋" w:eastAsia="仿宋" w:cs="仿宋"/>
                <w:lang w:val="en-US" w:eastAsia="zh-CN"/>
              </w:rPr>
            </w:pPr>
            <w:r>
              <w:rPr>
                <w:rFonts w:hint="eastAsia" w:ascii="仿宋" w:hAnsi="仿宋" w:eastAsia="仿宋" w:cs="仿宋"/>
                <w:lang w:val="en-US" w:eastAsia="zh-CN"/>
              </w:rPr>
              <w:t>项目实施的实际产出数与计划产出数的比率，用以反映和考核专项资金完成情况。实际产出数：一定时期（本年度或项目期）内项目实际产出的产品数量。计划产出数：项目绩效目标确定的在一定时期（本年度或项目期）内计划产出的产品数量。</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53E5ED2">
            <w:pPr>
              <w:jc w:val="both"/>
              <w:rPr>
                <w:rFonts w:hint="eastAsia" w:ascii="仿宋" w:hAnsi="仿宋" w:eastAsia="仿宋" w:cs="仿宋"/>
                <w:lang w:val="en-US" w:eastAsia="zh-CN"/>
              </w:rPr>
            </w:pPr>
            <w:r>
              <w:rPr>
                <w:rFonts w:hint="eastAsia" w:ascii="仿宋" w:hAnsi="仿宋" w:eastAsia="仿宋" w:cs="仿宋"/>
                <w:lang w:val="en-US" w:eastAsia="zh-CN"/>
              </w:rPr>
              <w:t>实际完成率＝（实际产出数/计划产出数）×100%。</w:t>
            </w:r>
          </w:p>
          <w:p w14:paraId="1C9A15A6">
            <w:pPr>
              <w:jc w:val="both"/>
              <w:rPr>
                <w:rFonts w:hint="eastAsia" w:ascii="仿宋" w:hAnsi="仿宋" w:eastAsia="仿宋" w:cs="仿宋"/>
                <w:lang w:val="en-US" w:eastAsia="zh-CN"/>
              </w:rPr>
            </w:pPr>
            <w:r>
              <w:rPr>
                <w:rFonts w:hint="eastAsia" w:ascii="仿宋" w:hAnsi="仿宋" w:eastAsia="仿宋" w:cs="仿宋"/>
                <w:lang w:val="en-US" w:eastAsia="zh-CN"/>
              </w:rPr>
              <w:t>实际产出数：一定时期（本年度或项目期）内项目实际产出的产品数量。</w:t>
            </w:r>
          </w:p>
          <w:p w14:paraId="3E8566FC">
            <w:pPr>
              <w:jc w:val="both"/>
              <w:rPr>
                <w:rFonts w:hint="eastAsia" w:ascii="仿宋" w:hAnsi="仿宋" w:eastAsia="仿宋" w:cs="仿宋"/>
                <w:lang w:val="en-US" w:eastAsia="zh-CN"/>
              </w:rPr>
            </w:pPr>
            <w:r>
              <w:rPr>
                <w:rFonts w:hint="eastAsia" w:ascii="仿宋" w:hAnsi="仿宋" w:eastAsia="仿宋" w:cs="仿宋"/>
                <w:lang w:val="en-US" w:eastAsia="zh-CN"/>
              </w:rPr>
              <w:t>计划产出数：项目绩效目标确定的在一定时期（本年度或项目期）内计划产出的产品数量。</w:t>
            </w:r>
          </w:p>
          <w:p w14:paraId="7FA2A649">
            <w:pPr>
              <w:jc w:val="both"/>
              <w:rPr>
                <w:rFonts w:hint="eastAsia" w:ascii="仿宋" w:hAnsi="仿宋" w:eastAsia="仿宋" w:cs="仿宋"/>
                <w:lang w:val="en-US" w:eastAsia="zh-CN"/>
              </w:rPr>
            </w:pPr>
            <w:r>
              <w:rPr>
                <w:rFonts w:hint="eastAsia" w:ascii="仿宋" w:hAnsi="仿宋" w:eastAsia="仿宋" w:cs="仿宋"/>
                <w:lang w:val="en-US" w:eastAsia="zh-CN"/>
              </w:rPr>
              <w:t>本指标得分=∑（各项目金额×各项目实际完成率）/专项资金总额×8分。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CA32F42">
            <w:pPr>
              <w:jc w:val="center"/>
              <w:rPr>
                <w:rFonts w:hint="default" w:ascii="仿宋" w:hAnsi="仿宋" w:eastAsia="仿宋" w:cs="仿宋"/>
                <w:lang w:val="en-US" w:eastAsia="zh-CN"/>
              </w:rPr>
            </w:pPr>
            <w:r>
              <w:rPr>
                <w:rFonts w:hint="eastAsia" w:ascii="仿宋" w:hAnsi="仿宋" w:eastAsia="仿宋" w:cs="仿宋"/>
                <w:highlight w:val="none"/>
                <w:lang w:val="en-US" w:eastAsia="zh-CN"/>
              </w:rPr>
              <w:t>8</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7BECEE6">
            <w:pPr>
              <w:jc w:val="center"/>
              <w:rPr>
                <w:rFonts w:hint="default" w:ascii="仿宋" w:hAnsi="仿宋" w:eastAsia="仿宋" w:cs="仿宋"/>
                <w:lang w:val="en-US" w:eastAsia="zh-CN"/>
              </w:rPr>
            </w:pPr>
          </w:p>
        </w:tc>
      </w:tr>
      <w:tr w14:paraId="4BA8E0C3">
        <w:tblPrEx>
          <w:tblCellMar>
            <w:top w:w="0" w:type="dxa"/>
            <w:left w:w="0" w:type="dxa"/>
            <w:bottom w:w="0" w:type="dxa"/>
            <w:right w:w="0" w:type="dxa"/>
          </w:tblCellMar>
        </w:tblPrEx>
        <w:trPr>
          <w:trHeight w:val="295"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024337D">
            <w:pPr>
              <w:rPr>
                <w:rFonts w:hint="eastAsia" w:ascii="仿宋" w:hAnsi="仿宋" w:eastAsia="仿宋" w:cs="仿宋"/>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51B3A51">
            <w:pPr>
              <w:jc w:val="center"/>
              <w:rPr>
                <w:rFonts w:hint="eastAsia" w:ascii="仿宋" w:hAnsi="仿宋" w:eastAsia="仿宋" w:cs="仿宋"/>
                <w:lang w:val="en-US" w:eastAsia="zh-CN"/>
              </w:rPr>
            </w:pPr>
            <w:r>
              <w:rPr>
                <w:rFonts w:hint="eastAsia" w:ascii="仿宋" w:hAnsi="仿宋" w:eastAsia="仿宋" w:cs="仿宋"/>
                <w:lang w:val="en-US" w:eastAsia="zh-CN"/>
              </w:rPr>
              <w:t>质量指标（6分）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CF24B">
            <w:pPr>
              <w:jc w:val="center"/>
              <w:rPr>
                <w:rFonts w:hint="eastAsia" w:ascii="仿宋" w:hAnsi="仿宋" w:eastAsia="仿宋" w:cs="仿宋"/>
                <w:lang w:val="en-US" w:eastAsia="zh-CN"/>
              </w:rPr>
            </w:pPr>
            <w:r>
              <w:rPr>
                <w:rFonts w:hint="eastAsia" w:ascii="仿宋" w:hAnsi="仿宋" w:eastAsia="仿宋" w:cs="仿宋"/>
                <w:lang w:val="en-US" w:eastAsia="zh-CN"/>
              </w:rPr>
              <w:t>质量</w:t>
            </w:r>
          </w:p>
          <w:p w14:paraId="65A9FFB6">
            <w:pPr>
              <w:jc w:val="center"/>
              <w:rPr>
                <w:rFonts w:hint="eastAsia" w:ascii="仿宋" w:hAnsi="仿宋" w:eastAsia="仿宋" w:cs="仿宋"/>
                <w:lang w:val="en-US" w:eastAsia="zh-CN"/>
              </w:rPr>
            </w:pPr>
            <w:r>
              <w:rPr>
                <w:rFonts w:hint="eastAsia" w:ascii="仿宋" w:hAnsi="仿宋" w:eastAsia="仿宋" w:cs="仿宋"/>
                <w:lang w:val="en-US" w:eastAsia="zh-CN"/>
              </w:rPr>
              <w:t>达标率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0C8D5AD">
            <w:pPr>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475549">
            <w:pPr>
              <w:jc w:val="both"/>
              <w:rPr>
                <w:rFonts w:hint="eastAsia" w:ascii="仿宋" w:hAnsi="仿宋" w:eastAsia="仿宋" w:cs="仿宋"/>
                <w:lang w:val="en-US" w:eastAsia="zh-CN"/>
              </w:rPr>
            </w:pPr>
            <w:r>
              <w:rPr>
                <w:rFonts w:hint="eastAsia" w:ascii="仿宋" w:hAnsi="仿宋" w:eastAsia="仿宋" w:cs="仿宋"/>
                <w:lang w:val="en-US" w:eastAsia="zh-CN"/>
              </w:rPr>
              <w:t>项目完成的质量达标产出数与实际产出数的比率，用以反映和考核项目产出质量目标的实现程度。质量达标产出数：一定时期（本年度或项目期）内实际达到既定质量标准的产品数量。既定质量标准是指项目实施单位设立绩效目标时依据计划标准、行业标准、历史标准或其他标准而设定的绩效指标值。</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7CF7C8B">
            <w:pPr>
              <w:jc w:val="both"/>
              <w:rPr>
                <w:rFonts w:hint="eastAsia" w:ascii="仿宋" w:hAnsi="仿宋" w:eastAsia="仿宋" w:cs="仿宋"/>
                <w:lang w:val="en-US" w:eastAsia="zh-CN"/>
              </w:rPr>
            </w:pPr>
            <w:r>
              <w:rPr>
                <w:rFonts w:hint="eastAsia" w:ascii="仿宋" w:hAnsi="仿宋" w:eastAsia="仿宋" w:cs="仿宋"/>
                <w:lang w:val="en-US" w:eastAsia="zh-CN"/>
              </w:rPr>
              <w:t>质量达标率＝（质量达标产出数/实际产出数）/100%。</w:t>
            </w:r>
          </w:p>
          <w:p w14:paraId="3196A303">
            <w:pPr>
              <w:jc w:val="both"/>
              <w:rPr>
                <w:rFonts w:hint="eastAsia" w:ascii="仿宋" w:hAnsi="仿宋" w:eastAsia="仿宋" w:cs="仿宋"/>
                <w:lang w:val="en-US" w:eastAsia="zh-CN"/>
              </w:rPr>
            </w:pPr>
            <w:r>
              <w:rPr>
                <w:rFonts w:hint="eastAsia" w:ascii="仿宋" w:hAnsi="仿宋" w:eastAsia="仿宋" w:cs="仿宋"/>
                <w:lang w:val="en-US" w:eastAsia="zh-CN"/>
              </w:rPr>
              <w:t>质量达标产出数：一定时期（本年度或项目期）内实际达到既定质量标准的产品数量。</w:t>
            </w:r>
          </w:p>
          <w:p w14:paraId="3D6E50D6">
            <w:pPr>
              <w:jc w:val="both"/>
              <w:rPr>
                <w:rFonts w:hint="eastAsia" w:ascii="仿宋" w:hAnsi="仿宋" w:eastAsia="仿宋" w:cs="仿宋"/>
                <w:lang w:val="en-US" w:eastAsia="zh-CN"/>
              </w:rPr>
            </w:pPr>
            <w:r>
              <w:rPr>
                <w:rFonts w:hint="eastAsia" w:ascii="仿宋" w:hAnsi="仿宋" w:eastAsia="仿宋" w:cs="仿宋"/>
                <w:lang w:val="en-US" w:eastAsia="zh-CN"/>
              </w:rPr>
              <w:t>既定质量标准是指项目实施单位设立绩效目标时依据计划标准、行业标准、历史标准或其他标准而设定的绩效指标值。</w:t>
            </w:r>
          </w:p>
          <w:p w14:paraId="4E89ACED">
            <w:pPr>
              <w:jc w:val="both"/>
              <w:rPr>
                <w:rFonts w:hint="eastAsia" w:ascii="仿宋" w:hAnsi="仿宋" w:eastAsia="仿宋" w:cs="仿宋"/>
                <w:lang w:val="en-US" w:eastAsia="zh-CN"/>
              </w:rPr>
            </w:pPr>
            <w:r>
              <w:rPr>
                <w:rFonts w:hint="eastAsia" w:ascii="仿宋" w:hAnsi="仿宋" w:eastAsia="仿宋" w:cs="仿宋"/>
                <w:lang w:val="en-US" w:eastAsia="zh-CN"/>
              </w:rPr>
              <w:t>本指标得分=质量达标率×6分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467C156">
            <w:pPr>
              <w:jc w:val="center"/>
              <w:rPr>
                <w:rFonts w:hint="default" w:ascii="仿宋" w:hAnsi="仿宋" w:eastAsia="仿宋" w:cs="仿宋"/>
                <w:lang w:val="en-US" w:eastAsia="zh-CN"/>
              </w:rPr>
            </w:pPr>
            <w:r>
              <w:rPr>
                <w:rFonts w:hint="eastAsia" w:ascii="仿宋" w:hAnsi="仿宋" w:eastAsia="仿宋" w:cs="仿宋"/>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6D43DC8">
            <w:pPr>
              <w:jc w:val="center"/>
              <w:rPr>
                <w:rFonts w:hint="default" w:ascii="仿宋" w:hAnsi="仿宋" w:eastAsia="仿宋" w:cs="仿宋"/>
                <w:lang w:val="en-US" w:eastAsia="zh-CN"/>
              </w:rPr>
            </w:pPr>
          </w:p>
        </w:tc>
      </w:tr>
      <w:tr w14:paraId="4383A131">
        <w:tblPrEx>
          <w:tblCellMar>
            <w:top w:w="0" w:type="dxa"/>
            <w:left w:w="0" w:type="dxa"/>
            <w:bottom w:w="0" w:type="dxa"/>
            <w:right w:w="0" w:type="dxa"/>
          </w:tblCellMar>
        </w:tblPrEx>
        <w:trPr>
          <w:trHeight w:val="2436"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58CC0A">
            <w:pPr>
              <w:rPr>
                <w:rFonts w:hint="eastAsia" w:ascii="仿宋" w:hAnsi="仿宋" w:eastAsia="仿宋" w:cs="仿宋"/>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DEDA8E6">
            <w:pPr>
              <w:jc w:val="center"/>
              <w:rPr>
                <w:rFonts w:hint="eastAsia" w:ascii="仿宋" w:hAnsi="仿宋" w:eastAsia="仿宋" w:cs="仿宋"/>
                <w:lang w:val="en-US" w:eastAsia="zh-CN"/>
              </w:rPr>
            </w:pPr>
            <w:r>
              <w:rPr>
                <w:rFonts w:hint="eastAsia" w:ascii="仿宋" w:hAnsi="仿宋" w:eastAsia="仿宋" w:cs="仿宋"/>
                <w:lang w:val="en-US" w:eastAsia="zh-CN"/>
              </w:rPr>
              <w:t>时效指标(4分）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AD41A">
            <w:pPr>
              <w:jc w:val="center"/>
              <w:rPr>
                <w:rFonts w:hint="eastAsia" w:ascii="仿宋" w:hAnsi="仿宋" w:eastAsia="仿宋" w:cs="仿宋"/>
                <w:lang w:val="en-US" w:eastAsia="zh-CN"/>
              </w:rPr>
            </w:pPr>
            <w:r>
              <w:rPr>
                <w:rFonts w:hint="eastAsia" w:ascii="仿宋" w:hAnsi="仿宋" w:eastAsia="仿宋" w:cs="仿宋"/>
                <w:lang w:val="en-US" w:eastAsia="zh-CN"/>
              </w:rPr>
              <w:t>项目实施及时率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9F68156">
            <w:pPr>
              <w:jc w:val="center"/>
              <w:rPr>
                <w:rFonts w:hint="default" w:ascii="仿宋" w:hAnsi="仿宋" w:eastAsia="仿宋" w:cs="仿宋"/>
                <w:lang w:val="en-US" w:eastAsia="zh-CN"/>
              </w:rPr>
            </w:pPr>
            <w:r>
              <w:rPr>
                <w:rFonts w:hint="eastAsia" w:ascii="仿宋" w:hAnsi="仿宋" w:eastAsia="仿宋" w:cs="仿宋"/>
                <w:lang w:val="en-US" w:eastAsia="zh-CN"/>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B489C8">
            <w:pPr>
              <w:jc w:val="both"/>
              <w:rPr>
                <w:rFonts w:hint="eastAsia" w:ascii="仿宋" w:hAnsi="仿宋" w:eastAsia="仿宋" w:cs="仿宋"/>
                <w:lang w:val="en-US" w:eastAsia="zh-CN"/>
              </w:rPr>
            </w:pPr>
            <w:r>
              <w:rPr>
                <w:rFonts w:hint="eastAsia" w:ascii="仿宋" w:hAnsi="仿宋" w:eastAsia="仿宋" w:cs="仿宋"/>
                <w:lang w:val="en-US" w:eastAsia="zh-CN"/>
              </w:rPr>
              <w:t>项目实际完成时间与计划完成时间的比较，用以反映和考核项目产出时效目标的实现程度。实际完成时间：项目实施单位完成该项目实际所耗用的时间。计划完成时间：按照项目实施计划或相关规定完成该项目所需的时间。</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BD46D4E">
            <w:pPr>
              <w:jc w:val="both"/>
              <w:rPr>
                <w:rFonts w:hint="eastAsia" w:ascii="仿宋" w:hAnsi="仿宋" w:eastAsia="仿宋" w:cs="仿宋"/>
                <w:lang w:val="en-US" w:eastAsia="zh-CN"/>
              </w:rPr>
            </w:pPr>
            <w:r>
              <w:rPr>
                <w:rFonts w:hint="eastAsia" w:ascii="仿宋" w:hAnsi="仿宋" w:eastAsia="仿宋" w:cs="仿宋"/>
                <w:lang w:val="en-US" w:eastAsia="zh-CN"/>
              </w:rPr>
              <w:t>按年度工作计划或合同约定的工期考核项目实际完成时间与计划完成时间的比率。计划时间内完成100%，计4分，每出现1例滞后情况（有不可抗力原因造成的不扣分），按占现场评价资金比扣分。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78E15DF">
            <w:pPr>
              <w:jc w:val="center"/>
              <w:rPr>
                <w:rFonts w:hint="default" w:ascii="仿宋" w:hAnsi="仿宋" w:eastAsia="仿宋" w:cs="仿宋"/>
                <w:lang w:val="en-US" w:eastAsia="zh-CN"/>
              </w:rPr>
            </w:pPr>
            <w:r>
              <w:rPr>
                <w:rFonts w:hint="eastAsia" w:ascii="仿宋" w:hAnsi="仿宋" w:eastAsia="仿宋" w:cs="仿宋"/>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42CBAE2">
            <w:pPr>
              <w:jc w:val="center"/>
              <w:rPr>
                <w:rFonts w:hint="default" w:ascii="仿宋" w:hAnsi="仿宋" w:eastAsia="仿宋" w:cs="仿宋"/>
                <w:lang w:val="en-US" w:eastAsia="zh-CN"/>
              </w:rPr>
            </w:pPr>
          </w:p>
        </w:tc>
      </w:tr>
      <w:tr w14:paraId="4FE7159A">
        <w:tblPrEx>
          <w:tblCellMar>
            <w:top w:w="0" w:type="dxa"/>
            <w:left w:w="0" w:type="dxa"/>
            <w:bottom w:w="0" w:type="dxa"/>
            <w:right w:w="0" w:type="dxa"/>
          </w:tblCellMar>
        </w:tblPrEx>
        <w:trPr>
          <w:trHeight w:val="90" w:hRule="atLeast"/>
          <w:jc w:val="center"/>
        </w:trPr>
        <w:tc>
          <w:tcPr>
            <w:tcW w:w="928" w:type="dxa"/>
            <w:vMerge w:val="continue"/>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524E045A">
            <w:pPr>
              <w:rPr>
                <w:rFonts w:hint="eastAsia" w:ascii="仿宋" w:hAnsi="仿宋" w:eastAsia="仿宋" w:cs="仿宋"/>
                <w:lang w:val="en-US" w:eastAsia="zh-CN"/>
              </w:rPr>
            </w:pPr>
          </w:p>
        </w:tc>
        <w:tc>
          <w:tcPr>
            <w:tcW w:w="915"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7536F640">
            <w:pPr>
              <w:jc w:val="center"/>
              <w:rPr>
                <w:rFonts w:hint="eastAsia" w:ascii="仿宋" w:hAnsi="仿宋" w:eastAsia="仿宋" w:cs="仿宋"/>
                <w:lang w:val="en-US" w:eastAsia="zh-CN"/>
              </w:rPr>
            </w:pPr>
            <w:r>
              <w:rPr>
                <w:rFonts w:hint="eastAsia" w:ascii="仿宋" w:hAnsi="仿宋" w:eastAsia="仿宋" w:cs="仿宋"/>
                <w:lang w:val="en-US" w:eastAsia="zh-CN"/>
              </w:rPr>
              <w:t>产出成本（12分）</w:t>
            </w:r>
          </w:p>
        </w:tc>
        <w:tc>
          <w:tcPr>
            <w:tcW w:w="945"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0C020DB4">
            <w:pPr>
              <w:jc w:val="center"/>
              <w:rPr>
                <w:rFonts w:hint="eastAsia" w:ascii="仿宋" w:hAnsi="仿宋" w:eastAsia="仿宋" w:cs="仿宋"/>
                <w:lang w:val="en-US" w:eastAsia="zh-CN"/>
              </w:rPr>
            </w:pPr>
            <w:r>
              <w:rPr>
                <w:rFonts w:hint="eastAsia" w:ascii="仿宋" w:hAnsi="仿宋" w:eastAsia="仿宋" w:cs="仿宋"/>
                <w:lang w:val="en-US" w:eastAsia="zh-CN"/>
              </w:rPr>
              <w:t>成本</w:t>
            </w:r>
          </w:p>
          <w:p w14:paraId="2CCB0358">
            <w:pPr>
              <w:jc w:val="center"/>
              <w:rPr>
                <w:rFonts w:hint="eastAsia" w:ascii="仿宋" w:hAnsi="仿宋" w:eastAsia="仿宋" w:cs="仿宋"/>
                <w:lang w:val="en-US" w:eastAsia="zh-CN"/>
              </w:rPr>
            </w:pPr>
            <w:r>
              <w:rPr>
                <w:rFonts w:hint="eastAsia" w:ascii="仿宋" w:hAnsi="仿宋" w:eastAsia="仿宋" w:cs="仿宋"/>
                <w:lang w:val="en-US" w:eastAsia="zh-CN"/>
              </w:rPr>
              <w:t>节约率</w:t>
            </w:r>
          </w:p>
        </w:tc>
        <w:tc>
          <w:tcPr>
            <w:tcW w:w="705"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212EF69B">
            <w:pPr>
              <w:jc w:val="center"/>
              <w:rPr>
                <w:rFonts w:hint="default" w:ascii="仿宋" w:hAnsi="仿宋" w:eastAsia="仿宋" w:cs="仿宋"/>
                <w:lang w:val="en-US" w:eastAsia="zh-CN"/>
              </w:rPr>
            </w:pPr>
            <w:r>
              <w:rPr>
                <w:rFonts w:hint="eastAsia" w:ascii="仿宋" w:hAnsi="仿宋" w:eastAsia="仿宋" w:cs="仿宋"/>
                <w:lang w:val="en-US" w:eastAsia="zh-CN"/>
              </w:rPr>
              <w:t>12</w:t>
            </w:r>
          </w:p>
        </w:tc>
        <w:tc>
          <w:tcPr>
            <w:tcW w:w="2685"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06EBA92F">
            <w:pPr>
              <w:jc w:val="both"/>
              <w:rPr>
                <w:rFonts w:hint="eastAsia" w:ascii="仿宋" w:hAnsi="仿宋" w:eastAsia="仿宋" w:cs="仿宋"/>
                <w:lang w:val="en-US" w:eastAsia="zh-CN"/>
              </w:rPr>
            </w:pPr>
            <w:r>
              <w:rPr>
                <w:rFonts w:hint="eastAsia" w:ascii="仿宋" w:hAnsi="仿宋" w:eastAsia="仿宋" w:cs="仿宋"/>
                <w:lang w:val="en-US" w:eastAsia="zh-CN"/>
              </w:rPr>
              <w:t>完成项目计划工作目标的实际节约成本与计划成本的比率，用以反映和考核项目的成本节约程度。实际成本：项目实施单位如期、保质、保量完成既定工作目标实际所耗费的支出。计划成本：项目实施单位为完成工作目标计划安排的支出，一般以项目为参考。</w:t>
            </w:r>
          </w:p>
        </w:tc>
        <w:tc>
          <w:tcPr>
            <w:tcW w:w="5835"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52F06289">
            <w:pPr>
              <w:jc w:val="both"/>
              <w:rPr>
                <w:rFonts w:hint="eastAsia" w:ascii="仿宋" w:hAnsi="仿宋" w:eastAsia="仿宋" w:cs="仿宋"/>
                <w:lang w:val="en-US" w:eastAsia="zh-CN"/>
              </w:rPr>
            </w:pPr>
            <w:r>
              <w:rPr>
                <w:rFonts w:hint="eastAsia" w:ascii="仿宋" w:hAnsi="仿宋" w:eastAsia="仿宋" w:cs="仿宋"/>
                <w:lang w:val="en-US" w:eastAsia="zh-CN"/>
              </w:rPr>
              <w:t>①项目总体成本节约（未超过预算）计4分；</w:t>
            </w:r>
          </w:p>
          <w:p w14:paraId="3790F92F">
            <w:pPr>
              <w:jc w:val="both"/>
              <w:rPr>
                <w:rFonts w:hint="eastAsia" w:ascii="仿宋" w:hAnsi="仿宋" w:eastAsia="仿宋" w:cs="仿宋"/>
                <w:lang w:val="en-US" w:eastAsia="zh-CN"/>
              </w:rPr>
            </w:pPr>
            <w:r>
              <w:rPr>
                <w:rFonts w:hint="eastAsia" w:ascii="仿宋" w:hAnsi="仿宋" w:eastAsia="仿宋" w:cs="仿宋"/>
                <w:lang w:val="en-US" w:eastAsia="zh-CN"/>
              </w:rPr>
              <w:t>②单个项目</w:t>
            </w:r>
            <w:bookmarkStart w:id="2" w:name="_GoBack"/>
            <w:bookmarkEnd w:id="2"/>
            <w:r>
              <w:rPr>
                <w:rFonts w:hint="eastAsia" w:ascii="仿宋" w:hAnsi="仿宋" w:eastAsia="仿宋" w:cs="仿宋"/>
                <w:lang w:val="en-US" w:eastAsia="zh-CN"/>
              </w:rPr>
              <w:t>完工结算金额未超过金额（或合同约定金额、项目概算金额），计8分，每有一例完工结算金额超项目预算金额（或合同约定金额、项目概算金额）情况，又无合理原因的，按占现场评价资金比扣分。</w:t>
            </w:r>
          </w:p>
        </w:tc>
        <w:tc>
          <w:tcPr>
            <w:tcW w:w="770"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7A7E8252">
            <w:pPr>
              <w:jc w:val="center"/>
              <w:rPr>
                <w:rFonts w:hint="default" w:ascii="仿宋" w:hAnsi="仿宋" w:eastAsia="仿宋" w:cs="仿宋"/>
                <w:lang w:val="en-US" w:eastAsia="zh-CN"/>
              </w:rPr>
            </w:pPr>
            <w:r>
              <w:rPr>
                <w:rFonts w:hint="eastAsia" w:ascii="仿宋" w:hAnsi="仿宋" w:eastAsia="仿宋" w:cs="仿宋"/>
                <w:lang w:val="en-US" w:eastAsia="zh-CN"/>
              </w:rPr>
              <w:t>12</w:t>
            </w:r>
          </w:p>
        </w:tc>
        <w:tc>
          <w:tcPr>
            <w:tcW w:w="994"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3F622614">
            <w:pPr>
              <w:jc w:val="center"/>
              <w:rPr>
                <w:rFonts w:hint="eastAsia" w:ascii="仿宋" w:hAnsi="仿宋" w:eastAsia="仿宋" w:cs="仿宋"/>
                <w:lang w:val="en-US" w:eastAsia="zh-CN"/>
              </w:rPr>
            </w:pPr>
          </w:p>
        </w:tc>
      </w:tr>
      <w:tr w14:paraId="0623E5E1">
        <w:tblPrEx>
          <w:tblCellMar>
            <w:top w:w="0" w:type="dxa"/>
            <w:left w:w="0" w:type="dxa"/>
            <w:bottom w:w="0" w:type="dxa"/>
            <w:right w:w="0" w:type="dxa"/>
          </w:tblCellMar>
        </w:tblPrEx>
        <w:trPr>
          <w:trHeight w:val="594" w:hRule="atLeast"/>
          <w:jc w:val="center"/>
        </w:trPr>
        <w:tc>
          <w:tcPr>
            <w:tcW w:w="928" w:type="dxa"/>
            <w:vMerge w:val="restart"/>
            <w:tcBorders>
              <w:top w:val="single" w:color="auto" w:sz="4" w:space="0"/>
              <w:left w:val="single" w:color="auto" w:sz="4" w:space="0"/>
              <w:bottom w:val="single" w:color="auto" w:sz="4" w:space="0"/>
              <w:right w:val="single" w:color="000000" w:sz="4" w:space="0"/>
            </w:tcBorders>
            <w:shd w:val="clear" w:color="auto" w:fill="FFFFFF"/>
            <w:tcMar>
              <w:top w:w="10" w:type="dxa"/>
              <w:left w:w="10" w:type="dxa"/>
              <w:right w:w="10" w:type="dxa"/>
            </w:tcMar>
            <w:vAlign w:val="center"/>
          </w:tcPr>
          <w:p w14:paraId="7C538B25">
            <w:pPr>
              <w:jc w:val="center"/>
              <w:rPr>
                <w:rFonts w:hint="eastAsia" w:ascii="仿宋" w:hAnsi="仿宋" w:eastAsia="仿宋" w:cs="仿宋"/>
                <w:lang w:val="en-US" w:eastAsia="zh-CN"/>
              </w:rPr>
            </w:pPr>
            <w:r>
              <w:rPr>
                <w:rFonts w:hint="eastAsia" w:ascii="仿宋" w:hAnsi="仿宋" w:eastAsia="仿宋" w:cs="仿宋"/>
                <w:lang w:val="en-US" w:eastAsia="zh-CN"/>
              </w:rPr>
              <w:t>效益</w:t>
            </w:r>
          </w:p>
          <w:p w14:paraId="3DBFA561">
            <w:pPr>
              <w:jc w:val="center"/>
              <w:rPr>
                <w:rFonts w:hint="eastAsia" w:ascii="仿宋" w:hAnsi="仿宋" w:eastAsia="仿宋" w:cs="仿宋"/>
                <w:lang w:val="en-US" w:eastAsia="zh-CN"/>
              </w:rPr>
            </w:pPr>
            <w:r>
              <w:rPr>
                <w:rFonts w:hint="eastAsia" w:ascii="仿宋" w:hAnsi="仿宋" w:eastAsia="仿宋" w:cs="仿宋"/>
                <w:lang w:val="en-US" w:eastAsia="zh-CN"/>
              </w:rPr>
              <w:t>（30分）</w:t>
            </w:r>
          </w:p>
        </w:tc>
        <w:tc>
          <w:tcPr>
            <w:tcW w:w="915" w:type="dxa"/>
            <w:vMerge w:val="restart"/>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6A9E11C2">
            <w:pPr>
              <w:jc w:val="center"/>
              <w:rPr>
                <w:rFonts w:hint="eastAsia" w:ascii="仿宋" w:hAnsi="仿宋" w:eastAsia="仿宋" w:cs="仿宋"/>
                <w:lang w:val="en-US" w:eastAsia="zh-CN"/>
              </w:rPr>
            </w:pPr>
            <w:r>
              <w:rPr>
                <w:rFonts w:hint="eastAsia" w:ascii="仿宋" w:hAnsi="仿宋" w:eastAsia="仿宋" w:cs="仿宋"/>
                <w:lang w:val="en-US" w:eastAsia="zh-CN"/>
              </w:rPr>
              <w:t>经济效益（9分）</w:t>
            </w:r>
          </w:p>
        </w:tc>
        <w:tc>
          <w:tcPr>
            <w:tcW w:w="945"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0B9B75B4">
            <w:pPr>
              <w:jc w:val="center"/>
              <w:rPr>
                <w:rFonts w:hint="default" w:ascii="仿宋" w:hAnsi="仿宋" w:eastAsia="仿宋" w:cs="仿宋"/>
                <w:lang w:val="en-US" w:eastAsia="zh-CN"/>
              </w:rPr>
            </w:pPr>
            <w:r>
              <w:rPr>
                <w:rFonts w:hint="eastAsia" w:ascii="仿宋" w:hAnsi="仿宋" w:eastAsia="仿宋" w:cs="仿宋"/>
                <w:lang w:val="en-US" w:eastAsia="zh-CN"/>
              </w:rPr>
              <w:t>新增产能</w:t>
            </w:r>
          </w:p>
        </w:tc>
        <w:tc>
          <w:tcPr>
            <w:tcW w:w="705"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2E4C8680">
            <w:pPr>
              <w:jc w:val="center"/>
              <w:rPr>
                <w:rFonts w:hint="default" w:ascii="仿宋" w:hAnsi="仿宋" w:eastAsia="仿宋" w:cs="仿宋"/>
                <w:lang w:val="en-US" w:eastAsia="zh-CN"/>
              </w:rPr>
            </w:pPr>
            <w:r>
              <w:rPr>
                <w:rFonts w:hint="eastAsia" w:ascii="仿宋" w:hAnsi="仿宋" w:eastAsia="仿宋" w:cs="仿宋"/>
                <w:lang w:val="en-US" w:eastAsia="zh-CN"/>
              </w:rPr>
              <w:t>9</w:t>
            </w:r>
          </w:p>
        </w:tc>
        <w:tc>
          <w:tcPr>
            <w:tcW w:w="2685"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07A02A10">
            <w:pPr>
              <w:jc w:val="both"/>
              <w:rPr>
                <w:rFonts w:hint="eastAsia" w:ascii="仿宋" w:hAnsi="仿宋" w:eastAsia="仿宋" w:cs="仿宋"/>
                <w:lang w:val="en-US" w:eastAsia="zh-CN"/>
              </w:rPr>
            </w:pPr>
            <w:r>
              <w:rPr>
                <w:rFonts w:hint="eastAsia" w:ascii="仿宋" w:hAnsi="仿宋" w:eastAsia="仿宋" w:cs="仿宋"/>
                <w:lang w:val="en-US" w:eastAsia="zh-CN"/>
              </w:rPr>
              <w:t>新增粮食和其他作物产能。</w:t>
            </w:r>
          </w:p>
        </w:tc>
        <w:tc>
          <w:tcPr>
            <w:tcW w:w="5835"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0E990AA5">
            <w:pPr>
              <w:jc w:val="both"/>
              <w:rPr>
                <w:rFonts w:hint="default" w:ascii="仿宋" w:hAnsi="仿宋" w:eastAsia="仿宋" w:cs="仿宋"/>
                <w:lang w:val="en-US" w:eastAsia="zh-CN"/>
              </w:rPr>
            </w:pPr>
            <w:r>
              <w:rPr>
                <w:rFonts w:hint="eastAsia" w:ascii="仿宋" w:hAnsi="仿宋" w:eastAsia="仿宋" w:cs="仿宋"/>
                <w:lang w:val="en-US" w:eastAsia="zh-CN"/>
              </w:rPr>
              <w:t>新增粮食和其他作物产能≥100公斤/亩计9分，每下降1公斤/亩扣0.5分，扣完为止。</w:t>
            </w:r>
          </w:p>
        </w:tc>
        <w:tc>
          <w:tcPr>
            <w:tcW w:w="770"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2BE62351">
            <w:pPr>
              <w:jc w:val="center"/>
              <w:rPr>
                <w:rFonts w:hint="default" w:ascii="仿宋" w:hAnsi="仿宋" w:eastAsia="仿宋" w:cs="仿宋"/>
                <w:lang w:val="en-US" w:eastAsia="zh-CN"/>
              </w:rPr>
            </w:pPr>
            <w:r>
              <w:rPr>
                <w:rFonts w:hint="eastAsia" w:ascii="仿宋" w:hAnsi="仿宋" w:eastAsia="仿宋" w:cs="仿宋"/>
                <w:lang w:val="en-US" w:eastAsia="zh-CN"/>
              </w:rPr>
              <w:t>9</w:t>
            </w:r>
          </w:p>
        </w:tc>
        <w:tc>
          <w:tcPr>
            <w:tcW w:w="994" w:type="dxa"/>
            <w:tcBorders>
              <w:top w:val="single" w:color="auto" w:sz="4" w:space="0"/>
              <w:left w:val="single" w:color="000000" w:sz="4" w:space="0"/>
              <w:bottom w:val="single" w:color="auto" w:sz="4" w:space="0"/>
              <w:right w:val="single" w:color="auto" w:sz="4" w:space="0"/>
            </w:tcBorders>
            <w:shd w:val="clear" w:color="auto" w:fill="FFFFFF"/>
            <w:tcMar>
              <w:top w:w="10" w:type="dxa"/>
              <w:left w:w="10" w:type="dxa"/>
              <w:right w:w="10" w:type="dxa"/>
            </w:tcMar>
            <w:vAlign w:val="center"/>
          </w:tcPr>
          <w:p w14:paraId="7B7BF4A0">
            <w:pPr>
              <w:jc w:val="center"/>
              <w:rPr>
                <w:rFonts w:hint="eastAsia" w:ascii="仿宋" w:hAnsi="仿宋" w:eastAsia="仿宋" w:cs="仿宋"/>
                <w:lang w:val="en-US" w:eastAsia="zh-CN"/>
              </w:rPr>
            </w:pPr>
          </w:p>
        </w:tc>
      </w:tr>
      <w:tr w14:paraId="2411EA22">
        <w:tblPrEx>
          <w:tblCellMar>
            <w:top w:w="0" w:type="dxa"/>
            <w:left w:w="0" w:type="dxa"/>
            <w:bottom w:w="0" w:type="dxa"/>
            <w:right w:w="0" w:type="dxa"/>
          </w:tblCellMar>
        </w:tblPrEx>
        <w:trPr>
          <w:trHeight w:val="649" w:hRule="atLeast"/>
          <w:jc w:val="center"/>
        </w:trPr>
        <w:tc>
          <w:tcPr>
            <w:tcW w:w="928" w:type="dxa"/>
            <w:vMerge w:val="continue"/>
            <w:tcBorders>
              <w:top w:val="single" w:color="auto" w:sz="4" w:space="0"/>
              <w:left w:val="single" w:color="auto" w:sz="4" w:space="0"/>
              <w:bottom w:val="single" w:color="000000" w:sz="4" w:space="0"/>
              <w:right w:val="single" w:color="000000" w:sz="4" w:space="0"/>
            </w:tcBorders>
            <w:shd w:val="clear" w:color="auto" w:fill="FFFFFF"/>
            <w:tcMar>
              <w:top w:w="10" w:type="dxa"/>
              <w:left w:w="10" w:type="dxa"/>
              <w:right w:w="10" w:type="dxa"/>
            </w:tcMar>
            <w:vAlign w:val="center"/>
          </w:tcPr>
          <w:p w14:paraId="74CD6F22">
            <w:pPr>
              <w:rPr>
                <w:rFonts w:hint="eastAsia" w:ascii="仿宋" w:hAnsi="仿宋" w:eastAsia="仿宋" w:cs="仿宋"/>
                <w:lang w:val="en-US" w:eastAsia="zh-CN"/>
              </w:rPr>
            </w:pPr>
          </w:p>
        </w:tc>
        <w:tc>
          <w:tcPr>
            <w:tcW w:w="915" w:type="dxa"/>
            <w:vMerge w:val="restart"/>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1E6974C">
            <w:pPr>
              <w:jc w:val="center"/>
              <w:rPr>
                <w:rFonts w:hint="eastAsia" w:ascii="仿宋" w:hAnsi="仿宋" w:eastAsia="仿宋" w:cs="仿宋"/>
                <w:lang w:val="en-US" w:eastAsia="zh-CN"/>
              </w:rPr>
            </w:pPr>
            <w:r>
              <w:rPr>
                <w:rFonts w:hint="eastAsia" w:ascii="仿宋" w:hAnsi="仿宋" w:eastAsia="仿宋" w:cs="仿宋"/>
                <w:lang w:val="en-US" w:eastAsia="zh-CN"/>
              </w:rPr>
              <w:t>社会效益（6分）</w:t>
            </w:r>
          </w:p>
        </w:tc>
        <w:tc>
          <w:tcPr>
            <w:tcW w:w="945"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784E08">
            <w:pPr>
              <w:jc w:val="center"/>
              <w:rPr>
                <w:rFonts w:hint="default" w:ascii="仿宋" w:hAnsi="仿宋" w:eastAsia="仿宋" w:cs="仿宋"/>
                <w:lang w:val="en-US" w:eastAsia="zh-CN"/>
              </w:rPr>
            </w:pPr>
            <w:r>
              <w:rPr>
                <w:rFonts w:hint="eastAsia" w:ascii="仿宋" w:hAnsi="仿宋" w:eastAsia="仿宋" w:cs="仿宋"/>
                <w:lang w:val="en-US" w:eastAsia="zh-CN"/>
              </w:rPr>
              <w:t>农田灌溉排水和节水能力</w:t>
            </w:r>
          </w:p>
        </w:tc>
        <w:tc>
          <w:tcPr>
            <w:tcW w:w="705"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CFC4E21">
            <w:pPr>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2685"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3E312F7">
            <w:pPr>
              <w:jc w:val="both"/>
              <w:rPr>
                <w:rFonts w:hint="default" w:ascii="仿宋" w:hAnsi="仿宋" w:eastAsia="仿宋" w:cs="仿宋"/>
                <w:lang w:val="en-US" w:eastAsia="zh-CN"/>
              </w:rPr>
            </w:pPr>
            <w:r>
              <w:rPr>
                <w:rFonts w:hint="eastAsia" w:ascii="仿宋" w:hAnsi="仿宋" w:eastAsia="仿宋" w:cs="仿宋"/>
                <w:lang w:val="en-US" w:eastAsia="zh-CN"/>
              </w:rPr>
              <w:t>农田灌溉排水和节水能力。</w:t>
            </w:r>
          </w:p>
        </w:tc>
        <w:tc>
          <w:tcPr>
            <w:tcW w:w="5835"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B98388">
            <w:pPr>
              <w:jc w:val="both"/>
              <w:rPr>
                <w:rFonts w:hint="default" w:ascii="仿宋" w:hAnsi="仿宋" w:eastAsia="仿宋" w:cs="仿宋"/>
                <w:lang w:val="en-US" w:eastAsia="zh-CN"/>
              </w:rPr>
            </w:pPr>
            <w:r>
              <w:rPr>
                <w:rFonts w:hint="eastAsia" w:ascii="仿宋" w:hAnsi="仿宋" w:eastAsia="仿宋" w:cs="仿宋"/>
                <w:lang w:val="en-US" w:eastAsia="zh-CN"/>
              </w:rPr>
              <w:t>提升效果良好计3分，提升效果一般计2分，提升效果不明显不计分。</w:t>
            </w:r>
          </w:p>
        </w:tc>
        <w:tc>
          <w:tcPr>
            <w:tcW w:w="770"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21874A0">
            <w:pPr>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994"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C06535">
            <w:pPr>
              <w:jc w:val="center"/>
              <w:rPr>
                <w:rFonts w:hint="eastAsia" w:ascii="仿宋" w:hAnsi="仿宋" w:eastAsia="仿宋" w:cs="仿宋"/>
                <w:lang w:val="en-US" w:eastAsia="zh-CN"/>
              </w:rPr>
            </w:pPr>
          </w:p>
        </w:tc>
      </w:tr>
      <w:tr w14:paraId="6261336A">
        <w:tblPrEx>
          <w:tblCellMar>
            <w:top w:w="0" w:type="dxa"/>
            <w:left w:w="0" w:type="dxa"/>
            <w:bottom w:w="0" w:type="dxa"/>
            <w:right w:w="0" w:type="dxa"/>
          </w:tblCellMar>
        </w:tblPrEx>
        <w:trPr>
          <w:trHeight w:val="637" w:hRule="atLeast"/>
          <w:jc w:val="center"/>
        </w:trPr>
        <w:tc>
          <w:tcPr>
            <w:tcW w:w="928" w:type="dxa"/>
            <w:vMerge w:val="continue"/>
            <w:tcBorders>
              <w:top w:val="single" w:color="000000" w:sz="4" w:space="0"/>
              <w:left w:val="single" w:color="auto" w:sz="4" w:space="0"/>
              <w:bottom w:val="single" w:color="000000" w:sz="4" w:space="0"/>
              <w:right w:val="single" w:color="000000" w:sz="4" w:space="0"/>
            </w:tcBorders>
            <w:shd w:val="clear" w:color="auto" w:fill="FFFFFF"/>
            <w:tcMar>
              <w:top w:w="10" w:type="dxa"/>
              <w:left w:w="10" w:type="dxa"/>
              <w:right w:w="10" w:type="dxa"/>
            </w:tcMar>
            <w:vAlign w:val="center"/>
          </w:tcPr>
          <w:p w14:paraId="76C61D06">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D8BDD3A">
            <w:pPr>
              <w:jc w:val="cente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B038130">
            <w:pPr>
              <w:jc w:val="center"/>
              <w:rPr>
                <w:rFonts w:hint="eastAsia" w:ascii="仿宋" w:hAnsi="仿宋" w:eastAsia="仿宋" w:cs="仿宋"/>
                <w:lang w:val="en-US" w:eastAsia="zh-CN"/>
              </w:rPr>
            </w:pPr>
            <w:r>
              <w:rPr>
                <w:rFonts w:hint="eastAsia" w:ascii="仿宋" w:hAnsi="仿宋" w:eastAsia="仿宋" w:cs="仿宋"/>
                <w:lang w:val="en-US" w:eastAsia="zh-CN"/>
              </w:rPr>
              <w:t>基础设施条件</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73449F1">
            <w:pPr>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12F939F">
            <w:pPr>
              <w:jc w:val="both"/>
              <w:rPr>
                <w:rFonts w:hint="default" w:ascii="仿宋" w:hAnsi="仿宋" w:eastAsia="仿宋" w:cs="仿宋"/>
                <w:lang w:val="en-US" w:eastAsia="zh-CN"/>
              </w:rPr>
            </w:pPr>
            <w:r>
              <w:rPr>
                <w:rFonts w:hint="eastAsia" w:ascii="仿宋" w:hAnsi="仿宋" w:eastAsia="仿宋" w:cs="仿宋"/>
                <w:lang w:val="en-US" w:eastAsia="zh-CN"/>
              </w:rPr>
              <w:t>项目区农业基础设施条件是否改善。</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33635B9">
            <w:pPr>
              <w:jc w:val="both"/>
              <w:rPr>
                <w:rFonts w:hint="default" w:ascii="仿宋" w:hAnsi="仿宋" w:eastAsia="仿宋" w:cs="仿宋"/>
                <w:lang w:val="en-US" w:eastAsia="zh-CN"/>
              </w:rPr>
            </w:pPr>
            <w:r>
              <w:rPr>
                <w:rFonts w:hint="eastAsia" w:ascii="仿宋" w:hAnsi="仿宋" w:eastAsia="仿宋" w:cs="仿宋"/>
                <w:lang w:val="en-US" w:eastAsia="zh-CN"/>
              </w:rPr>
              <w:t>改善效果良好计3分，改善效果一般计2分，改善效果不明显不计分。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2B8E5F6">
            <w:pPr>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57F00D8">
            <w:pPr>
              <w:jc w:val="center"/>
              <w:rPr>
                <w:rFonts w:hint="eastAsia" w:ascii="仿宋" w:hAnsi="仿宋" w:eastAsia="仿宋" w:cs="仿宋"/>
                <w:lang w:val="en-US" w:eastAsia="zh-CN"/>
              </w:rPr>
            </w:pPr>
          </w:p>
        </w:tc>
      </w:tr>
      <w:tr w14:paraId="44E7702D">
        <w:tblPrEx>
          <w:tblCellMar>
            <w:top w:w="0" w:type="dxa"/>
            <w:left w:w="0" w:type="dxa"/>
            <w:bottom w:w="0" w:type="dxa"/>
            <w:right w:w="0" w:type="dxa"/>
          </w:tblCellMar>
        </w:tblPrEx>
        <w:trPr>
          <w:trHeight w:val="703" w:hRule="atLeast"/>
          <w:jc w:val="center"/>
        </w:trPr>
        <w:tc>
          <w:tcPr>
            <w:tcW w:w="928" w:type="dxa"/>
            <w:vMerge w:val="continue"/>
            <w:tcBorders>
              <w:top w:val="single" w:color="000000" w:sz="4" w:space="0"/>
              <w:left w:val="single" w:color="auto" w:sz="4" w:space="0"/>
              <w:bottom w:val="single" w:color="000000" w:sz="4" w:space="0"/>
              <w:right w:val="single" w:color="000000" w:sz="4" w:space="0"/>
            </w:tcBorders>
            <w:shd w:val="clear" w:color="auto" w:fill="FFFFFF"/>
            <w:tcMar>
              <w:top w:w="10" w:type="dxa"/>
              <w:left w:w="10" w:type="dxa"/>
              <w:right w:w="10" w:type="dxa"/>
            </w:tcMar>
            <w:vAlign w:val="center"/>
          </w:tcPr>
          <w:p w14:paraId="33F870EC">
            <w:pPr>
              <w:rPr>
                <w:rFonts w:hint="eastAsia" w:ascii="仿宋" w:hAnsi="仿宋" w:eastAsia="仿宋" w:cs="仿宋"/>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A5DCE53">
            <w:pPr>
              <w:jc w:val="center"/>
              <w:rPr>
                <w:rFonts w:hint="eastAsia" w:ascii="仿宋" w:hAnsi="仿宋" w:eastAsia="仿宋" w:cs="仿宋"/>
                <w:lang w:val="en-US" w:eastAsia="zh-CN"/>
              </w:rPr>
            </w:pPr>
            <w:r>
              <w:rPr>
                <w:rFonts w:hint="eastAsia" w:ascii="仿宋" w:hAnsi="仿宋" w:eastAsia="仿宋" w:cs="仿宋"/>
                <w:lang w:val="en-US" w:eastAsia="zh-CN"/>
              </w:rPr>
              <w:t>生态效益（5分）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1916F72">
            <w:pPr>
              <w:jc w:val="center"/>
              <w:rPr>
                <w:rFonts w:hint="eastAsia" w:ascii="仿宋" w:hAnsi="仿宋" w:eastAsia="仿宋" w:cs="仿宋"/>
                <w:lang w:val="en-US" w:eastAsia="zh-CN"/>
              </w:rPr>
            </w:pPr>
            <w:r>
              <w:rPr>
                <w:rFonts w:hint="eastAsia" w:ascii="仿宋" w:hAnsi="仿宋" w:eastAsia="仿宋" w:cs="仿宋"/>
                <w:lang w:val="en-US" w:eastAsia="zh-CN"/>
              </w:rPr>
              <w:t>耕地质量</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BDF8F75">
            <w:pPr>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50CCB69">
            <w:pPr>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耕地质量是否提升。</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77B7600">
            <w:pPr>
              <w:jc w:val="both"/>
              <w:rPr>
                <w:rFonts w:hint="eastAsia" w:ascii="仿宋" w:hAnsi="仿宋" w:eastAsia="仿宋" w:cs="仿宋"/>
                <w:highlight w:val="red"/>
                <w:lang w:val="en-US" w:eastAsia="zh-CN"/>
              </w:rPr>
            </w:pPr>
            <w:r>
              <w:rPr>
                <w:rFonts w:hint="eastAsia" w:ascii="仿宋" w:hAnsi="仿宋" w:eastAsia="仿宋" w:cs="仿宋"/>
                <w:lang w:val="en-US" w:eastAsia="zh-CN"/>
              </w:rPr>
              <w:t>提升效果良好计5分，提升效果一般计3分，提升效果不明显不计分。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CFAB8C3">
            <w:pPr>
              <w:jc w:val="center"/>
              <w:rPr>
                <w:rFonts w:hint="default" w:ascii="仿宋" w:hAnsi="仿宋" w:eastAsia="仿宋" w:cs="仿宋"/>
                <w:lang w:val="en-US" w:eastAsia="zh-CN"/>
              </w:rPr>
            </w:pPr>
            <w:r>
              <w:rPr>
                <w:rFonts w:hint="eastAsia" w:ascii="仿宋" w:hAnsi="仿宋" w:eastAsia="仿宋" w:cs="仿宋"/>
                <w:lang w:val="en-US" w:eastAsia="zh-CN"/>
              </w:rPr>
              <w:t>5</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84C8E52">
            <w:pPr>
              <w:jc w:val="center"/>
              <w:rPr>
                <w:rFonts w:hint="eastAsia" w:ascii="仿宋" w:hAnsi="仿宋" w:eastAsia="仿宋" w:cs="仿宋"/>
                <w:lang w:val="en-US" w:eastAsia="zh-CN"/>
              </w:rPr>
            </w:pPr>
          </w:p>
        </w:tc>
      </w:tr>
      <w:tr w14:paraId="32CB0D44">
        <w:tblPrEx>
          <w:tblCellMar>
            <w:top w:w="0" w:type="dxa"/>
            <w:left w:w="0" w:type="dxa"/>
            <w:bottom w:w="0" w:type="dxa"/>
            <w:right w:w="0" w:type="dxa"/>
          </w:tblCellMar>
        </w:tblPrEx>
        <w:trPr>
          <w:trHeight w:val="1077" w:hRule="atLeast"/>
          <w:jc w:val="center"/>
        </w:trPr>
        <w:tc>
          <w:tcPr>
            <w:tcW w:w="928" w:type="dxa"/>
            <w:vMerge w:val="continue"/>
            <w:tcBorders>
              <w:top w:val="single" w:color="000000" w:sz="4" w:space="0"/>
              <w:left w:val="single" w:color="auto" w:sz="4" w:space="0"/>
              <w:bottom w:val="single" w:color="000000" w:sz="4" w:space="0"/>
              <w:right w:val="single" w:color="000000" w:sz="4" w:space="0"/>
            </w:tcBorders>
            <w:shd w:val="clear" w:color="auto" w:fill="FFFFFF"/>
            <w:tcMar>
              <w:top w:w="10" w:type="dxa"/>
              <w:left w:w="10" w:type="dxa"/>
              <w:right w:w="10" w:type="dxa"/>
            </w:tcMar>
            <w:vAlign w:val="center"/>
          </w:tcPr>
          <w:p w14:paraId="367FD31C">
            <w:pPr>
              <w:rPr>
                <w:rFonts w:hint="eastAsia" w:ascii="仿宋" w:hAnsi="仿宋" w:eastAsia="仿宋" w:cs="仿宋"/>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3A59CE8">
            <w:pPr>
              <w:jc w:val="center"/>
              <w:rPr>
                <w:rFonts w:hint="eastAsia" w:ascii="仿宋" w:hAnsi="仿宋" w:eastAsia="仿宋" w:cs="仿宋"/>
                <w:lang w:val="en-US" w:eastAsia="zh-CN"/>
              </w:rPr>
            </w:pPr>
            <w:r>
              <w:rPr>
                <w:rFonts w:hint="eastAsia" w:ascii="仿宋" w:hAnsi="仿宋" w:eastAsia="仿宋" w:cs="仿宋"/>
                <w:lang w:val="en-US" w:eastAsia="zh-CN"/>
              </w:rPr>
              <w:t>满意度</w:t>
            </w:r>
          </w:p>
          <w:p w14:paraId="49532E5A">
            <w:pPr>
              <w:jc w:val="center"/>
              <w:rPr>
                <w:rFonts w:hint="eastAsia" w:ascii="仿宋" w:hAnsi="仿宋" w:eastAsia="仿宋" w:cs="仿宋"/>
                <w:lang w:val="en-US" w:eastAsia="zh-CN"/>
              </w:rPr>
            </w:pPr>
            <w:r>
              <w:rPr>
                <w:rFonts w:hint="eastAsia" w:ascii="仿宋" w:hAnsi="仿宋" w:eastAsia="仿宋" w:cs="仿宋"/>
                <w:lang w:val="en-US" w:eastAsia="zh-CN"/>
              </w:rPr>
              <w:t>指标</w:t>
            </w:r>
          </w:p>
          <w:p w14:paraId="47A22C97">
            <w:pPr>
              <w:jc w:val="center"/>
              <w:rPr>
                <w:rFonts w:hint="eastAsia" w:ascii="仿宋" w:hAnsi="仿宋" w:eastAsia="仿宋" w:cs="仿宋"/>
                <w:lang w:val="en-US" w:eastAsia="zh-CN"/>
              </w:rPr>
            </w:pPr>
            <w:r>
              <w:rPr>
                <w:rFonts w:hint="eastAsia" w:ascii="仿宋" w:hAnsi="仿宋" w:eastAsia="仿宋" w:cs="仿宋"/>
                <w:lang w:val="en-US" w:eastAsia="zh-CN"/>
              </w:rPr>
              <w:t>（10分）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14:paraId="311B1018">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受众</w:t>
            </w:r>
          </w:p>
          <w:p w14:paraId="1EBA5968">
            <w:pPr>
              <w:jc w:val="center"/>
              <w:rPr>
                <w:rFonts w:hint="eastAsia" w:ascii="仿宋" w:hAnsi="仿宋" w:eastAsia="仿宋" w:cs="仿宋"/>
                <w:lang w:val="en-US" w:eastAsia="zh-CN"/>
              </w:rPr>
            </w:pPr>
            <w:r>
              <w:rPr>
                <w:rFonts w:hint="eastAsia" w:ascii="仿宋" w:hAnsi="仿宋" w:eastAsia="仿宋" w:cs="仿宋"/>
                <w:color w:val="auto"/>
                <w:lang w:val="en-US" w:eastAsia="zh-CN"/>
              </w:rPr>
              <w:t>满意度</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27C76D1">
            <w:pPr>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DBF3B7D">
            <w:pPr>
              <w:jc w:val="both"/>
              <w:rPr>
                <w:rFonts w:hint="eastAsia" w:ascii="仿宋" w:hAnsi="仿宋" w:eastAsia="仿宋" w:cs="仿宋"/>
                <w:lang w:val="en-US" w:eastAsia="zh-CN"/>
              </w:rPr>
            </w:pPr>
            <w:r>
              <w:rPr>
                <w:rFonts w:hint="eastAsia" w:ascii="仿宋" w:hAnsi="仿宋" w:eastAsia="仿宋" w:cs="仿宋"/>
                <w:lang w:val="en-US" w:eastAsia="zh-CN"/>
              </w:rPr>
              <w:t>通过对民众乡村群众等群体进行满意度调查，反映受众对专项资金支持项目效果的满意度情况。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F8BA4F3">
            <w:pPr>
              <w:jc w:val="both"/>
              <w:rPr>
                <w:rFonts w:hint="eastAsia" w:ascii="仿宋" w:hAnsi="仿宋" w:eastAsia="仿宋" w:cs="仿宋"/>
                <w:lang w:val="en-US" w:eastAsia="zh-CN"/>
              </w:rPr>
            </w:pPr>
            <w:r>
              <w:rPr>
                <w:rFonts w:hint="eastAsia" w:ascii="仿宋" w:hAnsi="仿宋" w:eastAsia="仿宋" w:cs="仿宋"/>
                <w:lang w:val="en-US" w:eastAsia="zh-CN"/>
              </w:rPr>
              <w:t>根据调查问卷的答案不同赋值计算得分，满意率超过90%，计10分，每下降1个百分点扣0.5分，扣完为止。</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879C789">
            <w:pPr>
              <w:jc w:val="center"/>
              <w:rPr>
                <w:rFonts w:hint="default" w:ascii="仿宋" w:hAnsi="仿宋" w:eastAsia="仿宋" w:cs="仿宋"/>
                <w:lang w:val="en-US" w:eastAsia="zh-CN"/>
              </w:rPr>
            </w:pPr>
            <w:r>
              <w:rPr>
                <w:rFonts w:hint="eastAsia" w:ascii="仿宋" w:hAnsi="仿宋" w:eastAsia="仿宋" w:cs="仿宋"/>
                <w:lang w:val="en-US" w:eastAsia="zh-CN"/>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ADF262D">
            <w:pPr>
              <w:jc w:val="center"/>
              <w:rPr>
                <w:rFonts w:hint="eastAsia" w:ascii="仿宋" w:hAnsi="仿宋" w:eastAsia="仿宋" w:cs="仿宋"/>
                <w:lang w:val="en-US" w:eastAsia="zh-CN"/>
              </w:rPr>
            </w:pPr>
          </w:p>
        </w:tc>
      </w:tr>
      <w:tr w14:paraId="1D4AA978">
        <w:tblPrEx>
          <w:tblCellMar>
            <w:top w:w="0" w:type="dxa"/>
            <w:left w:w="0" w:type="dxa"/>
            <w:bottom w:w="0" w:type="dxa"/>
            <w:right w:w="0" w:type="dxa"/>
          </w:tblCellMar>
        </w:tblPrEx>
        <w:trPr>
          <w:trHeight w:val="679" w:hRule="atLeast"/>
          <w:jc w:val="center"/>
        </w:trPr>
        <w:tc>
          <w:tcPr>
            <w:tcW w:w="2788"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B50BF29">
            <w:pPr>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876B676">
            <w:pPr>
              <w:jc w:val="center"/>
              <w:rPr>
                <w:rFonts w:hint="eastAsia" w:ascii="仿宋" w:hAnsi="仿宋" w:eastAsia="仿宋" w:cs="仿宋"/>
                <w:lang w:val="en-US" w:eastAsia="zh-CN"/>
              </w:rPr>
            </w:pPr>
            <w:r>
              <w:rPr>
                <w:rFonts w:hint="eastAsia" w:ascii="仿宋" w:hAnsi="仿宋" w:eastAsia="仿宋" w:cs="仿宋"/>
                <w:lang w:val="en-US" w:eastAsia="zh-CN"/>
              </w:rPr>
              <w:t>100</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6ABE24F">
            <w:pPr>
              <w:rPr>
                <w:rFonts w:hint="eastAsia" w:ascii="仿宋" w:hAnsi="仿宋" w:eastAsia="仿宋" w:cs="仿宋"/>
                <w:lang w:val="en-US" w:eastAsia="zh-CN"/>
              </w:rPr>
            </w:pP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402B681">
            <w:pPr>
              <w:rPr>
                <w:rFonts w:hint="eastAsia" w:ascii="仿宋" w:hAnsi="仿宋" w:eastAsia="仿宋" w:cs="仿宋"/>
                <w:lang w:val="en-US" w:eastAsia="zh-CN"/>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97244D2">
            <w:pPr>
              <w:jc w:val="center"/>
              <w:rPr>
                <w:rFonts w:hint="default" w:ascii="仿宋" w:hAnsi="仿宋" w:eastAsia="仿宋" w:cs="仿宋"/>
                <w:lang w:val="en-US" w:eastAsia="zh-CN"/>
              </w:rPr>
            </w:pPr>
            <w:r>
              <w:rPr>
                <w:rFonts w:hint="eastAsia" w:ascii="仿宋" w:hAnsi="仿宋" w:eastAsia="仿宋" w:cs="仿宋"/>
                <w:highlight w:val="none"/>
                <w:lang w:val="en-US" w:eastAsia="zh-CN"/>
              </w:rPr>
              <w:t>100</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63D00A2">
            <w:pPr>
              <w:jc w:val="center"/>
              <w:rPr>
                <w:rFonts w:hint="eastAsia" w:ascii="仿宋" w:hAnsi="仿宋" w:eastAsia="仿宋" w:cs="仿宋"/>
                <w:lang w:val="en-US" w:eastAsia="zh-CN"/>
              </w:rPr>
            </w:pPr>
          </w:p>
        </w:tc>
      </w:tr>
    </w:tbl>
    <w:p w14:paraId="7F3A6D3B">
      <w:pPr>
        <w:pStyle w:val="5"/>
        <w:rPr>
          <w:rFonts w:hint="default"/>
        </w:rPr>
        <w:sectPr>
          <w:pgSz w:w="16838" w:h="11906" w:orient="landscape"/>
          <w:pgMar w:top="1587" w:right="1417" w:bottom="1587" w:left="1417" w:header="851" w:footer="992" w:gutter="0"/>
          <w:cols w:space="720" w:num="1"/>
          <w:docGrid w:type="lines" w:linePitch="312" w:charSpace="0"/>
        </w:sectPr>
      </w:pPr>
    </w:p>
    <w:p w14:paraId="3E1DC074">
      <w:pPr>
        <w:pStyle w:val="5"/>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Times New Roman" w:hAnsi="Times New Roman" w:eastAsia="仿宋_GB2312" w:cs="Times New Roman"/>
          <w:b w:val="0"/>
          <w:bCs w:val="0"/>
          <w:kern w:val="0"/>
          <w:sz w:val="32"/>
          <w:szCs w:val="32"/>
          <w:highlight w:val="none"/>
          <w:lang w:val="en-US" w:eastAsia="zh-CN" w:bidi="ar-SA"/>
        </w:rPr>
      </w:pPr>
      <w:r>
        <w:rPr>
          <w:rFonts w:hint="default" w:ascii="Times New Roman" w:hAnsi="Times New Roman" w:eastAsia="仿宋_GB2312" w:cs="Times New Roman"/>
          <w:b w:val="0"/>
          <w:bCs w:val="0"/>
          <w:kern w:val="0"/>
          <w:sz w:val="32"/>
          <w:szCs w:val="32"/>
          <w:highlight w:val="none"/>
          <w:lang w:val="en-US" w:eastAsia="zh-CN" w:bidi="ar-SA"/>
        </w:rPr>
        <w:t>附件</w:t>
      </w:r>
      <w:r>
        <w:rPr>
          <w:rFonts w:hint="eastAsia" w:ascii="Times New Roman" w:hAnsi="Times New Roman" w:eastAsia="仿宋_GB2312" w:cs="Times New Roman"/>
          <w:b w:val="0"/>
          <w:bCs w:val="0"/>
          <w:kern w:val="0"/>
          <w:sz w:val="32"/>
          <w:szCs w:val="32"/>
          <w:highlight w:val="none"/>
          <w:lang w:val="en-US" w:eastAsia="zh-CN" w:bidi="ar-SA"/>
        </w:rPr>
        <w:t>3</w:t>
      </w:r>
    </w:p>
    <w:p w14:paraId="1FD56909">
      <w:pPr>
        <w:jc w:val="center"/>
        <w:rPr>
          <w:rFonts w:hint="eastAsia" w:ascii="Times New Roman" w:hAnsi="Times New Roman" w:eastAsia="仿宋_GB2312" w:cs="Times New Roman"/>
          <w:b w:val="0"/>
          <w:bCs w:val="0"/>
          <w:kern w:val="0"/>
          <w:sz w:val="32"/>
          <w:szCs w:val="32"/>
          <w:highlight w:val="none"/>
          <w:lang w:val="en-US" w:eastAsia="zh-CN" w:bidi="ar-SA"/>
        </w:rPr>
      </w:pPr>
      <w:r>
        <w:rPr>
          <w:rFonts w:hint="default" w:ascii="Times New Roman" w:hAnsi="Times New Roman" w:eastAsia="仿宋_GB2312" w:cs="Times New Roman"/>
          <w:b w:val="0"/>
          <w:bCs w:val="0"/>
          <w:kern w:val="0"/>
          <w:sz w:val="32"/>
          <w:szCs w:val="32"/>
          <w:highlight w:val="none"/>
          <w:lang w:val="en-US" w:eastAsia="zh-CN" w:bidi="ar-SA"/>
        </w:rPr>
        <w:t>202</w:t>
      </w:r>
      <w:r>
        <w:rPr>
          <w:rFonts w:hint="eastAsia" w:ascii="Times New Roman" w:hAnsi="Times New Roman" w:eastAsia="仿宋_GB2312" w:cs="Times New Roman"/>
          <w:b w:val="0"/>
          <w:bCs w:val="0"/>
          <w:kern w:val="0"/>
          <w:sz w:val="32"/>
          <w:szCs w:val="32"/>
          <w:highlight w:val="none"/>
          <w:lang w:val="en-US" w:eastAsia="zh-CN" w:bidi="ar-SA"/>
        </w:rPr>
        <w:t>3</w:t>
      </w:r>
      <w:r>
        <w:rPr>
          <w:rFonts w:hint="default" w:ascii="Times New Roman" w:hAnsi="Times New Roman" w:eastAsia="仿宋_GB2312" w:cs="Times New Roman"/>
          <w:b w:val="0"/>
          <w:bCs w:val="0"/>
          <w:kern w:val="0"/>
          <w:sz w:val="32"/>
          <w:szCs w:val="32"/>
          <w:highlight w:val="none"/>
          <w:lang w:val="en-US" w:eastAsia="zh-CN" w:bidi="ar-SA"/>
        </w:rPr>
        <w:t>年</w:t>
      </w:r>
      <w:r>
        <w:rPr>
          <w:rFonts w:hint="eastAsia" w:ascii="Times New Roman" w:hAnsi="Times New Roman" w:eastAsia="仿宋_GB2312" w:cs="Times New Roman"/>
          <w:b w:val="0"/>
          <w:bCs w:val="0"/>
          <w:kern w:val="0"/>
          <w:sz w:val="32"/>
          <w:szCs w:val="32"/>
          <w:highlight w:val="none"/>
          <w:lang w:val="en-US" w:eastAsia="zh-CN" w:bidi="ar-SA"/>
        </w:rPr>
        <w:t>度省级农田建设专项资金现场抽取项目清单</w:t>
      </w:r>
    </w:p>
    <w:tbl>
      <w:tblPr>
        <w:tblStyle w:val="19"/>
        <w:tblW w:w="4997" w:type="pct"/>
        <w:tblInd w:w="0" w:type="dxa"/>
        <w:tblLayout w:type="autofit"/>
        <w:tblCellMar>
          <w:top w:w="0" w:type="dxa"/>
          <w:left w:w="108" w:type="dxa"/>
          <w:bottom w:w="0" w:type="dxa"/>
          <w:right w:w="108" w:type="dxa"/>
        </w:tblCellMar>
      </w:tblPr>
      <w:tblGrid>
        <w:gridCol w:w="2233"/>
        <w:gridCol w:w="2240"/>
        <w:gridCol w:w="2235"/>
        <w:gridCol w:w="2235"/>
      </w:tblGrid>
      <w:tr w14:paraId="59891BA0">
        <w:tblPrEx>
          <w:tblCellMar>
            <w:top w:w="0" w:type="dxa"/>
            <w:left w:w="108" w:type="dxa"/>
            <w:bottom w:w="0" w:type="dxa"/>
            <w:right w:w="108" w:type="dxa"/>
          </w:tblCellMar>
        </w:tblPrEx>
        <w:trPr>
          <w:cantSplit/>
          <w:trHeight w:val="403" w:hRule="exact"/>
          <w:tblHeader/>
        </w:trPr>
        <w:tc>
          <w:tcPr>
            <w:tcW w:w="1248" w:type="pct"/>
            <w:tcBorders>
              <w:top w:val="single" w:color="000000" w:sz="4" w:space="0"/>
              <w:left w:val="single" w:color="000000" w:sz="4" w:space="0"/>
              <w:bottom w:val="single" w:color="000000" w:sz="4" w:space="0"/>
              <w:right w:val="single" w:color="000000" w:sz="4" w:space="0"/>
            </w:tcBorders>
            <w:noWrap/>
            <w:vAlign w:val="center"/>
          </w:tcPr>
          <w:p w14:paraId="3DE60156">
            <w:pPr>
              <w:jc w:val="center"/>
              <w:rPr>
                <w:rFonts w:hint="eastAsia" w:ascii="仿宋_GB2312" w:hAnsi="Times New Roman" w:eastAsia="仿宋_GB2312"/>
                <w:b/>
              </w:rPr>
            </w:pPr>
            <w:r>
              <w:rPr>
                <w:rFonts w:hint="eastAsia" w:ascii="仿宋_GB2312" w:hAnsi="Times New Roman" w:eastAsia="仿宋_GB2312"/>
                <w:b/>
              </w:rPr>
              <w:t>序号</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59DDFE5B">
            <w:pPr>
              <w:jc w:val="center"/>
              <w:rPr>
                <w:rFonts w:hint="eastAsia" w:ascii="仿宋_GB2312" w:hAnsi="Times New Roman" w:eastAsia="仿宋_GB2312"/>
                <w:b/>
              </w:rPr>
            </w:pPr>
            <w:r>
              <w:rPr>
                <w:rFonts w:hint="eastAsia" w:ascii="仿宋_GB2312" w:hAnsi="Times New Roman" w:eastAsia="仿宋_GB2312"/>
                <w:b/>
              </w:rPr>
              <w:t>县市区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0C96E56">
            <w:pPr>
              <w:jc w:val="center"/>
              <w:rPr>
                <w:rFonts w:hint="default" w:ascii="仿宋_GB2312" w:hAnsi="Times New Roman" w:eastAsia="仿宋_GB2312"/>
                <w:b/>
                <w:lang w:val="en-US" w:eastAsia="zh-CN"/>
              </w:rPr>
            </w:pPr>
            <w:r>
              <w:rPr>
                <w:rFonts w:hint="eastAsia" w:ascii="仿宋_GB2312" w:hAnsi="Times New Roman" w:eastAsia="仿宋_GB2312"/>
                <w:b/>
              </w:rPr>
              <w:t>项目数</w:t>
            </w:r>
            <w:r>
              <w:rPr>
                <w:rFonts w:hint="eastAsia" w:ascii="仿宋_GB2312" w:hAnsi="Times New Roman" w:eastAsia="仿宋_GB2312"/>
                <w:b/>
                <w:lang w:eastAsia="zh-CN"/>
              </w:rPr>
              <w:t>（</w:t>
            </w:r>
            <w:r>
              <w:rPr>
                <w:rFonts w:hint="eastAsia" w:ascii="仿宋_GB2312" w:hAnsi="Times New Roman" w:eastAsia="仿宋_GB2312"/>
                <w:b/>
                <w:lang w:val="en-US" w:eastAsia="zh-CN"/>
              </w:rPr>
              <w:t>个</w:t>
            </w:r>
            <w:r>
              <w:rPr>
                <w:rFonts w:hint="eastAsia" w:ascii="仿宋_GB2312" w:hAnsi="Times New Roman" w:eastAsia="仿宋_GB2312"/>
                <w:b/>
                <w:lang w:eastAsia="zh-CN"/>
              </w:rPr>
              <w:t>）</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A8A8A30">
            <w:pPr>
              <w:jc w:val="center"/>
              <w:rPr>
                <w:rFonts w:hint="eastAsia" w:ascii="仿宋_GB2312" w:hAnsi="Times New Roman" w:eastAsia="仿宋_GB2312"/>
                <w:b/>
                <w:lang w:eastAsia="zh-CN"/>
              </w:rPr>
            </w:pPr>
            <w:r>
              <w:rPr>
                <w:rFonts w:hint="eastAsia" w:ascii="仿宋_GB2312" w:hAnsi="Times New Roman" w:eastAsia="仿宋_GB2312"/>
                <w:b/>
              </w:rPr>
              <w:t>省级资金</w:t>
            </w:r>
            <w:r>
              <w:rPr>
                <w:rFonts w:hint="eastAsia" w:ascii="仿宋_GB2312" w:hAnsi="Times New Roman" w:eastAsia="仿宋_GB2312"/>
                <w:b/>
                <w:lang w:eastAsia="zh-CN"/>
              </w:rPr>
              <w:t>（</w:t>
            </w:r>
            <w:r>
              <w:rPr>
                <w:rFonts w:hint="eastAsia" w:ascii="仿宋_GB2312" w:hAnsi="Times New Roman" w:eastAsia="仿宋_GB2312"/>
                <w:b/>
                <w:lang w:val="en-US" w:eastAsia="zh-CN"/>
              </w:rPr>
              <w:t>万元</w:t>
            </w:r>
            <w:r>
              <w:rPr>
                <w:rFonts w:hint="eastAsia" w:ascii="仿宋_GB2312" w:hAnsi="Times New Roman" w:eastAsia="仿宋_GB2312"/>
                <w:b/>
                <w:lang w:eastAsia="zh-CN"/>
              </w:rPr>
              <w:t>）</w:t>
            </w:r>
          </w:p>
        </w:tc>
      </w:tr>
      <w:tr w14:paraId="118B6629">
        <w:tblPrEx>
          <w:tblCellMar>
            <w:top w:w="0" w:type="dxa"/>
            <w:left w:w="108" w:type="dxa"/>
            <w:bottom w:w="0" w:type="dxa"/>
            <w:right w:w="108" w:type="dxa"/>
          </w:tblCellMar>
        </w:tblPrEx>
        <w:trPr>
          <w:cantSplit/>
          <w:trHeight w:val="403" w:hRule="exact"/>
        </w:trPr>
        <w:tc>
          <w:tcPr>
            <w:tcW w:w="2500" w:type="pct"/>
            <w:gridSpan w:val="2"/>
            <w:tcBorders>
              <w:top w:val="single" w:color="000000" w:sz="4" w:space="0"/>
              <w:left w:val="single" w:color="000000" w:sz="4" w:space="0"/>
              <w:bottom w:val="single" w:color="000000" w:sz="4" w:space="0"/>
              <w:right w:val="single" w:color="000000" w:sz="4" w:space="0"/>
            </w:tcBorders>
            <w:noWrap/>
            <w:vAlign w:val="center"/>
          </w:tcPr>
          <w:p w14:paraId="0FC7AA2F">
            <w:pPr>
              <w:jc w:val="center"/>
              <w:rPr>
                <w:rFonts w:hint="eastAsia" w:ascii="仿宋_GB2312" w:hAnsi="Times New Roman" w:eastAsia="仿宋_GB2312"/>
              </w:rPr>
            </w:pPr>
            <w:r>
              <w:rPr>
                <w:rFonts w:hint="eastAsia" w:ascii="仿宋_GB2312" w:hAnsi="Times New Roman" w:eastAsia="仿宋_GB2312"/>
              </w:rPr>
              <w:t>合计</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5E95347">
            <w:pPr>
              <w:jc w:val="center"/>
              <w:rPr>
                <w:rFonts w:hint="default" w:ascii="Times New Roman" w:hAnsi="Times New Roman" w:eastAsia="宋体"/>
                <w:lang w:val="en-US" w:eastAsia="zh-CN"/>
              </w:rPr>
            </w:pPr>
            <w:r>
              <w:rPr>
                <w:rFonts w:hint="eastAsia" w:ascii="Times New Roman" w:hAnsi="Times New Roman"/>
                <w:lang w:val="en-US" w:eastAsia="zh-CN"/>
              </w:rPr>
              <w:t>34</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34030AC">
            <w:pPr>
              <w:jc w:val="center"/>
              <w:rPr>
                <w:rFonts w:ascii="Times New Roman" w:hAnsi="Times New Roman"/>
                <w:sz w:val="22"/>
              </w:rPr>
            </w:pPr>
            <w:r>
              <w:rPr>
                <w:rFonts w:hint="eastAsia" w:ascii="Times New Roman" w:hAnsi="Times New Roman"/>
                <w:sz w:val="22"/>
              </w:rPr>
              <w:t>46178</w:t>
            </w:r>
          </w:p>
        </w:tc>
      </w:tr>
      <w:tr w14:paraId="113CB8E5">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567F186B">
            <w:pPr>
              <w:jc w:val="center"/>
              <w:rPr>
                <w:rFonts w:ascii="仿宋_GB2312" w:eastAsia="仿宋_GB2312"/>
                <w:sz w:val="22"/>
              </w:rPr>
            </w:pPr>
            <w:r>
              <w:rPr>
                <w:rFonts w:ascii="仿宋_GB2312" w:eastAsia="仿宋_GB2312"/>
                <w:sz w:val="22"/>
              </w:rPr>
              <w:t>1</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68DC609E">
            <w:pPr>
              <w:jc w:val="center"/>
              <w:rPr>
                <w:rFonts w:hint="eastAsia" w:ascii="仿宋_GB2312" w:eastAsia="仿宋_GB2312"/>
                <w:sz w:val="22"/>
              </w:rPr>
            </w:pPr>
            <w:r>
              <w:rPr>
                <w:rFonts w:hint="eastAsia" w:ascii="仿宋_GB2312" w:eastAsia="仿宋_GB2312"/>
                <w:sz w:val="22"/>
              </w:rPr>
              <w:t>武冈市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0040C620">
            <w:pPr>
              <w:jc w:val="center"/>
              <w:rPr>
                <w:rFonts w:hint="eastAsia" w:ascii="Times New Roman" w:hAnsi="Times New Roman" w:eastAsia="宋体"/>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8DDBEB2">
            <w:pPr>
              <w:jc w:val="center"/>
              <w:rPr>
                <w:rFonts w:ascii="Times New Roman" w:hAnsi="Times New Roman"/>
                <w:sz w:val="22"/>
              </w:rPr>
            </w:pPr>
            <w:r>
              <w:rPr>
                <w:rFonts w:hint="eastAsia" w:ascii="Times New Roman" w:hAnsi="Times New Roman"/>
                <w:sz w:val="22"/>
              </w:rPr>
              <w:t>1506</w:t>
            </w:r>
          </w:p>
        </w:tc>
      </w:tr>
      <w:tr w14:paraId="1933FE51">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7BE44488">
            <w:pPr>
              <w:jc w:val="center"/>
              <w:rPr>
                <w:rFonts w:ascii="仿宋_GB2312" w:eastAsia="仿宋_GB2312"/>
                <w:sz w:val="22"/>
              </w:rPr>
            </w:pPr>
            <w:r>
              <w:rPr>
                <w:rFonts w:ascii="仿宋_GB2312" w:eastAsia="仿宋_GB2312"/>
                <w:sz w:val="22"/>
              </w:rPr>
              <w:t>2</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582C3E50">
            <w:pPr>
              <w:jc w:val="center"/>
              <w:rPr>
                <w:rFonts w:hint="eastAsia" w:ascii="仿宋_GB2312" w:eastAsia="仿宋_GB2312"/>
                <w:sz w:val="22"/>
              </w:rPr>
            </w:pPr>
            <w:r>
              <w:rPr>
                <w:rFonts w:hint="eastAsia" w:ascii="仿宋_GB2312" w:eastAsia="仿宋_GB2312"/>
                <w:sz w:val="22"/>
              </w:rPr>
              <w:t>洞口县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92912EA">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04005EEE">
            <w:pPr>
              <w:jc w:val="center"/>
              <w:rPr>
                <w:rFonts w:ascii="Times New Roman" w:hAnsi="Times New Roman"/>
                <w:sz w:val="22"/>
              </w:rPr>
            </w:pPr>
            <w:r>
              <w:rPr>
                <w:rFonts w:hint="eastAsia" w:ascii="Times New Roman" w:hAnsi="Times New Roman"/>
                <w:sz w:val="22"/>
              </w:rPr>
              <w:t>2222</w:t>
            </w:r>
          </w:p>
        </w:tc>
      </w:tr>
      <w:tr w14:paraId="3C94FAA9">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12543631">
            <w:pPr>
              <w:jc w:val="center"/>
              <w:rPr>
                <w:rFonts w:ascii="仿宋_GB2312" w:eastAsia="仿宋_GB2312"/>
                <w:sz w:val="22"/>
              </w:rPr>
            </w:pPr>
            <w:r>
              <w:rPr>
                <w:rFonts w:ascii="仿宋_GB2312" w:eastAsia="仿宋_GB2312"/>
                <w:sz w:val="22"/>
              </w:rPr>
              <w:t>3</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216F6A3B">
            <w:pPr>
              <w:jc w:val="center"/>
              <w:rPr>
                <w:rFonts w:hint="eastAsia" w:ascii="仿宋_GB2312" w:eastAsia="仿宋_GB2312"/>
                <w:sz w:val="22"/>
              </w:rPr>
            </w:pPr>
            <w:r>
              <w:rPr>
                <w:rFonts w:hint="eastAsia" w:ascii="仿宋_GB2312" w:eastAsia="仿宋_GB2312"/>
                <w:sz w:val="22"/>
              </w:rPr>
              <w:t>隆回县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9EB26C9">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1D5C39A">
            <w:pPr>
              <w:jc w:val="center"/>
              <w:rPr>
                <w:rFonts w:ascii="Times New Roman" w:hAnsi="Times New Roman"/>
                <w:sz w:val="22"/>
              </w:rPr>
            </w:pPr>
            <w:r>
              <w:rPr>
                <w:rFonts w:hint="eastAsia" w:ascii="Times New Roman" w:hAnsi="Times New Roman"/>
                <w:sz w:val="22"/>
              </w:rPr>
              <w:t>1559</w:t>
            </w:r>
          </w:p>
        </w:tc>
      </w:tr>
      <w:tr w14:paraId="29F85C80">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0531D895">
            <w:pPr>
              <w:jc w:val="center"/>
              <w:rPr>
                <w:rFonts w:ascii="仿宋_GB2312" w:eastAsia="仿宋_GB2312"/>
                <w:sz w:val="22"/>
              </w:rPr>
            </w:pPr>
            <w:r>
              <w:rPr>
                <w:rFonts w:ascii="仿宋_GB2312" w:eastAsia="仿宋_GB2312"/>
                <w:sz w:val="22"/>
              </w:rPr>
              <w:t>4</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4B277EBB">
            <w:pPr>
              <w:jc w:val="center"/>
              <w:rPr>
                <w:rFonts w:hint="eastAsia" w:ascii="仿宋_GB2312" w:eastAsia="仿宋_GB2312"/>
                <w:sz w:val="22"/>
              </w:rPr>
            </w:pPr>
            <w:r>
              <w:rPr>
                <w:rFonts w:hint="eastAsia" w:ascii="仿宋_GB2312" w:eastAsia="仿宋_GB2312"/>
                <w:sz w:val="22"/>
              </w:rPr>
              <w:t>涟源市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0D13F17A">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86DE580">
            <w:pPr>
              <w:jc w:val="center"/>
              <w:rPr>
                <w:rFonts w:ascii="Times New Roman" w:hAnsi="Times New Roman"/>
                <w:sz w:val="22"/>
              </w:rPr>
            </w:pPr>
            <w:r>
              <w:rPr>
                <w:rFonts w:hint="eastAsia" w:ascii="Times New Roman" w:hAnsi="Times New Roman"/>
                <w:sz w:val="22"/>
              </w:rPr>
              <w:t>885</w:t>
            </w:r>
          </w:p>
        </w:tc>
      </w:tr>
      <w:tr w14:paraId="45742D42">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5B7CA049">
            <w:pPr>
              <w:jc w:val="center"/>
              <w:rPr>
                <w:rFonts w:ascii="仿宋_GB2312" w:eastAsia="仿宋_GB2312"/>
                <w:sz w:val="22"/>
              </w:rPr>
            </w:pPr>
            <w:r>
              <w:rPr>
                <w:rFonts w:ascii="仿宋_GB2312" w:eastAsia="仿宋_GB2312"/>
                <w:sz w:val="22"/>
              </w:rPr>
              <w:t>5</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5F194FC7">
            <w:pPr>
              <w:jc w:val="center"/>
              <w:rPr>
                <w:rFonts w:hint="eastAsia" w:ascii="仿宋_GB2312" w:eastAsia="仿宋_GB2312"/>
                <w:sz w:val="22"/>
              </w:rPr>
            </w:pPr>
            <w:r>
              <w:rPr>
                <w:rFonts w:hint="eastAsia" w:ascii="仿宋_GB2312" w:eastAsia="仿宋_GB2312"/>
                <w:sz w:val="22"/>
              </w:rPr>
              <w:t>新化县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7816100">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0A66E46B">
            <w:pPr>
              <w:jc w:val="center"/>
              <w:rPr>
                <w:rFonts w:ascii="Times New Roman" w:hAnsi="Times New Roman"/>
                <w:sz w:val="22"/>
              </w:rPr>
            </w:pPr>
            <w:r>
              <w:rPr>
                <w:rFonts w:hint="eastAsia" w:ascii="Times New Roman" w:hAnsi="Times New Roman"/>
                <w:sz w:val="22"/>
              </w:rPr>
              <w:t>880</w:t>
            </w:r>
          </w:p>
        </w:tc>
      </w:tr>
      <w:tr w14:paraId="0F761669">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3119C8EE">
            <w:pPr>
              <w:jc w:val="center"/>
              <w:rPr>
                <w:rFonts w:ascii="仿宋_GB2312" w:eastAsia="仿宋_GB2312"/>
                <w:sz w:val="22"/>
              </w:rPr>
            </w:pPr>
            <w:r>
              <w:rPr>
                <w:rFonts w:ascii="仿宋_GB2312" w:eastAsia="仿宋_GB2312"/>
                <w:sz w:val="22"/>
              </w:rPr>
              <w:t>6</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6BC6D8DB">
            <w:pPr>
              <w:jc w:val="center"/>
              <w:rPr>
                <w:rFonts w:hint="eastAsia" w:ascii="仿宋_GB2312" w:eastAsia="仿宋_GB2312"/>
                <w:sz w:val="22"/>
              </w:rPr>
            </w:pPr>
            <w:r>
              <w:rPr>
                <w:rFonts w:hint="eastAsia" w:ascii="仿宋_GB2312" w:eastAsia="仿宋_GB2312"/>
                <w:sz w:val="22"/>
              </w:rPr>
              <w:t>宁乡市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78D0972">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D471146">
            <w:pPr>
              <w:jc w:val="center"/>
              <w:rPr>
                <w:rFonts w:ascii="Times New Roman" w:hAnsi="Times New Roman"/>
                <w:sz w:val="22"/>
              </w:rPr>
            </w:pPr>
            <w:r>
              <w:rPr>
                <w:rFonts w:hint="eastAsia" w:ascii="Times New Roman" w:hAnsi="Times New Roman"/>
                <w:sz w:val="22"/>
              </w:rPr>
              <w:t>3160</w:t>
            </w:r>
          </w:p>
        </w:tc>
      </w:tr>
      <w:tr w14:paraId="3BD5793A">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41C511B9">
            <w:pPr>
              <w:jc w:val="center"/>
              <w:rPr>
                <w:rFonts w:ascii="仿宋_GB2312" w:eastAsia="仿宋_GB2312"/>
                <w:sz w:val="22"/>
              </w:rPr>
            </w:pPr>
            <w:r>
              <w:rPr>
                <w:rFonts w:ascii="仿宋_GB2312" w:eastAsia="仿宋_GB2312"/>
                <w:sz w:val="22"/>
              </w:rPr>
              <w:t>7</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26F25C85">
            <w:pPr>
              <w:jc w:val="center"/>
              <w:rPr>
                <w:rFonts w:hint="eastAsia" w:ascii="仿宋_GB2312" w:eastAsia="仿宋_GB2312"/>
                <w:sz w:val="22"/>
              </w:rPr>
            </w:pPr>
            <w:r>
              <w:rPr>
                <w:rFonts w:hint="eastAsia" w:ascii="仿宋_GB2312" w:eastAsia="仿宋_GB2312"/>
                <w:sz w:val="22"/>
              </w:rPr>
              <w:t>慈利县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AE17099">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21F65380">
            <w:pPr>
              <w:jc w:val="center"/>
              <w:rPr>
                <w:rFonts w:ascii="Times New Roman" w:hAnsi="Times New Roman"/>
                <w:sz w:val="22"/>
              </w:rPr>
            </w:pPr>
            <w:r>
              <w:rPr>
                <w:rFonts w:hint="eastAsia" w:ascii="Times New Roman" w:hAnsi="Times New Roman"/>
                <w:sz w:val="22"/>
              </w:rPr>
              <w:t>915</w:t>
            </w:r>
          </w:p>
        </w:tc>
      </w:tr>
      <w:tr w14:paraId="05A22526">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41107543">
            <w:pPr>
              <w:jc w:val="center"/>
              <w:rPr>
                <w:rFonts w:ascii="仿宋_GB2312" w:eastAsia="仿宋_GB2312"/>
                <w:sz w:val="22"/>
              </w:rPr>
            </w:pPr>
            <w:r>
              <w:rPr>
                <w:rFonts w:ascii="仿宋_GB2312" w:eastAsia="仿宋_GB2312"/>
                <w:sz w:val="22"/>
              </w:rPr>
              <w:t>8</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3C475D11">
            <w:pPr>
              <w:jc w:val="center"/>
              <w:rPr>
                <w:rFonts w:hint="eastAsia" w:ascii="仿宋_GB2312" w:eastAsia="仿宋_GB2312"/>
                <w:sz w:val="22"/>
              </w:rPr>
            </w:pPr>
            <w:r>
              <w:rPr>
                <w:rFonts w:hint="eastAsia" w:ascii="仿宋_GB2312" w:eastAsia="仿宋_GB2312"/>
                <w:sz w:val="22"/>
              </w:rPr>
              <w:t>溆浦县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BDCD986">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8C02F9B">
            <w:pPr>
              <w:jc w:val="center"/>
              <w:rPr>
                <w:rFonts w:ascii="Times New Roman" w:hAnsi="Times New Roman"/>
                <w:sz w:val="22"/>
              </w:rPr>
            </w:pPr>
            <w:r>
              <w:rPr>
                <w:rFonts w:hint="eastAsia" w:ascii="Times New Roman" w:hAnsi="Times New Roman"/>
                <w:sz w:val="22"/>
              </w:rPr>
              <w:t>1667</w:t>
            </w:r>
          </w:p>
        </w:tc>
      </w:tr>
      <w:tr w14:paraId="04106856">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18A4F949">
            <w:pPr>
              <w:jc w:val="center"/>
              <w:rPr>
                <w:rFonts w:ascii="仿宋_GB2312" w:eastAsia="仿宋_GB2312"/>
                <w:sz w:val="22"/>
              </w:rPr>
            </w:pPr>
            <w:r>
              <w:rPr>
                <w:rFonts w:ascii="仿宋_GB2312" w:eastAsia="仿宋_GB2312"/>
                <w:sz w:val="22"/>
              </w:rPr>
              <w:t>9</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349720A6">
            <w:pPr>
              <w:jc w:val="center"/>
              <w:rPr>
                <w:rFonts w:hint="eastAsia" w:ascii="仿宋_GB2312" w:eastAsia="仿宋_GB2312"/>
                <w:sz w:val="22"/>
              </w:rPr>
            </w:pPr>
            <w:r>
              <w:rPr>
                <w:rFonts w:hint="eastAsia" w:ascii="仿宋_GB2312" w:eastAsia="仿宋_GB2312"/>
                <w:sz w:val="22"/>
              </w:rPr>
              <w:t>芷江县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766495D">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84E849C">
            <w:pPr>
              <w:jc w:val="center"/>
              <w:rPr>
                <w:rFonts w:ascii="Times New Roman" w:hAnsi="Times New Roman"/>
                <w:sz w:val="22"/>
              </w:rPr>
            </w:pPr>
            <w:r>
              <w:rPr>
                <w:rFonts w:hint="eastAsia" w:ascii="Times New Roman" w:hAnsi="Times New Roman"/>
                <w:sz w:val="22"/>
              </w:rPr>
              <w:t>388</w:t>
            </w:r>
          </w:p>
        </w:tc>
      </w:tr>
      <w:tr w14:paraId="6DDD7848">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1F270CD4">
            <w:pPr>
              <w:jc w:val="center"/>
              <w:rPr>
                <w:rFonts w:ascii="仿宋_GB2312" w:eastAsia="仿宋_GB2312"/>
                <w:sz w:val="22"/>
              </w:rPr>
            </w:pPr>
            <w:r>
              <w:rPr>
                <w:rFonts w:ascii="仿宋_GB2312" w:eastAsia="仿宋_GB2312"/>
                <w:sz w:val="22"/>
              </w:rPr>
              <w:t>10</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1BFBF25B">
            <w:pPr>
              <w:jc w:val="center"/>
              <w:rPr>
                <w:rFonts w:hint="eastAsia" w:ascii="仿宋_GB2312" w:eastAsia="仿宋_GB2312"/>
                <w:sz w:val="22"/>
              </w:rPr>
            </w:pPr>
            <w:r>
              <w:rPr>
                <w:rFonts w:hint="eastAsia" w:ascii="仿宋_GB2312" w:eastAsia="仿宋_GB2312"/>
                <w:sz w:val="22"/>
              </w:rPr>
              <w:t>花垣县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9650F31">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4F6919D">
            <w:pPr>
              <w:jc w:val="center"/>
              <w:rPr>
                <w:rFonts w:ascii="Times New Roman" w:hAnsi="Times New Roman"/>
                <w:sz w:val="22"/>
              </w:rPr>
            </w:pPr>
            <w:r>
              <w:rPr>
                <w:rFonts w:hint="eastAsia" w:ascii="Times New Roman" w:hAnsi="Times New Roman"/>
                <w:sz w:val="22"/>
              </w:rPr>
              <w:t>247</w:t>
            </w:r>
          </w:p>
        </w:tc>
      </w:tr>
      <w:tr w14:paraId="10B0594E">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7DD994C7">
            <w:pPr>
              <w:jc w:val="center"/>
              <w:rPr>
                <w:rFonts w:ascii="仿宋_GB2312" w:eastAsia="仿宋_GB2312"/>
                <w:sz w:val="22"/>
              </w:rPr>
            </w:pPr>
            <w:r>
              <w:rPr>
                <w:rFonts w:ascii="仿宋_GB2312" w:eastAsia="仿宋_GB2312"/>
                <w:sz w:val="22"/>
              </w:rPr>
              <w:t>11</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414CC1B6">
            <w:pPr>
              <w:jc w:val="center"/>
              <w:rPr>
                <w:rFonts w:hint="eastAsia" w:ascii="仿宋_GB2312" w:eastAsia="仿宋_GB2312"/>
                <w:sz w:val="22"/>
              </w:rPr>
            </w:pPr>
            <w:r>
              <w:rPr>
                <w:rFonts w:hint="eastAsia" w:ascii="仿宋_GB2312" w:eastAsia="仿宋_GB2312"/>
                <w:sz w:val="22"/>
              </w:rPr>
              <w:t>永顺县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F5FF97C">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287F9968">
            <w:pPr>
              <w:jc w:val="center"/>
              <w:rPr>
                <w:rFonts w:ascii="Times New Roman" w:hAnsi="Times New Roman"/>
                <w:sz w:val="22"/>
              </w:rPr>
            </w:pPr>
            <w:r>
              <w:rPr>
                <w:rFonts w:hint="eastAsia" w:ascii="Times New Roman" w:hAnsi="Times New Roman"/>
                <w:sz w:val="22"/>
              </w:rPr>
              <w:t>637</w:t>
            </w:r>
          </w:p>
        </w:tc>
      </w:tr>
      <w:tr w14:paraId="431A3C06">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1EA85B64">
            <w:pPr>
              <w:jc w:val="center"/>
              <w:rPr>
                <w:rFonts w:ascii="仿宋_GB2312" w:eastAsia="仿宋_GB2312"/>
                <w:sz w:val="22"/>
              </w:rPr>
            </w:pPr>
            <w:r>
              <w:rPr>
                <w:rFonts w:ascii="仿宋_GB2312" w:eastAsia="仿宋_GB2312"/>
                <w:sz w:val="22"/>
              </w:rPr>
              <w:t>12</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45045041">
            <w:pPr>
              <w:jc w:val="center"/>
              <w:rPr>
                <w:rFonts w:hint="eastAsia" w:ascii="仿宋_GB2312" w:eastAsia="仿宋_GB2312"/>
                <w:sz w:val="22"/>
              </w:rPr>
            </w:pPr>
            <w:r>
              <w:rPr>
                <w:rFonts w:hint="eastAsia" w:ascii="仿宋_GB2312" w:eastAsia="仿宋_GB2312"/>
                <w:sz w:val="22"/>
              </w:rPr>
              <w:t>龙山县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6901E92">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59E9B32">
            <w:pPr>
              <w:jc w:val="center"/>
              <w:rPr>
                <w:rFonts w:ascii="Times New Roman" w:hAnsi="Times New Roman"/>
                <w:sz w:val="22"/>
              </w:rPr>
            </w:pPr>
            <w:r>
              <w:rPr>
                <w:rFonts w:hint="eastAsia" w:ascii="Times New Roman" w:hAnsi="Times New Roman"/>
                <w:sz w:val="22"/>
              </w:rPr>
              <w:t>337</w:t>
            </w:r>
          </w:p>
        </w:tc>
      </w:tr>
      <w:tr w14:paraId="57699F35">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3DAF2209">
            <w:pPr>
              <w:jc w:val="center"/>
              <w:rPr>
                <w:rFonts w:ascii="仿宋_GB2312" w:eastAsia="仿宋_GB2312"/>
                <w:sz w:val="22"/>
              </w:rPr>
            </w:pPr>
            <w:r>
              <w:rPr>
                <w:rFonts w:ascii="仿宋_GB2312" w:eastAsia="仿宋_GB2312"/>
                <w:sz w:val="22"/>
              </w:rPr>
              <w:t>13</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3FB3E786">
            <w:pPr>
              <w:jc w:val="center"/>
              <w:rPr>
                <w:rFonts w:hint="eastAsia" w:ascii="仿宋_GB2312" w:eastAsia="仿宋_GB2312"/>
                <w:sz w:val="22"/>
              </w:rPr>
            </w:pPr>
            <w:r>
              <w:rPr>
                <w:rFonts w:hint="eastAsia" w:ascii="仿宋_GB2312" w:eastAsia="仿宋_GB2312"/>
                <w:sz w:val="22"/>
              </w:rPr>
              <w:t>常宁市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56DCA96">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22998BC">
            <w:pPr>
              <w:jc w:val="center"/>
              <w:rPr>
                <w:rFonts w:ascii="Times New Roman" w:hAnsi="Times New Roman"/>
                <w:sz w:val="22"/>
              </w:rPr>
            </w:pPr>
            <w:r>
              <w:rPr>
                <w:rFonts w:hint="eastAsia" w:ascii="Times New Roman" w:hAnsi="Times New Roman"/>
                <w:sz w:val="22"/>
              </w:rPr>
              <w:t>3656</w:t>
            </w:r>
          </w:p>
        </w:tc>
      </w:tr>
      <w:tr w14:paraId="244DCAF0">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25420FF8">
            <w:pPr>
              <w:jc w:val="center"/>
              <w:rPr>
                <w:rFonts w:ascii="仿宋_GB2312" w:eastAsia="仿宋_GB2312"/>
                <w:sz w:val="22"/>
              </w:rPr>
            </w:pPr>
            <w:r>
              <w:rPr>
                <w:rFonts w:ascii="仿宋_GB2312" w:eastAsia="仿宋_GB2312"/>
                <w:sz w:val="22"/>
              </w:rPr>
              <w:t>14</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1AEB6CC4">
            <w:pPr>
              <w:jc w:val="center"/>
              <w:rPr>
                <w:rFonts w:hint="eastAsia" w:ascii="仿宋_GB2312" w:eastAsia="仿宋_GB2312"/>
                <w:sz w:val="22"/>
              </w:rPr>
            </w:pPr>
            <w:r>
              <w:rPr>
                <w:rFonts w:hint="eastAsia" w:ascii="仿宋_GB2312" w:eastAsia="仿宋_GB2312"/>
                <w:sz w:val="22"/>
              </w:rPr>
              <w:t>赫山区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C9E0280">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331A243">
            <w:pPr>
              <w:jc w:val="center"/>
              <w:rPr>
                <w:rFonts w:ascii="Times New Roman" w:hAnsi="Times New Roman"/>
                <w:sz w:val="22"/>
              </w:rPr>
            </w:pPr>
            <w:r>
              <w:rPr>
                <w:rFonts w:hint="eastAsia" w:ascii="Times New Roman" w:hAnsi="Times New Roman"/>
                <w:sz w:val="22"/>
              </w:rPr>
              <w:t>3663</w:t>
            </w:r>
          </w:p>
        </w:tc>
      </w:tr>
      <w:tr w14:paraId="01FDABE4">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2F16DEB5">
            <w:pPr>
              <w:jc w:val="center"/>
              <w:rPr>
                <w:rFonts w:ascii="仿宋_GB2312" w:eastAsia="仿宋_GB2312"/>
                <w:sz w:val="22"/>
              </w:rPr>
            </w:pPr>
            <w:r>
              <w:rPr>
                <w:rFonts w:ascii="仿宋_GB2312" w:eastAsia="仿宋_GB2312"/>
                <w:sz w:val="22"/>
              </w:rPr>
              <w:t>15</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62BDF0B8">
            <w:pPr>
              <w:jc w:val="center"/>
              <w:rPr>
                <w:rFonts w:hint="eastAsia" w:ascii="仿宋_GB2312" w:eastAsia="仿宋_GB2312"/>
                <w:sz w:val="22"/>
              </w:rPr>
            </w:pPr>
            <w:r>
              <w:rPr>
                <w:rFonts w:hint="eastAsia" w:ascii="仿宋_GB2312" w:eastAsia="仿宋_GB2312"/>
                <w:sz w:val="22"/>
              </w:rPr>
              <w:t>祁东县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DCF1C82">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79BCA36">
            <w:pPr>
              <w:jc w:val="center"/>
              <w:rPr>
                <w:rFonts w:ascii="Times New Roman" w:hAnsi="Times New Roman"/>
                <w:sz w:val="22"/>
              </w:rPr>
            </w:pPr>
            <w:r>
              <w:rPr>
                <w:rFonts w:hint="eastAsia" w:ascii="Times New Roman" w:hAnsi="Times New Roman"/>
                <w:sz w:val="22"/>
              </w:rPr>
              <w:t>1941</w:t>
            </w:r>
          </w:p>
        </w:tc>
      </w:tr>
      <w:tr w14:paraId="6A37DD8B">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02CBA08F">
            <w:pPr>
              <w:jc w:val="center"/>
              <w:rPr>
                <w:rFonts w:ascii="仿宋_GB2312" w:eastAsia="仿宋_GB2312"/>
                <w:sz w:val="22"/>
              </w:rPr>
            </w:pPr>
            <w:r>
              <w:rPr>
                <w:rFonts w:ascii="仿宋_GB2312" w:eastAsia="仿宋_GB2312"/>
                <w:sz w:val="22"/>
              </w:rPr>
              <w:t>16</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7CDC60A5">
            <w:pPr>
              <w:jc w:val="center"/>
              <w:rPr>
                <w:rFonts w:hint="eastAsia" w:ascii="仿宋_GB2312" w:eastAsia="仿宋_GB2312"/>
                <w:sz w:val="22"/>
              </w:rPr>
            </w:pPr>
            <w:r>
              <w:rPr>
                <w:rFonts w:hint="eastAsia" w:ascii="仿宋_GB2312" w:eastAsia="仿宋_GB2312"/>
                <w:sz w:val="22"/>
              </w:rPr>
              <w:t>衡阳县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0C66854">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9FA7146">
            <w:pPr>
              <w:jc w:val="center"/>
              <w:rPr>
                <w:rFonts w:ascii="Times New Roman" w:hAnsi="Times New Roman"/>
                <w:sz w:val="22"/>
              </w:rPr>
            </w:pPr>
            <w:r>
              <w:rPr>
                <w:rFonts w:hint="eastAsia" w:ascii="Times New Roman" w:hAnsi="Times New Roman"/>
                <w:sz w:val="22"/>
              </w:rPr>
              <w:t>2248</w:t>
            </w:r>
          </w:p>
        </w:tc>
      </w:tr>
      <w:tr w14:paraId="5CC2F4EE">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2E1FEAFD">
            <w:pPr>
              <w:jc w:val="center"/>
              <w:rPr>
                <w:rFonts w:ascii="仿宋_GB2312" w:eastAsia="仿宋_GB2312"/>
                <w:sz w:val="22"/>
              </w:rPr>
            </w:pPr>
            <w:r>
              <w:rPr>
                <w:rFonts w:ascii="仿宋_GB2312" w:eastAsia="仿宋_GB2312"/>
                <w:sz w:val="22"/>
              </w:rPr>
              <w:t>17</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37C14084">
            <w:pPr>
              <w:jc w:val="center"/>
              <w:rPr>
                <w:rFonts w:hint="eastAsia" w:ascii="仿宋_GB2312" w:eastAsia="仿宋_GB2312"/>
                <w:sz w:val="22"/>
              </w:rPr>
            </w:pPr>
            <w:r>
              <w:rPr>
                <w:rFonts w:hint="eastAsia" w:ascii="仿宋_GB2312" w:eastAsia="仿宋_GB2312"/>
                <w:sz w:val="22"/>
              </w:rPr>
              <w:t>祁阳市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0B797C70">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2EC4B32">
            <w:pPr>
              <w:jc w:val="center"/>
              <w:rPr>
                <w:rFonts w:ascii="Times New Roman" w:hAnsi="Times New Roman"/>
                <w:sz w:val="22"/>
              </w:rPr>
            </w:pPr>
            <w:r>
              <w:rPr>
                <w:rFonts w:hint="eastAsia" w:ascii="Times New Roman" w:hAnsi="Times New Roman"/>
                <w:sz w:val="22"/>
              </w:rPr>
              <w:t>3250</w:t>
            </w:r>
          </w:p>
        </w:tc>
      </w:tr>
      <w:tr w14:paraId="4D37A1AD">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43A62F33">
            <w:pPr>
              <w:jc w:val="center"/>
              <w:rPr>
                <w:rFonts w:ascii="仿宋_GB2312" w:eastAsia="仿宋_GB2312"/>
                <w:sz w:val="22"/>
              </w:rPr>
            </w:pPr>
            <w:r>
              <w:rPr>
                <w:rFonts w:ascii="仿宋_GB2312" w:eastAsia="仿宋_GB2312"/>
                <w:sz w:val="22"/>
              </w:rPr>
              <w:t>18</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29241B83">
            <w:pPr>
              <w:jc w:val="center"/>
              <w:rPr>
                <w:rFonts w:hint="eastAsia" w:ascii="仿宋_GB2312" w:eastAsia="仿宋_GB2312"/>
                <w:sz w:val="22"/>
              </w:rPr>
            </w:pPr>
            <w:r>
              <w:rPr>
                <w:rFonts w:hint="eastAsia" w:ascii="仿宋_GB2312" w:eastAsia="仿宋_GB2312"/>
                <w:sz w:val="22"/>
              </w:rPr>
              <w:t>平江县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28BB8C1">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AD069DD">
            <w:pPr>
              <w:jc w:val="center"/>
              <w:rPr>
                <w:rFonts w:ascii="Times New Roman" w:hAnsi="Times New Roman"/>
                <w:sz w:val="22"/>
              </w:rPr>
            </w:pPr>
            <w:r>
              <w:rPr>
                <w:rFonts w:hint="eastAsia" w:ascii="Times New Roman" w:hAnsi="Times New Roman"/>
                <w:sz w:val="22"/>
              </w:rPr>
              <w:t>931</w:t>
            </w:r>
          </w:p>
        </w:tc>
      </w:tr>
      <w:tr w14:paraId="7DD69664">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228C82A4">
            <w:pPr>
              <w:jc w:val="center"/>
              <w:rPr>
                <w:rFonts w:ascii="仿宋_GB2312" w:eastAsia="仿宋_GB2312"/>
                <w:sz w:val="22"/>
              </w:rPr>
            </w:pPr>
            <w:r>
              <w:rPr>
                <w:rFonts w:ascii="仿宋_GB2312" w:eastAsia="仿宋_GB2312"/>
                <w:sz w:val="22"/>
              </w:rPr>
              <w:t>19</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3908B845">
            <w:pPr>
              <w:jc w:val="center"/>
              <w:rPr>
                <w:rFonts w:hint="eastAsia" w:ascii="仿宋_GB2312" w:eastAsia="仿宋_GB2312"/>
                <w:sz w:val="22"/>
              </w:rPr>
            </w:pPr>
            <w:r>
              <w:rPr>
                <w:rFonts w:hint="eastAsia" w:ascii="仿宋_GB2312" w:eastAsia="仿宋_GB2312"/>
                <w:sz w:val="22"/>
              </w:rPr>
              <w:t>浏阳市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12ABA0C">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7238D9D">
            <w:pPr>
              <w:jc w:val="center"/>
              <w:rPr>
                <w:rFonts w:ascii="Times New Roman" w:hAnsi="Times New Roman"/>
                <w:sz w:val="22"/>
              </w:rPr>
            </w:pPr>
            <w:r>
              <w:rPr>
                <w:rFonts w:hint="eastAsia" w:ascii="Times New Roman" w:hAnsi="Times New Roman"/>
                <w:sz w:val="22"/>
              </w:rPr>
              <w:t>1756</w:t>
            </w:r>
          </w:p>
        </w:tc>
      </w:tr>
      <w:tr w14:paraId="0E449135">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30DF7C4B">
            <w:pPr>
              <w:jc w:val="center"/>
              <w:rPr>
                <w:rFonts w:ascii="仿宋_GB2312" w:eastAsia="仿宋_GB2312"/>
                <w:sz w:val="22"/>
              </w:rPr>
            </w:pPr>
            <w:r>
              <w:rPr>
                <w:rFonts w:ascii="仿宋_GB2312" w:eastAsia="仿宋_GB2312"/>
                <w:sz w:val="22"/>
              </w:rPr>
              <w:t>20</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57BDEE8D">
            <w:pPr>
              <w:jc w:val="center"/>
              <w:rPr>
                <w:rFonts w:hint="eastAsia" w:ascii="仿宋_GB2312" w:eastAsia="仿宋_GB2312"/>
                <w:sz w:val="22"/>
              </w:rPr>
            </w:pPr>
            <w:r>
              <w:rPr>
                <w:rFonts w:hint="eastAsia" w:ascii="仿宋_GB2312" w:eastAsia="仿宋_GB2312"/>
                <w:sz w:val="22"/>
              </w:rPr>
              <w:t>安仁县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71C5D00">
            <w:pPr>
              <w:jc w:val="center"/>
              <w:rPr>
                <w:rFonts w:ascii="Times New Roman" w:hAnsi="Times New Roman"/>
                <w:sz w:val="22"/>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63F1821">
            <w:pPr>
              <w:jc w:val="center"/>
              <w:rPr>
                <w:rFonts w:ascii="Times New Roman" w:hAnsi="Times New Roman"/>
                <w:sz w:val="22"/>
              </w:rPr>
            </w:pPr>
            <w:r>
              <w:rPr>
                <w:rFonts w:hint="eastAsia" w:ascii="Times New Roman" w:hAnsi="Times New Roman"/>
                <w:sz w:val="22"/>
              </w:rPr>
              <w:t>2184</w:t>
            </w:r>
          </w:p>
        </w:tc>
      </w:tr>
      <w:tr w14:paraId="403F825B">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727B4B79">
            <w:pPr>
              <w:jc w:val="center"/>
              <w:rPr>
                <w:rFonts w:ascii="仿宋_GB2312" w:eastAsia="仿宋_GB2312"/>
                <w:sz w:val="22"/>
              </w:rPr>
            </w:pPr>
            <w:r>
              <w:rPr>
                <w:rFonts w:hint="eastAsia" w:ascii="仿宋_GB2312" w:eastAsia="仿宋_GB2312"/>
                <w:sz w:val="22"/>
              </w:rPr>
              <w:t>21</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5B87402C">
            <w:pPr>
              <w:jc w:val="center"/>
              <w:rPr>
                <w:rFonts w:hint="eastAsia" w:ascii="仿宋_GB2312" w:eastAsia="仿宋_GB2312"/>
                <w:sz w:val="22"/>
              </w:rPr>
            </w:pPr>
            <w:r>
              <w:rPr>
                <w:rFonts w:hint="eastAsia" w:ascii="仿宋_GB2312" w:eastAsia="仿宋_GB2312"/>
                <w:sz w:val="22"/>
              </w:rPr>
              <w:t>桂阳县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2C4BBC9B">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DA00CD2">
            <w:pPr>
              <w:jc w:val="center"/>
              <w:rPr>
                <w:rFonts w:hint="eastAsia" w:ascii="Times New Roman" w:hAnsi="Times New Roman"/>
                <w:sz w:val="22"/>
              </w:rPr>
            </w:pPr>
            <w:r>
              <w:rPr>
                <w:rFonts w:hint="eastAsia" w:ascii="Times New Roman" w:hAnsi="Times New Roman"/>
                <w:sz w:val="22"/>
              </w:rPr>
              <w:t>2215</w:t>
            </w:r>
          </w:p>
        </w:tc>
      </w:tr>
      <w:tr w14:paraId="3DF7377D">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39325722">
            <w:pPr>
              <w:jc w:val="center"/>
              <w:rPr>
                <w:rFonts w:ascii="仿宋_GB2312" w:eastAsia="仿宋_GB2312"/>
                <w:sz w:val="22"/>
              </w:rPr>
            </w:pPr>
            <w:r>
              <w:rPr>
                <w:rFonts w:hint="eastAsia" w:ascii="仿宋_GB2312" w:eastAsia="仿宋_GB2312"/>
                <w:sz w:val="22"/>
              </w:rPr>
              <w:t>22</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6ADA0C36">
            <w:pPr>
              <w:jc w:val="center"/>
              <w:rPr>
                <w:rFonts w:hint="eastAsia" w:ascii="仿宋_GB2312" w:eastAsia="仿宋_GB2312"/>
                <w:sz w:val="22"/>
              </w:rPr>
            </w:pPr>
            <w:r>
              <w:rPr>
                <w:rFonts w:hint="eastAsia" w:ascii="仿宋_GB2312" w:eastAsia="仿宋_GB2312"/>
                <w:sz w:val="22"/>
              </w:rPr>
              <w:t>凤凰县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AE25403">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EF83E7A">
            <w:pPr>
              <w:jc w:val="center"/>
              <w:rPr>
                <w:rFonts w:hint="eastAsia" w:ascii="Times New Roman" w:hAnsi="Times New Roman"/>
                <w:sz w:val="22"/>
              </w:rPr>
            </w:pPr>
            <w:r>
              <w:rPr>
                <w:rFonts w:hint="eastAsia" w:ascii="Times New Roman" w:hAnsi="Times New Roman"/>
                <w:sz w:val="22"/>
              </w:rPr>
              <w:t>392</w:t>
            </w:r>
          </w:p>
        </w:tc>
      </w:tr>
      <w:tr w14:paraId="25B8FAD6">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410DEA1F">
            <w:pPr>
              <w:jc w:val="center"/>
              <w:rPr>
                <w:rFonts w:ascii="仿宋_GB2312" w:eastAsia="仿宋_GB2312"/>
                <w:sz w:val="22"/>
              </w:rPr>
            </w:pPr>
            <w:r>
              <w:rPr>
                <w:rFonts w:hint="eastAsia" w:ascii="仿宋_GB2312" w:eastAsia="仿宋_GB2312"/>
                <w:sz w:val="22"/>
              </w:rPr>
              <w:t>23</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13B480D2">
            <w:pPr>
              <w:jc w:val="center"/>
              <w:rPr>
                <w:rFonts w:hint="eastAsia" w:ascii="仿宋_GB2312" w:eastAsia="仿宋_GB2312"/>
                <w:sz w:val="22"/>
              </w:rPr>
            </w:pPr>
            <w:r>
              <w:rPr>
                <w:rFonts w:hint="eastAsia" w:ascii="仿宋_GB2312" w:eastAsia="仿宋_GB2312"/>
                <w:sz w:val="22"/>
              </w:rPr>
              <w:t>澧县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4C6D2B8">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22E52DBA">
            <w:pPr>
              <w:jc w:val="center"/>
              <w:rPr>
                <w:rFonts w:hint="eastAsia" w:ascii="Times New Roman" w:hAnsi="Times New Roman"/>
                <w:sz w:val="22"/>
              </w:rPr>
            </w:pPr>
            <w:r>
              <w:rPr>
                <w:rFonts w:hint="eastAsia" w:ascii="Times New Roman" w:hAnsi="Times New Roman"/>
                <w:sz w:val="22"/>
              </w:rPr>
              <w:t>2007</w:t>
            </w:r>
          </w:p>
        </w:tc>
      </w:tr>
      <w:tr w14:paraId="5A9C9FB2">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0440F968">
            <w:pPr>
              <w:jc w:val="center"/>
              <w:rPr>
                <w:rFonts w:ascii="仿宋_GB2312" w:eastAsia="仿宋_GB2312"/>
                <w:sz w:val="22"/>
              </w:rPr>
            </w:pPr>
            <w:r>
              <w:rPr>
                <w:rFonts w:hint="eastAsia" w:ascii="仿宋_GB2312" w:eastAsia="仿宋_GB2312"/>
                <w:sz w:val="22"/>
              </w:rPr>
              <w:t>24</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236EA0DC">
            <w:pPr>
              <w:jc w:val="center"/>
              <w:rPr>
                <w:rFonts w:hint="eastAsia" w:ascii="仿宋_GB2312" w:eastAsia="仿宋_GB2312"/>
                <w:sz w:val="22"/>
              </w:rPr>
            </w:pPr>
            <w:r>
              <w:rPr>
                <w:rFonts w:hint="eastAsia" w:ascii="仿宋_GB2312" w:eastAsia="仿宋_GB2312"/>
                <w:sz w:val="22"/>
              </w:rPr>
              <w:t>新宁县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0E37E51D">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D31FDC1">
            <w:pPr>
              <w:jc w:val="center"/>
              <w:rPr>
                <w:rFonts w:hint="eastAsia" w:ascii="Times New Roman" w:hAnsi="Times New Roman"/>
                <w:sz w:val="22"/>
              </w:rPr>
            </w:pPr>
            <w:r>
              <w:rPr>
                <w:rFonts w:hint="eastAsia" w:ascii="Times New Roman" w:hAnsi="Times New Roman"/>
                <w:sz w:val="22"/>
              </w:rPr>
              <w:t>769</w:t>
            </w:r>
          </w:p>
        </w:tc>
      </w:tr>
      <w:tr w14:paraId="2ADF054F">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7C720946">
            <w:pPr>
              <w:jc w:val="center"/>
              <w:rPr>
                <w:rFonts w:ascii="仿宋_GB2312" w:eastAsia="仿宋_GB2312"/>
                <w:sz w:val="22"/>
              </w:rPr>
            </w:pPr>
            <w:r>
              <w:rPr>
                <w:rFonts w:hint="eastAsia" w:ascii="仿宋_GB2312" w:eastAsia="仿宋_GB2312"/>
                <w:sz w:val="22"/>
              </w:rPr>
              <w:t>25</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4C90C072">
            <w:pPr>
              <w:jc w:val="center"/>
              <w:rPr>
                <w:rFonts w:hint="eastAsia" w:ascii="仿宋_GB2312" w:eastAsia="仿宋_GB2312"/>
                <w:sz w:val="22"/>
              </w:rPr>
            </w:pPr>
            <w:r>
              <w:rPr>
                <w:rFonts w:hint="eastAsia" w:ascii="仿宋_GB2312" w:eastAsia="仿宋_GB2312"/>
                <w:sz w:val="22"/>
              </w:rPr>
              <w:t>衡东县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E3CB243">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E895AB3">
            <w:pPr>
              <w:jc w:val="center"/>
              <w:rPr>
                <w:rFonts w:hint="eastAsia" w:ascii="Times New Roman" w:hAnsi="Times New Roman"/>
                <w:sz w:val="22"/>
              </w:rPr>
            </w:pPr>
            <w:r>
              <w:rPr>
                <w:rFonts w:hint="eastAsia" w:ascii="Times New Roman" w:hAnsi="Times New Roman"/>
                <w:sz w:val="22"/>
              </w:rPr>
              <w:t>1606</w:t>
            </w:r>
          </w:p>
        </w:tc>
      </w:tr>
      <w:tr w14:paraId="58D938EF">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52CFFE3A">
            <w:pPr>
              <w:jc w:val="center"/>
              <w:rPr>
                <w:rFonts w:ascii="仿宋_GB2312" w:eastAsia="仿宋_GB2312"/>
                <w:sz w:val="22"/>
              </w:rPr>
            </w:pPr>
            <w:r>
              <w:rPr>
                <w:rFonts w:hint="eastAsia" w:ascii="仿宋_GB2312" w:eastAsia="仿宋_GB2312"/>
                <w:sz w:val="22"/>
              </w:rPr>
              <w:t>26</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3E794638">
            <w:pPr>
              <w:jc w:val="center"/>
              <w:rPr>
                <w:rFonts w:hint="eastAsia" w:ascii="仿宋_GB2312" w:eastAsia="仿宋_GB2312"/>
                <w:sz w:val="22"/>
              </w:rPr>
            </w:pPr>
            <w:r>
              <w:rPr>
                <w:rFonts w:hint="eastAsia" w:ascii="仿宋_GB2312" w:eastAsia="仿宋_GB2312"/>
                <w:sz w:val="22"/>
              </w:rPr>
              <w:t>新田县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6D553B4">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29472918">
            <w:pPr>
              <w:jc w:val="center"/>
              <w:rPr>
                <w:rFonts w:hint="eastAsia" w:ascii="Times New Roman" w:hAnsi="Times New Roman"/>
                <w:sz w:val="22"/>
              </w:rPr>
            </w:pPr>
            <w:r>
              <w:rPr>
                <w:rFonts w:hint="eastAsia" w:ascii="Times New Roman" w:hAnsi="Times New Roman"/>
                <w:sz w:val="22"/>
              </w:rPr>
              <w:t>267</w:t>
            </w:r>
          </w:p>
        </w:tc>
      </w:tr>
      <w:tr w14:paraId="31800C15">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58F4DA79">
            <w:pPr>
              <w:jc w:val="center"/>
              <w:rPr>
                <w:rFonts w:ascii="仿宋_GB2312" w:eastAsia="仿宋_GB2312"/>
                <w:sz w:val="22"/>
              </w:rPr>
            </w:pPr>
            <w:r>
              <w:rPr>
                <w:rFonts w:hint="eastAsia" w:ascii="仿宋_GB2312" w:eastAsia="仿宋_GB2312"/>
                <w:sz w:val="22"/>
              </w:rPr>
              <w:t>27</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50A442B3">
            <w:pPr>
              <w:jc w:val="center"/>
              <w:rPr>
                <w:rFonts w:hint="eastAsia" w:ascii="仿宋_GB2312" w:eastAsia="仿宋_GB2312"/>
                <w:sz w:val="22"/>
              </w:rPr>
            </w:pPr>
            <w:r>
              <w:rPr>
                <w:rFonts w:hint="eastAsia" w:ascii="仿宋_GB2312" w:eastAsia="仿宋_GB2312"/>
                <w:sz w:val="22"/>
              </w:rPr>
              <w:t>资阳区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36058D5">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271ACD55">
            <w:pPr>
              <w:jc w:val="center"/>
              <w:rPr>
                <w:rFonts w:hint="eastAsia" w:ascii="Times New Roman" w:hAnsi="Times New Roman"/>
                <w:sz w:val="22"/>
              </w:rPr>
            </w:pPr>
            <w:r>
              <w:rPr>
                <w:rFonts w:hint="eastAsia" w:ascii="Times New Roman" w:hAnsi="Times New Roman"/>
                <w:sz w:val="22"/>
              </w:rPr>
              <w:t>1749</w:t>
            </w:r>
          </w:p>
        </w:tc>
      </w:tr>
      <w:tr w14:paraId="1EA5E0DF">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781B158A">
            <w:pPr>
              <w:jc w:val="center"/>
              <w:rPr>
                <w:rFonts w:ascii="仿宋_GB2312" w:eastAsia="仿宋_GB2312"/>
                <w:sz w:val="22"/>
              </w:rPr>
            </w:pPr>
            <w:r>
              <w:rPr>
                <w:rFonts w:hint="eastAsia" w:ascii="仿宋_GB2312" w:eastAsia="仿宋_GB2312"/>
                <w:sz w:val="22"/>
              </w:rPr>
              <w:t>28</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0ADB8397">
            <w:pPr>
              <w:jc w:val="center"/>
              <w:rPr>
                <w:rFonts w:hint="eastAsia" w:ascii="仿宋_GB2312" w:eastAsia="仿宋_GB2312"/>
                <w:sz w:val="22"/>
              </w:rPr>
            </w:pPr>
            <w:r>
              <w:rPr>
                <w:rFonts w:hint="eastAsia" w:ascii="仿宋_GB2312" w:eastAsia="仿宋_GB2312"/>
                <w:sz w:val="22"/>
              </w:rPr>
              <w:t>江永县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1D0A27F">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9D0FC9F">
            <w:pPr>
              <w:jc w:val="center"/>
              <w:rPr>
                <w:rFonts w:hint="eastAsia" w:ascii="Times New Roman" w:hAnsi="Times New Roman"/>
                <w:sz w:val="22"/>
              </w:rPr>
            </w:pPr>
            <w:r>
              <w:rPr>
                <w:rFonts w:hint="eastAsia" w:ascii="Times New Roman" w:hAnsi="Times New Roman"/>
                <w:sz w:val="22"/>
              </w:rPr>
              <w:t>364</w:t>
            </w:r>
          </w:p>
        </w:tc>
      </w:tr>
      <w:tr w14:paraId="3CCFACF8">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3091E24B">
            <w:pPr>
              <w:jc w:val="center"/>
              <w:rPr>
                <w:rFonts w:ascii="仿宋_GB2312" w:eastAsia="仿宋_GB2312"/>
                <w:sz w:val="22"/>
              </w:rPr>
            </w:pPr>
            <w:r>
              <w:rPr>
                <w:rFonts w:hint="eastAsia" w:ascii="仿宋_GB2312" w:eastAsia="仿宋_GB2312"/>
                <w:sz w:val="22"/>
              </w:rPr>
              <w:t>29</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573983B8">
            <w:pPr>
              <w:jc w:val="center"/>
              <w:rPr>
                <w:rFonts w:hint="eastAsia" w:ascii="仿宋_GB2312" w:eastAsia="仿宋_GB2312"/>
                <w:sz w:val="22"/>
              </w:rPr>
            </w:pPr>
            <w:r>
              <w:rPr>
                <w:rFonts w:hint="eastAsia" w:ascii="仿宋_GB2312" w:eastAsia="仿宋_GB2312"/>
                <w:sz w:val="22"/>
              </w:rPr>
              <w:t>洪江市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5779F53">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6CD9020">
            <w:pPr>
              <w:jc w:val="center"/>
              <w:rPr>
                <w:rFonts w:hint="eastAsia" w:ascii="Times New Roman" w:hAnsi="Times New Roman"/>
                <w:sz w:val="22"/>
              </w:rPr>
            </w:pPr>
            <w:r>
              <w:rPr>
                <w:rFonts w:hint="eastAsia" w:ascii="Times New Roman" w:hAnsi="Times New Roman"/>
                <w:sz w:val="22"/>
              </w:rPr>
              <w:t>340</w:t>
            </w:r>
          </w:p>
        </w:tc>
      </w:tr>
      <w:tr w14:paraId="3DC3BAC5">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261CA54B">
            <w:pPr>
              <w:jc w:val="center"/>
              <w:rPr>
                <w:rFonts w:ascii="仿宋_GB2312" w:eastAsia="仿宋_GB2312"/>
                <w:sz w:val="22"/>
              </w:rPr>
            </w:pPr>
            <w:r>
              <w:rPr>
                <w:rFonts w:hint="eastAsia" w:ascii="仿宋_GB2312" w:eastAsia="仿宋_GB2312"/>
                <w:sz w:val="22"/>
              </w:rPr>
              <w:t>30</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5D481F81">
            <w:pPr>
              <w:jc w:val="center"/>
              <w:rPr>
                <w:rFonts w:hint="eastAsia" w:ascii="仿宋_GB2312" w:eastAsia="仿宋_GB2312"/>
                <w:sz w:val="22"/>
              </w:rPr>
            </w:pPr>
            <w:r>
              <w:rPr>
                <w:rFonts w:hint="eastAsia" w:ascii="仿宋_GB2312" w:eastAsia="仿宋_GB2312"/>
                <w:sz w:val="22"/>
              </w:rPr>
              <w:t>渌口区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5278AB3">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05BC46A">
            <w:pPr>
              <w:jc w:val="center"/>
              <w:rPr>
                <w:rFonts w:hint="eastAsia" w:ascii="Times New Roman" w:hAnsi="Times New Roman"/>
                <w:sz w:val="22"/>
              </w:rPr>
            </w:pPr>
            <w:r>
              <w:rPr>
                <w:rFonts w:hint="eastAsia" w:ascii="Times New Roman" w:hAnsi="Times New Roman"/>
                <w:sz w:val="22"/>
              </w:rPr>
              <w:t>738</w:t>
            </w:r>
          </w:p>
        </w:tc>
      </w:tr>
      <w:tr w14:paraId="31CA0C64">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3B4DC048">
            <w:pPr>
              <w:jc w:val="center"/>
              <w:rPr>
                <w:rFonts w:ascii="仿宋_GB2312" w:eastAsia="仿宋_GB2312"/>
                <w:sz w:val="22"/>
              </w:rPr>
            </w:pPr>
            <w:r>
              <w:rPr>
                <w:rFonts w:hint="eastAsia" w:ascii="仿宋_GB2312" w:eastAsia="仿宋_GB2312"/>
                <w:sz w:val="22"/>
              </w:rPr>
              <w:t>31</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28C21718">
            <w:pPr>
              <w:jc w:val="center"/>
              <w:rPr>
                <w:rFonts w:hint="eastAsia" w:ascii="仿宋_GB2312" w:eastAsia="仿宋_GB2312"/>
                <w:sz w:val="22"/>
              </w:rPr>
            </w:pPr>
            <w:r>
              <w:rPr>
                <w:rFonts w:hint="eastAsia" w:ascii="仿宋_GB2312" w:eastAsia="仿宋_GB2312"/>
                <w:sz w:val="22"/>
              </w:rPr>
              <w:t>屈原管理区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E03DAAA">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4F0DA88">
            <w:pPr>
              <w:jc w:val="center"/>
              <w:rPr>
                <w:rFonts w:hint="eastAsia" w:ascii="Times New Roman" w:hAnsi="Times New Roman"/>
                <w:sz w:val="22"/>
              </w:rPr>
            </w:pPr>
            <w:r>
              <w:rPr>
                <w:rFonts w:hint="eastAsia" w:ascii="Times New Roman" w:hAnsi="Times New Roman"/>
                <w:sz w:val="22"/>
              </w:rPr>
              <w:t>582</w:t>
            </w:r>
          </w:p>
        </w:tc>
      </w:tr>
      <w:tr w14:paraId="6C63EDFE">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1D0FC175">
            <w:pPr>
              <w:jc w:val="center"/>
              <w:rPr>
                <w:rFonts w:ascii="仿宋_GB2312" w:eastAsia="仿宋_GB2312"/>
                <w:sz w:val="22"/>
              </w:rPr>
            </w:pPr>
            <w:r>
              <w:rPr>
                <w:rFonts w:hint="eastAsia" w:ascii="仿宋_GB2312" w:eastAsia="仿宋_GB2312"/>
                <w:sz w:val="22"/>
              </w:rPr>
              <w:t>32</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269F22C1">
            <w:pPr>
              <w:jc w:val="center"/>
              <w:rPr>
                <w:rFonts w:hint="eastAsia" w:ascii="仿宋_GB2312" w:eastAsia="仿宋_GB2312"/>
                <w:sz w:val="22"/>
              </w:rPr>
            </w:pPr>
            <w:r>
              <w:rPr>
                <w:rFonts w:hint="eastAsia" w:ascii="仿宋_GB2312" w:eastAsia="仿宋_GB2312"/>
                <w:sz w:val="22"/>
              </w:rPr>
              <w:t>冷水江市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0E7DBDB">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E99D36A">
            <w:pPr>
              <w:jc w:val="center"/>
              <w:rPr>
                <w:rFonts w:hint="eastAsia" w:ascii="Times New Roman" w:hAnsi="Times New Roman"/>
                <w:sz w:val="22"/>
              </w:rPr>
            </w:pPr>
            <w:r>
              <w:rPr>
                <w:rFonts w:hint="eastAsia" w:ascii="Times New Roman" w:hAnsi="Times New Roman"/>
                <w:sz w:val="22"/>
              </w:rPr>
              <w:t>275</w:t>
            </w:r>
          </w:p>
        </w:tc>
      </w:tr>
      <w:tr w14:paraId="37CCD098">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71CEE3EE">
            <w:pPr>
              <w:jc w:val="center"/>
              <w:rPr>
                <w:rFonts w:ascii="仿宋_GB2312" w:eastAsia="仿宋_GB2312"/>
                <w:sz w:val="22"/>
              </w:rPr>
            </w:pPr>
            <w:r>
              <w:rPr>
                <w:rFonts w:hint="eastAsia" w:ascii="仿宋_GB2312" w:eastAsia="仿宋_GB2312"/>
                <w:sz w:val="22"/>
              </w:rPr>
              <w:t>33</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2436B1BD">
            <w:pPr>
              <w:jc w:val="center"/>
              <w:rPr>
                <w:rFonts w:hint="eastAsia" w:ascii="仿宋_GB2312" w:eastAsia="仿宋_GB2312"/>
                <w:sz w:val="22"/>
              </w:rPr>
            </w:pPr>
            <w:r>
              <w:rPr>
                <w:rFonts w:hint="eastAsia" w:ascii="仿宋_GB2312" w:eastAsia="仿宋_GB2312"/>
                <w:sz w:val="22"/>
              </w:rPr>
              <w:t>武陵源区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C2914CF">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CF668C5">
            <w:pPr>
              <w:jc w:val="center"/>
              <w:rPr>
                <w:rFonts w:hint="eastAsia" w:ascii="Times New Roman" w:hAnsi="Times New Roman"/>
                <w:sz w:val="22"/>
              </w:rPr>
            </w:pPr>
            <w:r>
              <w:rPr>
                <w:rFonts w:hint="eastAsia" w:ascii="Times New Roman" w:hAnsi="Times New Roman"/>
                <w:sz w:val="22"/>
              </w:rPr>
              <w:t>217</w:t>
            </w:r>
          </w:p>
        </w:tc>
      </w:tr>
      <w:tr w14:paraId="00B6EA98">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6F00CBB2">
            <w:pPr>
              <w:jc w:val="center"/>
              <w:rPr>
                <w:rFonts w:hint="eastAsia" w:ascii="仿宋_GB2312" w:eastAsia="仿宋_GB2312"/>
                <w:sz w:val="22"/>
              </w:rPr>
            </w:pPr>
            <w:r>
              <w:rPr>
                <w:rFonts w:hint="eastAsia" w:ascii="仿宋_GB2312" w:eastAsia="仿宋_GB2312"/>
                <w:sz w:val="22"/>
              </w:rPr>
              <w:t>34</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7DF58AE5">
            <w:pPr>
              <w:jc w:val="center"/>
              <w:rPr>
                <w:rFonts w:hint="eastAsia" w:ascii="仿宋_GB2312" w:eastAsia="仿宋_GB2312"/>
                <w:sz w:val="22"/>
              </w:rPr>
            </w:pPr>
            <w:r>
              <w:rPr>
                <w:rFonts w:hint="eastAsia" w:ascii="仿宋_GB2312" w:eastAsia="仿宋_GB2312"/>
                <w:sz w:val="22"/>
              </w:rPr>
              <w:t>北塔区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8A1E5E7">
            <w:pPr>
              <w:jc w:val="center"/>
              <w:rPr>
                <w:rFonts w:hint="eastAsia" w:ascii="Times New Roman" w:hAnsi="Times New Roman"/>
                <w:sz w:val="22"/>
                <w:lang w:val="en-US" w:eastAsia="zh-CN"/>
              </w:rPr>
            </w:pPr>
            <w:r>
              <w:rPr>
                <w:rFonts w:hint="eastAsia" w:ascii="Times New Roman" w:hAnsi="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6AF903B">
            <w:pPr>
              <w:jc w:val="center"/>
              <w:rPr>
                <w:rFonts w:hint="eastAsia" w:ascii="Times New Roman" w:hAnsi="Times New Roman"/>
                <w:sz w:val="22"/>
              </w:rPr>
            </w:pPr>
            <w:r>
              <w:rPr>
                <w:rFonts w:hint="eastAsia" w:ascii="Times New Roman" w:hAnsi="Times New Roman"/>
                <w:sz w:val="22"/>
              </w:rPr>
              <w:t>625</w:t>
            </w:r>
          </w:p>
        </w:tc>
      </w:tr>
    </w:tbl>
    <w:p w14:paraId="67A0DCA8">
      <w:pPr>
        <w:pStyle w:val="5"/>
        <w:rPr>
          <w:rFonts w:hint="default"/>
          <w:lang w:val="en-US" w:eastAsia="zh-CN"/>
        </w:rPr>
      </w:pPr>
    </w:p>
    <w:p w14:paraId="7EDB7989">
      <w:pPr>
        <w:rPr>
          <w:rFonts w:hint="default"/>
        </w:rPr>
      </w:pP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2B147B-171E-4DCF-A344-B3D6975397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2" w:fontKey="{EE893F0E-712C-4F0A-807F-A0480245FDDA}"/>
  </w:font>
  <w:font w:name="楷体_GB2312">
    <w:panose1 w:val="02010609030101010101"/>
    <w:charset w:val="86"/>
    <w:family w:val="modern"/>
    <w:pitch w:val="default"/>
    <w:sig w:usb0="00000001" w:usb1="080E0000" w:usb2="00000000" w:usb3="00000000" w:csb0="00040000" w:csb1="00000000"/>
    <w:embedRegular r:id="rId3" w:fontKey="{68172157-A2A6-4BFD-9669-D3DED5333AF0}"/>
  </w:font>
  <w:font w:name="等线 Light">
    <w:altName w:val="华文仿宋"/>
    <w:panose1 w:val="02010600030101010101"/>
    <w:charset w:val="86"/>
    <w:family w:val="roman"/>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942A6E8C-BB7B-4CCF-9AC2-FF382A693F98}"/>
  </w:font>
  <w:font w:name="方正小标宋简体">
    <w:panose1 w:val="02000000000000000000"/>
    <w:charset w:val="86"/>
    <w:family w:val="script"/>
    <w:pitch w:val="default"/>
    <w:sig w:usb0="00000001" w:usb1="08000000" w:usb2="00000000" w:usb3="00000000" w:csb0="00040000" w:csb1="00000000"/>
    <w:embedRegular r:id="rId5" w:fontKey="{B617E813-6EDA-4868-9093-DBBE2F21924B}"/>
  </w:font>
  <w:font w:name="华文细黑">
    <w:panose1 w:val="02010600040101010101"/>
    <w:charset w:val="86"/>
    <w:family w:val="auto"/>
    <w:pitch w:val="default"/>
    <w:sig w:usb0="00000287" w:usb1="080F0000" w:usb2="00000000" w:usb3="00000000" w:csb0="0004009F" w:csb1="DFD70000"/>
    <w:embedRegular r:id="rId6" w:fontKey="{21B7D161-45F5-4C15-BDF2-1394AF9285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5049">
    <w:pPr>
      <w:pStyle w:val="12"/>
      <w:jc w:val="center"/>
    </w:pPr>
    <w:r>
      <w:fldChar w:fldCharType="begin"/>
    </w:r>
    <w:r>
      <w:instrText xml:space="preserve"> PAGE   \* MERGEFORMAT </w:instrText>
    </w:r>
    <w:r>
      <w:fldChar w:fldCharType="separate"/>
    </w:r>
    <w:r>
      <w:rPr>
        <w:lang w:val="zh-CN"/>
      </w:rPr>
      <w:t>14</w:t>
    </w:r>
    <w:r>
      <w:rPr>
        <w:lang w:val="zh-CN"/>
      </w:rPr>
      <w:fldChar w:fldCharType="end"/>
    </w:r>
  </w:p>
  <w:p w14:paraId="2E731985">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32469">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mRjOGM0MGE5MDIyYzE2OTA3YmU0MjIwZjhkNGYifQ=="/>
  </w:docVars>
  <w:rsids>
    <w:rsidRoot w:val="00EC144E"/>
    <w:rsid w:val="00001EA4"/>
    <w:rsid w:val="00002D23"/>
    <w:rsid w:val="00002D32"/>
    <w:rsid w:val="0000364A"/>
    <w:rsid w:val="0000577F"/>
    <w:rsid w:val="000067FA"/>
    <w:rsid w:val="00007B68"/>
    <w:rsid w:val="00010687"/>
    <w:rsid w:val="00012318"/>
    <w:rsid w:val="000127AB"/>
    <w:rsid w:val="00013789"/>
    <w:rsid w:val="00015E39"/>
    <w:rsid w:val="00020363"/>
    <w:rsid w:val="000250A0"/>
    <w:rsid w:val="00031CC8"/>
    <w:rsid w:val="0003452D"/>
    <w:rsid w:val="0003461B"/>
    <w:rsid w:val="000350D2"/>
    <w:rsid w:val="00035358"/>
    <w:rsid w:val="000363BF"/>
    <w:rsid w:val="00037FAD"/>
    <w:rsid w:val="000430DD"/>
    <w:rsid w:val="000444A5"/>
    <w:rsid w:val="00050C57"/>
    <w:rsid w:val="000513F2"/>
    <w:rsid w:val="00055DB4"/>
    <w:rsid w:val="00057EDE"/>
    <w:rsid w:val="000623E2"/>
    <w:rsid w:val="00071876"/>
    <w:rsid w:val="00075F76"/>
    <w:rsid w:val="000821B7"/>
    <w:rsid w:val="00083D32"/>
    <w:rsid w:val="00085B16"/>
    <w:rsid w:val="00091D12"/>
    <w:rsid w:val="000933A9"/>
    <w:rsid w:val="0009425D"/>
    <w:rsid w:val="000951BC"/>
    <w:rsid w:val="00096D2A"/>
    <w:rsid w:val="000A2B64"/>
    <w:rsid w:val="000A490A"/>
    <w:rsid w:val="000A53B2"/>
    <w:rsid w:val="000A6068"/>
    <w:rsid w:val="000A7F91"/>
    <w:rsid w:val="000B2EDB"/>
    <w:rsid w:val="000B36F6"/>
    <w:rsid w:val="000B5CB0"/>
    <w:rsid w:val="000B6B35"/>
    <w:rsid w:val="000B6CC5"/>
    <w:rsid w:val="000B70BC"/>
    <w:rsid w:val="000C5558"/>
    <w:rsid w:val="000C7A35"/>
    <w:rsid w:val="000C7D99"/>
    <w:rsid w:val="000D079E"/>
    <w:rsid w:val="000D1843"/>
    <w:rsid w:val="000D4059"/>
    <w:rsid w:val="000D45D4"/>
    <w:rsid w:val="000D4D00"/>
    <w:rsid w:val="000D7A24"/>
    <w:rsid w:val="000E018E"/>
    <w:rsid w:val="000E1514"/>
    <w:rsid w:val="000E232B"/>
    <w:rsid w:val="000E3D8B"/>
    <w:rsid w:val="000E789C"/>
    <w:rsid w:val="000F0FB2"/>
    <w:rsid w:val="000F6094"/>
    <w:rsid w:val="000F6707"/>
    <w:rsid w:val="000F7A44"/>
    <w:rsid w:val="001030D0"/>
    <w:rsid w:val="001030EC"/>
    <w:rsid w:val="00104779"/>
    <w:rsid w:val="00104BA6"/>
    <w:rsid w:val="001056A5"/>
    <w:rsid w:val="00106519"/>
    <w:rsid w:val="0011114B"/>
    <w:rsid w:val="001143D9"/>
    <w:rsid w:val="00115421"/>
    <w:rsid w:val="0011761E"/>
    <w:rsid w:val="001225BD"/>
    <w:rsid w:val="00126210"/>
    <w:rsid w:val="00126F82"/>
    <w:rsid w:val="00131EB2"/>
    <w:rsid w:val="001324DA"/>
    <w:rsid w:val="00132768"/>
    <w:rsid w:val="00133258"/>
    <w:rsid w:val="00133622"/>
    <w:rsid w:val="00137A81"/>
    <w:rsid w:val="00137E3F"/>
    <w:rsid w:val="00140463"/>
    <w:rsid w:val="0014171C"/>
    <w:rsid w:val="00142E94"/>
    <w:rsid w:val="00143FFF"/>
    <w:rsid w:val="001443B9"/>
    <w:rsid w:val="00147579"/>
    <w:rsid w:val="00147B8D"/>
    <w:rsid w:val="0015324D"/>
    <w:rsid w:val="00153B36"/>
    <w:rsid w:val="001604FF"/>
    <w:rsid w:val="00161510"/>
    <w:rsid w:val="001655A3"/>
    <w:rsid w:val="00165CA3"/>
    <w:rsid w:val="00166B27"/>
    <w:rsid w:val="00172933"/>
    <w:rsid w:val="00172DEE"/>
    <w:rsid w:val="00172F03"/>
    <w:rsid w:val="0017381B"/>
    <w:rsid w:val="00173F84"/>
    <w:rsid w:val="001744C1"/>
    <w:rsid w:val="0017719D"/>
    <w:rsid w:val="0018141A"/>
    <w:rsid w:val="0018164F"/>
    <w:rsid w:val="0018457E"/>
    <w:rsid w:val="00184D66"/>
    <w:rsid w:val="001871C8"/>
    <w:rsid w:val="001876C1"/>
    <w:rsid w:val="00190458"/>
    <w:rsid w:val="00194B55"/>
    <w:rsid w:val="00197019"/>
    <w:rsid w:val="001A2F18"/>
    <w:rsid w:val="001A718C"/>
    <w:rsid w:val="001B3644"/>
    <w:rsid w:val="001B406D"/>
    <w:rsid w:val="001B5534"/>
    <w:rsid w:val="001B58EE"/>
    <w:rsid w:val="001B60FC"/>
    <w:rsid w:val="001B68C4"/>
    <w:rsid w:val="001B7E60"/>
    <w:rsid w:val="001C0C66"/>
    <w:rsid w:val="001C1477"/>
    <w:rsid w:val="001C1542"/>
    <w:rsid w:val="001C2819"/>
    <w:rsid w:val="001C3936"/>
    <w:rsid w:val="001D2948"/>
    <w:rsid w:val="001D314A"/>
    <w:rsid w:val="001D3570"/>
    <w:rsid w:val="001D637D"/>
    <w:rsid w:val="001E1745"/>
    <w:rsid w:val="001E1787"/>
    <w:rsid w:val="001E202E"/>
    <w:rsid w:val="001E29E5"/>
    <w:rsid w:val="001E4F79"/>
    <w:rsid w:val="001E67B0"/>
    <w:rsid w:val="001E7869"/>
    <w:rsid w:val="001F1491"/>
    <w:rsid w:val="001F1FF3"/>
    <w:rsid w:val="001F26CE"/>
    <w:rsid w:val="001F502B"/>
    <w:rsid w:val="001F6CB2"/>
    <w:rsid w:val="00204AF1"/>
    <w:rsid w:val="00205E87"/>
    <w:rsid w:val="00213694"/>
    <w:rsid w:val="0021382E"/>
    <w:rsid w:val="002142F7"/>
    <w:rsid w:val="00214F99"/>
    <w:rsid w:val="002164D7"/>
    <w:rsid w:val="002213A1"/>
    <w:rsid w:val="00231608"/>
    <w:rsid w:val="0023414D"/>
    <w:rsid w:val="00235384"/>
    <w:rsid w:val="00235A5E"/>
    <w:rsid w:val="00237F65"/>
    <w:rsid w:val="002404C8"/>
    <w:rsid w:val="002421D8"/>
    <w:rsid w:val="00242996"/>
    <w:rsid w:val="002430A4"/>
    <w:rsid w:val="00243394"/>
    <w:rsid w:val="00243C05"/>
    <w:rsid w:val="00244A69"/>
    <w:rsid w:val="0024511E"/>
    <w:rsid w:val="0024725C"/>
    <w:rsid w:val="00250FDF"/>
    <w:rsid w:val="002516A1"/>
    <w:rsid w:val="00252C43"/>
    <w:rsid w:val="00256127"/>
    <w:rsid w:val="00256AFB"/>
    <w:rsid w:val="0026558A"/>
    <w:rsid w:val="0026584B"/>
    <w:rsid w:val="00265F9D"/>
    <w:rsid w:val="0026763C"/>
    <w:rsid w:val="002717E2"/>
    <w:rsid w:val="002738A6"/>
    <w:rsid w:val="00273B63"/>
    <w:rsid w:val="00273D1F"/>
    <w:rsid w:val="00274D24"/>
    <w:rsid w:val="002765A4"/>
    <w:rsid w:val="002822F3"/>
    <w:rsid w:val="0028368F"/>
    <w:rsid w:val="0029183D"/>
    <w:rsid w:val="00291926"/>
    <w:rsid w:val="00294978"/>
    <w:rsid w:val="00295883"/>
    <w:rsid w:val="002966C3"/>
    <w:rsid w:val="002A18AD"/>
    <w:rsid w:val="002A2711"/>
    <w:rsid w:val="002A2CB7"/>
    <w:rsid w:val="002A4492"/>
    <w:rsid w:val="002A4649"/>
    <w:rsid w:val="002B160A"/>
    <w:rsid w:val="002B5DF3"/>
    <w:rsid w:val="002B6232"/>
    <w:rsid w:val="002B6979"/>
    <w:rsid w:val="002B7B9C"/>
    <w:rsid w:val="002C36BD"/>
    <w:rsid w:val="002C6388"/>
    <w:rsid w:val="002D0199"/>
    <w:rsid w:val="002D1FA9"/>
    <w:rsid w:val="002D7D9B"/>
    <w:rsid w:val="002E0580"/>
    <w:rsid w:val="002E3735"/>
    <w:rsid w:val="002E457C"/>
    <w:rsid w:val="002F094D"/>
    <w:rsid w:val="002F0D5E"/>
    <w:rsid w:val="002F248E"/>
    <w:rsid w:val="002F2B36"/>
    <w:rsid w:val="002F3D9E"/>
    <w:rsid w:val="002F52C6"/>
    <w:rsid w:val="002F6816"/>
    <w:rsid w:val="002F6E32"/>
    <w:rsid w:val="00302188"/>
    <w:rsid w:val="003025BB"/>
    <w:rsid w:val="00306F8F"/>
    <w:rsid w:val="00307CDB"/>
    <w:rsid w:val="00307FA0"/>
    <w:rsid w:val="003108EF"/>
    <w:rsid w:val="00313052"/>
    <w:rsid w:val="00314933"/>
    <w:rsid w:val="00314BF8"/>
    <w:rsid w:val="003171EC"/>
    <w:rsid w:val="00323C93"/>
    <w:rsid w:val="003243F8"/>
    <w:rsid w:val="00324973"/>
    <w:rsid w:val="0032755C"/>
    <w:rsid w:val="0033061F"/>
    <w:rsid w:val="00341606"/>
    <w:rsid w:val="00344967"/>
    <w:rsid w:val="00347FE9"/>
    <w:rsid w:val="00350938"/>
    <w:rsid w:val="0035160D"/>
    <w:rsid w:val="00354198"/>
    <w:rsid w:val="0035618E"/>
    <w:rsid w:val="00356AF0"/>
    <w:rsid w:val="00357E9E"/>
    <w:rsid w:val="00360421"/>
    <w:rsid w:val="00360C60"/>
    <w:rsid w:val="003657AB"/>
    <w:rsid w:val="00365DF4"/>
    <w:rsid w:val="00371B55"/>
    <w:rsid w:val="00374132"/>
    <w:rsid w:val="003748FE"/>
    <w:rsid w:val="00374EA3"/>
    <w:rsid w:val="00375511"/>
    <w:rsid w:val="00375B2B"/>
    <w:rsid w:val="0037758F"/>
    <w:rsid w:val="00377F09"/>
    <w:rsid w:val="00393509"/>
    <w:rsid w:val="00394975"/>
    <w:rsid w:val="00395059"/>
    <w:rsid w:val="00395BCD"/>
    <w:rsid w:val="00396C70"/>
    <w:rsid w:val="0039712B"/>
    <w:rsid w:val="003A135C"/>
    <w:rsid w:val="003A1F4C"/>
    <w:rsid w:val="003A2F24"/>
    <w:rsid w:val="003A6B7D"/>
    <w:rsid w:val="003B09F8"/>
    <w:rsid w:val="003B0B3B"/>
    <w:rsid w:val="003B100B"/>
    <w:rsid w:val="003B164B"/>
    <w:rsid w:val="003B4FB8"/>
    <w:rsid w:val="003B541D"/>
    <w:rsid w:val="003B6AEC"/>
    <w:rsid w:val="003C002C"/>
    <w:rsid w:val="003C0D23"/>
    <w:rsid w:val="003C0D75"/>
    <w:rsid w:val="003C3DC3"/>
    <w:rsid w:val="003C5979"/>
    <w:rsid w:val="003C5B64"/>
    <w:rsid w:val="003C7E4E"/>
    <w:rsid w:val="003D5095"/>
    <w:rsid w:val="003D52BC"/>
    <w:rsid w:val="003D5A52"/>
    <w:rsid w:val="003E6089"/>
    <w:rsid w:val="003E63E8"/>
    <w:rsid w:val="003E7F31"/>
    <w:rsid w:val="003F0260"/>
    <w:rsid w:val="0040437E"/>
    <w:rsid w:val="0040623E"/>
    <w:rsid w:val="0040679D"/>
    <w:rsid w:val="00411587"/>
    <w:rsid w:val="0041500E"/>
    <w:rsid w:val="004154BA"/>
    <w:rsid w:val="00416B92"/>
    <w:rsid w:val="00416EB5"/>
    <w:rsid w:val="0042203F"/>
    <w:rsid w:val="00424BBB"/>
    <w:rsid w:val="00424FCF"/>
    <w:rsid w:val="00425B15"/>
    <w:rsid w:val="004260CC"/>
    <w:rsid w:val="00426C15"/>
    <w:rsid w:val="00430BDF"/>
    <w:rsid w:val="004341C2"/>
    <w:rsid w:val="00434C89"/>
    <w:rsid w:val="00435456"/>
    <w:rsid w:val="00440C67"/>
    <w:rsid w:val="00443255"/>
    <w:rsid w:val="00444BD1"/>
    <w:rsid w:val="00445DA9"/>
    <w:rsid w:val="004506FC"/>
    <w:rsid w:val="00450D61"/>
    <w:rsid w:val="004510BE"/>
    <w:rsid w:val="004541A4"/>
    <w:rsid w:val="00455736"/>
    <w:rsid w:val="00460AF7"/>
    <w:rsid w:val="00463E19"/>
    <w:rsid w:val="00464B1B"/>
    <w:rsid w:val="004719D0"/>
    <w:rsid w:val="00474144"/>
    <w:rsid w:val="00474414"/>
    <w:rsid w:val="00475829"/>
    <w:rsid w:val="00475DC1"/>
    <w:rsid w:val="0047742F"/>
    <w:rsid w:val="00481B6F"/>
    <w:rsid w:val="004830FF"/>
    <w:rsid w:val="00484802"/>
    <w:rsid w:val="004873B2"/>
    <w:rsid w:val="00490E6F"/>
    <w:rsid w:val="00495269"/>
    <w:rsid w:val="00495AE3"/>
    <w:rsid w:val="004A1D26"/>
    <w:rsid w:val="004A2F82"/>
    <w:rsid w:val="004A4475"/>
    <w:rsid w:val="004B4367"/>
    <w:rsid w:val="004B6BA1"/>
    <w:rsid w:val="004C1700"/>
    <w:rsid w:val="004C482D"/>
    <w:rsid w:val="004D21FF"/>
    <w:rsid w:val="004D2D05"/>
    <w:rsid w:val="004D6154"/>
    <w:rsid w:val="004D6352"/>
    <w:rsid w:val="004D73EA"/>
    <w:rsid w:val="004E6820"/>
    <w:rsid w:val="004F083E"/>
    <w:rsid w:val="004F12DE"/>
    <w:rsid w:val="004F65D7"/>
    <w:rsid w:val="004F6687"/>
    <w:rsid w:val="00502E62"/>
    <w:rsid w:val="0050358B"/>
    <w:rsid w:val="00504A68"/>
    <w:rsid w:val="0050716F"/>
    <w:rsid w:val="00507244"/>
    <w:rsid w:val="0050745B"/>
    <w:rsid w:val="005112A2"/>
    <w:rsid w:val="005209FB"/>
    <w:rsid w:val="00521C37"/>
    <w:rsid w:val="00522901"/>
    <w:rsid w:val="00523790"/>
    <w:rsid w:val="00526F94"/>
    <w:rsid w:val="005300A8"/>
    <w:rsid w:val="00532037"/>
    <w:rsid w:val="005336E1"/>
    <w:rsid w:val="00536D18"/>
    <w:rsid w:val="005413D0"/>
    <w:rsid w:val="00541466"/>
    <w:rsid w:val="00541BAE"/>
    <w:rsid w:val="00542C10"/>
    <w:rsid w:val="005436C6"/>
    <w:rsid w:val="00545004"/>
    <w:rsid w:val="005511D9"/>
    <w:rsid w:val="005527F0"/>
    <w:rsid w:val="0055356E"/>
    <w:rsid w:val="005537A3"/>
    <w:rsid w:val="00556D0A"/>
    <w:rsid w:val="00556F73"/>
    <w:rsid w:val="00557D71"/>
    <w:rsid w:val="00560113"/>
    <w:rsid w:val="0056078C"/>
    <w:rsid w:val="00561222"/>
    <w:rsid w:val="00563F51"/>
    <w:rsid w:val="005659A8"/>
    <w:rsid w:val="00566D35"/>
    <w:rsid w:val="00573F48"/>
    <w:rsid w:val="005754BC"/>
    <w:rsid w:val="005761A8"/>
    <w:rsid w:val="00581821"/>
    <w:rsid w:val="00585936"/>
    <w:rsid w:val="005860D6"/>
    <w:rsid w:val="005877B4"/>
    <w:rsid w:val="00587CF4"/>
    <w:rsid w:val="005915A9"/>
    <w:rsid w:val="00591A12"/>
    <w:rsid w:val="00592C99"/>
    <w:rsid w:val="005A1674"/>
    <w:rsid w:val="005A6F74"/>
    <w:rsid w:val="005A7161"/>
    <w:rsid w:val="005B041C"/>
    <w:rsid w:val="005B049F"/>
    <w:rsid w:val="005B1198"/>
    <w:rsid w:val="005B1C99"/>
    <w:rsid w:val="005B2526"/>
    <w:rsid w:val="005B2B7E"/>
    <w:rsid w:val="005B2D68"/>
    <w:rsid w:val="005B4148"/>
    <w:rsid w:val="005C19B7"/>
    <w:rsid w:val="005C2FCB"/>
    <w:rsid w:val="005C65A8"/>
    <w:rsid w:val="005C6FEB"/>
    <w:rsid w:val="005C7657"/>
    <w:rsid w:val="005D2A18"/>
    <w:rsid w:val="005E4A04"/>
    <w:rsid w:val="005E52A9"/>
    <w:rsid w:val="005F04FC"/>
    <w:rsid w:val="005F0C25"/>
    <w:rsid w:val="005F10BE"/>
    <w:rsid w:val="005F447C"/>
    <w:rsid w:val="005F644C"/>
    <w:rsid w:val="005F6CCF"/>
    <w:rsid w:val="00600020"/>
    <w:rsid w:val="0060014C"/>
    <w:rsid w:val="00601E55"/>
    <w:rsid w:val="006039AB"/>
    <w:rsid w:val="00603F6A"/>
    <w:rsid w:val="00604467"/>
    <w:rsid w:val="006052ED"/>
    <w:rsid w:val="00605C2A"/>
    <w:rsid w:val="00607BA7"/>
    <w:rsid w:val="00613515"/>
    <w:rsid w:val="00614547"/>
    <w:rsid w:val="00617BC7"/>
    <w:rsid w:val="00620520"/>
    <w:rsid w:val="00620F28"/>
    <w:rsid w:val="006210F5"/>
    <w:rsid w:val="00626331"/>
    <w:rsid w:val="00626B6F"/>
    <w:rsid w:val="0063001E"/>
    <w:rsid w:val="0063116F"/>
    <w:rsid w:val="00631467"/>
    <w:rsid w:val="00636BAA"/>
    <w:rsid w:val="00637609"/>
    <w:rsid w:val="00640D7E"/>
    <w:rsid w:val="00642533"/>
    <w:rsid w:val="00644F7C"/>
    <w:rsid w:val="00645C48"/>
    <w:rsid w:val="00647505"/>
    <w:rsid w:val="00650F6F"/>
    <w:rsid w:val="006511B8"/>
    <w:rsid w:val="00652DF6"/>
    <w:rsid w:val="0065530F"/>
    <w:rsid w:val="006559B4"/>
    <w:rsid w:val="006605EA"/>
    <w:rsid w:val="00662BD2"/>
    <w:rsid w:val="0066570E"/>
    <w:rsid w:val="00670E33"/>
    <w:rsid w:val="00671227"/>
    <w:rsid w:val="00673A80"/>
    <w:rsid w:val="00675828"/>
    <w:rsid w:val="00675B8A"/>
    <w:rsid w:val="00676D03"/>
    <w:rsid w:val="00680644"/>
    <w:rsid w:val="00682540"/>
    <w:rsid w:val="00683A8A"/>
    <w:rsid w:val="00683BDB"/>
    <w:rsid w:val="006858FA"/>
    <w:rsid w:val="00685B7D"/>
    <w:rsid w:val="00692E7A"/>
    <w:rsid w:val="006970A2"/>
    <w:rsid w:val="006A0907"/>
    <w:rsid w:val="006A1660"/>
    <w:rsid w:val="006A2D4F"/>
    <w:rsid w:val="006B43A0"/>
    <w:rsid w:val="006B5CF0"/>
    <w:rsid w:val="006B7B9E"/>
    <w:rsid w:val="006C1580"/>
    <w:rsid w:val="006C1CAF"/>
    <w:rsid w:val="006C2030"/>
    <w:rsid w:val="006C4FBA"/>
    <w:rsid w:val="006C5D76"/>
    <w:rsid w:val="006C6E1D"/>
    <w:rsid w:val="006D05A4"/>
    <w:rsid w:val="006D0C60"/>
    <w:rsid w:val="006D579E"/>
    <w:rsid w:val="006D719C"/>
    <w:rsid w:val="006E0855"/>
    <w:rsid w:val="006E1BB6"/>
    <w:rsid w:val="006E5D64"/>
    <w:rsid w:val="006F1C09"/>
    <w:rsid w:val="006F333B"/>
    <w:rsid w:val="007023C1"/>
    <w:rsid w:val="00710CF0"/>
    <w:rsid w:val="00710D11"/>
    <w:rsid w:val="00710E0E"/>
    <w:rsid w:val="00711C90"/>
    <w:rsid w:val="00713067"/>
    <w:rsid w:val="00713896"/>
    <w:rsid w:val="00714CF0"/>
    <w:rsid w:val="00714F30"/>
    <w:rsid w:val="00716066"/>
    <w:rsid w:val="007173E5"/>
    <w:rsid w:val="00725DC1"/>
    <w:rsid w:val="00726E2E"/>
    <w:rsid w:val="00731FCE"/>
    <w:rsid w:val="00736825"/>
    <w:rsid w:val="0073756B"/>
    <w:rsid w:val="007422E6"/>
    <w:rsid w:val="007459D2"/>
    <w:rsid w:val="00746067"/>
    <w:rsid w:val="00747CDB"/>
    <w:rsid w:val="00750A01"/>
    <w:rsid w:val="00750D04"/>
    <w:rsid w:val="00750D4D"/>
    <w:rsid w:val="00765881"/>
    <w:rsid w:val="007667BC"/>
    <w:rsid w:val="00767CC1"/>
    <w:rsid w:val="00773CD2"/>
    <w:rsid w:val="00774578"/>
    <w:rsid w:val="00774D9A"/>
    <w:rsid w:val="00774DEF"/>
    <w:rsid w:val="0078186F"/>
    <w:rsid w:val="007827EA"/>
    <w:rsid w:val="00784204"/>
    <w:rsid w:val="007874E4"/>
    <w:rsid w:val="00790806"/>
    <w:rsid w:val="007924E3"/>
    <w:rsid w:val="00794FE9"/>
    <w:rsid w:val="007958EC"/>
    <w:rsid w:val="007A1FE4"/>
    <w:rsid w:val="007A23D1"/>
    <w:rsid w:val="007A2C39"/>
    <w:rsid w:val="007A3138"/>
    <w:rsid w:val="007A45D6"/>
    <w:rsid w:val="007B0FC4"/>
    <w:rsid w:val="007B42A8"/>
    <w:rsid w:val="007B7638"/>
    <w:rsid w:val="007B7E46"/>
    <w:rsid w:val="007B7F2A"/>
    <w:rsid w:val="007C0511"/>
    <w:rsid w:val="007C0F94"/>
    <w:rsid w:val="007C513A"/>
    <w:rsid w:val="007C5406"/>
    <w:rsid w:val="007D0739"/>
    <w:rsid w:val="007D175B"/>
    <w:rsid w:val="007D4E1A"/>
    <w:rsid w:val="007D6FE4"/>
    <w:rsid w:val="007D7D3C"/>
    <w:rsid w:val="007E1433"/>
    <w:rsid w:val="007E5B01"/>
    <w:rsid w:val="007E5CB5"/>
    <w:rsid w:val="007E660F"/>
    <w:rsid w:val="007E7224"/>
    <w:rsid w:val="007E7B18"/>
    <w:rsid w:val="007E7E27"/>
    <w:rsid w:val="007F02FB"/>
    <w:rsid w:val="007F2FB9"/>
    <w:rsid w:val="007F441C"/>
    <w:rsid w:val="007F46D5"/>
    <w:rsid w:val="007F6772"/>
    <w:rsid w:val="008008A2"/>
    <w:rsid w:val="0080099F"/>
    <w:rsid w:val="00800AFB"/>
    <w:rsid w:val="0080357B"/>
    <w:rsid w:val="00803829"/>
    <w:rsid w:val="00803D3F"/>
    <w:rsid w:val="00806BDF"/>
    <w:rsid w:val="0080729A"/>
    <w:rsid w:val="00807D3C"/>
    <w:rsid w:val="008146E9"/>
    <w:rsid w:val="0081740A"/>
    <w:rsid w:val="00825092"/>
    <w:rsid w:val="00830715"/>
    <w:rsid w:val="00830B05"/>
    <w:rsid w:val="00835653"/>
    <w:rsid w:val="0084004E"/>
    <w:rsid w:val="008442FE"/>
    <w:rsid w:val="00844657"/>
    <w:rsid w:val="00844CB9"/>
    <w:rsid w:val="00845832"/>
    <w:rsid w:val="0084659C"/>
    <w:rsid w:val="00856B07"/>
    <w:rsid w:val="0086150C"/>
    <w:rsid w:val="00863A35"/>
    <w:rsid w:val="008656E2"/>
    <w:rsid w:val="0087538E"/>
    <w:rsid w:val="008763BA"/>
    <w:rsid w:val="00877781"/>
    <w:rsid w:val="00882C07"/>
    <w:rsid w:val="00885825"/>
    <w:rsid w:val="00886425"/>
    <w:rsid w:val="00890068"/>
    <w:rsid w:val="008904DA"/>
    <w:rsid w:val="00891B1F"/>
    <w:rsid w:val="00893398"/>
    <w:rsid w:val="00895CF5"/>
    <w:rsid w:val="008964E5"/>
    <w:rsid w:val="00897D7E"/>
    <w:rsid w:val="008A003E"/>
    <w:rsid w:val="008A2EBB"/>
    <w:rsid w:val="008A4168"/>
    <w:rsid w:val="008A6D42"/>
    <w:rsid w:val="008A75EA"/>
    <w:rsid w:val="008B176E"/>
    <w:rsid w:val="008B1819"/>
    <w:rsid w:val="008B4112"/>
    <w:rsid w:val="008B672F"/>
    <w:rsid w:val="008B6974"/>
    <w:rsid w:val="008B6E6B"/>
    <w:rsid w:val="008B7E9A"/>
    <w:rsid w:val="008C1985"/>
    <w:rsid w:val="008C2999"/>
    <w:rsid w:val="008C38F3"/>
    <w:rsid w:val="008C7792"/>
    <w:rsid w:val="008E347D"/>
    <w:rsid w:val="008E54C8"/>
    <w:rsid w:val="008E5E1D"/>
    <w:rsid w:val="008E6057"/>
    <w:rsid w:val="008E7C32"/>
    <w:rsid w:val="008F07D3"/>
    <w:rsid w:val="008F3ED5"/>
    <w:rsid w:val="008F653D"/>
    <w:rsid w:val="008F68CE"/>
    <w:rsid w:val="008F6C76"/>
    <w:rsid w:val="0090323B"/>
    <w:rsid w:val="0090368E"/>
    <w:rsid w:val="00903BE8"/>
    <w:rsid w:val="0090466C"/>
    <w:rsid w:val="009052BE"/>
    <w:rsid w:val="009103C9"/>
    <w:rsid w:val="009116BF"/>
    <w:rsid w:val="00911794"/>
    <w:rsid w:val="009119B1"/>
    <w:rsid w:val="00912E19"/>
    <w:rsid w:val="00916872"/>
    <w:rsid w:val="00917613"/>
    <w:rsid w:val="0091787A"/>
    <w:rsid w:val="00917AD2"/>
    <w:rsid w:val="00920D6D"/>
    <w:rsid w:val="00921504"/>
    <w:rsid w:val="009233CB"/>
    <w:rsid w:val="00923EF9"/>
    <w:rsid w:val="00925CF0"/>
    <w:rsid w:val="00926CFB"/>
    <w:rsid w:val="0092757F"/>
    <w:rsid w:val="00927D96"/>
    <w:rsid w:val="00930087"/>
    <w:rsid w:val="00933A5F"/>
    <w:rsid w:val="00934370"/>
    <w:rsid w:val="00944FC7"/>
    <w:rsid w:val="0094631A"/>
    <w:rsid w:val="00947C5F"/>
    <w:rsid w:val="00950AD1"/>
    <w:rsid w:val="00951560"/>
    <w:rsid w:val="00952C90"/>
    <w:rsid w:val="00952EBD"/>
    <w:rsid w:val="00953F1C"/>
    <w:rsid w:val="00954CAA"/>
    <w:rsid w:val="0095645A"/>
    <w:rsid w:val="009569AE"/>
    <w:rsid w:val="00961AFA"/>
    <w:rsid w:val="00962293"/>
    <w:rsid w:val="00965234"/>
    <w:rsid w:val="00967269"/>
    <w:rsid w:val="00970C47"/>
    <w:rsid w:val="009721DF"/>
    <w:rsid w:val="00972C55"/>
    <w:rsid w:val="0097316E"/>
    <w:rsid w:val="00973FE3"/>
    <w:rsid w:val="00980455"/>
    <w:rsid w:val="00980651"/>
    <w:rsid w:val="00984839"/>
    <w:rsid w:val="0098625F"/>
    <w:rsid w:val="00987E7D"/>
    <w:rsid w:val="00990459"/>
    <w:rsid w:val="00991FB0"/>
    <w:rsid w:val="00995E73"/>
    <w:rsid w:val="00997D59"/>
    <w:rsid w:val="00997E90"/>
    <w:rsid w:val="009A06CD"/>
    <w:rsid w:val="009A2281"/>
    <w:rsid w:val="009A3144"/>
    <w:rsid w:val="009A35A6"/>
    <w:rsid w:val="009A5866"/>
    <w:rsid w:val="009A5E88"/>
    <w:rsid w:val="009B1280"/>
    <w:rsid w:val="009B26DA"/>
    <w:rsid w:val="009B7A99"/>
    <w:rsid w:val="009C12AE"/>
    <w:rsid w:val="009C2457"/>
    <w:rsid w:val="009C56AD"/>
    <w:rsid w:val="009C779D"/>
    <w:rsid w:val="009D05B5"/>
    <w:rsid w:val="009D1983"/>
    <w:rsid w:val="009D6BE7"/>
    <w:rsid w:val="009E0EB7"/>
    <w:rsid w:val="009E2D75"/>
    <w:rsid w:val="009E31B4"/>
    <w:rsid w:val="009E4886"/>
    <w:rsid w:val="009E7030"/>
    <w:rsid w:val="009F1F70"/>
    <w:rsid w:val="009F21E9"/>
    <w:rsid w:val="009F3CDA"/>
    <w:rsid w:val="009F7303"/>
    <w:rsid w:val="00A04549"/>
    <w:rsid w:val="00A06475"/>
    <w:rsid w:val="00A07F99"/>
    <w:rsid w:val="00A1089B"/>
    <w:rsid w:val="00A11041"/>
    <w:rsid w:val="00A114F5"/>
    <w:rsid w:val="00A11723"/>
    <w:rsid w:val="00A11E35"/>
    <w:rsid w:val="00A13363"/>
    <w:rsid w:val="00A16E34"/>
    <w:rsid w:val="00A17226"/>
    <w:rsid w:val="00A17E33"/>
    <w:rsid w:val="00A20964"/>
    <w:rsid w:val="00A2198D"/>
    <w:rsid w:val="00A21C49"/>
    <w:rsid w:val="00A237A8"/>
    <w:rsid w:val="00A2516A"/>
    <w:rsid w:val="00A260AB"/>
    <w:rsid w:val="00A2744A"/>
    <w:rsid w:val="00A27BBC"/>
    <w:rsid w:val="00A30B16"/>
    <w:rsid w:val="00A32463"/>
    <w:rsid w:val="00A32CBE"/>
    <w:rsid w:val="00A36493"/>
    <w:rsid w:val="00A4107A"/>
    <w:rsid w:val="00A45BF9"/>
    <w:rsid w:val="00A47BE8"/>
    <w:rsid w:val="00A5499A"/>
    <w:rsid w:val="00A54A8C"/>
    <w:rsid w:val="00A560D0"/>
    <w:rsid w:val="00A56CD5"/>
    <w:rsid w:val="00A57B42"/>
    <w:rsid w:val="00A61320"/>
    <w:rsid w:val="00A61827"/>
    <w:rsid w:val="00A61D48"/>
    <w:rsid w:val="00A623EE"/>
    <w:rsid w:val="00A677E0"/>
    <w:rsid w:val="00A72806"/>
    <w:rsid w:val="00A8030D"/>
    <w:rsid w:val="00A80E12"/>
    <w:rsid w:val="00A82F56"/>
    <w:rsid w:val="00A838C9"/>
    <w:rsid w:val="00A87119"/>
    <w:rsid w:val="00A92867"/>
    <w:rsid w:val="00A94A79"/>
    <w:rsid w:val="00AA0267"/>
    <w:rsid w:val="00AA0618"/>
    <w:rsid w:val="00AA0B7A"/>
    <w:rsid w:val="00AA1046"/>
    <w:rsid w:val="00AA1593"/>
    <w:rsid w:val="00AA19C6"/>
    <w:rsid w:val="00AA2044"/>
    <w:rsid w:val="00AA3BB0"/>
    <w:rsid w:val="00AA6831"/>
    <w:rsid w:val="00AA6F02"/>
    <w:rsid w:val="00AA7A88"/>
    <w:rsid w:val="00AB062F"/>
    <w:rsid w:val="00AB134F"/>
    <w:rsid w:val="00AB3563"/>
    <w:rsid w:val="00AB3AFB"/>
    <w:rsid w:val="00AB3D8F"/>
    <w:rsid w:val="00AB4042"/>
    <w:rsid w:val="00AB4B30"/>
    <w:rsid w:val="00AC0E4F"/>
    <w:rsid w:val="00AC16F4"/>
    <w:rsid w:val="00AC3ED1"/>
    <w:rsid w:val="00AC5101"/>
    <w:rsid w:val="00AC6399"/>
    <w:rsid w:val="00AC70CF"/>
    <w:rsid w:val="00AD0B1C"/>
    <w:rsid w:val="00AD529B"/>
    <w:rsid w:val="00AD6205"/>
    <w:rsid w:val="00AD63AD"/>
    <w:rsid w:val="00AE325C"/>
    <w:rsid w:val="00AE420A"/>
    <w:rsid w:val="00AE5539"/>
    <w:rsid w:val="00AE5C63"/>
    <w:rsid w:val="00AE69D4"/>
    <w:rsid w:val="00AF4329"/>
    <w:rsid w:val="00AF671C"/>
    <w:rsid w:val="00B00204"/>
    <w:rsid w:val="00B0436A"/>
    <w:rsid w:val="00B07217"/>
    <w:rsid w:val="00B109ED"/>
    <w:rsid w:val="00B17B10"/>
    <w:rsid w:val="00B21157"/>
    <w:rsid w:val="00B22B2B"/>
    <w:rsid w:val="00B252D2"/>
    <w:rsid w:val="00B2590F"/>
    <w:rsid w:val="00B271E4"/>
    <w:rsid w:val="00B27629"/>
    <w:rsid w:val="00B3408C"/>
    <w:rsid w:val="00B36713"/>
    <w:rsid w:val="00B42B99"/>
    <w:rsid w:val="00B47A6B"/>
    <w:rsid w:val="00B50425"/>
    <w:rsid w:val="00B54855"/>
    <w:rsid w:val="00B57D67"/>
    <w:rsid w:val="00B624D9"/>
    <w:rsid w:val="00B63CD9"/>
    <w:rsid w:val="00B662BE"/>
    <w:rsid w:val="00B674FD"/>
    <w:rsid w:val="00B71030"/>
    <w:rsid w:val="00B727A8"/>
    <w:rsid w:val="00B76801"/>
    <w:rsid w:val="00B85222"/>
    <w:rsid w:val="00B86085"/>
    <w:rsid w:val="00B87699"/>
    <w:rsid w:val="00B910E5"/>
    <w:rsid w:val="00B916C8"/>
    <w:rsid w:val="00B9265F"/>
    <w:rsid w:val="00B92B00"/>
    <w:rsid w:val="00B92E40"/>
    <w:rsid w:val="00B93514"/>
    <w:rsid w:val="00B93AB7"/>
    <w:rsid w:val="00B95662"/>
    <w:rsid w:val="00B95B77"/>
    <w:rsid w:val="00BA10E6"/>
    <w:rsid w:val="00BB21C3"/>
    <w:rsid w:val="00BB241F"/>
    <w:rsid w:val="00BB47FD"/>
    <w:rsid w:val="00BB5C20"/>
    <w:rsid w:val="00BB6508"/>
    <w:rsid w:val="00BC0091"/>
    <w:rsid w:val="00BC2440"/>
    <w:rsid w:val="00BC3CCD"/>
    <w:rsid w:val="00BC48AC"/>
    <w:rsid w:val="00BC48DF"/>
    <w:rsid w:val="00BC6DC9"/>
    <w:rsid w:val="00BC7B7E"/>
    <w:rsid w:val="00BD076E"/>
    <w:rsid w:val="00BD4ECD"/>
    <w:rsid w:val="00BD7080"/>
    <w:rsid w:val="00BE0BA4"/>
    <w:rsid w:val="00BE18F8"/>
    <w:rsid w:val="00BE1AD7"/>
    <w:rsid w:val="00BE2F4D"/>
    <w:rsid w:val="00BE4F25"/>
    <w:rsid w:val="00BE5176"/>
    <w:rsid w:val="00BE7488"/>
    <w:rsid w:val="00BF1B0D"/>
    <w:rsid w:val="00BF1B37"/>
    <w:rsid w:val="00C02E39"/>
    <w:rsid w:val="00C043A0"/>
    <w:rsid w:val="00C04EF9"/>
    <w:rsid w:val="00C06B3B"/>
    <w:rsid w:val="00C12E25"/>
    <w:rsid w:val="00C137CD"/>
    <w:rsid w:val="00C144FB"/>
    <w:rsid w:val="00C1579A"/>
    <w:rsid w:val="00C20752"/>
    <w:rsid w:val="00C21AB0"/>
    <w:rsid w:val="00C21DFB"/>
    <w:rsid w:val="00C22B1B"/>
    <w:rsid w:val="00C23483"/>
    <w:rsid w:val="00C26A31"/>
    <w:rsid w:val="00C30618"/>
    <w:rsid w:val="00C33E87"/>
    <w:rsid w:val="00C353E3"/>
    <w:rsid w:val="00C35CB1"/>
    <w:rsid w:val="00C404A4"/>
    <w:rsid w:val="00C40BCB"/>
    <w:rsid w:val="00C4116B"/>
    <w:rsid w:val="00C459A2"/>
    <w:rsid w:val="00C46954"/>
    <w:rsid w:val="00C46F2C"/>
    <w:rsid w:val="00C50500"/>
    <w:rsid w:val="00C50635"/>
    <w:rsid w:val="00C5289A"/>
    <w:rsid w:val="00C56E1E"/>
    <w:rsid w:val="00C574E7"/>
    <w:rsid w:val="00C579DB"/>
    <w:rsid w:val="00C6489C"/>
    <w:rsid w:val="00C649C5"/>
    <w:rsid w:val="00C64A67"/>
    <w:rsid w:val="00C66C1B"/>
    <w:rsid w:val="00C6779E"/>
    <w:rsid w:val="00C7052B"/>
    <w:rsid w:val="00C74B67"/>
    <w:rsid w:val="00C77417"/>
    <w:rsid w:val="00C77D3D"/>
    <w:rsid w:val="00C82A61"/>
    <w:rsid w:val="00C82B8E"/>
    <w:rsid w:val="00C8408D"/>
    <w:rsid w:val="00C84706"/>
    <w:rsid w:val="00C85F99"/>
    <w:rsid w:val="00C87011"/>
    <w:rsid w:val="00C95AFA"/>
    <w:rsid w:val="00C96B67"/>
    <w:rsid w:val="00CA3488"/>
    <w:rsid w:val="00CA3639"/>
    <w:rsid w:val="00CA742C"/>
    <w:rsid w:val="00CA7BE2"/>
    <w:rsid w:val="00CA7DDA"/>
    <w:rsid w:val="00CB1EC9"/>
    <w:rsid w:val="00CB22D2"/>
    <w:rsid w:val="00CB31B8"/>
    <w:rsid w:val="00CC5B41"/>
    <w:rsid w:val="00CC78ED"/>
    <w:rsid w:val="00CD1D75"/>
    <w:rsid w:val="00CD4283"/>
    <w:rsid w:val="00CD5807"/>
    <w:rsid w:val="00CD7FE1"/>
    <w:rsid w:val="00CE23EA"/>
    <w:rsid w:val="00CE3B12"/>
    <w:rsid w:val="00CE4E0A"/>
    <w:rsid w:val="00CE6301"/>
    <w:rsid w:val="00CE7152"/>
    <w:rsid w:val="00CE7895"/>
    <w:rsid w:val="00CF0B1B"/>
    <w:rsid w:val="00CF422D"/>
    <w:rsid w:val="00CF67AA"/>
    <w:rsid w:val="00CF68E8"/>
    <w:rsid w:val="00D012C5"/>
    <w:rsid w:val="00D049BD"/>
    <w:rsid w:val="00D1192B"/>
    <w:rsid w:val="00D20361"/>
    <w:rsid w:val="00D2236A"/>
    <w:rsid w:val="00D2384D"/>
    <w:rsid w:val="00D3355F"/>
    <w:rsid w:val="00D36F2C"/>
    <w:rsid w:val="00D44857"/>
    <w:rsid w:val="00D5668A"/>
    <w:rsid w:val="00D60481"/>
    <w:rsid w:val="00D610BC"/>
    <w:rsid w:val="00D6154C"/>
    <w:rsid w:val="00D628A9"/>
    <w:rsid w:val="00D65186"/>
    <w:rsid w:val="00D658F2"/>
    <w:rsid w:val="00D66F9B"/>
    <w:rsid w:val="00D676AB"/>
    <w:rsid w:val="00D755C5"/>
    <w:rsid w:val="00D820C6"/>
    <w:rsid w:val="00D8304E"/>
    <w:rsid w:val="00D8418F"/>
    <w:rsid w:val="00D8519E"/>
    <w:rsid w:val="00D913FC"/>
    <w:rsid w:val="00D9317B"/>
    <w:rsid w:val="00D956D3"/>
    <w:rsid w:val="00DA2310"/>
    <w:rsid w:val="00DA2FFA"/>
    <w:rsid w:val="00DB0E5F"/>
    <w:rsid w:val="00DB250C"/>
    <w:rsid w:val="00DB6931"/>
    <w:rsid w:val="00DC39AD"/>
    <w:rsid w:val="00DC460A"/>
    <w:rsid w:val="00DC4832"/>
    <w:rsid w:val="00DC5383"/>
    <w:rsid w:val="00DC5635"/>
    <w:rsid w:val="00DD0372"/>
    <w:rsid w:val="00DD305D"/>
    <w:rsid w:val="00DD43B2"/>
    <w:rsid w:val="00DD4F99"/>
    <w:rsid w:val="00DD6C4D"/>
    <w:rsid w:val="00DE1BF9"/>
    <w:rsid w:val="00DE3079"/>
    <w:rsid w:val="00DE4A5D"/>
    <w:rsid w:val="00DE5B80"/>
    <w:rsid w:val="00DE5F07"/>
    <w:rsid w:val="00DF1E6C"/>
    <w:rsid w:val="00DF22D0"/>
    <w:rsid w:val="00DF2D27"/>
    <w:rsid w:val="00DF725C"/>
    <w:rsid w:val="00DF7CCD"/>
    <w:rsid w:val="00DF7EB0"/>
    <w:rsid w:val="00E00DFC"/>
    <w:rsid w:val="00E023D8"/>
    <w:rsid w:val="00E0395D"/>
    <w:rsid w:val="00E042A3"/>
    <w:rsid w:val="00E05342"/>
    <w:rsid w:val="00E05BF9"/>
    <w:rsid w:val="00E06950"/>
    <w:rsid w:val="00E1300D"/>
    <w:rsid w:val="00E14916"/>
    <w:rsid w:val="00E1611C"/>
    <w:rsid w:val="00E168EF"/>
    <w:rsid w:val="00E20D09"/>
    <w:rsid w:val="00E22428"/>
    <w:rsid w:val="00E23913"/>
    <w:rsid w:val="00E24348"/>
    <w:rsid w:val="00E26559"/>
    <w:rsid w:val="00E26AB0"/>
    <w:rsid w:val="00E3147E"/>
    <w:rsid w:val="00E37B33"/>
    <w:rsid w:val="00E42332"/>
    <w:rsid w:val="00E427B6"/>
    <w:rsid w:val="00E42E28"/>
    <w:rsid w:val="00E445DE"/>
    <w:rsid w:val="00E445EA"/>
    <w:rsid w:val="00E531FC"/>
    <w:rsid w:val="00E56AF1"/>
    <w:rsid w:val="00E6080A"/>
    <w:rsid w:val="00E60D69"/>
    <w:rsid w:val="00E61983"/>
    <w:rsid w:val="00E670B6"/>
    <w:rsid w:val="00E70AA6"/>
    <w:rsid w:val="00E73B86"/>
    <w:rsid w:val="00E76ECB"/>
    <w:rsid w:val="00E82C4E"/>
    <w:rsid w:val="00E85381"/>
    <w:rsid w:val="00E863C9"/>
    <w:rsid w:val="00E90BF3"/>
    <w:rsid w:val="00E924D8"/>
    <w:rsid w:val="00E9332C"/>
    <w:rsid w:val="00E94EA6"/>
    <w:rsid w:val="00E95CC1"/>
    <w:rsid w:val="00EA4E4C"/>
    <w:rsid w:val="00EA5CFC"/>
    <w:rsid w:val="00EA5DBF"/>
    <w:rsid w:val="00EB18FE"/>
    <w:rsid w:val="00EB251A"/>
    <w:rsid w:val="00EB509E"/>
    <w:rsid w:val="00EB66C3"/>
    <w:rsid w:val="00EB6EAD"/>
    <w:rsid w:val="00EC0A10"/>
    <w:rsid w:val="00EC144E"/>
    <w:rsid w:val="00EC23DC"/>
    <w:rsid w:val="00EC62CF"/>
    <w:rsid w:val="00EC6A91"/>
    <w:rsid w:val="00EC772A"/>
    <w:rsid w:val="00ED355C"/>
    <w:rsid w:val="00ED38D3"/>
    <w:rsid w:val="00ED44D3"/>
    <w:rsid w:val="00ED5DB4"/>
    <w:rsid w:val="00ED7C56"/>
    <w:rsid w:val="00EE093F"/>
    <w:rsid w:val="00EE2FF5"/>
    <w:rsid w:val="00EE336C"/>
    <w:rsid w:val="00EE637B"/>
    <w:rsid w:val="00EE6E08"/>
    <w:rsid w:val="00EF070B"/>
    <w:rsid w:val="00EF1153"/>
    <w:rsid w:val="00EF46C1"/>
    <w:rsid w:val="00F012E0"/>
    <w:rsid w:val="00F105C7"/>
    <w:rsid w:val="00F114BD"/>
    <w:rsid w:val="00F1174D"/>
    <w:rsid w:val="00F13CFC"/>
    <w:rsid w:val="00F16CCA"/>
    <w:rsid w:val="00F17A0B"/>
    <w:rsid w:val="00F20901"/>
    <w:rsid w:val="00F2413F"/>
    <w:rsid w:val="00F2623E"/>
    <w:rsid w:val="00F26E1E"/>
    <w:rsid w:val="00F27A6B"/>
    <w:rsid w:val="00F27D0D"/>
    <w:rsid w:val="00F33825"/>
    <w:rsid w:val="00F34275"/>
    <w:rsid w:val="00F35B31"/>
    <w:rsid w:val="00F36110"/>
    <w:rsid w:val="00F37222"/>
    <w:rsid w:val="00F3769E"/>
    <w:rsid w:val="00F42719"/>
    <w:rsid w:val="00F43CF6"/>
    <w:rsid w:val="00F45B2D"/>
    <w:rsid w:val="00F46949"/>
    <w:rsid w:val="00F507A1"/>
    <w:rsid w:val="00F54010"/>
    <w:rsid w:val="00F543EF"/>
    <w:rsid w:val="00F54C66"/>
    <w:rsid w:val="00F6269E"/>
    <w:rsid w:val="00F631AC"/>
    <w:rsid w:val="00F64462"/>
    <w:rsid w:val="00F64F46"/>
    <w:rsid w:val="00F6679B"/>
    <w:rsid w:val="00F72145"/>
    <w:rsid w:val="00F74831"/>
    <w:rsid w:val="00F761F1"/>
    <w:rsid w:val="00F80179"/>
    <w:rsid w:val="00F830B2"/>
    <w:rsid w:val="00F83A11"/>
    <w:rsid w:val="00F84DCE"/>
    <w:rsid w:val="00F84EBB"/>
    <w:rsid w:val="00F859A9"/>
    <w:rsid w:val="00F85C39"/>
    <w:rsid w:val="00F87351"/>
    <w:rsid w:val="00F87917"/>
    <w:rsid w:val="00F901A9"/>
    <w:rsid w:val="00F903A9"/>
    <w:rsid w:val="00F9184A"/>
    <w:rsid w:val="00F93B44"/>
    <w:rsid w:val="00F93C34"/>
    <w:rsid w:val="00F9518E"/>
    <w:rsid w:val="00F962F3"/>
    <w:rsid w:val="00F96AEE"/>
    <w:rsid w:val="00FA3591"/>
    <w:rsid w:val="00FA3D36"/>
    <w:rsid w:val="00FA465C"/>
    <w:rsid w:val="00FA5DA3"/>
    <w:rsid w:val="00FB0317"/>
    <w:rsid w:val="00FB294C"/>
    <w:rsid w:val="00FB2D0F"/>
    <w:rsid w:val="00FB41EB"/>
    <w:rsid w:val="00FC07BD"/>
    <w:rsid w:val="00FC180E"/>
    <w:rsid w:val="00FC2BDD"/>
    <w:rsid w:val="00FD05E9"/>
    <w:rsid w:val="00FD33AF"/>
    <w:rsid w:val="00FD3A0D"/>
    <w:rsid w:val="00FD7382"/>
    <w:rsid w:val="00FE340E"/>
    <w:rsid w:val="00FE42B7"/>
    <w:rsid w:val="00FE64C0"/>
    <w:rsid w:val="00FE6A97"/>
    <w:rsid w:val="00FE7954"/>
    <w:rsid w:val="00FF0B95"/>
    <w:rsid w:val="0217692C"/>
    <w:rsid w:val="038F02F7"/>
    <w:rsid w:val="03CC4FA8"/>
    <w:rsid w:val="03E6016F"/>
    <w:rsid w:val="0459717E"/>
    <w:rsid w:val="04D61FDC"/>
    <w:rsid w:val="06E63CDC"/>
    <w:rsid w:val="0844418D"/>
    <w:rsid w:val="08B41F92"/>
    <w:rsid w:val="08B76D5A"/>
    <w:rsid w:val="08DF0975"/>
    <w:rsid w:val="09716F76"/>
    <w:rsid w:val="097B02EA"/>
    <w:rsid w:val="09837264"/>
    <w:rsid w:val="0A64180D"/>
    <w:rsid w:val="0ACA25DF"/>
    <w:rsid w:val="0BA421A6"/>
    <w:rsid w:val="0BD51508"/>
    <w:rsid w:val="0C075E15"/>
    <w:rsid w:val="0C306F34"/>
    <w:rsid w:val="0CDD2877"/>
    <w:rsid w:val="0CED5340"/>
    <w:rsid w:val="0D1174C0"/>
    <w:rsid w:val="0D1F27FA"/>
    <w:rsid w:val="0D6D3A3F"/>
    <w:rsid w:val="0E6E0A88"/>
    <w:rsid w:val="0FFD00DC"/>
    <w:rsid w:val="10143B89"/>
    <w:rsid w:val="108574F4"/>
    <w:rsid w:val="10C06261"/>
    <w:rsid w:val="11842CB9"/>
    <w:rsid w:val="11B2641A"/>
    <w:rsid w:val="11ED25B9"/>
    <w:rsid w:val="11FB0956"/>
    <w:rsid w:val="12970578"/>
    <w:rsid w:val="13A97803"/>
    <w:rsid w:val="13C65798"/>
    <w:rsid w:val="147E456B"/>
    <w:rsid w:val="147F05B9"/>
    <w:rsid w:val="149E7A24"/>
    <w:rsid w:val="14A241BF"/>
    <w:rsid w:val="14AD5978"/>
    <w:rsid w:val="14B56714"/>
    <w:rsid w:val="169364EA"/>
    <w:rsid w:val="16EF28F7"/>
    <w:rsid w:val="172C3F21"/>
    <w:rsid w:val="173608B6"/>
    <w:rsid w:val="17A205C6"/>
    <w:rsid w:val="19267C6A"/>
    <w:rsid w:val="1968323B"/>
    <w:rsid w:val="1A1C218F"/>
    <w:rsid w:val="1AA57A28"/>
    <w:rsid w:val="1BC674B9"/>
    <w:rsid w:val="1C73289D"/>
    <w:rsid w:val="1C8171CA"/>
    <w:rsid w:val="1C8E07AC"/>
    <w:rsid w:val="1D654289"/>
    <w:rsid w:val="1E43097F"/>
    <w:rsid w:val="1EAE6D98"/>
    <w:rsid w:val="1FAE03D7"/>
    <w:rsid w:val="20474EE3"/>
    <w:rsid w:val="207048E3"/>
    <w:rsid w:val="2197576F"/>
    <w:rsid w:val="23004710"/>
    <w:rsid w:val="23281074"/>
    <w:rsid w:val="234272AC"/>
    <w:rsid w:val="24560DB6"/>
    <w:rsid w:val="24C0626D"/>
    <w:rsid w:val="25512930"/>
    <w:rsid w:val="25821F8A"/>
    <w:rsid w:val="26492242"/>
    <w:rsid w:val="26EC2917"/>
    <w:rsid w:val="26F10458"/>
    <w:rsid w:val="26F71643"/>
    <w:rsid w:val="270B7EA0"/>
    <w:rsid w:val="27866E34"/>
    <w:rsid w:val="27AA3333"/>
    <w:rsid w:val="2875335D"/>
    <w:rsid w:val="291B3161"/>
    <w:rsid w:val="2970109C"/>
    <w:rsid w:val="29A32197"/>
    <w:rsid w:val="2A17406C"/>
    <w:rsid w:val="2A177349"/>
    <w:rsid w:val="2A231C49"/>
    <w:rsid w:val="2AF37C93"/>
    <w:rsid w:val="2B3E267C"/>
    <w:rsid w:val="2B431D08"/>
    <w:rsid w:val="2B440EA5"/>
    <w:rsid w:val="2BC158D0"/>
    <w:rsid w:val="2BE1395B"/>
    <w:rsid w:val="2BFF10B6"/>
    <w:rsid w:val="2C5A74F6"/>
    <w:rsid w:val="2C7A7207"/>
    <w:rsid w:val="2D086D56"/>
    <w:rsid w:val="2D1C2933"/>
    <w:rsid w:val="2D280459"/>
    <w:rsid w:val="2D465FFC"/>
    <w:rsid w:val="2DD863F0"/>
    <w:rsid w:val="2E027CD2"/>
    <w:rsid w:val="2E281898"/>
    <w:rsid w:val="2EC749C2"/>
    <w:rsid w:val="30CA1327"/>
    <w:rsid w:val="31005745"/>
    <w:rsid w:val="31291D46"/>
    <w:rsid w:val="33BF688D"/>
    <w:rsid w:val="33EB4FFF"/>
    <w:rsid w:val="344542D6"/>
    <w:rsid w:val="3530352B"/>
    <w:rsid w:val="356625DB"/>
    <w:rsid w:val="357204F2"/>
    <w:rsid w:val="35D51272"/>
    <w:rsid w:val="35EF3036"/>
    <w:rsid w:val="360C0E37"/>
    <w:rsid w:val="361F2A30"/>
    <w:rsid w:val="36395001"/>
    <w:rsid w:val="363A2336"/>
    <w:rsid w:val="36577430"/>
    <w:rsid w:val="367066DD"/>
    <w:rsid w:val="37016231"/>
    <w:rsid w:val="372D6DC5"/>
    <w:rsid w:val="378C438C"/>
    <w:rsid w:val="37A4782C"/>
    <w:rsid w:val="37B81963"/>
    <w:rsid w:val="37F75A89"/>
    <w:rsid w:val="388F221A"/>
    <w:rsid w:val="390F5783"/>
    <w:rsid w:val="39AB2744"/>
    <w:rsid w:val="3A37181E"/>
    <w:rsid w:val="3AFE29A0"/>
    <w:rsid w:val="3B37A6CF"/>
    <w:rsid w:val="3B617977"/>
    <w:rsid w:val="3C15015E"/>
    <w:rsid w:val="3C7D5A94"/>
    <w:rsid w:val="3D0677D7"/>
    <w:rsid w:val="3D793378"/>
    <w:rsid w:val="3D81382B"/>
    <w:rsid w:val="3DD607F1"/>
    <w:rsid w:val="3E2317A6"/>
    <w:rsid w:val="3EA96C05"/>
    <w:rsid w:val="3ED329C7"/>
    <w:rsid w:val="3F093101"/>
    <w:rsid w:val="3F1E3ACE"/>
    <w:rsid w:val="3F6DDEFD"/>
    <w:rsid w:val="3F7545BF"/>
    <w:rsid w:val="3FD021FC"/>
    <w:rsid w:val="4078552E"/>
    <w:rsid w:val="40B511BF"/>
    <w:rsid w:val="40C80C98"/>
    <w:rsid w:val="412922DB"/>
    <w:rsid w:val="41D22DB3"/>
    <w:rsid w:val="4337443C"/>
    <w:rsid w:val="439FC1E9"/>
    <w:rsid w:val="44F32EFB"/>
    <w:rsid w:val="462861CA"/>
    <w:rsid w:val="47F02962"/>
    <w:rsid w:val="48085398"/>
    <w:rsid w:val="480F7347"/>
    <w:rsid w:val="487461D0"/>
    <w:rsid w:val="491C15B8"/>
    <w:rsid w:val="49835308"/>
    <w:rsid w:val="4AC479EA"/>
    <w:rsid w:val="4AE15105"/>
    <w:rsid w:val="4BDD1002"/>
    <w:rsid w:val="4C0F33C7"/>
    <w:rsid w:val="4C283856"/>
    <w:rsid w:val="4D08685A"/>
    <w:rsid w:val="4D0C7BB4"/>
    <w:rsid w:val="4D1E2451"/>
    <w:rsid w:val="4D7762D0"/>
    <w:rsid w:val="4D9A4196"/>
    <w:rsid w:val="4E110D68"/>
    <w:rsid w:val="4E69CFDE"/>
    <w:rsid w:val="4F5F3B12"/>
    <w:rsid w:val="4FE741E3"/>
    <w:rsid w:val="4FFC4C18"/>
    <w:rsid w:val="50275B24"/>
    <w:rsid w:val="50561418"/>
    <w:rsid w:val="5139437A"/>
    <w:rsid w:val="51485487"/>
    <w:rsid w:val="52400585"/>
    <w:rsid w:val="530F52A2"/>
    <w:rsid w:val="533F1A83"/>
    <w:rsid w:val="53E5271D"/>
    <w:rsid w:val="544B4CC7"/>
    <w:rsid w:val="546922B9"/>
    <w:rsid w:val="54966E61"/>
    <w:rsid w:val="54ED17DD"/>
    <w:rsid w:val="5552290D"/>
    <w:rsid w:val="55533F0B"/>
    <w:rsid w:val="557773D3"/>
    <w:rsid w:val="557B1AA1"/>
    <w:rsid w:val="56167CCC"/>
    <w:rsid w:val="568D4296"/>
    <w:rsid w:val="56AF2B15"/>
    <w:rsid w:val="56E27877"/>
    <w:rsid w:val="579142A3"/>
    <w:rsid w:val="57CA5D33"/>
    <w:rsid w:val="57EC081C"/>
    <w:rsid w:val="58384561"/>
    <w:rsid w:val="59131926"/>
    <w:rsid w:val="59A139A0"/>
    <w:rsid w:val="59CC0EC6"/>
    <w:rsid w:val="5A574E23"/>
    <w:rsid w:val="5B3FE858"/>
    <w:rsid w:val="5B505C7F"/>
    <w:rsid w:val="5B993154"/>
    <w:rsid w:val="5BEB54C6"/>
    <w:rsid w:val="5C757423"/>
    <w:rsid w:val="5CFF5693"/>
    <w:rsid w:val="5D0969CC"/>
    <w:rsid w:val="5D246A77"/>
    <w:rsid w:val="5D5E000A"/>
    <w:rsid w:val="5D7324E3"/>
    <w:rsid w:val="5DFFF1EE"/>
    <w:rsid w:val="5E672472"/>
    <w:rsid w:val="5E6B0FB3"/>
    <w:rsid w:val="5F0151F2"/>
    <w:rsid w:val="5F44161B"/>
    <w:rsid w:val="5FDC5412"/>
    <w:rsid w:val="5FE34A17"/>
    <w:rsid w:val="5FFD455E"/>
    <w:rsid w:val="5FFF80BB"/>
    <w:rsid w:val="60084EA6"/>
    <w:rsid w:val="60137F2B"/>
    <w:rsid w:val="60F60987"/>
    <w:rsid w:val="61330A33"/>
    <w:rsid w:val="62497D4C"/>
    <w:rsid w:val="635F590A"/>
    <w:rsid w:val="636031E9"/>
    <w:rsid w:val="6476789C"/>
    <w:rsid w:val="651E28A1"/>
    <w:rsid w:val="65510ACA"/>
    <w:rsid w:val="660F6264"/>
    <w:rsid w:val="661B2D21"/>
    <w:rsid w:val="66614185"/>
    <w:rsid w:val="66DE3E2D"/>
    <w:rsid w:val="6A6528C2"/>
    <w:rsid w:val="6AA2515E"/>
    <w:rsid w:val="6ADA6672"/>
    <w:rsid w:val="6ADDA35F"/>
    <w:rsid w:val="6B7431C4"/>
    <w:rsid w:val="6BDB4C93"/>
    <w:rsid w:val="6BE5478E"/>
    <w:rsid w:val="6C434533"/>
    <w:rsid w:val="6DAFD67D"/>
    <w:rsid w:val="6E0F5044"/>
    <w:rsid w:val="6E664476"/>
    <w:rsid w:val="6E8C7679"/>
    <w:rsid w:val="6E9F48AA"/>
    <w:rsid w:val="6EFB8B63"/>
    <w:rsid w:val="6F9D5F3F"/>
    <w:rsid w:val="6FCB2F5B"/>
    <w:rsid w:val="6FCCDDD0"/>
    <w:rsid w:val="6FDC8CF1"/>
    <w:rsid w:val="7029376A"/>
    <w:rsid w:val="70D56362"/>
    <w:rsid w:val="70E41045"/>
    <w:rsid w:val="71186DC7"/>
    <w:rsid w:val="71414B6E"/>
    <w:rsid w:val="7181457E"/>
    <w:rsid w:val="71C56E29"/>
    <w:rsid w:val="72947C40"/>
    <w:rsid w:val="753D794B"/>
    <w:rsid w:val="758C63C4"/>
    <w:rsid w:val="75A63C51"/>
    <w:rsid w:val="75BD782E"/>
    <w:rsid w:val="764121F8"/>
    <w:rsid w:val="76513710"/>
    <w:rsid w:val="765A2967"/>
    <w:rsid w:val="76CA944D"/>
    <w:rsid w:val="77330E7B"/>
    <w:rsid w:val="77D32EE8"/>
    <w:rsid w:val="785453E8"/>
    <w:rsid w:val="78BF2E88"/>
    <w:rsid w:val="79CB2C23"/>
    <w:rsid w:val="79DD456D"/>
    <w:rsid w:val="7A8B6C41"/>
    <w:rsid w:val="7ACA1677"/>
    <w:rsid w:val="7ACEEE2D"/>
    <w:rsid w:val="7B1265A4"/>
    <w:rsid w:val="7B457A79"/>
    <w:rsid w:val="7B6F758E"/>
    <w:rsid w:val="7BBCA746"/>
    <w:rsid w:val="7BDF1E3C"/>
    <w:rsid w:val="7C54508E"/>
    <w:rsid w:val="7C6C204E"/>
    <w:rsid w:val="7CCC5E57"/>
    <w:rsid w:val="7D4760A3"/>
    <w:rsid w:val="7D77526D"/>
    <w:rsid w:val="7DCB2464"/>
    <w:rsid w:val="7DDDF844"/>
    <w:rsid w:val="7E115EEA"/>
    <w:rsid w:val="7E32627C"/>
    <w:rsid w:val="7E414439"/>
    <w:rsid w:val="7E4E0B22"/>
    <w:rsid w:val="7ECF4E7D"/>
    <w:rsid w:val="7EEFEBFB"/>
    <w:rsid w:val="7F2B0554"/>
    <w:rsid w:val="7FD77A1F"/>
    <w:rsid w:val="7FFF2D78"/>
    <w:rsid w:val="9599E415"/>
    <w:rsid w:val="9D776C97"/>
    <w:rsid w:val="9DFAE2E3"/>
    <w:rsid w:val="B27FEB3D"/>
    <w:rsid w:val="B7BD54DD"/>
    <w:rsid w:val="B7DBB30D"/>
    <w:rsid w:val="B83B36C7"/>
    <w:rsid w:val="BDFF60C7"/>
    <w:rsid w:val="C5DEDA17"/>
    <w:rsid w:val="CB97F390"/>
    <w:rsid w:val="DF7C71AE"/>
    <w:rsid w:val="E7AF8FD1"/>
    <w:rsid w:val="EB7F7AEE"/>
    <w:rsid w:val="ECBBA1C7"/>
    <w:rsid w:val="ED1F646D"/>
    <w:rsid w:val="F7CF7711"/>
    <w:rsid w:val="FA5F62EB"/>
    <w:rsid w:val="FDBF8B49"/>
    <w:rsid w:val="FF3F8195"/>
    <w:rsid w:val="FFBBDC38"/>
    <w:rsid w:val="FFBF0321"/>
    <w:rsid w:val="FFCE48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仿宋"/>
      <w:b/>
      <w:bCs/>
      <w:kern w:val="44"/>
      <w:sz w:val="30"/>
      <w:szCs w:val="44"/>
    </w:rPr>
  </w:style>
  <w:style w:type="paragraph" w:styleId="5">
    <w:name w:val="heading 2"/>
    <w:basedOn w:val="1"/>
    <w:next w:val="1"/>
    <w:link w:val="27"/>
    <w:qFormat/>
    <w:uiPriority w:val="0"/>
    <w:pPr>
      <w:keepNext/>
      <w:keepLines/>
      <w:spacing w:before="260" w:after="260" w:line="416" w:lineRule="auto"/>
      <w:outlineLvl w:val="1"/>
    </w:pPr>
    <w:rPr>
      <w:rFonts w:ascii="Arial" w:hAnsi="Arial" w:eastAsia="仿宋"/>
      <w:b/>
      <w:bCs/>
      <w:sz w:val="30"/>
      <w:szCs w:val="32"/>
    </w:rPr>
  </w:style>
  <w:style w:type="paragraph" w:styleId="6">
    <w:name w:val="heading 3"/>
    <w:basedOn w:val="1"/>
    <w:next w:val="1"/>
    <w:qFormat/>
    <w:uiPriority w:val="0"/>
    <w:pPr>
      <w:outlineLvl w:val="2"/>
    </w:pPr>
    <w:rPr>
      <w:rFonts w:eastAsia="楷体_GB2312"/>
      <w:b/>
      <w:bCs/>
      <w:szCs w:val="32"/>
    </w:rPr>
  </w:style>
  <w:style w:type="paragraph" w:styleId="7">
    <w:name w:val="heading 4"/>
    <w:basedOn w:val="1"/>
    <w:next w:val="1"/>
    <w:link w:val="6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Calibri" w:hAnsi="Calibri"/>
      <w:kern w:val="0"/>
      <w:sz w:val="20"/>
      <w:szCs w:val="20"/>
    </w:rPr>
  </w:style>
  <w:style w:type="paragraph" w:styleId="3">
    <w:name w:val="Body Text Indent"/>
    <w:basedOn w:val="1"/>
    <w:unhideWhenUsed/>
    <w:qFormat/>
    <w:uiPriority w:val="99"/>
    <w:pPr>
      <w:spacing w:after="120"/>
      <w:ind w:left="420" w:leftChars="200"/>
    </w:pPr>
  </w:style>
  <w:style w:type="paragraph" w:styleId="8">
    <w:name w:val="annotation text"/>
    <w:basedOn w:val="1"/>
    <w:link w:val="39"/>
    <w:unhideWhenUsed/>
    <w:qFormat/>
    <w:uiPriority w:val="99"/>
    <w:pPr>
      <w:jc w:val="left"/>
    </w:pPr>
    <w:rPr>
      <w:szCs w:val="22"/>
    </w:rPr>
  </w:style>
  <w:style w:type="paragraph" w:styleId="9">
    <w:name w:val="Body Text"/>
    <w:basedOn w:val="1"/>
    <w:unhideWhenUsed/>
    <w:qFormat/>
    <w:uiPriority w:val="99"/>
    <w:pPr>
      <w:spacing w:after="120"/>
    </w:pPr>
  </w:style>
  <w:style w:type="paragraph" w:styleId="10">
    <w:name w:val="toc 3"/>
    <w:basedOn w:val="1"/>
    <w:next w:val="1"/>
    <w:unhideWhenUsed/>
    <w:qFormat/>
    <w:uiPriority w:val="39"/>
    <w:pPr>
      <w:widowControl/>
      <w:spacing w:after="100" w:line="276" w:lineRule="auto"/>
      <w:ind w:left="440"/>
      <w:jc w:val="left"/>
    </w:pPr>
    <w:rPr>
      <w:kern w:val="0"/>
      <w:sz w:val="22"/>
      <w:szCs w:val="22"/>
    </w:rPr>
  </w:style>
  <w:style w:type="paragraph" w:styleId="11">
    <w:name w:val="Balloon Text"/>
    <w:basedOn w:val="1"/>
    <w:link w:val="29"/>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96"/>
      </w:tabs>
      <w:spacing w:line="480" w:lineRule="auto"/>
    </w:pPr>
    <w:rPr>
      <w:b/>
    </w:rPr>
  </w:style>
  <w:style w:type="paragraph" w:styleId="15">
    <w:name w:val="toc 2"/>
    <w:basedOn w:val="1"/>
    <w:next w:val="1"/>
    <w:unhideWhenUsed/>
    <w:qFormat/>
    <w:uiPriority w:val="39"/>
    <w:pPr>
      <w:widowControl/>
      <w:spacing w:after="100" w:line="276" w:lineRule="auto"/>
      <w:ind w:left="220"/>
      <w:jc w:val="left"/>
    </w:pPr>
    <w:rPr>
      <w:kern w:val="0"/>
      <w:sz w:val="22"/>
      <w:szCs w:val="22"/>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widowControl/>
    </w:pPr>
    <w:rPr>
      <w:rFonts w:eastAsia="Arial Unicode MS"/>
      <w:kern w:val="0"/>
      <w:sz w:val="24"/>
    </w:rPr>
  </w:style>
  <w:style w:type="paragraph" w:styleId="18">
    <w:name w:val="annotation subject"/>
    <w:basedOn w:val="8"/>
    <w:next w:val="8"/>
    <w:link w:val="38"/>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unhideWhenUsed/>
    <w:qFormat/>
    <w:uiPriority w:val="99"/>
    <w:rPr>
      <w:color w:val="954F72" w:themeColor="followedHyperlink"/>
      <w:u w:val="single"/>
      <w14:textFill>
        <w14:solidFill>
          <w14:schemeClr w14:val="folHlink"/>
        </w14:solidFill>
      </w14:textFill>
    </w:rPr>
  </w:style>
  <w:style w:type="character" w:styleId="24">
    <w:name w:val="Hyperlink"/>
    <w:unhideWhenUsed/>
    <w:qFormat/>
    <w:uiPriority w:val="99"/>
    <w:rPr>
      <w:color w:val="0000FF"/>
      <w:u w:val="single"/>
    </w:rPr>
  </w:style>
  <w:style w:type="character" w:styleId="25">
    <w:name w:val="annotation reference"/>
    <w:basedOn w:val="21"/>
    <w:unhideWhenUsed/>
    <w:qFormat/>
    <w:uiPriority w:val="99"/>
    <w:rPr>
      <w:sz w:val="21"/>
      <w:szCs w:val="21"/>
    </w:rPr>
  </w:style>
  <w:style w:type="paragraph" w:customStyle="1" w:styleId="26">
    <w:name w:val="TOAHeading"/>
    <w:basedOn w:val="1"/>
    <w:next w:val="1"/>
    <w:qFormat/>
    <w:uiPriority w:val="0"/>
    <w:pPr>
      <w:spacing w:before="120" w:after="100" w:afterAutospacing="1"/>
      <w:textAlignment w:val="baseline"/>
    </w:pPr>
    <w:rPr>
      <w:rFonts w:ascii="Arial" w:hAnsi="Arial"/>
    </w:rPr>
  </w:style>
  <w:style w:type="character" w:customStyle="1" w:styleId="27">
    <w:name w:val="标题 2 Char"/>
    <w:link w:val="5"/>
    <w:qFormat/>
    <w:uiPriority w:val="0"/>
    <w:rPr>
      <w:rFonts w:ascii="Arial" w:hAnsi="Arial" w:eastAsia="仿宋"/>
      <w:b/>
      <w:bCs/>
      <w:kern w:val="2"/>
      <w:sz w:val="30"/>
      <w:szCs w:val="32"/>
      <w:lang w:val="en-US" w:eastAsia="zh-CN" w:bidi="ar-SA"/>
    </w:rPr>
  </w:style>
  <w:style w:type="character" w:customStyle="1" w:styleId="28">
    <w:name w:val="页脚 Char"/>
    <w:link w:val="12"/>
    <w:qFormat/>
    <w:uiPriority w:val="99"/>
    <w:rPr>
      <w:kern w:val="2"/>
      <w:sz w:val="18"/>
      <w:szCs w:val="18"/>
    </w:rPr>
  </w:style>
  <w:style w:type="character" w:customStyle="1" w:styleId="29">
    <w:name w:val="批注框文本 Char"/>
    <w:link w:val="11"/>
    <w:qFormat/>
    <w:uiPriority w:val="99"/>
    <w:rPr>
      <w:kern w:val="2"/>
      <w:sz w:val="18"/>
      <w:szCs w:val="18"/>
    </w:rPr>
  </w:style>
  <w:style w:type="character" w:customStyle="1" w:styleId="30">
    <w:name w:val="页眉 Char"/>
    <w:link w:val="13"/>
    <w:qFormat/>
    <w:uiPriority w:val="99"/>
    <w:rPr>
      <w:kern w:val="2"/>
      <w:sz w:val="18"/>
      <w:szCs w:val="18"/>
    </w:rPr>
  </w:style>
  <w:style w:type="paragraph" w:customStyle="1" w:styleId="31">
    <w:name w:val="样式2"/>
    <w:basedOn w:val="4"/>
    <w:qFormat/>
    <w:uiPriority w:val="0"/>
    <w:rPr>
      <w:rFonts w:ascii="宋体" w:hAnsi="宋体"/>
      <w:szCs w:val="32"/>
    </w:rPr>
  </w:style>
  <w:style w:type="paragraph" w:customStyle="1" w:styleId="32">
    <w:name w:val="样式1"/>
    <w:basedOn w:val="4"/>
    <w:qFormat/>
    <w:uiPriority w:val="0"/>
    <w:rPr>
      <w:rFonts w:ascii="宋体" w:hAnsi="宋体"/>
      <w:szCs w:val="32"/>
    </w:rPr>
  </w:style>
  <w:style w:type="paragraph" w:customStyle="1" w:styleId="33">
    <w:name w:val="TOC 标题1"/>
    <w:basedOn w:val="4"/>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34">
    <w:name w:val="标题1"/>
    <w:basedOn w:val="4"/>
    <w:qFormat/>
    <w:uiPriority w:val="0"/>
    <w:rPr>
      <w:rFonts w:ascii="宋体" w:hAnsi="宋体"/>
      <w:bCs w:val="0"/>
      <w:szCs w:val="32"/>
    </w:rPr>
  </w:style>
  <w:style w:type="paragraph" w:customStyle="1" w:styleId="35">
    <w:name w:val="样式 样式 仿宋_GB2312 三号1 + 首行缩进:  1.31 字符"/>
    <w:basedOn w:val="1"/>
    <w:qFormat/>
    <w:uiPriority w:val="0"/>
    <w:pPr>
      <w:spacing w:line="360" w:lineRule="auto"/>
      <w:ind w:firstLine="131" w:firstLineChars="131"/>
    </w:pPr>
    <w:rPr>
      <w:rFonts w:ascii="仿宋_GB2312" w:cs="宋体"/>
      <w:sz w:val="24"/>
      <w:szCs w:val="20"/>
    </w:rPr>
  </w:style>
  <w:style w:type="character" w:customStyle="1" w:styleId="36">
    <w:name w:val="font11"/>
    <w:basedOn w:val="21"/>
    <w:qFormat/>
    <w:uiPriority w:val="0"/>
    <w:rPr>
      <w:rFonts w:hint="eastAsia" w:ascii="黑体" w:hAnsi="宋体" w:eastAsia="黑体" w:cs="黑体"/>
      <w:color w:val="000000"/>
      <w:sz w:val="28"/>
      <w:szCs w:val="28"/>
      <w:u w:val="none"/>
    </w:rPr>
  </w:style>
  <w:style w:type="character" w:customStyle="1" w:styleId="37">
    <w:name w:val="font21"/>
    <w:basedOn w:val="21"/>
    <w:qFormat/>
    <w:uiPriority w:val="0"/>
    <w:rPr>
      <w:rFonts w:hint="default" w:ascii="Times New Roman" w:hAnsi="Times New Roman" w:cs="Times New Roman"/>
      <w:color w:val="000000"/>
      <w:sz w:val="28"/>
      <w:szCs w:val="28"/>
      <w:u w:val="none"/>
    </w:rPr>
  </w:style>
  <w:style w:type="character" w:customStyle="1" w:styleId="38">
    <w:name w:val="批注主题 Char"/>
    <w:basedOn w:val="39"/>
    <w:link w:val="18"/>
    <w:qFormat/>
    <w:uiPriority w:val="99"/>
    <w:rPr>
      <w:b/>
      <w:bCs/>
      <w:kern w:val="2"/>
      <w:sz w:val="21"/>
      <w:szCs w:val="22"/>
    </w:rPr>
  </w:style>
  <w:style w:type="character" w:customStyle="1" w:styleId="39">
    <w:name w:val="批注文字 Char"/>
    <w:basedOn w:val="21"/>
    <w:link w:val="8"/>
    <w:qFormat/>
    <w:uiPriority w:val="99"/>
    <w:rPr>
      <w:kern w:val="2"/>
      <w:sz w:val="21"/>
      <w:szCs w:val="22"/>
    </w:rPr>
  </w:style>
  <w:style w:type="character" w:customStyle="1" w:styleId="40">
    <w:name w:val="批注文字 字符1"/>
    <w:basedOn w:val="21"/>
    <w:qFormat/>
    <w:uiPriority w:val="99"/>
    <w:rPr>
      <w:kern w:val="2"/>
      <w:sz w:val="21"/>
      <w:szCs w:val="24"/>
    </w:rPr>
  </w:style>
  <w:style w:type="character" w:customStyle="1" w:styleId="41">
    <w:name w:val="批注主题 字符1"/>
    <w:basedOn w:val="40"/>
    <w:qFormat/>
    <w:uiPriority w:val="99"/>
    <w:rPr>
      <w:b/>
      <w:bCs/>
      <w:kern w:val="2"/>
      <w:sz w:val="21"/>
      <w:szCs w:val="24"/>
    </w:rPr>
  </w:style>
  <w:style w:type="paragraph" w:styleId="42">
    <w:name w:val="List Paragraph"/>
    <w:basedOn w:val="1"/>
    <w:qFormat/>
    <w:uiPriority w:val="99"/>
    <w:pPr>
      <w:ind w:firstLine="420" w:firstLineChars="200"/>
    </w:pPr>
    <w:rPr>
      <w:szCs w:val="22"/>
    </w:rPr>
  </w:style>
  <w:style w:type="character" w:customStyle="1" w:styleId="43">
    <w:name w:val="font291"/>
    <w:basedOn w:val="21"/>
    <w:qFormat/>
    <w:uiPriority w:val="0"/>
    <w:rPr>
      <w:rFonts w:hint="eastAsia" w:ascii="宋体" w:hAnsi="宋体" w:eastAsia="宋体"/>
      <w:color w:val="4F4F4F"/>
      <w:sz w:val="23"/>
      <w:szCs w:val="23"/>
      <w:u w:val="none"/>
    </w:rPr>
  </w:style>
  <w:style w:type="character" w:customStyle="1" w:styleId="44">
    <w:name w:val="font281"/>
    <w:basedOn w:val="21"/>
    <w:qFormat/>
    <w:uiPriority w:val="0"/>
    <w:rPr>
      <w:rFonts w:hint="eastAsia" w:ascii="宋体" w:hAnsi="宋体" w:eastAsia="宋体"/>
      <w:color w:val="2D2D2D"/>
      <w:sz w:val="23"/>
      <w:szCs w:val="23"/>
      <w:u w:val="none"/>
    </w:rPr>
  </w:style>
  <w:style w:type="character" w:customStyle="1" w:styleId="45">
    <w:name w:val="font251"/>
    <w:basedOn w:val="21"/>
    <w:qFormat/>
    <w:uiPriority w:val="0"/>
    <w:rPr>
      <w:rFonts w:hint="eastAsia" w:ascii="宋体" w:hAnsi="宋体" w:eastAsia="宋体"/>
      <w:color w:val="4F4F4F"/>
      <w:sz w:val="22"/>
      <w:szCs w:val="22"/>
      <w:u w:val="none"/>
    </w:rPr>
  </w:style>
  <w:style w:type="character" w:customStyle="1" w:styleId="46">
    <w:name w:val="font211"/>
    <w:basedOn w:val="21"/>
    <w:qFormat/>
    <w:uiPriority w:val="0"/>
    <w:rPr>
      <w:rFonts w:hint="eastAsia" w:ascii="宋体" w:hAnsi="宋体" w:eastAsia="宋体"/>
      <w:color w:val="2D2D2D"/>
      <w:sz w:val="22"/>
      <w:szCs w:val="22"/>
      <w:u w:val="none"/>
    </w:rPr>
  </w:style>
  <w:style w:type="character" w:customStyle="1" w:styleId="47">
    <w:name w:val="font261"/>
    <w:basedOn w:val="21"/>
    <w:qFormat/>
    <w:uiPriority w:val="0"/>
    <w:rPr>
      <w:rFonts w:hint="eastAsia" w:ascii="宋体" w:hAnsi="宋体" w:eastAsia="宋体"/>
      <w:color w:val="646464"/>
      <w:sz w:val="22"/>
      <w:szCs w:val="22"/>
      <w:u w:val="none"/>
    </w:rPr>
  </w:style>
  <w:style w:type="character" w:customStyle="1" w:styleId="48">
    <w:name w:val="font41"/>
    <w:basedOn w:val="21"/>
    <w:qFormat/>
    <w:uiPriority w:val="0"/>
    <w:rPr>
      <w:rFonts w:hint="eastAsia" w:ascii="宋体" w:hAnsi="宋体" w:eastAsia="宋体"/>
      <w:color w:val="2D2D2D"/>
      <w:sz w:val="22"/>
      <w:szCs w:val="22"/>
      <w:u w:val="none"/>
    </w:rPr>
  </w:style>
  <w:style w:type="character" w:customStyle="1" w:styleId="49">
    <w:name w:val="font201"/>
    <w:basedOn w:val="21"/>
    <w:qFormat/>
    <w:uiPriority w:val="0"/>
    <w:rPr>
      <w:rFonts w:hint="eastAsia" w:ascii="宋体" w:hAnsi="宋体" w:eastAsia="宋体"/>
      <w:color w:val="4F4F4F"/>
      <w:sz w:val="22"/>
      <w:szCs w:val="22"/>
      <w:u w:val="none"/>
    </w:rPr>
  </w:style>
  <w:style w:type="character" w:customStyle="1" w:styleId="50">
    <w:name w:val="font131"/>
    <w:basedOn w:val="21"/>
    <w:qFormat/>
    <w:uiPriority w:val="0"/>
    <w:rPr>
      <w:rFonts w:hint="eastAsia" w:ascii="宋体" w:hAnsi="宋体" w:eastAsia="宋体"/>
      <w:color w:val="797979"/>
      <w:sz w:val="22"/>
      <w:szCs w:val="22"/>
      <w:u w:val="none"/>
    </w:rPr>
  </w:style>
  <w:style w:type="character" w:customStyle="1" w:styleId="51">
    <w:name w:val="font121"/>
    <w:basedOn w:val="21"/>
    <w:qFormat/>
    <w:uiPriority w:val="0"/>
    <w:rPr>
      <w:rFonts w:hint="eastAsia" w:ascii="宋体" w:hAnsi="宋体" w:eastAsia="宋体"/>
      <w:color w:val="8C8C8C"/>
      <w:sz w:val="22"/>
      <w:szCs w:val="22"/>
      <w:u w:val="none"/>
    </w:rPr>
  </w:style>
  <w:style w:type="character" w:customStyle="1" w:styleId="52">
    <w:name w:val="font241"/>
    <w:basedOn w:val="21"/>
    <w:qFormat/>
    <w:uiPriority w:val="0"/>
    <w:rPr>
      <w:rFonts w:hint="eastAsia" w:ascii="宋体" w:hAnsi="宋体" w:eastAsia="宋体"/>
      <w:color w:val="3D3D3D"/>
      <w:sz w:val="22"/>
      <w:szCs w:val="22"/>
      <w:u w:val="none"/>
    </w:rPr>
  </w:style>
  <w:style w:type="character" w:customStyle="1" w:styleId="53">
    <w:name w:val="font91"/>
    <w:basedOn w:val="21"/>
    <w:qFormat/>
    <w:uiPriority w:val="0"/>
    <w:rPr>
      <w:rFonts w:hint="eastAsia" w:ascii="宋体" w:hAnsi="宋体" w:eastAsia="宋体"/>
      <w:color w:val="000000"/>
      <w:sz w:val="22"/>
      <w:szCs w:val="22"/>
      <w:u w:val="none"/>
    </w:rPr>
  </w:style>
  <w:style w:type="character" w:customStyle="1" w:styleId="54">
    <w:name w:val="font191"/>
    <w:basedOn w:val="21"/>
    <w:qFormat/>
    <w:uiPriority w:val="0"/>
    <w:rPr>
      <w:rFonts w:hint="eastAsia" w:ascii="宋体" w:hAnsi="宋体" w:eastAsia="宋体"/>
      <w:color w:val="161616"/>
      <w:sz w:val="22"/>
      <w:szCs w:val="22"/>
      <w:u w:val="none"/>
    </w:rPr>
  </w:style>
  <w:style w:type="character" w:customStyle="1" w:styleId="55">
    <w:name w:val="font161"/>
    <w:basedOn w:val="21"/>
    <w:qFormat/>
    <w:uiPriority w:val="0"/>
    <w:rPr>
      <w:rFonts w:hint="eastAsia" w:ascii="宋体" w:hAnsi="宋体" w:eastAsia="宋体"/>
      <w:color w:val="383838"/>
      <w:sz w:val="22"/>
      <w:szCs w:val="22"/>
      <w:u w:val="none"/>
    </w:rPr>
  </w:style>
  <w:style w:type="character" w:customStyle="1" w:styleId="56">
    <w:name w:val="font210"/>
    <w:basedOn w:val="21"/>
    <w:qFormat/>
    <w:uiPriority w:val="0"/>
    <w:rPr>
      <w:rFonts w:hint="eastAsia" w:ascii="宋体" w:hAnsi="宋体" w:eastAsia="宋体"/>
      <w:color w:val="5E5E5E"/>
      <w:sz w:val="22"/>
      <w:szCs w:val="22"/>
      <w:u w:val="none"/>
    </w:rPr>
  </w:style>
  <w:style w:type="character" w:customStyle="1" w:styleId="57">
    <w:name w:val="font141"/>
    <w:basedOn w:val="21"/>
    <w:qFormat/>
    <w:uiPriority w:val="0"/>
    <w:rPr>
      <w:rFonts w:hint="eastAsia" w:ascii="宋体" w:hAnsi="宋体" w:eastAsia="宋体"/>
      <w:color w:val="4B4B4B"/>
      <w:sz w:val="22"/>
      <w:szCs w:val="22"/>
      <w:u w:val="none"/>
    </w:rPr>
  </w:style>
  <w:style w:type="character" w:customStyle="1" w:styleId="58">
    <w:name w:val="font111"/>
    <w:basedOn w:val="21"/>
    <w:qFormat/>
    <w:uiPriority w:val="0"/>
    <w:rPr>
      <w:rFonts w:hint="eastAsia" w:ascii="宋体" w:hAnsi="宋体" w:eastAsia="宋体"/>
      <w:color w:val="8E8E8E"/>
      <w:sz w:val="22"/>
      <w:szCs w:val="22"/>
      <w:u w:val="none"/>
    </w:rPr>
  </w:style>
  <w:style w:type="character" w:customStyle="1" w:styleId="59">
    <w:name w:val="font271"/>
    <w:basedOn w:val="21"/>
    <w:qFormat/>
    <w:uiPriority w:val="0"/>
    <w:rPr>
      <w:rFonts w:hint="eastAsia" w:ascii="宋体" w:hAnsi="宋体" w:eastAsia="宋体"/>
      <w:color w:val="5E5E5E"/>
      <w:sz w:val="23"/>
      <w:szCs w:val="23"/>
      <w:u w:val="none"/>
    </w:rPr>
  </w:style>
  <w:style w:type="character" w:customStyle="1" w:styleId="60">
    <w:name w:val="font81"/>
    <w:basedOn w:val="21"/>
    <w:qFormat/>
    <w:uiPriority w:val="0"/>
    <w:rPr>
      <w:rFonts w:hint="eastAsia" w:ascii="宋体" w:hAnsi="宋体" w:eastAsia="宋体"/>
      <w:color w:val="646464"/>
      <w:sz w:val="20"/>
      <w:szCs w:val="20"/>
      <w:u w:val="none"/>
    </w:rPr>
  </w:style>
  <w:style w:type="character" w:customStyle="1" w:styleId="61">
    <w:name w:val="font61"/>
    <w:basedOn w:val="21"/>
    <w:qFormat/>
    <w:uiPriority w:val="0"/>
    <w:rPr>
      <w:rFonts w:hint="eastAsia" w:ascii="宋体" w:hAnsi="宋体" w:eastAsia="宋体"/>
      <w:color w:val="4F4F4F"/>
      <w:sz w:val="20"/>
      <w:szCs w:val="20"/>
      <w:u w:val="none"/>
    </w:rPr>
  </w:style>
  <w:style w:type="character" w:customStyle="1" w:styleId="62">
    <w:name w:val="font31"/>
    <w:basedOn w:val="21"/>
    <w:qFormat/>
    <w:uiPriority w:val="0"/>
    <w:rPr>
      <w:rFonts w:hint="eastAsia" w:ascii="宋体" w:hAnsi="宋体" w:eastAsia="宋体"/>
      <w:color w:val="8C8C8C"/>
      <w:sz w:val="20"/>
      <w:szCs w:val="20"/>
      <w:u w:val="none"/>
    </w:rPr>
  </w:style>
  <w:style w:type="character" w:customStyle="1" w:styleId="63">
    <w:name w:val="font151"/>
    <w:basedOn w:val="21"/>
    <w:qFormat/>
    <w:uiPriority w:val="0"/>
    <w:rPr>
      <w:rFonts w:hint="eastAsia" w:ascii="宋体" w:hAnsi="宋体" w:eastAsia="宋体"/>
      <w:color w:val="3D3D3D"/>
      <w:sz w:val="20"/>
      <w:szCs w:val="20"/>
      <w:u w:val="none"/>
    </w:rPr>
  </w:style>
  <w:style w:type="character" w:customStyle="1" w:styleId="64">
    <w:name w:val="font01"/>
    <w:basedOn w:val="21"/>
    <w:qFormat/>
    <w:uiPriority w:val="0"/>
    <w:rPr>
      <w:rFonts w:hint="eastAsia" w:ascii="宋体" w:hAnsi="宋体" w:eastAsia="宋体"/>
      <w:color w:val="000000"/>
      <w:sz w:val="20"/>
      <w:szCs w:val="20"/>
      <w:u w:val="none"/>
    </w:rPr>
  </w:style>
  <w:style w:type="character" w:customStyle="1" w:styleId="65">
    <w:name w:val="font181"/>
    <w:basedOn w:val="21"/>
    <w:qFormat/>
    <w:uiPriority w:val="0"/>
    <w:rPr>
      <w:rFonts w:hint="eastAsia" w:ascii="宋体" w:hAnsi="宋体" w:eastAsia="宋体"/>
      <w:color w:val="5E5E5E"/>
      <w:sz w:val="20"/>
      <w:szCs w:val="20"/>
      <w:u w:val="none"/>
    </w:rPr>
  </w:style>
  <w:style w:type="character" w:customStyle="1" w:styleId="66">
    <w:name w:val="标题 4 Char"/>
    <w:basedOn w:val="21"/>
    <w:link w:val="7"/>
    <w:semiHidden/>
    <w:qFormat/>
    <w:uiPriority w:val="0"/>
    <w:rPr>
      <w:rFonts w:asciiTheme="majorHAnsi" w:hAnsiTheme="majorHAnsi" w:eastAsiaTheme="majorEastAsia" w:cstheme="majorBidi"/>
      <w:b/>
      <w:bCs/>
      <w:kern w:val="2"/>
      <w:sz w:val="28"/>
      <w:szCs w:val="28"/>
    </w:rPr>
  </w:style>
  <w:style w:type="character" w:customStyle="1" w:styleId="67">
    <w:name w:val="NormalCharacter"/>
    <w:semiHidden/>
    <w:qFormat/>
    <w:uiPriority w:val="0"/>
  </w:style>
  <w:style w:type="character" w:customStyle="1" w:styleId="68">
    <w:name w:val="font71"/>
    <w:basedOn w:val="21"/>
    <w:qFormat/>
    <w:uiPriority w:val="0"/>
    <w:rPr>
      <w:rFonts w:hint="eastAsia" w:ascii="宋体" w:hAnsi="宋体" w:eastAsia="宋体" w:cs="宋体"/>
      <w:color w:val="000000"/>
      <w:sz w:val="22"/>
      <w:szCs w:val="22"/>
      <w:u w:val="none"/>
    </w:rPr>
  </w:style>
  <w:style w:type="character" w:customStyle="1" w:styleId="69">
    <w:name w:val="font101"/>
    <w:basedOn w:val="21"/>
    <w:qFormat/>
    <w:uiPriority w:val="0"/>
    <w:rPr>
      <w:rFonts w:hint="default" w:ascii="Times New Roman" w:hAnsi="Times New Roman" w:cs="Times New Roman"/>
      <w:color w:val="000000"/>
      <w:sz w:val="18"/>
      <w:szCs w:val="18"/>
      <w:u w:val="none"/>
    </w:rPr>
  </w:style>
  <w:style w:type="character" w:customStyle="1" w:styleId="70">
    <w:name w:val="UserStyle_0"/>
    <w:qFormat/>
    <w:uiPriority w:val="0"/>
    <w:rPr>
      <w:rFonts w:eastAsia="仿宋_GB2312"/>
      <w:kern w:val="2"/>
      <w:sz w:val="32"/>
      <w:szCs w:val="24"/>
      <w:lang w:val="en-US" w:eastAsia="zh-CN" w:bidi="ar-SA"/>
    </w:rPr>
  </w:style>
  <w:style w:type="character" w:customStyle="1" w:styleId="71">
    <w:name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9245</Words>
  <Characters>9779</Characters>
  <Lines>61</Lines>
  <Paragraphs>17</Paragraphs>
  <TotalTime>9</TotalTime>
  <ScaleCrop>false</ScaleCrop>
  <LinksUpToDate>false</LinksUpToDate>
  <CharactersWithSpaces>9872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2023-06-29T10:30:00Z</dcterms:created>
  <dc:creator>Administrator</dc:creator>
  <cp:lastModifiedBy>Rocy</cp:lastModifiedBy>
  <cp:lastPrinted>2023-06-29T10:31:00Z</cp:lastPrinted>
  <dcterms:modified xsi:type="dcterms:W3CDTF">2024-09-07T03:18:32Z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A270EC9BAF75494291C02A709954D50B_13</vt:lpwstr>
  </property>
</Properties>
</file>