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41FB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kern w:val="0"/>
          <w:sz w:val="44"/>
          <w:szCs w:val="44"/>
          <w:u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  <w:t>年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  <w:lang w:eastAsia="zh-CN"/>
        </w:rPr>
        <w:t>湖南省农业农村厅机关后勤服务</w:t>
      </w:r>
    </w:p>
    <w:p w14:paraId="341323E8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  <w:lang w:eastAsia="zh-CN"/>
        </w:rPr>
        <w:t>中心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u w:val="none"/>
        </w:rPr>
        <w:t>预算</w:t>
      </w:r>
    </w:p>
    <w:p w14:paraId="490CBE81"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u w:val="none"/>
        </w:rPr>
      </w:pPr>
    </w:p>
    <w:p w14:paraId="59999036"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  <w:t>目 录</w:t>
      </w:r>
    </w:p>
    <w:p w14:paraId="6A68C20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</w:p>
    <w:p w14:paraId="5B5DB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 xml:space="preserve">第一部分 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年单位预算说明</w:t>
      </w:r>
    </w:p>
    <w:p w14:paraId="12D92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 xml:space="preserve">第二部分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年单位预算表</w:t>
      </w:r>
    </w:p>
    <w:p w14:paraId="470D3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1、收支总表</w:t>
      </w:r>
    </w:p>
    <w:p w14:paraId="78BA1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2、收入总表</w:t>
      </w:r>
    </w:p>
    <w:p w14:paraId="7BB71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3、支出总表</w:t>
      </w:r>
    </w:p>
    <w:p w14:paraId="77D56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4、支出预算分类汇总表（按政府预算经济分类）</w:t>
      </w:r>
    </w:p>
    <w:p w14:paraId="16109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5、支出预算分类汇总表（按部门预算经济分类）</w:t>
      </w:r>
    </w:p>
    <w:p w14:paraId="77518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6、财政拨款收支总表</w:t>
      </w:r>
    </w:p>
    <w:p w14:paraId="5E68C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7、一般公共预算支出表</w:t>
      </w:r>
    </w:p>
    <w:p w14:paraId="3D8D1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8、一般公共预算基本支出表-人员经费（工资福利支出）（按政府预算经济分类）</w:t>
      </w:r>
    </w:p>
    <w:p w14:paraId="4DC81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9、一般公共预算基本支出表-人员经费（工资福利支出）（按部门预算经济分类）</w:t>
      </w:r>
    </w:p>
    <w:p w14:paraId="3197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10、一般公共预算基本支出表-人员经费（对个人和家庭的补助）（按政府预算经济分类）</w:t>
      </w:r>
    </w:p>
    <w:p w14:paraId="0548E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11、一般公共预算基本支出表-人员经费（对个人和家庭的补助）（按部门预算经济分类）</w:t>
      </w:r>
    </w:p>
    <w:p w14:paraId="20902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12、一般公共预算基本支出表-公用经费（商品和服务支出）（按政府预算经济分类）</w:t>
      </w:r>
    </w:p>
    <w:p w14:paraId="05BDD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13、一般公共预算基本支出表-公用经费（商品和服务支出）（按部门预算经济分类）</w:t>
      </w:r>
    </w:p>
    <w:p w14:paraId="42E1D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14、一般公共预算“三公”经费支出表</w:t>
      </w:r>
    </w:p>
    <w:p w14:paraId="29B29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15、政府性基金预算支出表</w:t>
      </w:r>
    </w:p>
    <w:p w14:paraId="3BB22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16、政府性基金预算支出分类汇总表（按政府预算经济分类）</w:t>
      </w:r>
    </w:p>
    <w:p w14:paraId="4F8FA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17、政府性基金预算支出分类汇总表（按部门预算经济分类）</w:t>
      </w:r>
    </w:p>
    <w:p w14:paraId="63682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18、国有资本经营预算支出表</w:t>
      </w:r>
    </w:p>
    <w:p w14:paraId="22C9A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19、财政专户管理资金预算支出表</w:t>
      </w:r>
    </w:p>
    <w:p w14:paraId="293ED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20、省级专项资金预算汇总表</w:t>
      </w:r>
    </w:p>
    <w:p w14:paraId="4A482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21、省级专项资金绩效目标表</w:t>
      </w:r>
    </w:p>
    <w:p w14:paraId="07CA5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22、其他项目支出绩效目标表</w:t>
      </w:r>
    </w:p>
    <w:p w14:paraId="69D48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23、部门整体支出绩效目标表</w:t>
      </w:r>
    </w:p>
    <w:p w14:paraId="47B81A1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68A74B6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554F3C7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75717D5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7DE364C7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4FB7626C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70FCBAD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5FDEC5E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5A13903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0BB8240D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</w:p>
    <w:p w14:paraId="04751FCB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 xml:space="preserve">第一部分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u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>年单位预算说明</w:t>
      </w:r>
    </w:p>
    <w:p w14:paraId="1F99318E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09F8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  <w:t>一、单位基本概况</w:t>
      </w:r>
    </w:p>
    <w:p w14:paraId="65E6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（一）职能职责。</w:t>
      </w:r>
    </w:p>
    <w:p w14:paraId="1670BD31">
      <w:pPr>
        <w:pStyle w:val="4"/>
        <w:spacing w:before="72" w:line="290" w:lineRule="auto"/>
        <w:ind w:right="113" w:firstLine="633"/>
        <w:rPr>
          <w:u w:val="none"/>
        </w:rPr>
      </w:pPr>
      <w:r>
        <w:rPr>
          <w:spacing w:val="-3"/>
          <w:u w:val="none"/>
        </w:rPr>
        <w:t>农业农村厅的一个窗口与外界各部门、机构进行工作衔接，主要负责对厅机关交给后勤中心保管、使用的房屋、公用设施、专用设备等进行管</w:t>
      </w:r>
      <w:r>
        <w:rPr>
          <w:spacing w:val="-12"/>
          <w:w w:val="95"/>
          <w:u w:val="none"/>
        </w:rPr>
        <w:t xml:space="preserve">理、维护、维修，使其为厅机关提供后勤保障服务， </w:t>
      </w:r>
      <w:r>
        <w:rPr>
          <w:spacing w:val="-3"/>
          <w:u w:val="none"/>
        </w:rPr>
        <w:t>保证机关大院的正常工作和生活次序；按照厅</w:t>
      </w:r>
      <w:bookmarkStart w:id="0" w:name="_GoBack"/>
      <w:bookmarkEnd w:id="0"/>
      <w:r>
        <w:rPr>
          <w:spacing w:val="-3"/>
          <w:u w:val="none"/>
        </w:rPr>
        <w:t>党组的委托及授权，负责与当地各级政府部门进行工作衔接；后勤的工作职能决定其代表农业农村厅与省、市、区、社区等地方政府</w:t>
      </w:r>
      <w:r>
        <w:rPr>
          <w:spacing w:val="-17"/>
          <w:w w:val="99"/>
          <w:u w:val="none"/>
        </w:rPr>
        <w:t>各职能部门进行工作联系，</w:t>
      </w:r>
      <w:r>
        <w:rPr>
          <w:spacing w:val="-3"/>
          <w:w w:val="99"/>
          <w:u w:val="none"/>
        </w:rPr>
        <w:t>（计生办、治安联防、卫生防疫、</w:t>
      </w:r>
      <w:r>
        <w:rPr>
          <w:spacing w:val="-3"/>
          <w:u w:val="none"/>
        </w:rPr>
        <w:t>园林绿化、节能节水、电力、税务、审计、国土局、消防、环保、文物局、防雷办、白蚁防治办、血防办、残联、街道办、爱卫会、文明办、居委会等等）并接受当地各级政府职能部门的管理、监督、检查。</w:t>
      </w:r>
    </w:p>
    <w:p w14:paraId="24E4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（二）机构设置。</w:t>
      </w:r>
    </w:p>
    <w:p w14:paraId="30BEEE99">
      <w:pPr>
        <w:pStyle w:val="4"/>
        <w:spacing w:before="72" w:line="290" w:lineRule="auto"/>
        <w:ind w:right="341" w:firstLine="633"/>
        <w:rPr>
          <w:u w:val="none"/>
        </w:rPr>
      </w:pPr>
      <w:r>
        <w:rPr>
          <w:spacing w:val="-3"/>
          <w:w w:val="95"/>
          <w:u w:val="none"/>
        </w:rPr>
        <w:t>中心下设综合科、人事老干科、计划财务科、总务科</w:t>
      </w:r>
      <w:r>
        <w:rPr>
          <w:rFonts w:hint="eastAsia"/>
          <w:spacing w:val="-3"/>
          <w:w w:val="95"/>
          <w:u w:val="none"/>
          <w:lang w:eastAsia="zh-CN"/>
        </w:rPr>
        <w:t>、</w:t>
      </w:r>
      <w:r>
        <w:rPr>
          <w:spacing w:val="-3"/>
          <w:w w:val="95"/>
          <w:u w:val="none"/>
        </w:rPr>
        <w:t xml:space="preserve"> </w:t>
      </w:r>
      <w:r>
        <w:rPr>
          <w:spacing w:val="-3"/>
          <w:u w:val="none"/>
        </w:rPr>
        <w:t>生活科、机关车队等部门。</w:t>
      </w:r>
    </w:p>
    <w:p w14:paraId="2FB9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  <w:t>二、预算单位构成</w:t>
      </w:r>
    </w:p>
    <w:p w14:paraId="29C219D1">
      <w:pPr>
        <w:pStyle w:val="2"/>
        <w:rPr>
          <w:rFonts w:hint="eastAsia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湖南省农业农村厅机关后勤服务中心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无下属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预算单位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。</w:t>
      </w:r>
    </w:p>
    <w:p w14:paraId="3AF72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u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u w:val="none"/>
        </w:rPr>
        <w:t>、单位收支总体情况</w:t>
      </w:r>
    </w:p>
    <w:p w14:paraId="5B01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（一）收入预算：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年本单位收入预算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886.05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858.28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万元，政府性基金预算拨款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万元，国有资本经营预算拨款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万元，纳入专户管理的非税收入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上年结转结余27.77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收入较去年减少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87.39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万元，主要是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机关食堂项目经费减少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。</w:t>
      </w:r>
    </w:p>
    <w:p w14:paraId="2804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（二）支出预算：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年本单位支出预算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886.05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社会保障和就业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246.30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，卫生健康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54.90万元，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农林水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544.85万元，住房保障40.00万元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支出较去年减少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87.39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万元，主要是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none"/>
          <w:lang w:val="en-US" w:eastAsia="zh-CN"/>
        </w:rPr>
        <w:t>机关食堂项目经费减少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。</w:t>
      </w:r>
    </w:p>
    <w:p w14:paraId="77D68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、一般公共预算拨款支出</w:t>
      </w:r>
    </w:p>
    <w:p w14:paraId="44AA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年本单位一般公共预算拨款支出预算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886.05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社会保障和就业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246.30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27.80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54.90万元，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6.20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农林水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544.85万元，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61.49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%；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住房保障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40.00万元，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4.51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%。具体安排情况如下：</w:t>
      </w:r>
    </w:p>
    <w:p w14:paraId="31C23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（一）基本支出：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年本单位基本支出预算数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767.17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2DA1A520">
      <w:pPr>
        <w:pStyle w:val="4"/>
        <w:spacing w:before="5" w:line="350" w:lineRule="auto"/>
        <w:ind w:right="274" w:firstLine="66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（二）项目支出：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年本单位项目支出预算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118.88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其他事业发展资金118.88万元，主要用于办公用房、机关大院维修、厅机关食堂维护、社区+联防经费等方面。</w:t>
      </w:r>
    </w:p>
    <w:p w14:paraId="3C70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、政府性基金预算支出</w:t>
      </w:r>
    </w:p>
    <w:p w14:paraId="5E8B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u w:val="none"/>
        </w:rPr>
        <w:t>本部门无政府性基金安排的支出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u w:val="none"/>
          <w:lang w:eastAsia="zh-CN"/>
        </w:rPr>
        <w:t>。</w:t>
      </w:r>
    </w:p>
    <w:p w14:paraId="2727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、其他重要事项的情况说明</w:t>
      </w:r>
    </w:p>
    <w:p w14:paraId="1BF1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（一）运行经费：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年本单位运行经费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64.80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万元，比上年预算减少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7.20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%，主要是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单位厉行节约，严格控制运行经费支出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 w14:paraId="70C4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（二）“三公”经费预算：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年本单位“三公”经费预算数为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0.20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万元，其中，公务接待费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0.20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万元，公务用车购置及运行费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万元（其中，公务用车购置费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万元，公务用车运行费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万元），因公出国（境）费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年“三公”经费预算较上年减少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0.30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万元，主要是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单位厉行节约，严格控制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“三公”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经费支出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 w14:paraId="65CE7F31">
      <w:pPr>
        <w:widowControl/>
        <w:spacing w:line="600" w:lineRule="exact"/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u w:val="none"/>
        </w:rPr>
        <w:t>（三）一般性支出情况：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年</w:t>
      </w:r>
      <w:r>
        <w:rPr>
          <w:rFonts w:eastAsia="仿宋_GB2312"/>
          <w:kern w:val="0"/>
          <w:sz w:val="32"/>
          <w:szCs w:val="32"/>
          <w:highlight w:val="none"/>
          <w:u w:val="none"/>
        </w:rPr>
        <w:t>本单位会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 xml:space="preserve">议费预算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 xml:space="preserve">  万元，拟召开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会议，人数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人；培训费预算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万元，拟开展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培训，人数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未计划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举办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节庆、晚会、论坛、赛事活动，经费预算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3EE23E22">
      <w:pPr>
        <w:widowControl/>
        <w:spacing w:line="600" w:lineRule="exact"/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（四）政府采购情况：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 xml:space="preserve">本部门政府采购预算总额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万元，其中，货物类采购预算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万元；工程类采购预算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万元；服务类采购预算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万元。</w:t>
      </w:r>
    </w:p>
    <w:p w14:paraId="31F0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u w:val="none"/>
        </w:rPr>
        <w:t>（五）国有资产占用使用及新增资产配置情况：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年12月底，本单位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共有公务用车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辆，其中，机要通信用车   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辆，执法执勤用车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辆；单位价值100万元以上设备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eastAsia="zh-CN"/>
        </w:rPr>
        <w:t>（不含车辆）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年拟新增配置公务用车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辆，其中，机要通信用车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辆，应急保障用车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辆，执法执勤用车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辆，特种专业技术用车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辆，其他按照规定配备的公务用车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辆；新增配备单位价值100万元以上设备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台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  <w:lang w:eastAsia="zh-CN"/>
        </w:rPr>
        <w:t>（不含车辆）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u w:val="none"/>
        </w:rPr>
        <w:t>。</w:t>
      </w:r>
    </w:p>
    <w:p w14:paraId="1E99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u w:val="none"/>
        </w:rPr>
        <w:t>（六）预算绩效目标说明：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本单位所有支出实行绩效目标管理。纳入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年单位整体支出绩效目标的金额为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858.28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767.17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91.11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</w:rPr>
        <w:t>万元，具体绩效目标详见报表。</w:t>
      </w:r>
    </w:p>
    <w:p w14:paraId="3FC2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、名词解释</w:t>
      </w:r>
    </w:p>
    <w:p w14:paraId="4060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、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C52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2、“三公”经费：纳入省（市/县）财政预算管理的“三公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215DC316">
      <w:pPr>
        <w:widowControl/>
        <w:spacing w:line="600" w:lineRule="exact"/>
        <w:ind w:firstLine="716" w:firstLineChars="200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 xml:space="preserve">第二部分 </w:t>
      </w:r>
      <w:r>
        <w:rPr>
          <w:rFonts w:hint="eastAsia" w:ascii="Times New Roman" w:hAnsi="Times New Roman" w:eastAsia="方正小标宋_GBK" w:cs="Times New Roman"/>
          <w:bCs/>
          <w:kern w:val="0"/>
          <w:sz w:val="36"/>
          <w:szCs w:val="36"/>
          <w:u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u w:val="none"/>
        </w:rPr>
        <w:t>年单位预算表</w:t>
      </w:r>
    </w:p>
    <w:p w14:paraId="1929E22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1B6CB30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2216AE2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71458B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AD2806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57A1F7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4F8888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2177818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2039596D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5A75DB8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56D63FF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53018F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25A2C0F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52F87054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CC5856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03209835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6AAC999B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5F7C241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3A10E53A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4A8A7B33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1C5F49F6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37663FC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 w14:paraId="7163CDB0">
      <w:pPr>
        <w:rPr>
          <w:u w:val="none"/>
        </w:rPr>
      </w:pPr>
    </w:p>
    <w:sectPr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CEC2C-C943-4F43-87AD-1320418589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8600D8-CAA1-48D1-96E1-4C4663B34D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1A5E58B-5472-410B-B71B-866EB707F3E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1DE83B-B8D5-46E7-ADCE-D7856F099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374C9"/>
    <w:rsid w:val="005A1928"/>
    <w:rsid w:val="042F320E"/>
    <w:rsid w:val="0F1374C9"/>
    <w:rsid w:val="0F9A4928"/>
    <w:rsid w:val="1F387ACA"/>
    <w:rsid w:val="29C815E7"/>
    <w:rsid w:val="3F2074B8"/>
    <w:rsid w:val="43924773"/>
    <w:rsid w:val="5AD76076"/>
    <w:rsid w:val="5E1356C5"/>
    <w:rsid w:val="76D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4">
    <w:name w:val="Body Text"/>
    <w:basedOn w:val="1"/>
    <w:qFormat/>
    <w:uiPriority w:val="1"/>
    <w:pPr>
      <w:spacing w:before="190"/>
      <w:ind w:left="117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2488</Words>
  <Characters>2691</Characters>
  <Lines>0</Lines>
  <Paragraphs>0</Paragraphs>
  <TotalTime>9</TotalTime>
  <ScaleCrop>false</ScaleCrop>
  <LinksUpToDate>false</LinksUpToDate>
  <CharactersWithSpaces>2713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2025-02-17T13:40:00Z</dcterms:created>
  <dc:creator>lenovo</dc:creator>
  <cp:lastModifiedBy>Rocy</cp:lastModifiedBy>
  <dcterms:modified xsi:type="dcterms:W3CDTF">2025-03-10T07:39:50Z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24A3A0C97D1848D28BD3713657D21B0B_12</vt:lpwstr>
  </property>
</Properties>
</file>