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8D8DA1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  <w:highlight w:val="none"/>
          <w:u w:val="none"/>
        </w:rPr>
      </w:pPr>
      <w:r>
        <w:rPr>
          <w:rFonts w:hint="eastAsia" w:ascii="Times New Roman" w:hAnsi="Times New Roman" w:eastAsia="方正小标宋_GBK" w:cs="Times New Roman"/>
          <w:bCs/>
          <w:kern w:val="0"/>
          <w:sz w:val="44"/>
          <w:szCs w:val="44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  <w:highlight w:val="none"/>
          <w:u w:val="none"/>
        </w:rPr>
        <w:t>年</w:t>
      </w: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  <w:highlight w:val="none"/>
          <w:u w:val="none"/>
          <w:lang w:eastAsia="zh-CN"/>
        </w:rPr>
        <w:t>湖南省畜牧水产事务中心</w:t>
      </w:r>
      <w:r>
        <w:rPr>
          <w:rFonts w:hint="default" w:ascii="Times New Roman" w:hAnsi="Times New Roman" w:eastAsia="方正小标宋_GBK" w:cs="Times New Roman"/>
          <w:bCs/>
          <w:kern w:val="0"/>
          <w:sz w:val="44"/>
          <w:szCs w:val="44"/>
          <w:highlight w:val="none"/>
          <w:u w:val="none"/>
        </w:rPr>
        <w:t>预算</w:t>
      </w:r>
    </w:p>
    <w:p w14:paraId="1604D97A">
      <w:pPr>
        <w:widowControl/>
        <w:spacing w:line="600" w:lineRule="exact"/>
        <w:jc w:val="center"/>
        <w:rPr>
          <w:rFonts w:hint="default" w:ascii="Times New Roman" w:hAnsi="Times New Roman" w:eastAsia="楷体_GB2312" w:cs="Times New Roman"/>
          <w:bCs/>
          <w:kern w:val="0"/>
          <w:sz w:val="32"/>
          <w:szCs w:val="32"/>
          <w:highlight w:val="none"/>
          <w:u w:val="none"/>
        </w:rPr>
      </w:pPr>
    </w:p>
    <w:p w14:paraId="482636C6">
      <w:pPr>
        <w:widowControl/>
        <w:spacing w:line="600" w:lineRule="exact"/>
        <w:jc w:val="center"/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  <w:t>目 录</w:t>
      </w:r>
    </w:p>
    <w:p w14:paraId="33118A2F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</w:pPr>
    </w:p>
    <w:p w14:paraId="427DF7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方正小标宋_GBK" w:cs="Times New Roman"/>
          <w:b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  <w:t xml:space="preserve">第一部分 </w:t>
      </w:r>
      <w:r>
        <w:rPr>
          <w:rFonts w:hint="eastAsia" w:ascii="Times New Roman" w:hAnsi="Times New Roman" w:eastAsia="方正小标宋_GBK" w:cs="Times New Roman"/>
          <w:b/>
          <w:bCs/>
          <w:kern w:val="0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  <w:t>年单位预算说明</w:t>
      </w:r>
    </w:p>
    <w:p w14:paraId="08F7F63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  <w:t xml:space="preserve">第二部分 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  <w:t>年单位预算表</w:t>
      </w:r>
    </w:p>
    <w:p w14:paraId="7C5BA13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1、收支总表</w:t>
      </w:r>
    </w:p>
    <w:p w14:paraId="57E79C4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2、收入总表</w:t>
      </w:r>
    </w:p>
    <w:p w14:paraId="1BB7B96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3、支出总表</w:t>
      </w:r>
    </w:p>
    <w:p w14:paraId="75287A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4、支出预算分类汇总表（按政府预算经济分类）</w:t>
      </w:r>
    </w:p>
    <w:p w14:paraId="6F5FFE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5、支出预算分类汇总表（按部门预算经济分类）</w:t>
      </w:r>
    </w:p>
    <w:p w14:paraId="2C866E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6、财政拨款收支总表</w:t>
      </w:r>
    </w:p>
    <w:p w14:paraId="7806AF3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7、一般公共预算支出表</w:t>
      </w:r>
    </w:p>
    <w:p w14:paraId="135C490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8、一般公共预算基本支出表-人员经费（工资福利支出）（按政府预算经济分类）</w:t>
      </w:r>
    </w:p>
    <w:p w14:paraId="20ECFF6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9、一般公共预算基本支出表-人员经费（工资福利支出）（按部门预算经济分类）</w:t>
      </w:r>
    </w:p>
    <w:p w14:paraId="2DDFE3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10、一般公共预算基本支出表-人员经费（对个人和家庭的补助）（按政府预算经济分类）</w:t>
      </w:r>
    </w:p>
    <w:p w14:paraId="0E3E28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11、一般公共预算基本支出表-人员经费（对个人和家庭的补助）（按部门预算经济分类）</w:t>
      </w:r>
    </w:p>
    <w:p w14:paraId="0512581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12、一般公共预算基本支出表-公用经费（商品和服务支出）（按政府预算经济分类）</w:t>
      </w:r>
    </w:p>
    <w:p w14:paraId="35B4320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13、一般公共预算基本支出表-公用经费（商品和服务支出）（按部门预算经济分类）</w:t>
      </w:r>
    </w:p>
    <w:p w14:paraId="71CC7B7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14、一般公共预算“三公”经费支出表</w:t>
      </w:r>
    </w:p>
    <w:p w14:paraId="0E2882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15、政府性基金预算支出表</w:t>
      </w:r>
    </w:p>
    <w:p w14:paraId="547D501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16、政府性基金预算支出分类汇总表（按政府预算经济分类）</w:t>
      </w:r>
    </w:p>
    <w:p w14:paraId="0144FD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17、政府性基金预算支出分类汇总表（按部门预算经济分类）</w:t>
      </w:r>
    </w:p>
    <w:p w14:paraId="7B56D3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18、国有资本经营预算支出表</w:t>
      </w:r>
    </w:p>
    <w:p w14:paraId="6FC526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19、财政专户管理资金预算支出表</w:t>
      </w:r>
    </w:p>
    <w:p w14:paraId="41D2AC7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20、省级专项资金预算汇总表</w:t>
      </w:r>
    </w:p>
    <w:p w14:paraId="3817B76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21、省级专项资金绩效目标表</w:t>
      </w:r>
    </w:p>
    <w:p w14:paraId="19240B7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22、其他项目支出绩效目标表</w:t>
      </w:r>
    </w:p>
    <w:p w14:paraId="18B8DA6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23、部门整体支出绩效目标表</w:t>
      </w:r>
    </w:p>
    <w:p w14:paraId="3AF0FEC6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58F5D0D2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67916338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3F9D2BEC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154C5359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4943D8D0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41BB4C11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790AFA9D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5B537BE9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484ACD0B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05057D66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  <w:r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  <w:t xml:space="preserve">第一部分 </w:t>
      </w:r>
      <w:r>
        <w:rPr>
          <w:rFonts w:hint="eastAsia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  <w:t>年单位预算说明</w:t>
      </w:r>
    </w:p>
    <w:p w14:paraId="00D925F0">
      <w:pPr>
        <w:widowControl/>
        <w:spacing w:line="600" w:lineRule="exact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u w:val="none"/>
        </w:rPr>
      </w:pPr>
    </w:p>
    <w:p w14:paraId="5C7345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  <w:t>一、单位基本概况</w:t>
      </w:r>
    </w:p>
    <w:p w14:paraId="54E924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（一）职能职责。</w:t>
      </w:r>
    </w:p>
    <w:p w14:paraId="37482031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1、承担畜牧业、渔业地方标准技术体系建设相关事务性工作。负责畜牧水产新品种、新技术的引进、示范、推广等工作。承担畜牧业、渔业职业技能开发工作。</w:t>
      </w:r>
    </w:p>
    <w:p w14:paraId="1970DADE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2、承担畜禽水产品质量安全风险评估工作。为畜禽水产品质量安全和兽药行业管理提供服务保障。</w:t>
      </w:r>
    </w:p>
    <w:p w14:paraId="564D4363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3、承担畜牧业、渔业生产、市场信息监测和统计分析工作。研究提出畜牧业、渔业产业发展政策建议和资源保护政策措施建议，承担畜牧业、渔业发展项目相关服务性工作，为畜牧业、渔业发展和资源保护提供服务保障。</w:t>
      </w:r>
    </w:p>
    <w:p w14:paraId="7B9352CF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4、承担动物疫病（包括人畜共患病）防控、动物和动物产品检疫及动物血防相关事务性工作。为动物诊疗机构和</w:t>
      </w:r>
    </w:p>
    <w:p w14:paraId="5180ACE6">
      <w:pPr>
        <w:adjustRightInd w:val="0"/>
        <w:snapToGrid w:val="0"/>
        <w:spacing w:line="570" w:lineRule="exact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从业人员管理提供服务保障。</w:t>
      </w:r>
    </w:p>
    <w:p w14:paraId="1D9EA69E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5、为全省畜禽屠宰行业管理提供服务保障。</w:t>
      </w:r>
    </w:p>
    <w:p w14:paraId="1DEE65C0">
      <w:pPr>
        <w:adjustRightInd w:val="0"/>
        <w:snapToGrid w:val="0"/>
        <w:spacing w:line="570" w:lineRule="exact"/>
        <w:ind w:firstLine="636" w:firstLineChars="200"/>
        <w:rPr>
          <w:rFonts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6、</w:t>
      </w:r>
      <w:r>
        <w:rPr>
          <w:rFonts w:hint="eastAsia" w:ascii="仿宋_GB2312" w:eastAsia="仿宋_GB2312"/>
          <w:sz w:val="32"/>
          <w:szCs w:val="32"/>
          <w:highlight w:val="none"/>
          <w:u w:val="none"/>
        </w:rPr>
        <w:t>对市县畜牧水产事务中心进行业务指导。联系畜牧业、渔业行业协会、学会。</w:t>
      </w:r>
    </w:p>
    <w:p w14:paraId="7CEF128E">
      <w:pPr>
        <w:adjustRightInd w:val="0"/>
        <w:snapToGrid w:val="0"/>
        <w:spacing w:line="570" w:lineRule="exact"/>
        <w:ind w:firstLine="636" w:firstLineChars="200"/>
        <w:rPr>
          <w:rFonts w:hint="eastAsia" w:eastAsia="仿宋_GB2312"/>
          <w:sz w:val="32"/>
          <w:szCs w:val="24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7、承担省农业农村厅交办的其他工作。</w:t>
      </w:r>
    </w:p>
    <w:p w14:paraId="529D9373">
      <w:pPr>
        <w:widowControl/>
        <w:spacing w:line="600" w:lineRule="exact"/>
        <w:ind w:firstLine="624" w:firstLineChars="196"/>
        <w:jc w:val="left"/>
        <w:rPr>
          <w:rFonts w:hint="eastAsia" w:eastAsia="楷体_GB2312"/>
          <w:b/>
          <w:sz w:val="32"/>
          <w:szCs w:val="32"/>
          <w:highlight w:val="none"/>
          <w:u w:val="none"/>
        </w:rPr>
      </w:pPr>
      <w:r>
        <w:rPr>
          <w:rFonts w:eastAsia="楷体_GB2312"/>
          <w:b/>
          <w:sz w:val="32"/>
          <w:szCs w:val="32"/>
          <w:highlight w:val="none"/>
          <w:u w:val="none"/>
        </w:rPr>
        <w:t>（二）机构设置。</w:t>
      </w:r>
    </w:p>
    <w:p w14:paraId="62C6A31C">
      <w:pPr>
        <w:adjustRightInd w:val="0"/>
        <w:snapToGrid w:val="0"/>
        <w:spacing w:line="570" w:lineRule="exact"/>
        <w:ind w:firstLine="636" w:firstLineChars="200"/>
        <w:rPr>
          <w:rFonts w:eastAsia="楷体_GB2312"/>
          <w:b/>
          <w:sz w:val="30"/>
          <w:szCs w:val="30"/>
          <w:highlight w:val="none"/>
          <w:u w:val="none"/>
        </w:rPr>
      </w:pPr>
      <w:r>
        <w:rPr>
          <w:rFonts w:hint="eastAsia" w:eastAsia="仿宋_GB2312"/>
          <w:sz w:val="32"/>
          <w:szCs w:val="24"/>
          <w:highlight w:val="none"/>
          <w:u w:val="none"/>
        </w:rPr>
        <w:t>内设综合部、财务部、科技推广部、质量安全与兽药部、畜牧业发展部、渔业发展部（省水生动物防疫检疫站）、兽医与屠宰行业事务部、动物检疫部（省动物血防工作站）等8个正处级部。</w:t>
      </w:r>
    </w:p>
    <w:p w14:paraId="192454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eastAsia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  <w:lang w:eastAsia="zh-CN"/>
        </w:rPr>
        <w:t>二、预算单位构成</w:t>
      </w:r>
    </w:p>
    <w:p w14:paraId="55A4BB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eastAsia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湖南省畜牧水产事务中心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无下属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预算单位。</w:t>
      </w:r>
    </w:p>
    <w:p w14:paraId="270015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  <w:lang w:eastAsia="zh-CN"/>
        </w:rPr>
        <w:t>三</w:t>
      </w:r>
      <w:r>
        <w:rPr>
          <w:rFonts w:hint="default" w:ascii="Times New Roman" w:hAnsi="Times New Roman" w:eastAsia="黑体" w:cs="Times New Roman"/>
          <w:bCs/>
          <w:kern w:val="0"/>
          <w:sz w:val="32"/>
          <w:szCs w:val="32"/>
          <w:highlight w:val="none"/>
          <w:u w:val="none"/>
        </w:rPr>
        <w:t>、单位收支总体情况</w:t>
      </w:r>
    </w:p>
    <w:p w14:paraId="259596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b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（一）收入预算：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包括一般公共预算、政府性基金、国有资本经营预算等财政拨款收入，以及经营收入、事业收入等单位资金。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年本单位收入预算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10699.96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万元，其中，一般公共预算拨款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4710.26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万元，政府性基金预算拨款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万元，国有资本经营预算拨款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万元，纳入专户管理的非税收入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上级财政补助收入5840.00万元，上年结转结余149.70万元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。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</w:rPr>
        <w:t>收入较去年增加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  <w:lang w:val="en-US" w:eastAsia="zh-CN"/>
        </w:rPr>
        <w:t>946.31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</w:rPr>
        <w:t>万元，主要是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兽用重大动物疫病疫苗采购项目经费增加</w:t>
      </w:r>
      <w:r>
        <w:rPr>
          <w:rFonts w:hint="default" w:ascii="Times New Roman" w:hAnsi="Times New Roman" w:eastAsia="仿宋_GB2312" w:cs="Times New Roman"/>
          <w:b/>
          <w:sz w:val="32"/>
          <w:szCs w:val="32"/>
          <w:highlight w:val="none"/>
          <w:u w:val="none"/>
        </w:rPr>
        <w:t>。</w:t>
      </w:r>
    </w:p>
    <w:p w14:paraId="0FAA35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b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（二）支出预算：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年本单位支出预算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10699.96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万元，其中，教育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社会保障和就业607.36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卫生健康275.10万元，农林水9607.50万元，住房保障208.00万元，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</w:rPr>
        <w:t>支出较去年增加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  <w:lang w:val="en-US" w:eastAsia="zh-CN"/>
        </w:rPr>
        <w:t>946.31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</w:rPr>
        <w:t>万元，主要是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兽用重大动物疫病疫苗采购项目经费增加</w:t>
      </w:r>
      <w:r>
        <w:rPr>
          <w:rFonts w:hint="default" w:ascii="Times New Roman" w:hAnsi="Times New Roman" w:eastAsia="仿宋_GB2312" w:cs="Times New Roman"/>
          <w:b/>
          <w:sz w:val="32"/>
          <w:szCs w:val="32"/>
          <w:highlight w:val="none"/>
          <w:u w:val="none"/>
        </w:rPr>
        <w:t>。</w:t>
      </w:r>
    </w:p>
    <w:p w14:paraId="325EDF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u w:val="none"/>
          <w:lang w:eastAsia="zh-CN"/>
        </w:rPr>
        <w:t>四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  <w:t>、一般公共预算拨款支出</w:t>
      </w:r>
    </w:p>
    <w:p w14:paraId="7895E1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年本单位一般公共预算拨款支出预算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10699.96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万元，其中，教育支出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0.02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 xml:space="preserve"> %；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社会保障和就业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607.36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5.68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%；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卫生健康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275.10万元，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2.57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 xml:space="preserve"> %；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农林水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9607.50万元，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89.79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 xml:space="preserve"> %；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住房保障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208.00万元，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1.94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%。具体安排情况如下：</w:t>
      </w:r>
    </w:p>
    <w:p w14:paraId="121822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（一）基本支出：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年本单位基本支出预算数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3569.96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万元，主要是为保障单位机构正常运转、完成日常工作任务而发生的各项支出，包括用于基本工资、津贴补贴等人员经费以及办公费、印刷费、水电费等公用经费。</w:t>
      </w:r>
    </w:p>
    <w:p w14:paraId="4F2CD4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（二）项目支出：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年本单位项目支出预算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7130.00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万元，主要是部门为完成特定行政工作任务或事业发展目标而发生的支出，包括有关事业发展专项、专项业务费、基本建设支出等，其中：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业务工作经费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59.50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万元，主要用于执业兽医资格考试等方面；事业发展专项支出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977.01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万元，主要用于畜禽标识采购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、畜禽种业安全监管监测、执业兽医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管理工作、水生动物疫病防控等方面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；其他事业发展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支出6093.49万元，主要用兽用重大动物疫病疫苗采购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。</w:t>
      </w:r>
    </w:p>
    <w:p w14:paraId="76E35D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u w:val="none"/>
          <w:lang w:eastAsia="zh-CN"/>
        </w:rPr>
        <w:t>五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  <w:t>、政府性基金预算支出</w:t>
      </w:r>
    </w:p>
    <w:p w14:paraId="1B28EF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</w:rPr>
        <w:t>本部门无政府性基金安排的支出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highlight w:val="none"/>
          <w:u w:val="none"/>
          <w:lang w:eastAsia="zh-CN"/>
        </w:rPr>
        <w:t>。</w:t>
      </w:r>
    </w:p>
    <w:p w14:paraId="44CF25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u w:val="none"/>
          <w:lang w:eastAsia="zh-CN"/>
        </w:rPr>
        <w:t>六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  <w:t>、其他重要事项的情况说明</w:t>
      </w:r>
    </w:p>
    <w:p w14:paraId="4A3AAE3B">
      <w:pPr>
        <w:widowControl/>
        <w:spacing w:line="600" w:lineRule="exact"/>
        <w:ind w:firstLine="660"/>
        <w:jc w:val="both"/>
        <w:rPr>
          <w:rFonts w:eastAsia="仿宋_GB2312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（一）运行经费：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年本单位运行经费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641.16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万元，比上年预算减少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71.24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万元，下降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%，主要是</w:t>
      </w:r>
      <w:r>
        <w:rPr>
          <w:rFonts w:hint="eastAsia" w:eastAsia="仿宋_GB2312"/>
          <w:color w:val="000000"/>
          <w:sz w:val="32"/>
          <w:szCs w:val="32"/>
          <w:highlight w:val="none"/>
          <w:u w:val="none"/>
          <w:lang w:val="en-US" w:eastAsia="zh-CN"/>
        </w:rPr>
        <w:t>厉行节约，</w:t>
      </w:r>
      <w:r>
        <w:rPr>
          <w:rFonts w:eastAsia="仿宋_GB2312"/>
          <w:sz w:val="32"/>
          <w:szCs w:val="32"/>
          <w:highlight w:val="none"/>
          <w:u w:val="none"/>
        </w:rPr>
        <w:t>压缩</w:t>
      </w:r>
      <w:r>
        <w:rPr>
          <w:rFonts w:hint="eastAsia" w:eastAsia="仿宋_GB2312"/>
          <w:sz w:val="32"/>
          <w:szCs w:val="32"/>
          <w:highlight w:val="none"/>
          <w:u w:val="none"/>
          <w:lang w:eastAsia="zh-CN"/>
        </w:rPr>
        <w:t>一般性</w:t>
      </w:r>
      <w:r>
        <w:rPr>
          <w:rFonts w:eastAsia="仿宋_GB2312"/>
          <w:sz w:val="32"/>
          <w:szCs w:val="32"/>
          <w:highlight w:val="none"/>
          <w:u w:val="none"/>
        </w:rPr>
        <w:t>支出。</w:t>
      </w:r>
    </w:p>
    <w:p w14:paraId="615A8D50">
      <w:pPr>
        <w:widowControl/>
        <w:spacing w:line="600" w:lineRule="exact"/>
        <w:ind w:firstLine="660"/>
        <w:rPr>
          <w:rFonts w:eastAsia="仿宋_GB2312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（二）“三公”经费预算：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年本单位“三公”经费预算数为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73.00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万元，其中，公务接待费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3.00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元，公务用车购置及运行费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60.00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万元（其中，公务用车购置费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23.00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万元，公务用车运行费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37.00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万元），因公出国（境）费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10.00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年“三公”经费预算较上年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持平</w:t>
      </w:r>
      <w:r>
        <w:rPr>
          <w:rFonts w:eastAsia="仿宋_GB2312"/>
          <w:color w:val="000000"/>
          <w:sz w:val="32"/>
          <w:szCs w:val="32"/>
          <w:highlight w:val="none"/>
          <w:u w:val="none"/>
        </w:rPr>
        <w:t xml:space="preserve">。 </w:t>
      </w:r>
    </w:p>
    <w:p w14:paraId="5C1780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（三）一般性支出情况：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  <w:t>年本单位会议费预算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u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  <w:t>万元，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拟召开全省养殖业工作会议，人数150人，内容为部署全省养殖业工作安排；培训费预算2万元，拟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开展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参加畜牧水产相关收费培训，人数10人，内容为畜牧水产相关业务培训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  <w:t>；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u w:val="none"/>
          <w:lang w:val="en-US" w:eastAsia="zh-CN"/>
        </w:rPr>
        <w:t>未计划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  <w:t>举办节庆、晚会、论坛、赛事活动，经费预算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u w:val="none"/>
        </w:rPr>
        <w:t>万元。</w:t>
      </w:r>
    </w:p>
    <w:p w14:paraId="78E6CC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（四）政府采购情况：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 xml:space="preserve">年本部门政府采购预算总额   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6531.56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万元，其中，货物类采购预算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6411.56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万元；工程类采购预算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万元；服务类采购预算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万元。</w:t>
      </w:r>
    </w:p>
    <w:p w14:paraId="348233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left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（五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u w:val="none"/>
          <w:lang w:eastAsia="zh-CN"/>
        </w:rPr>
        <w:t>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u w:val="none"/>
        </w:rPr>
        <w:t>国有资产占用使用及新增资产配置情况：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截至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2024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年12月底，本单位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共有公务用车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 xml:space="preserve">辆，其中，机要通信用车   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辆，应急保障用车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辆，执法执勤用车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辆，特种专业技术用车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辆，其他按照规定配备的公务用车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辆；单位价值100万元以上设备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台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eastAsia="zh-CN"/>
        </w:rPr>
        <w:t>（不含车辆）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。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年拟新增配置公务用车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辆，其中，机要通信用车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辆，应急保障用车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辆，执法执勤用车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辆，特种专业技术用车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辆，其他按照规定配备的公务用车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辆；新增配备单位价值100万元以上设备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台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eastAsia="zh-CN"/>
        </w:rPr>
        <w:t>（不含车辆）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。</w:t>
      </w:r>
    </w:p>
    <w:p w14:paraId="25D472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楷体_GB2312" w:cs="Times New Roman"/>
          <w:b/>
          <w:bCs/>
          <w:kern w:val="0"/>
          <w:sz w:val="32"/>
          <w:szCs w:val="32"/>
          <w:highlight w:val="none"/>
          <w:u w:val="none"/>
        </w:rPr>
        <w:t>（六）预算绩效目标说明：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本单位所有支出实行绩效目标管理。纳入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年单位整体支出绩效目标的金额为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10550.26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万元，其中，基本支出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3569.96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万元，项目支出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val="en-US" w:eastAsia="zh-CN"/>
        </w:rPr>
        <w:t>6980.30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u w:val="none"/>
        </w:rPr>
        <w:t>万元，具体绩效目标详见报表。</w:t>
      </w:r>
    </w:p>
    <w:p w14:paraId="2627F0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u w:val="none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  <w:t>、名词解释</w:t>
      </w:r>
    </w:p>
    <w:p w14:paraId="040074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1、运行经费：是指各单位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 w14:paraId="623678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6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2、“三公”经费：纳入省（市/县）财政预算管理的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“三公”经费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  <w:bookmarkStart w:id="0" w:name="_GoBack"/>
      <w:bookmarkEnd w:id="0"/>
    </w:p>
    <w:p w14:paraId="514C9467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3C21D6DB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3AF58DCB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13AB6CA9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2E726A8C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5F0D3032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25408900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6CE4F58E">
      <w:pPr>
        <w:pStyle w:val="2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7353B933">
      <w:pPr>
        <w:pStyle w:val="2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79AB7C72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3ACAFDDE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203DF698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6EA66060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12E0E5E0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66BB94E9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29B77B9C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</w:p>
    <w:p w14:paraId="3830CEF8">
      <w:pPr>
        <w:widowControl/>
        <w:spacing w:line="600" w:lineRule="exact"/>
        <w:ind w:firstLine="716" w:firstLineChars="200"/>
        <w:jc w:val="center"/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</w:pPr>
      <w:r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  <w:t xml:space="preserve">第二部分 </w:t>
      </w:r>
      <w:r>
        <w:rPr>
          <w:rFonts w:hint="eastAsia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  <w:lang w:eastAsia="zh-CN"/>
        </w:rPr>
        <w:t>2025</w:t>
      </w:r>
      <w:r>
        <w:rPr>
          <w:rFonts w:hint="default" w:ascii="Times New Roman" w:hAnsi="Times New Roman" w:eastAsia="方正小标宋_GBK" w:cs="Times New Roman"/>
          <w:bCs/>
          <w:kern w:val="0"/>
          <w:sz w:val="36"/>
          <w:szCs w:val="36"/>
          <w:highlight w:val="none"/>
          <w:u w:val="none"/>
        </w:rPr>
        <w:t>年单位预算表</w:t>
      </w:r>
    </w:p>
    <w:p w14:paraId="74C8FA03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2C2D3B4B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198E2801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4BDA9770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4D9A57C1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70035096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3FD79FF5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47E7D54A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1BF32D14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51109B7F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04F4ECDC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0DBB30B0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43B723BF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7F861CCF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3C83C0F1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7C65403A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17DC234A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1A0BB004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30A74BED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1EC96534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36F37D63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27EF051D"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u w:val="none"/>
        </w:rPr>
      </w:pPr>
    </w:p>
    <w:p w14:paraId="6000DF02">
      <w:pPr>
        <w:rPr>
          <w:highlight w:val="none"/>
          <w:u w:val="none"/>
        </w:rPr>
      </w:pPr>
    </w:p>
    <w:sectPr>
      <w:pgSz w:w="11907" w:h="16840"/>
      <w:pgMar w:top="1134" w:right="1797" w:bottom="1304" w:left="1797" w:header="851" w:footer="992" w:gutter="0"/>
      <w:cols w:space="720" w:num="1"/>
      <w:docGrid w:type="linesAndChars" w:linePitch="495" w:charSpace="-59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7B2C1E6-2C62-4BA2-BCA6-078ECAA20D4A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86554DEC-0ED0-4A93-BAD6-827A0781A132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61C983D1-7CDA-41A2-A53B-F6C6AF519FFC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4E1A130B-0DE2-46B3-A5A9-D63C1FEA5B5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1374C9"/>
    <w:rsid w:val="00047BA4"/>
    <w:rsid w:val="00E1372A"/>
    <w:rsid w:val="012515C4"/>
    <w:rsid w:val="017B10A7"/>
    <w:rsid w:val="01E925F2"/>
    <w:rsid w:val="042F320E"/>
    <w:rsid w:val="04CA3B2B"/>
    <w:rsid w:val="0D0B3D64"/>
    <w:rsid w:val="0DEE2D3E"/>
    <w:rsid w:val="0EDA2E2B"/>
    <w:rsid w:val="0F1374C9"/>
    <w:rsid w:val="11F254F3"/>
    <w:rsid w:val="12E57FA0"/>
    <w:rsid w:val="15836462"/>
    <w:rsid w:val="16EF3DAF"/>
    <w:rsid w:val="18A137CE"/>
    <w:rsid w:val="1F9F20EA"/>
    <w:rsid w:val="20E73D48"/>
    <w:rsid w:val="21EF2513"/>
    <w:rsid w:val="22D8238C"/>
    <w:rsid w:val="23E0215E"/>
    <w:rsid w:val="284F6DA3"/>
    <w:rsid w:val="29A924E3"/>
    <w:rsid w:val="2CE51A84"/>
    <w:rsid w:val="32554DBC"/>
    <w:rsid w:val="327A0EC0"/>
    <w:rsid w:val="333A41AC"/>
    <w:rsid w:val="33A65CE5"/>
    <w:rsid w:val="36105698"/>
    <w:rsid w:val="378E2A31"/>
    <w:rsid w:val="3B29687E"/>
    <w:rsid w:val="3DC54BD2"/>
    <w:rsid w:val="3E8F7AA2"/>
    <w:rsid w:val="40DD10FA"/>
    <w:rsid w:val="46054781"/>
    <w:rsid w:val="488066AD"/>
    <w:rsid w:val="49374FBE"/>
    <w:rsid w:val="4A25750C"/>
    <w:rsid w:val="4EF37BD9"/>
    <w:rsid w:val="562A443E"/>
    <w:rsid w:val="599A7BBD"/>
    <w:rsid w:val="5B5C4D58"/>
    <w:rsid w:val="5B914A01"/>
    <w:rsid w:val="5BA4707D"/>
    <w:rsid w:val="5DF72B16"/>
    <w:rsid w:val="5E1356C5"/>
    <w:rsid w:val="66CC0FE3"/>
    <w:rsid w:val="6FA0300D"/>
    <w:rsid w:val="72AA7CFF"/>
    <w:rsid w:val="72D60AF4"/>
    <w:rsid w:val="75DF4163"/>
    <w:rsid w:val="76071338"/>
    <w:rsid w:val="76236746"/>
    <w:rsid w:val="7CAE6451"/>
    <w:rsid w:val="7E417769"/>
    <w:rsid w:val="7E9C7095"/>
    <w:rsid w:val="7E9F14AB"/>
    <w:rsid w:val="7F2C666B"/>
    <w:rsid w:val="7F68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8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ind w:firstLine="634"/>
    </w:pPr>
    <w:rPr>
      <w:rFonts w:eastAsia="仿宋_GB231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2710</Words>
  <Characters>2995</Characters>
  <Lines>0</Lines>
  <Paragraphs>0</Paragraphs>
  <TotalTime>31</TotalTime>
  <ScaleCrop>false</ScaleCrop>
  <LinksUpToDate>false</LinksUpToDate>
  <CharactersWithSpaces>3010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2025-02-17T13:40:00Z</dcterms:created>
  <dc:creator>lenovo</dc:creator>
  <cp:lastModifiedBy>Rocy</cp:lastModifiedBy>
  <cp:lastPrinted>2025-03-05T02:39:00Z</cp:lastPrinted>
  <dcterms:modified xsi:type="dcterms:W3CDTF">2025-03-11T02:08:52Z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eyJoZGlkIjoiYjY3ZGExZjYwMTI4YmMyMDhjZTQxZmYxZDI0ZTcyMmYiLCJ1c2VySWQiOiIzNzEwMTY1OTEifQ==</vt:lpwstr>
  </property>
  <property fmtid="{D5CDD505-2E9C-101B-9397-08002B2CF9AE}" pid="4" name="ICV">
    <vt:lpwstr>33ED395E581B43309B8DF551411DE0C8_12</vt:lpwstr>
  </property>
</Properties>
</file>