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r>
        <w:rPr>
          <w:rFonts w:hint="eastAsia"/>
        </w:rPr>
        <w:t>附件</w:t>
      </w:r>
    </w:p>
    <w:p>
      <w:pPr>
        <w:ind w:firstLine="640"/>
        <w:rPr>
          <w:rFonts w:hint="eastAsia"/>
        </w:rPr>
      </w:pPr>
    </w:p>
    <w:p>
      <w:pPr>
        <w:pStyle w:val="2"/>
        <w:rPr>
          <w:kern w:val="28"/>
        </w:rPr>
      </w:pPr>
      <w:r>
        <w:rPr>
          <w:kern w:val="28"/>
        </w:rPr>
        <w:t>湖南省农业农村厅</w:t>
      </w:r>
    </w:p>
    <w:p>
      <w:pPr>
        <w:pStyle w:val="2"/>
        <w:rPr>
          <w:rFonts w:hint="eastAsia" w:ascii="方正小标宋简体" w:hAnsi="方正小标宋简体" w:cs="方正小标宋简体"/>
          <w:kern w:val="28"/>
        </w:rPr>
      </w:pPr>
      <w:r>
        <w:rPr>
          <w:rFonts w:hint="eastAsia" w:ascii="方正小标宋简体" w:hAnsi="方正小标宋简体" w:cs="方正小标宋简体"/>
          <w:kern w:val="28"/>
        </w:rPr>
        <w:t>2021年度部门整体支出绩效自评报告</w:t>
      </w:r>
    </w:p>
    <w:p>
      <w:pPr>
        <w:ind w:firstLine="640"/>
        <w:rPr>
          <w:kern w:val="0"/>
        </w:rPr>
      </w:pPr>
    </w:p>
    <w:p>
      <w:pPr>
        <w:ind w:firstLine="640"/>
        <w:rPr>
          <w:spacing w:val="-6"/>
        </w:rPr>
      </w:pPr>
      <w:r>
        <w:t>为加强财政支出管理，提高财政资金使用效益，根据《中共中央</w:t>
      </w:r>
      <w:r>
        <w:rPr>
          <w:rFonts w:hint="eastAsia"/>
        </w:rPr>
        <w:t xml:space="preserve"> </w:t>
      </w:r>
      <w:r>
        <w:t>国务院关于全面实施预算绩效管理的意见》（中发〔2018〕34号）、《党政机关厉行节约反对浪费条例》、财政部《财政支出绩效评价管理暂行办法》（财预〔2020〕10号）、《湖南省人民政府关于深化预算管理制度改革的实施意见》（湘政发〔2015〕8号）、《中共湖南</w:t>
      </w:r>
      <w:bookmarkStart w:id="2" w:name="_GoBack"/>
      <w:bookmarkEnd w:id="2"/>
      <w:r>
        <w:t>省委办公厅 湖南省人民政府办公厅关于全面实施预算绩效管理的实施意见》（湘办发〔2019〕10号）和《湖南省财政厅关于开展202</w:t>
      </w:r>
      <w:r>
        <w:rPr>
          <w:rFonts w:hint="eastAsia"/>
        </w:rPr>
        <w:t>1</w:t>
      </w:r>
      <w:r>
        <w:t>年度部门整体支出绩效自评工作的通知》（湘财绩〔202</w:t>
      </w:r>
      <w:r>
        <w:rPr>
          <w:rFonts w:hint="eastAsia"/>
        </w:rPr>
        <w:t>2</w:t>
      </w:r>
      <w:r>
        <w:t>〕1号）等文件，</w:t>
      </w:r>
      <w:r>
        <w:rPr>
          <w:rFonts w:hint="eastAsia"/>
        </w:rPr>
        <w:t>湖南</w:t>
      </w:r>
      <w:r>
        <w:t>省农业农村厅</w:t>
      </w:r>
      <w:r>
        <w:rPr>
          <w:spacing w:val="-6"/>
        </w:rPr>
        <w:t>于202</w:t>
      </w:r>
      <w:r>
        <w:rPr>
          <w:rFonts w:hint="eastAsia"/>
          <w:spacing w:val="-6"/>
        </w:rPr>
        <w:t>2</w:t>
      </w:r>
      <w:r>
        <w:rPr>
          <w:spacing w:val="-6"/>
        </w:rPr>
        <w:t>年4</w:t>
      </w:r>
      <w:r>
        <w:rPr>
          <w:rFonts w:hint="eastAsia"/>
          <w:spacing w:val="-6"/>
        </w:rPr>
        <w:t>-</w:t>
      </w:r>
      <w:r>
        <w:rPr>
          <w:spacing w:val="-6"/>
        </w:rPr>
        <w:t>5月对202</w:t>
      </w:r>
      <w:r>
        <w:rPr>
          <w:rFonts w:hint="eastAsia"/>
          <w:spacing w:val="-6"/>
        </w:rPr>
        <w:t>1</w:t>
      </w:r>
      <w:r>
        <w:rPr>
          <w:spacing w:val="-6"/>
        </w:rPr>
        <w:t>年部门整体支出进行了绩效自评，现将自评情况报告如下：</w:t>
      </w:r>
    </w:p>
    <w:p>
      <w:pPr>
        <w:pStyle w:val="3"/>
        <w:ind w:firstLine="640"/>
        <w:rPr>
          <w:kern w:val="44"/>
        </w:rPr>
      </w:pPr>
      <w:r>
        <w:rPr>
          <w:kern w:val="44"/>
        </w:rPr>
        <w:t>一、部门基本情况</w:t>
      </w:r>
    </w:p>
    <w:p>
      <w:pPr>
        <w:pStyle w:val="4"/>
        <w:ind w:firstLine="643"/>
      </w:pPr>
      <w:r>
        <w:rPr>
          <w:rFonts w:hint="eastAsia"/>
        </w:rPr>
        <w:t>（一）职责情况</w:t>
      </w:r>
    </w:p>
    <w:p>
      <w:pPr>
        <w:ind w:firstLine="640"/>
      </w:pPr>
      <w:r>
        <w:t>湖南省农业农村厅（以下简称省农业农村厅）是省政府组成部门，为正厅级。</w:t>
      </w:r>
    </w:p>
    <w:p>
      <w:pPr>
        <w:ind w:firstLine="640"/>
      </w:pPr>
      <w:r>
        <w:t>省委农村工作领导小组办公室（以下简称省委农办）设在省农业农村厅，接受省委农村工作领导小组的直接领导，承担省委农村工作领导小组具体工作，组织开展“三农”重大问题的政策研究，协调督促有关方面落实省委农村工作领导小组决定事项、工作部署和要求等。设置省委农办秘书处，负责处理省委农办日常事务。省农业农村厅内设机构根据工作需要承担省委农办相关工作，接受省委农办统筹协调。</w:t>
      </w:r>
    </w:p>
    <w:p>
      <w:pPr>
        <w:ind w:firstLine="640"/>
      </w:pPr>
      <w:r>
        <w:t>省农业农村厅贯彻落实党中央关于“三农”工作的方针政策和决策部署，全面落实省委关于“三农”工作的部署要求，在履行职责过程中坚持和加强党对“三农”工作的集中统一领导。主要职责是：</w:t>
      </w:r>
    </w:p>
    <w:p>
      <w:pPr>
        <w:ind w:firstLine="640"/>
      </w:pPr>
      <w:r>
        <w:t>（1）统筹研究和组织实施“三农”工作的发展中长期规划、重大政策。组织起草农业农村有关地方性法规和省政府规章草案，指导农业综合执法。参与涉农的价格、收储、金融保险、进出口等政策制定。</w:t>
      </w:r>
    </w:p>
    <w:p>
      <w:pPr>
        <w:ind w:firstLine="624"/>
        <w:rPr>
          <w:spacing w:val="-4"/>
        </w:rPr>
      </w:pPr>
      <w:r>
        <w:rPr>
          <w:spacing w:val="-4"/>
        </w:rPr>
        <w:t>（2）统筹推动发展农村社会事业、农村公共服务、农村文化、农村基础设施和乡村治理。牵头组织改善农村人居环境</w:t>
      </w:r>
      <w:r>
        <w:rPr>
          <w:rFonts w:hint="eastAsia"/>
          <w:spacing w:val="-4"/>
        </w:rPr>
        <w:t>，</w:t>
      </w:r>
      <w:r>
        <w:rPr>
          <w:spacing w:val="-4"/>
        </w:rPr>
        <w:t>指导农村精神文明和优秀农耕文化建设</w:t>
      </w:r>
      <w:r>
        <w:rPr>
          <w:rFonts w:hint="eastAsia"/>
          <w:spacing w:val="-4"/>
        </w:rPr>
        <w:t>，</w:t>
      </w:r>
      <w:r>
        <w:rPr>
          <w:spacing w:val="-4"/>
        </w:rPr>
        <w:t>指导农业行业安全生产工作。</w:t>
      </w:r>
    </w:p>
    <w:p>
      <w:pPr>
        <w:ind w:firstLine="640"/>
      </w:pPr>
      <w:r>
        <w:t>（3）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ind w:firstLine="640"/>
      </w:pPr>
      <w: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ind w:firstLine="640"/>
      </w:pPr>
      <w:r>
        <w:t>（5）负责种植业、畜牧业、渔业、农垦、农业机械化等农业各产业的监督管理。指导粮食等农产品生产。组织构建现代农业产业体系、生产体系、经营体系，指导农业标准化生产。负责渔政渔港监督管理。</w:t>
      </w:r>
    </w:p>
    <w:p>
      <w:pPr>
        <w:ind w:firstLine="640"/>
      </w:pPr>
      <w:r>
        <w:t>（6）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w:t>
      </w:r>
    </w:p>
    <w:p>
      <w:pPr>
        <w:ind w:firstLine="640"/>
      </w:pPr>
      <w:r>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ind w:firstLine="640"/>
      </w:pPr>
      <w: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ind w:firstLine="640"/>
      </w:pPr>
      <w:r>
        <w:t>（9）负责农业防灾减灾、农作物重大病虫害防治工作。指导动植物防疫检疫体系建设，组织、监督省内动植物防疫检疫工作，发布疫情并组织扑灭。配合有关部门制定血吸虫病防治工作计划并组织实施。</w:t>
      </w:r>
    </w:p>
    <w:p>
      <w:pPr>
        <w:ind w:firstLine="640"/>
      </w:pPr>
      <w:r>
        <w:t>（10）负责农业投资管理。编制农业投资项目建设规划，提出农业投资规模和方向、扶持农业农村发展财政项目的建议，按规定权限审批农业投资项目，负责农业投资项目资金安排和监督管理。</w:t>
      </w:r>
    </w:p>
    <w:p>
      <w:pPr>
        <w:ind w:firstLine="640"/>
      </w:pPr>
      <w: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640"/>
      </w:pPr>
      <w:r>
        <w:t>（12）指导农业农村人才工作。拟订农业农村人才队伍建设规划并组织实施，指导农业教育和农业职业技能开发，指导新型职业农民培育、农业科技人才培养和农村实用人才培训工作。</w:t>
      </w:r>
    </w:p>
    <w:p>
      <w:pPr>
        <w:ind w:firstLine="640"/>
      </w:pPr>
      <w:r>
        <w:t>（13）组织参与农业对外合作工作。承办有关农业涉外事务，组织开展农业贸易促进和有关对外交流合作，具体执行有关农业援外项目。</w:t>
      </w:r>
    </w:p>
    <w:p>
      <w:pPr>
        <w:ind w:firstLine="640"/>
      </w:pPr>
      <w:r>
        <w:t>（14）完成省委、省政府和省委农村工作领导小组交办的其他任务。</w:t>
      </w:r>
    </w:p>
    <w:p>
      <w:pPr>
        <w:pStyle w:val="4"/>
        <w:ind w:firstLine="643"/>
        <w:rPr>
          <w:rFonts w:hint="eastAsia"/>
        </w:rPr>
      </w:pPr>
      <w:r>
        <w:rPr>
          <w:rFonts w:hint="eastAsia"/>
        </w:rPr>
        <w:t>（二）机构情况</w:t>
      </w:r>
    </w:p>
    <w:p>
      <w:pPr>
        <w:spacing w:line="596" w:lineRule="atLeast"/>
        <w:ind w:firstLine="640"/>
        <w:jc w:val="left"/>
        <w:textAlignment w:val="center"/>
        <w:rPr>
          <w:szCs w:val="22"/>
        </w:rPr>
      </w:pPr>
      <w:r>
        <w:rPr>
          <w:szCs w:val="22"/>
        </w:rPr>
        <w:t>省委农村工作领导小组办公室设有省委农办秘书处。</w:t>
      </w:r>
    </w:p>
    <w:p>
      <w:pPr>
        <w:ind w:firstLine="640"/>
      </w:pPr>
      <w:r>
        <w:t>湖南省农业农村厅设有办公室、人事处、法规处、政策与改革处、发展规划处、计划财务处、乡村产业发展处、农村社会事业促进处、农村合作经济指导处、市场与信息化处、对外交流与合作处、科技教育处（省农业转基因生物安全管理办公室）、农业资源保护与利用处、农产品质量安全监管处、种植业管理处（农药管理处）、畜牧兽医处、渔业渔政管理处、种业管理处、农业机械化管理处、农田建设与农垦处、机关党委、离退休人员管理服务处。</w:t>
      </w:r>
    </w:p>
    <w:p>
      <w:pPr>
        <w:pStyle w:val="4"/>
        <w:ind w:firstLine="643"/>
      </w:pPr>
      <w:r>
        <w:rPr>
          <w:rFonts w:hint="eastAsia"/>
        </w:rPr>
        <w:t>（三）</w:t>
      </w:r>
      <w:r>
        <w:t>人员情况</w:t>
      </w:r>
    </w:p>
    <w:p>
      <w:pPr>
        <w:ind w:firstLine="640"/>
      </w:pPr>
      <w:r>
        <w:t>202</w:t>
      </w:r>
      <w:r>
        <w:rPr>
          <w:rFonts w:hint="eastAsia"/>
        </w:rPr>
        <w:t>1</w:t>
      </w:r>
      <w:r>
        <w:t>年末省农业农村厅实有编制</w:t>
      </w:r>
      <w:r>
        <w:rPr>
          <w:rFonts w:hint="eastAsia"/>
        </w:rPr>
        <w:t>2,863</w:t>
      </w:r>
      <w:r>
        <w:t>人，其中行政编制</w:t>
      </w:r>
      <w:r>
        <w:rPr>
          <w:rFonts w:hint="eastAsia"/>
        </w:rPr>
        <w:t>169</w:t>
      </w:r>
      <w:r>
        <w:t>人，事业编制</w:t>
      </w:r>
      <w:r>
        <w:rPr>
          <w:rFonts w:hint="eastAsia"/>
        </w:rPr>
        <w:t>2,697</w:t>
      </w:r>
      <w:r>
        <w:t>人；年末实有在职人数2</w:t>
      </w:r>
      <w:r>
        <w:rPr>
          <w:rFonts w:hint="eastAsia"/>
        </w:rPr>
        <w:t>,</w:t>
      </w:r>
      <w:r>
        <w:t>6</w:t>
      </w:r>
      <w:r>
        <w:rPr>
          <w:rFonts w:hint="eastAsia"/>
        </w:rPr>
        <w:t>34</w:t>
      </w:r>
      <w:r>
        <w:t>人，离休</w:t>
      </w:r>
      <w:r>
        <w:rPr>
          <w:rFonts w:hint="eastAsia"/>
        </w:rPr>
        <w:t>16</w:t>
      </w:r>
      <w:r>
        <w:t>人。</w:t>
      </w:r>
    </w:p>
    <w:p>
      <w:pPr>
        <w:pStyle w:val="3"/>
        <w:ind w:firstLine="640"/>
        <w:rPr>
          <w:kern w:val="44"/>
        </w:rPr>
      </w:pPr>
      <w:r>
        <w:rPr>
          <w:rFonts w:hint="eastAsia"/>
          <w:kern w:val="44"/>
        </w:rPr>
        <w:t>二</w:t>
      </w:r>
      <w:r>
        <w:rPr>
          <w:kern w:val="44"/>
        </w:rPr>
        <w:t>、一般公共预算支出情况</w:t>
      </w:r>
    </w:p>
    <w:p>
      <w:pPr>
        <w:pStyle w:val="4"/>
        <w:ind w:firstLine="643"/>
      </w:pPr>
      <w:r>
        <w:rPr>
          <w:rFonts w:hint="eastAsia"/>
        </w:rPr>
        <w:t>（一）</w:t>
      </w:r>
      <w:r>
        <w:t>基本支出</w:t>
      </w:r>
      <w:r>
        <w:rPr>
          <w:rFonts w:hint="eastAsia"/>
        </w:rPr>
        <w:t>情况</w:t>
      </w:r>
    </w:p>
    <w:p>
      <w:pPr>
        <w:ind w:firstLine="640"/>
      </w:pPr>
      <w:r>
        <w:t>202</w:t>
      </w:r>
      <w:r>
        <w:rPr>
          <w:rFonts w:hint="eastAsia"/>
        </w:rPr>
        <w:t>1</w:t>
      </w:r>
      <w:r>
        <w:t>年基本支出</w:t>
      </w:r>
      <w:r>
        <w:rPr>
          <w:rFonts w:hint="eastAsia"/>
        </w:rPr>
        <w:t>本年收入48,162.77万元，</w:t>
      </w:r>
      <w:r>
        <w:t>上年结转结余</w:t>
      </w:r>
      <w:r>
        <w:rPr>
          <w:rFonts w:hint="eastAsia"/>
        </w:rPr>
        <w:t>113.52</w:t>
      </w:r>
      <w:r>
        <w:t>万元，全年收入为</w:t>
      </w:r>
      <w:r>
        <w:rPr>
          <w:rFonts w:hint="eastAsia"/>
        </w:rPr>
        <w:t>48,276.29</w:t>
      </w:r>
      <w:r>
        <w:t xml:space="preserve"> </w:t>
      </w:r>
      <w:r>
        <w:rPr>
          <w:rFonts w:hint="eastAsia"/>
        </w:rPr>
        <w:t>万元。</w:t>
      </w:r>
      <w:r>
        <w:t>基本支出</w:t>
      </w:r>
      <w:r>
        <w:rPr>
          <w:rFonts w:hint="eastAsia"/>
        </w:rPr>
        <w:t>决算金额</w:t>
      </w:r>
      <w:r>
        <w:t>为</w:t>
      </w:r>
      <w:r>
        <w:rPr>
          <w:rFonts w:hint="eastAsia"/>
        </w:rPr>
        <w:t>44,079.27</w:t>
      </w:r>
      <w:r>
        <w:t>万元</w:t>
      </w:r>
      <w:r>
        <w:rPr>
          <w:rFonts w:hint="eastAsia"/>
        </w:rPr>
        <w:t>（含人员经费39,095.15万元，公用经费4,984.12万元）</w:t>
      </w:r>
      <w:r>
        <w:t>，其中</w:t>
      </w:r>
      <w:r>
        <w:rPr>
          <w:rFonts w:hint="eastAsia"/>
        </w:rPr>
        <w:t>：</w:t>
      </w:r>
      <w:r>
        <w:t>工资福利支出</w:t>
      </w:r>
      <w:r>
        <w:rPr>
          <w:rFonts w:hint="eastAsia"/>
        </w:rPr>
        <w:t>36,362.02</w:t>
      </w:r>
      <w:r>
        <w:t>万元，商品和服务支出</w:t>
      </w:r>
      <w:r>
        <w:rPr>
          <w:rFonts w:hint="eastAsia"/>
        </w:rPr>
        <w:t>4,941.84</w:t>
      </w:r>
      <w:r>
        <w:t>万元，对个人和家庭的补助</w:t>
      </w:r>
      <w:r>
        <w:rPr>
          <w:rFonts w:hint="eastAsia"/>
        </w:rPr>
        <w:t>2,733.13</w:t>
      </w:r>
      <w:r>
        <w:t>万元，资本性支出</w:t>
      </w:r>
      <w:r>
        <w:rPr>
          <w:rFonts w:hint="eastAsia"/>
        </w:rPr>
        <w:t>42.28</w:t>
      </w:r>
      <w:r>
        <w:t>万元。年末结转结余</w:t>
      </w:r>
      <w:r>
        <w:rPr>
          <w:rFonts w:hint="eastAsia"/>
        </w:rPr>
        <w:t>4,197.02</w:t>
      </w:r>
      <w:r>
        <w:t>万元。</w:t>
      </w:r>
    </w:p>
    <w:p>
      <w:pPr>
        <w:pStyle w:val="4"/>
        <w:ind w:firstLine="643"/>
        <w:rPr>
          <w:rFonts w:hint="eastAsia"/>
          <w:kern w:val="0"/>
        </w:rPr>
      </w:pPr>
      <w:r>
        <w:rPr>
          <w:kern w:val="0"/>
        </w:rPr>
        <w:t>（二）项目支出</w:t>
      </w:r>
      <w:r>
        <w:rPr>
          <w:rFonts w:hint="eastAsia"/>
          <w:kern w:val="0"/>
        </w:rPr>
        <w:t>情况</w:t>
      </w:r>
    </w:p>
    <w:p>
      <w:pPr>
        <w:ind w:firstLine="632"/>
        <w:rPr>
          <w:rFonts w:hint="eastAsia"/>
          <w:spacing w:val="-2"/>
        </w:rPr>
      </w:pPr>
      <w:r>
        <w:rPr>
          <w:spacing w:val="-2"/>
        </w:rPr>
        <w:t>202</w:t>
      </w:r>
      <w:r>
        <w:rPr>
          <w:rFonts w:hint="eastAsia"/>
          <w:spacing w:val="-2"/>
        </w:rPr>
        <w:t>1</w:t>
      </w:r>
      <w:r>
        <w:rPr>
          <w:spacing w:val="-2"/>
        </w:rPr>
        <w:t>年</w:t>
      </w:r>
      <w:r>
        <w:rPr>
          <w:rFonts w:hint="eastAsia"/>
          <w:spacing w:val="-2"/>
        </w:rPr>
        <w:t>项目</w:t>
      </w:r>
      <w:r>
        <w:rPr>
          <w:spacing w:val="-2"/>
        </w:rPr>
        <w:t>支</w:t>
      </w:r>
      <w:r>
        <w:rPr>
          <w:rFonts w:hint="eastAsia"/>
          <w:spacing w:val="-2"/>
        </w:rPr>
        <w:t>出</w:t>
      </w:r>
      <w:r>
        <w:rPr>
          <w:spacing w:val="-2"/>
        </w:rPr>
        <w:t>本年收入为</w:t>
      </w:r>
      <w:r>
        <w:rPr>
          <w:rFonts w:hint="eastAsia"/>
          <w:spacing w:val="-2"/>
        </w:rPr>
        <w:t>51,240.70</w:t>
      </w:r>
      <w:r>
        <w:rPr>
          <w:spacing w:val="-2"/>
        </w:rPr>
        <w:t>万元，</w:t>
      </w:r>
      <w:r>
        <w:rPr>
          <w:rFonts w:hint="eastAsia"/>
          <w:spacing w:val="-2"/>
        </w:rPr>
        <w:t>年初结转结余数33,608.37万元</w:t>
      </w:r>
      <w:r>
        <w:rPr>
          <w:spacing w:val="-2"/>
        </w:rPr>
        <w:t>，全年收入为</w:t>
      </w:r>
      <w:r>
        <w:rPr>
          <w:rFonts w:hint="eastAsia"/>
          <w:spacing w:val="-2"/>
        </w:rPr>
        <w:t>84,849.07万元。本年项目支出数为57,933.97万元，</w:t>
      </w:r>
      <w:r>
        <w:rPr>
          <w:spacing w:val="-2"/>
        </w:rPr>
        <w:t>其中工资福利支出</w:t>
      </w:r>
      <w:r>
        <w:rPr>
          <w:rFonts w:hint="eastAsia"/>
          <w:spacing w:val="-2"/>
        </w:rPr>
        <w:t>1,221.58</w:t>
      </w:r>
      <w:r>
        <w:rPr>
          <w:spacing w:val="-2"/>
        </w:rPr>
        <w:t>万元，商品和服务支出</w:t>
      </w:r>
      <w:r>
        <w:rPr>
          <w:rFonts w:hint="eastAsia"/>
          <w:spacing w:val="-2"/>
        </w:rPr>
        <w:t>43,232.88</w:t>
      </w:r>
      <w:r>
        <w:rPr>
          <w:spacing w:val="-2"/>
        </w:rPr>
        <w:t>万元，对个人和家庭的补助</w:t>
      </w:r>
      <w:r>
        <w:rPr>
          <w:rFonts w:hint="eastAsia"/>
          <w:spacing w:val="-2"/>
        </w:rPr>
        <w:t>2,539.85</w:t>
      </w:r>
      <w:r>
        <w:rPr>
          <w:spacing w:val="-2"/>
        </w:rPr>
        <w:t>万元，资本性支出（基本建设）</w:t>
      </w:r>
      <w:r>
        <w:rPr>
          <w:rFonts w:hint="eastAsia"/>
          <w:spacing w:val="-2"/>
        </w:rPr>
        <w:t>4,326.40</w:t>
      </w:r>
      <w:r>
        <w:rPr>
          <w:spacing w:val="-2"/>
        </w:rPr>
        <w:t>万元，资本性支出</w:t>
      </w:r>
      <w:r>
        <w:rPr>
          <w:rFonts w:hint="eastAsia"/>
          <w:spacing w:val="-2"/>
        </w:rPr>
        <w:t>6,613.26万</w:t>
      </w:r>
      <w:r>
        <w:rPr>
          <w:spacing w:val="-2"/>
        </w:rPr>
        <w:t>元，年末结转结余</w:t>
      </w:r>
      <w:r>
        <w:rPr>
          <w:rFonts w:hint="eastAsia"/>
          <w:spacing w:val="-2"/>
        </w:rPr>
        <w:t>26,915.10</w:t>
      </w:r>
      <w:r>
        <w:rPr>
          <w:spacing w:val="-2"/>
        </w:rPr>
        <w:t>万元。</w:t>
      </w:r>
      <w:r>
        <w:rPr>
          <w:rFonts w:hint="eastAsia"/>
          <w:spacing w:val="-2"/>
        </w:rPr>
        <w:t>项目支出按支出功能分类明细如下：</w:t>
      </w:r>
    </w:p>
    <w:p>
      <w:pPr>
        <w:spacing w:line="596" w:lineRule="atLeast"/>
        <w:ind w:firstLine="640" w:firstLineChars="0"/>
        <w:jc w:val="right"/>
        <w:textAlignment w:val="center"/>
        <w:rPr>
          <w:rFonts w:hint="eastAsia"/>
          <w:sz w:val="24"/>
        </w:rPr>
      </w:pPr>
      <w:r>
        <w:rPr>
          <w:rFonts w:hint="eastAsia"/>
          <w:sz w:val="24"/>
        </w:rPr>
        <w:t>单位：万元</w:t>
      </w:r>
    </w:p>
    <w:tbl>
      <w:tblPr>
        <w:tblStyle w:val="37"/>
        <w:tblW w:w="0" w:type="auto"/>
        <w:jc w:val="center"/>
        <w:tblLayout w:type="fixed"/>
        <w:tblCellMar>
          <w:top w:w="0" w:type="dxa"/>
          <w:left w:w="108" w:type="dxa"/>
          <w:bottom w:w="0" w:type="dxa"/>
          <w:right w:w="108" w:type="dxa"/>
        </w:tblCellMar>
      </w:tblPr>
      <w:tblGrid>
        <w:gridCol w:w="835"/>
        <w:gridCol w:w="1623"/>
        <w:gridCol w:w="2360"/>
        <w:gridCol w:w="1383"/>
        <w:gridCol w:w="1384"/>
        <w:gridCol w:w="1384"/>
      </w:tblGrid>
      <w:tr>
        <w:tblPrEx>
          <w:tblCellMar>
            <w:top w:w="0" w:type="dxa"/>
            <w:left w:w="108" w:type="dxa"/>
            <w:bottom w:w="0" w:type="dxa"/>
            <w:right w:w="108" w:type="dxa"/>
          </w:tblCellMar>
        </w:tblPrEx>
        <w:trPr>
          <w:wBefore w:w="0" w:type="dxa"/>
          <w:trHeight w:val="284" w:hRule="atLeast"/>
          <w:tblHeader/>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kern w:val="0"/>
                <w:sz w:val="16"/>
                <w:szCs w:val="16"/>
                <w:lang w:bidi="ar"/>
              </w:rPr>
            </w:pPr>
            <w:r>
              <w:rPr>
                <w:rFonts w:eastAsia="仿宋"/>
                <w:color w:val="000000"/>
                <w:kern w:val="0"/>
                <w:sz w:val="16"/>
                <w:szCs w:val="16"/>
                <w:lang w:bidi="ar"/>
              </w:rPr>
              <w:t>序号</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sz w:val="16"/>
                <w:szCs w:val="16"/>
              </w:rPr>
            </w:pPr>
            <w:r>
              <w:rPr>
                <w:rFonts w:eastAsia="仿宋"/>
                <w:color w:val="000000"/>
                <w:kern w:val="0"/>
                <w:sz w:val="16"/>
                <w:szCs w:val="16"/>
                <w:lang w:bidi="ar"/>
              </w:rPr>
              <w:t>科目编码</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sz w:val="16"/>
                <w:szCs w:val="16"/>
              </w:rPr>
            </w:pPr>
            <w:r>
              <w:rPr>
                <w:rFonts w:eastAsia="仿宋"/>
                <w:color w:val="000000"/>
                <w:kern w:val="0"/>
                <w:sz w:val="16"/>
                <w:szCs w:val="16"/>
                <w:lang w:bidi="ar"/>
              </w:rPr>
              <w:t>类别</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sz w:val="16"/>
                <w:szCs w:val="16"/>
              </w:rPr>
            </w:pPr>
            <w:r>
              <w:rPr>
                <w:rFonts w:eastAsia="仿宋"/>
                <w:color w:val="000000"/>
                <w:kern w:val="0"/>
                <w:sz w:val="16"/>
                <w:szCs w:val="16"/>
                <w:lang w:bidi="ar"/>
              </w:rPr>
              <w:t>预算数</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sz w:val="16"/>
                <w:szCs w:val="16"/>
              </w:rPr>
            </w:pPr>
            <w:r>
              <w:rPr>
                <w:rFonts w:eastAsia="仿宋"/>
                <w:color w:val="000000"/>
                <w:kern w:val="0"/>
                <w:sz w:val="16"/>
                <w:szCs w:val="16"/>
                <w:lang w:bidi="ar"/>
              </w:rPr>
              <w:t>决算表</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center"/>
              <w:textAlignment w:val="center"/>
              <w:rPr>
                <w:rFonts w:eastAsia="仿宋"/>
                <w:color w:val="000000"/>
                <w:sz w:val="16"/>
                <w:szCs w:val="16"/>
              </w:rPr>
            </w:pPr>
            <w:r>
              <w:rPr>
                <w:rFonts w:eastAsia="仿宋"/>
                <w:color w:val="000000"/>
                <w:kern w:val="0"/>
                <w:sz w:val="16"/>
                <w:szCs w:val="16"/>
                <w:lang w:bidi="ar"/>
              </w:rPr>
              <w:t>结余数</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2130108</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病虫害控制</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13,425.25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13,246.55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178.71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2140499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left"/>
              <w:textAlignment w:val="center"/>
              <w:rPr>
                <w:rFonts w:eastAsia="仿宋"/>
                <w:color w:val="000000"/>
                <w:sz w:val="16"/>
                <w:szCs w:val="16"/>
              </w:rPr>
            </w:pPr>
            <w:r>
              <w:rPr>
                <w:rFonts w:eastAsia="仿宋"/>
                <w:color w:val="000000"/>
                <w:kern w:val="0"/>
                <w:sz w:val="16"/>
                <w:szCs w:val="16"/>
                <w:lang w:bidi="ar"/>
              </w:rPr>
              <w:t>成品油价格改革补贴其他支出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670.00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91.20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578.80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2130148</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0" w:firstLineChars="0"/>
              <w:jc w:val="left"/>
              <w:textAlignment w:val="center"/>
              <w:rPr>
                <w:rFonts w:eastAsia="仿宋"/>
                <w:color w:val="000000"/>
                <w:sz w:val="16"/>
                <w:szCs w:val="16"/>
              </w:rPr>
            </w:pPr>
            <w:r>
              <w:rPr>
                <w:rFonts w:eastAsia="仿宋"/>
                <w:color w:val="000000"/>
                <w:kern w:val="0"/>
                <w:sz w:val="16"/>
                <w:szCs w:val="16"/>
                <w:lang w:bidi="ar"/>
              </w:rPr>
              <w:t>成品油价格改革对渔业的补贴</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72.23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72.23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2130114</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对外交流与合作</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358.89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253.09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105.81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5</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2130119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防灾救灾</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1,000.00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850.00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6</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2050305</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高等职业教育</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8,653.38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7,586.63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1,066.75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7</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2060303</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高技术研究</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49.53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0.47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8</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2130112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行业业务管理</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8.41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16.59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9</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2080501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行政单位离退休</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10</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2101101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行政单位医疗</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11</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行政运行</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2,465.95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2,352.19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113.76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12</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2130103</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机关服务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513.83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65.60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448.23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13</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2080701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就业创业服务补贴</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10.11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10.11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14</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2069901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科技奖励</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15</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2130106</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科技转化与推广服务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4,920.13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3,814.63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1,105.50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16</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2060702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科普活动</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17</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2130901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棉花目标价格补贴</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18</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2111001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能源节约利用</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20.88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20.88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19</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2130125</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农产品加工与促销</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2,979.73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2,563.27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416.46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20</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农产品质量安全</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1,740.68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1,506.22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234.46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21</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2130126</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农村社会事业</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233.26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225.32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7.94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22</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2130105</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农垦运行</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52.23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35.90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16.33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23</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2130153</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农田建设</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1,090.60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740.36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350.24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24</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2130122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农业生产发展</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17,690.24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8,636.68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9,053.56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25</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2130135</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农业资源保护修复与利用</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1,032.39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917.59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114.80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26</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2010699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其他财政事务支出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451.20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310.52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140.69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27</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2010499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其他发展与改革事务支出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4.57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4.57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28</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2080799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其他就业补助支出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18.50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11.69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6.81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29</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2060599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其他科技条件与服务支出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46.29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16.29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30</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2069999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其他科学技术支出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4.65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4.65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31</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2130299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其他林业和草原支出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3,260.00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301.67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2,958.33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32</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2139999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其他农林水支出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579.38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448.94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130.44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33</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其他农业农村支出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10,933.31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6,177.75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4,755.55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34</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2160299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其他商业流通事务支出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35</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2060699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其他社会科学支出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15.62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15.28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0.34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36</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2019999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其他一般公共服务支出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752.72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710.58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42.14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37</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2013299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其他组织事务支出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5.50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5.50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38</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2080502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事业单位离退休</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39</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2101102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事业单位医疗</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0.60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40</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2130104</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事业运行</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816.68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457.26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359.42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41</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2130305</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水利工程建设</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95.22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69.72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25.50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42</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2130111</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统计监测与信息服务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1,447.55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1,429.91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17.64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43</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2060704</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学术交流活动</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36.40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20.68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15.72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44</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一般行政管理事务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1,502.57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1,438.91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63.66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45</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2130110</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执法监管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4,676.81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822.05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3,854.76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46</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2013810</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质量基础</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25.28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25.28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47</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2050302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中等职业教育</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2,682.22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2,322.57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359.66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48</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2100409</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重大公共卫生服务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20.00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0.00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49</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2060902</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重点研发计划</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313.62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151.51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162.11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kern w:val="0"/>
                <w:sz w:val="16"/>
                <w:szCs w:val="16"/>
                <w:lang w:bidi="ar"/>
              </w:rPr>
            </w:pPr>
            <w:r>
              <w:rPr>
                <w:rFonts w:eastAsia="宋体"/>
                <w:color w:val="000000"/>
                <w:kern w:val="0"/>
                <w:sz w:val="16"/>
                <w:szCs w:val="16"/>
                <w:lang w:bidi="ar"/>
              </w:rPr>
              <w:t>50</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宋体"/>
                <w:color w:val="000000"/>
                <w:sz w:val="16"/>
                <w:szCs w:val="16"/>
              </w:rPr>
            </w:pPr>
            <w:r>
              <w:rPr>
                <w:rFonts w:eastAsia="宋体"/>
                <w:color w:val="000000"/>
                <w:kern w:val="0"/>
                <w:sz w:val="16"/>
                <w:szCs w:val="16"/>
                <w:lang w:bidi="ar"/>
              </w:rPr>
              <w:t>2060203</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left"/>
              <w:textAlignment w:val="center"/>
              <w:rPr>
                <w:rFonts w:eastAsia="仿宋"/>
                <w:color w:val="000000"/>
                <w:sz w:val="16"/>
                <w:szCs w:val="16"/>
              </w:rPr>
            </w:pPr>
            <w:r>
              <w:rPr>
                <w:rFonts w:eastAsia="仿宋"/>
                <w:color w:val="000000"/>
                <w:kern w:val="0"/>
                <w:sz w:val="16"/>
                <w:szCs w:val="16"/>
                <w:lang w:bidi="ar"/>
              </w:rPr>
              <w:t>自然科学基金</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63.54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29.62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33.92 </w:t>
            </w:r>
          </w:p>
        </w:tc>
      </w:tr>
      <w:tr>
        <w:tblPrEx>
          <w:tblCellMar>
            <w:top w:w="0" w:type="dxa"/>
            <w:left w:w="108" w:type="dxa"/>
            <w:bottom w:w="0" w:type="dxa"/>
            <w:right w:w="108" w:type="dxa"/>
          </w:tblCellMar>
        </w:tblPrEx>
        <w:trPr>
          <w:wBefore w:w="0" w:type="dxa"/>
          <w:trHeight w:val="284" w:hRule="atLeast"/>
          <w:jc w:val="center"/>
        </w:trPr>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center"/>
              <w:textAlignment w:val="center"/>
              <w:rPr>
                <w:rFonts w:eastAsia="仿宋"/>
                <w:color w:val="000000"/>
                <w:kern w:val="0"/>
                <w:sz w:val="16"/>
                <w:szCs w:val="16"/>
                <w:lang w:bidi="ar"/>
              </w:rPr>
            </w:pPr>
          </w:p>
        </w:tc>
        <w:tc>
          <w:tcPr>
            <w:tcW w:w="39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center"/>
              <w:textAlignment w:val="center"/>
              <w:rPr>
                <w:rFonts w:eastAsia="仿宋"/>
                <w:color w:val="000000"/>
                <w:sz w:val="16"/>
                <w:szCs w:val="16"/>
              </w:rPr>
            </w:pPr>
            <w:r>
              <w:rPr>
                <w:rFonts w:eastAsia="仿宋"/>
                <w:color w:val="000000"/>
                <w:kern w:val="0"/>
                <w:sz w:val="16"/>
                <w:szCs w:val="16"/>
                <w:lang w:bidi="ar"/>
              </w:rPr>
              <w:t>合计数</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84,849.07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57,933.97 </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00" w:lineRule="exact"/>
              <w:ind w:firstLine="320"/>
              <w:jc w:val="right"/>
              <w:textAlignment w:val="center"/>
              <w:rPr>
                <w:rFonts w:eastAsia="宋体"/>
                <w:color w:val="000000"/>
                <w:sz w:val="16"/>
                <w:szCs w:val="16"/>
              </w:rPr>
            </w:pPr>
            <w:r>
              <w:rPr>
                <w:rFonts w:eastAsia="宋体"/>
                <w:color w:val="000000"/>
                <w:kern w:val="0"/>
                <w:sz w:val="16"/>
                <w:szCs w:val="16"/>
                <w:lang w:bidi="ar"/>
              </w:rPr>
              <w:t xml:space="preserve">26,915.11 </w:t>
            </w:r>
          </w:p>
        </w:tc>
      </w:tr>
    </w:tbl>
    <w:p>
      <w:pPr>
        <w:ind w:firstLine="640"/>
      </w:pPr>
      <w:r>
        <w:rPr>
          <w:rFonts w:hint="eastAsia"/>
        </w:rPr>
        <w:t>根据上述项目支出预算支出统计表，项目支出存在部分资金结余的情况，扣除资金下达较晚这一影响因素（12月份下达指标金额3543.71万元，支出金额860.07万元），2021年1-11月支付进度为70.19%。项目资金预算执行有待进一步加强。</w:t>
      </w:r>
    </w:p>
    <w:p>
      <w:pPr>
        <w:pStyle w:val="3"/>
        <w:ind w:firstLine="640"/>
      </w:pPr>
      <w:r>
        <w:rPr>
          <w:rFonts w:hint="eastAsia"/>
        </w:rPr>
        <w:t>三、</w:t>
      </w:r>
      <w:r>
        <w:t>政府性基金预算支出情况</w:t>
      </w:r>
    </w:p>
    <w:p>
      <w:pPr>
        <w:ind w:firstLine="640"/>
      </w:pPr>
      <w:r>
        <w:t>202</w:t>
      </w:r>
      <w:r>
        <w:rPr>
          <w:rFonts w:hint="eastAsia"/>
        </w:rPr>
        <w:t>1</w:t>
      </w:r>
      <w:r>
        <w:t>年政府性基金年初无预算，上年结转</w:t>
      </w:r>
      <w:r>
        <w:rPr>
          <w:rFonts w:hint="eastAsia"/>
        </w:rPr>
        <w:t>14.88</w:t>
      </w:r>
      <w:r>
        <w:t>万元，资金支付</w:t>
      </w:r>
      <w:r>
        <w:rPr>
          <w:rFonts w:hint="eastAsia"/>
        </w:rPr>
        <w:t>4.88</w:t>
      </w:r>
      <w:r>
        <w:t>万元，剩余</w:t>
      </w:r>
      <w:r>
        <w:rPr>
          <w:rFonts w:hint="eastAsia"/>
        </w:rPr>
        <w:t>10.00</w:t>
      </w:r>
      <w:r>
        <w:t>万元。具体内容如下：</w:t>
      </w:r>
    </w:p>
    <w:p>
      <w:pPr>
        <w:ind w:firstLine="640"/>
      </w:pPr>
      <w:r>
        <w:t>根据《湖南省财政厅关于提请下达2020年国家重大水利工程建设基金（三峡工程后续工作）的通知》（湘财农指〔2019〕91号），下达湖南省畜牧水产事务中心10万元（省畜牧水产推广站机构改革为畜牧水产事务中心），</w:t>
      </w:r>
      <w:r>
        <w:rPr>
          <w:rFonts w:hint="eastAsia"/>
        </w:rPr>
        <w:t>资金当年未使用，全部结转至2021年。2020年下达</w:t>
      </w:r>
      <w:r>
        <w:t>省水产科学研究院10万元，用于长江中下游鱼类人工增殖放流检测与评估</w:t>
      </w:r>
      <w:r>
        <w:rPr>
          <w:rFonts w:hint="eastAsia"/>
        </w:rPr>
        <w:t>，2020年</w:t>
      </w:r>
      <w:r>
        <w:t>已支出5.12万元，资金用于增殖放流检测与评估材料费、印刷费等</w:t>
      </w:r>
      <w:r>
        <w:rPr>
          <w:rFonts w:hint="eastAsia"/>
        </w:rPr>
        <w:t>，当年结余金额4.88万元结转至2021年，2021年已使用完毕，资金用于专用设备购置、专用材料费、印刷费等。</w:t>
      </w:r>
    </w:p>
    <w:p>
      <w:pPr>
        <w:pStyle w:val="3"/>
        <w:ind w:firstLine="640"/>
      </w:pPr>
      <w:r>
        <w:rPr>
          <w:rFonts w:hint="eastAsia"/>
        </w:rPr>
        <w:t>四、</w:t>
      </w:r>
      <w:r>
        <w:t>国有资本经营预算支出情况</w:t>
      </w:r>
    </w:p>
    <w:p>
      <w:pPr>
        <w:ind w:firstLine="640"/>
        <w:rPr>
          <w:highlight w:val="yellow"/>
        </w:rPr>
      </w:pPr>
      <w:r>
        <w:t>省农业农村厅202</w:t>
      </w:r>
      <w:r>
        <w:rPr>
          <w:rFonts w:hint="eastAsia"/>
        </w:rPr>
        <w:t>1</w:t>
      </w:r>
      <w:r>
        <w:t>年度无国有资本经营预算</w:t>
      </w:r>
      <w:r>
        <w:rPr>
          <w:rFonts w:hint="eastAsia"/>
        </w:rPr>
        <w:t>支出</w:t>
      </w:r>
      <w:r>
        <w:t>。</w:t>
      </w:r>
    </w:p>
    <w:p>
      <w:pPr>
        <w:pStyle w:val="3"/>
        <w:ind w:firstLine="640"/>
      </w:pPr>
      <w:r>
        <w:rPr>
          <w:rFonts w:hint="eastAsia"/>
        </w:rPr>
        <w:t>五、</w:t>
      </w:r>
      <w:r>
        <w:t>社会保险基金预算支出情况</w:t>
      </w:r>
    </w:p>
    <w:p>
      <w:pPr>
        <w:ind w:firstLine="640"/>
        <w:rPr>
          <w:b/>
        </w:rPr>
      </w:pPr>
      <w:r>
        <w:t>省农业农村厅202</w:t>
      </w:r>
      <w:r>
        <w:rPr>
          <w:rFonts w:hint="eastAsia"/>
        </w:rPr>
        <w:t>1</w:t>
      </w:r>
      <w:r>
        <w:t>年度无社会保险基金预算</w:t>
      </w:r>
      <w:r>
        <w:rPr>
          <w:rFonts w:hint="eastAsia"/>
        </w:rPr>
        <w:t>支出</w:t>
      </w:r>
      <w:r>
        <w:t>。</w:t>
      </w:r>
    </w:p>
    <w:p>
      <w:pPr>
        <w:pStyle w:val="3"/>
        <w:ind w:firstLine="640"/>
      </w:pPr>
      <w:r>
        <w:rPr>
          <w:rFonts w:hint="eastAsia"/>
        </w:rPr>
        <w:t>六、</w:t>
      </w:r>
      <w:r>
        <w:t>部门整体支出绩效情况</w:t>
      </w:r>
    </w:p>
    <w:p>
      <w:pPr>
        <w:ind w:firstLine="640"/>
        <w:rPr>
          <w:rFonts w:hint="eastAsia"/>
          <w:b/>
          <w:bCs/>
          <w:kern w:val="0"/>
        </w:rPr>
      </w:pPr>
      <w:r>
        <w:rPr>
          <w:kern w:val="0"/>
        </w:rPr>
        <w:t>202</w:t>
      </w:r>
      <w:r>
        <w:rPr>
          <w:rFonts w:hint="eastAsia"/>
          <w:kern w:val="0"/>
        </w:rPr>
        <w:t>1</w:t>
      </w:r>
      <w:r>
        <w:rPr>
          <w:kern w:val="0"/>
        </w:rPr>
        <w:t>年，我厅根据中央重点任务目标、省政府重要工作部署、本厅年初工作计划、立法工作计划和监督工作计划的要求，认真履行职责</w:t>
      </w:r>
      <w:r>
        <w:rPr>
          <w:spacing w:val="-8"/>
          <w:kern w:val="0"/>
        </w:rPr>
        <w:t>，较好地完成了年初确定的各项工作任务，为推进全省农业和农村发展做出了积极贡献。根据《部门整体支出绩效自评表》自评分</w:t>
      </w:r>
      <w:r>
        <w:rPr>
          <w:rFonts w:hint="eastAsia"/>
          <w:spacing w:val="-8"/>
          <w:kern w:val="0"/>
        </w:rPr>
        <w:t>97.70</w:t>
      </w:r>
      <w:r>
        <w:rPr>
          <w:spacing w:val="-8"/>
          <w:kern w:val="0"/>
        </w:rPr>
        <w:t>分（</w:t>
      </w:r>
      <w:r>
        <w:rPr>
          <w:kern w:val="0"/>
        </w:rPr>
        <w:t>详见附</w:t>
      </w:r>
      <w:r>
        <w:rPr>
          <w:rFonts w:hint="eastAsia"/>
          <w:kern w:val="0"/>
        </w:rPr>
        <w:t>表</w:t>
      </w:r>
      <w:r>
        <w:rPr>
          <w:kern w:val="0"/>
        </w:rPr>
        <w:t>2），部门整体支出绩效为“优”。</w:t>
      </w:r>
      <w:r>
        <w:rPr>
          <w:rFonts w:hint="eastAsia"/>
          <w:bCs/>
          <w:color w:val="000000"/>
        </w:rPr>
        <w:t>现从运行成本、管理效率、履职效能、社会效应、可持续发展能力和服务对象满意度等六个方面进行自评。</w:t>
      </w:r>
    </w:p>
    <w:p>
      <w:pPr>
        <w:pStyle w:val="4"/>
        <w:ind w:firstLine="643"/>
      </w:pPr>
      <w:r>
        <w:rPr>
          <w:rFonts w:hint="eastAsia"/>
        </w:rPr>
        <w:t>（一）</w:t>
      </w:r>
      <w:r>
        <w:t>严控运行成本</w:t>
      </w:r>
    </w:p>
    <w:p>
      <w:pPr>
        <w:ind w:firstLine="640"/>
        <w:rPr>
          <w:rFonts w:hint="eastAsia"/>
        </w:rPr>
      </w:pPr>
      <w:r>
        <w:t>202</w:t>
      </w:r>
      <w:r>
        <w:rPr>
          <w:rFonts w:hint="eastAsia"/>
        </w:rPr>
        <w:t>1年“三公”经费支出339.</w:t>
      </w:r>
      <w:r>
        <w:t>0</w:t>
      </w:r>
      <w:r>
        <w:rPr>
          <w:rFonts w:hint="eastAsia"/>
        </w:rPr>
        <w:t>1万元，人均支出</w:t>
      </w:r>
      <w:r>
        <w:t>0.</w:t>
      </w:r>
      <w:r>
        <w:rPr>
          <w:rFonts w:hint="eastAsia"/>
        </w:rPr>
        <w:t>13万元。其中公务接待费74.72万元、公务用车运行维护费226.74万元、车辆购置费支出37.55万元，较年初预算699.90万元节约360.89万元，节约比为51.56</w:t>
      </w:r>
      <w:r>
        <w:t>%</w:t>
      </w:r>
      <w:r>
        <w:rPr>
          <w:rFonts w:hint="eastAsia"/>
        </w:rPr>
        <w:t>。</w:t>
      </w:r>
      <w:r>
        <w:t>2020</w:t>
      </w:r>
      <w:r>
        <w:rPr>
          <w:rFonts w:hint="eastAsia"/>
        </w:rPr>
        <w:t>年基本支出中水费、电费和差旅费年初预算为779.06万元，决算数为763.45万元，节约比为2</w:t>
      </w:r>
      <w:r>
        <w:t>%</w:t>
      </w:r>
      <w:r>
        <w:rPr>
          <w:rFonts w:hint="eastAsia"/>
        </w:rPr>
        <w:t>。会议费和培训费年初预算为204.40万元，决算数为134.22万元，节约比为34.33</w:t>
      </w:r>
      <w:r>
        <w:t>%</w:t>
      </w:r>
      <w:r>
        <w:rPr>
          <w:rFonts w:hint="eastAsia"/>
        </w:rPr>
        <w:t>，均合理控制在预算以内。</w:t>
      </w:r>
    </w:p>
    <w:p>
      <w:pPr>
        <w:pStyle w:val="4"/>
        <w:ind w:firstLine="643"/>
        <w:rPr>
          <w:rFonts w:hint="eastAsia"/>
        </w:rPr>
      </w:pPr>
      <w:r>
        <w:rPr>
          <w:rFonts w:hint="eastAsia"/>
        </w:rPr>
        <w:t>（二）提高管理效率</w:t>
      </w:r>
    </w:p>
    <w:p>
      <w:pPr>
        <w:ind w:firstLine="640"/>
      </w:pPr>
      <w:r>
        <w:rPr>
          <w:rFonts w:hint="eastAsia"/>
        </w:rPr>
        <w:t>1.统筹实施乡村振兴战略。</w:t>
      </w:r>
      <w:r>
        <w:t>充分发挥省委农办统筹协调职能，推动出台《湖南省贯彻〈中国共产党农村工作条例〉实施办法》，切实加强党对“三农”工作的全面领导，落实“五级书记”抓乡村振兴的责任，各级均成立了党委农村工作领导小组，县级全部由县委书记担任领导小组组长。</w:t>
      </w:r>
    </w:p>
    <w:p>
      <w:pPr>
        <w:ind w:firstLine="640"/>
      </w:pPr>
      <w:r>
        <w:rPr>
          <w:rFonts w:hint="eastAsia"/>
        </w:rPr>
        <w:t>2.推动产业集群建设。2</w:t>
      </w:r>
      <w:r>
        <w:t>021</w:t>
      </w:r>
      <w:r>
        <w:rPr>
          <w:rFonts w:hint="eastAsia"/>
        </w:rPr>
        <w:t>年</w:t>
      </w:r>
      <w:r>
        <w:t>以省委、省政府名义出台了《关于持续推动“六大强农”行动 促进乡村产业兴旺的实施意见》《关于培育发展农业全产业链 加快建设优势特色千亿产业的指导意见》等文件，规划形成了湘东湘中“油猪竹”、湘南“果蔬猪”、湘西“茶果药”、湘北“粮油水产”等12个优势特色产业核心产区产业集群。争取了早中熟柑橘、优质湘猪、“湘九味”中药材和“五彩湘茶”4个国家级产业集群建设。</w:t>
      </w:r>
    </w:p>
    <w:p>
      <w:pPr>
        <w:ind w:firstLine="640"/>
        <w:rPr>
          <w:rFonts w:hint="eastAsia"/>
        </w:rPr>
      </w:pPr>
      <w:r>
        <w:rPr>
          <w:rFonts w:hint="eastAsia"/>
        </w:rPr>
        <w:t>3.推进农业领域“两个高地”建设。</w:t>
      </w:r>
      <w:r>
        <w:t>出台了《湖南省种业振兴行动实施方案》，大力推进十大种业创新平台、十大良种科研攻关、十大良种繁育基地建设。高标准建设岳麓山实验室和种业创新中心。在全国率先建成省级南繁科研育种园。第三代杂交稻双季亩产超1600公斤、再创新纪录。耐盐碱稻示范亩产达802公斤，创盐碱地高产新纪录。“两优低镉1号”参加农业农村部组织的联合测试，表现稳定低镉</w:t>
      </w:r>
      <w:r>
        <w:rPr>
          <w:rFonts w:hint="eastAsia"/>
        </w:rPr>
        <w:t>。农机方面，湖南智能农机创新研发中心挂牌成立，沅江市、西洞庭管理区和贺家山原种场数字大米试点先后启动，望城区创建全国首个双季稻无人农场，常德经开区、双峰县、苏仙区三个农机制造基地建设进展顺利，2</w:t>
      </w:r>
      <w:r>
        <w:t>021</w:t>
      </w:r>
      <w:r>
        <w:rPr>
          <w:rFonts w:hint="eastAsia"/>
        </w:rPr>
        <w:t>年全省农机规模以上企业主营收入达280亿元，同比增长9%。</w:t>
      </w:r>
    </w:p>
    <w:p>
      <w:pPr>
        <w:ind w:firstLine="640"/>
        <w:rPr>
          <w:rFonts w:hint="eastAsia" w:eastAsia="仿宋"/>
        </w:rPr>
      </w:pPr>
      <w:r>
        <w:rPr>
          <w:rFonts w:hint="eastAsia"/>
        </w:rPr>
        <w:t>4.加快推动农业绿色发展。长江湖南段、洞庭湖、湘资沅澧“四水”干流等重点水域已全面实行“十年禁渔”，禁捕水域基本实现“四清四无”，禁捕秩序总体平稳。推动省人大出台《关于促进和保障长江流域禁捕工作的决定》，法规体系逐步健全。全面推进智慧渔政建设，基本实现重点水域视频监控全覆盖。</w:t>
      </w:r>
    </w:p>
    <w:p>
      <w:pPr>
        <w:ind w:firstLine="640"/>
      </w:pPr>
      <w:r>
        <w:rPr>
          <w:rFonts w:hint="eastAsia"/>
        </w:rPr>
        <w:t>5.提升人居环境整治。</w:t>
      </w:r>
      <w:r>
        <w:t>2018</w:t>
      </w:r>
      <w:r>
        <w:rPr>
          <w:rFonts w:hint="eastAsia"/>
        </w:rPr>
        <w:t>-</w:t>
      </w:r>
      <w:r>
        <w:t>202</w:t>
      </w:r>
      <w:r>
        <w:rPr>
          <w:rFonts w:hint="eastAsia"/>
        </w:rPr>
        <w:t>1</w:t>
      </w:r>
      <w:r>
        <w:t>年，我省农村人居环境整治工作连续</w:t>
      </w:r>
      <w:r>
        <w:rPr>
          <w:rFonts w:hint="eastAsia"/>
        </w:rPr>
        <w:t>四</w:t>
      </w:r>
      <w:r>
        <w:t>年获得国务院真抓实干成效明显督查激励。</w:t>
      </w:r>
      <w:r>
        <w:rPr>
          <w:rFonts w:hint="eastAsia"/>
        </w:rPr>
        <w:t>出台了</w:t>
      </w:r>
      <w:r>
        <w:t>《湖南省农村人居环境整治提升五年行动实施方案（2021-2025年）》。</w:t>
      </w:r>
    </w:p>
    <w:p>
      <w:pPr>
        <w:ind w:firstLine="640"/>
        <w:rPr>
          <w:rFonts w:hint="eastAsia" w:eastAsia="仿宋"/>
        </w:rPr>
      </w:pPr>
      <w:r>
        <w:rPr>
          <w:rFonts w:hint="eastAsia"/>
        </w:rPr>
        <w:t>6.持续深化农业农村改革。2</w:t>
      </w:r>
      <w:r>
        <w:t>021</w:t>
      </w:r>
      <w:r>
        <w:rPr>
          <w:rFonts w:hint="eastAsia"/>
        </w:rPr>
        <w:t>年</w:t>
      </w:r>
      <w:r>
        <w:t>省委办公厅、省政府办公厅出台了《关于进一步加快发展壮大农村集体经济的意见》，村级集体经济加快发展。农村承包地确权登记颁证和农村集体产权制度改革整省试点任务基本完成。在宁远县、鼎城区、澧县、新田县开展第二轮土地承包到期后再延长30年试点。浏阳市、汨罗市、宁远县、凤凰县纳入全国第二轮农村宅基地制度改革试点。省政府在益阳市开展现代农业综合改革试点。</w:t>
      </w:r>
    </w:p>
    <w:p>
      <w:pPr>
        <w:pStyle w:val="4"/>
        <w:ind w:firstLine="643"/>
      </w:pPr>
      <w:r>
        <w:rPr>
          <w:rFonts w:hint="eastAsia"/>
        </w:rPr>
        <w:t>（三）提升履职效能</w:t>
      </w:r>
    </w:p>
    <w:p>
      <w:pPr>
        <w:ind w:firstLine="640"/>
      </w:pPr>
      <w:r>
        <w:rPr>
          <w:rFonts w:hint="eastAsia"/>
        </w:rPr>
        <w:t>1.</w:t>
      </w:r>
      <w:r>
        <w:t>建立乡村振兴重点帮扶和示范创建机制</w:t>
      </w:r>
      <w:r>
        <w:rPr>
          <w:rFonts w:hint="eastAsia"/>
        </w:rPr>
        <w:t>。</w:t>
      </w:r>
      <w:r>
        <w:t>省委出台《关于全面推进乡村振兴加快农业农村现代化的实施意见》（省委一号文件），建立乡村振兴重点帮扶和示范创建机制，全省确定乡村振兴13个重点帮扶县、14个示范创建县、1个示范创建市和湘赣边先行示范区，明确2</w:t>
      </w:r>
      <w:r>
        <w:rPr>
          <w:rFonts w:hint="eastAsia"/>
        </w:rPr>
        <w:t>,</w:t>
      </w:r>
      <w:r>
        <w:t>307个重点帮扶村和2</w:t>
      </w:r>
      <w:r>
        <w:rPr>
          <w:rFonts w:hint="eastAsia"/>
        </w:rPr>
        <w:t>,</w:t>
      </w:r>
      <w:r>
        <w:t>371个示范创建村，建立省级领导联系乡村振兴重点帮持县和示范创建县制度，13个省直单位对口帮扶乡村振兴重点帮扶县，省市县共派出10</w:t>
      </w:r>
      <w:r>
        <w:rPr>
          <w:rFonts w:hint="eastAsia"/>
        </w:rPr>
        <w:t>,</w:t>
      </w:r>
      <w:r>
        <w:t>253支新一轮驻村工作队。巩固拓展脱贫攻坚成果同乡村振兴有效衔接，把防止返贫作为重中之重。</w:t>
      </w:r>
    </w:p>
    <w:p>
      <w:pPr>
        <w:ind w:firstLine="640"/>
      </w:pPr>
      <w:r>
        <w:rPr>
          <w:rFonts w:hint="eastAsia"/>
        </w:rPr>
        <w:t>2.</w:t>
      </w:r>
      <w:r>
        <w:t>强化乡村振兴实绩考核，出台《市县党委政府实施乡村振兴战略实绩考核和省直部门（中央驻湘单位）责任制考核办法》，将对先进县市区给予200</w:t>
      </w:r>
      <w:r>
        <w:rPr>
          <w:rFonts w:hint="eastAsia"/>
        </w:rPr>
        <w:t>-</w:t>
      </w:r>
      <w:r>
        <w:t>600万元的财政衔接推进乡村振兴补助资金奖励，考核结果作为市县党委政府和省直相关部门领导班子及主要负责人综合考核评价的重要依据。</w:t>
      </w:r>
    </w:p>
    <w:p>
      <w:pPr>
        <w:ind w:firstLine="640"/>
        <w:rPr>
          <w:rFonts w:eastAsia="仿宋"/>
        </w:rPr>
      </w:pPr>
      <w:r>
        <w:rPr>
          <w:rFonts w:hint="eastAsia"/>
        </w:rPr>
        <w:t>3.推动耕地抛荒治理。</w:t>
      </w:r>
      <w:r>
        <w:t>落实粮食安全党政同责，省委、省政府将粮食生产纳入绩效考评、真抓实干督查激励内容。从2020年起实施“耕地抛荒专项治理三年行动计划”，对抛荒耕地停发地力保护补贴，今年排查出抛荒存量面积158万亩，年内完成抛荒治理100万亩以上。同时，通过抓好早稻集中育秧、机械化生产、社会化服务、高标准农田建设等关键环节，实现粮食面积和产量“双稳”。</w:t>
      </w:r>
    </w:p>
    <w:p>
      <w:pPr>
        <w:ind w:firstLine="640"/>
        <w:rPr>
          <w:rFonts w:eastAsia="仿宋"/>
        </w:rPr>
      </w:pPr>
      <w:r>
        <w:rPr>
          <w:rFonts w:hint="eastAsia"/>
        </w:rPr>
        <w:t>4.</w:t>
      </w:r>
      <w:r>
        <w:t>农业农村发展保持良好态势</w:t>
      </w:r>
      <w:r>
        <w:rPr>
          <w:rFonts w:hint="eastAsia"/>
        </w:rPr>
        <w:t>。</w:t>
      </w:r>
      <w:r>
        <w:t>按照省委、省政府“三农”决策部署，大力发展精细农业，深入实施“六大强农”行动（品牌强农、特色强农、产业融合强农、科技强农、人才强农、开放强农），着力打造农业优势特色千亿产业，加快推进乡村振兴，全省农业农村发展保持良好态势。预计今年全省第一产业增加值4</w:t>
      </w:r>
      <w:r>
        <w:rPr>
          <w:rFonts w:hint="eastAsia"/>
        </w:rPr>
        <w:t>,</w:t>
      </w:r>
      <w:r>
        <w:t>500亿元左右，同比增长8%左右；农村居民人均可支配收入18</w:t>
      </w:r>
      <w:r>
        <w:rPr>
          <w:rFonts w:hint="eastAsia"/>
        </w:rPr>
        <w:t>,</w:t>
      </w:r>
      <w:r>
        <w:t>000元左右，同比增长10%左右，增幅继续高于GDP和城镇居民收入增幅。</w:t>
      </w:r>
    </w:p>
    <w:p>
      <w:pPr>
        <w:pStyle w:val="4"/>
        <w:ind w:firstLine="643"/>
        <w:rPr>
          <w:rFonts w:hint="eastAsia"/>
        </w:rPr>
      </w:pPr>
      <w:r>
        <w:rPr>
          <w:rFonts w:hint="eastAsia"/>
        </w:rPr>
        <w:t>（四）促进良好社会效应</w:t>
      </w:r>
    </w:p>
    <w:p>
      <w:pPr>
        <w:ind w:firstLine="640"/>
        <w:rPr>
          <w:rFonts w:eastAsia="仿宋"/>
          <w:sz w:val="34"/>
          <w:szCs w:val="34"/>
        </w:rPr>
      </w:pPr>
      <w:r>
        <w:rPr>
          <w:rFonts w:hint="eastAsia"/>
        </w:rPr>
        <w:t>1.</w:t>
      </w:r>
      <w:r>
        <w:t>粮食生猪等重要农产品稳产保供</w:t>
      </w:r>
      <w:r>
        <w:rPr>
          <w:rFonts w:hint="eastAsia"/>
        </w:rPr>
        <w:t>。2</w:t>
      </w:r>
      <w:r>
        <w:t>021</w:t>
      </w:r>
      <w:r>
        <w:rPr>
          <w:rFonts w:hint="eastAsia"/>
        </w:rPr>
        <w:t>年</w:t>
      </w:r>
      <w:r>
        <w:t>全省落实粮食面积7</w:t>
      </w:r>
      <w:r>
        <w:rPr>
          <w:rFonts w:hint="eastAsia"/>
        </w:rPr>
        <w:t>,</w:t>
      </w:r>
      <w:r>
        <w:t>137.6万亩，超过国家下达任务53万亩；总产量614.8亿斤，比</w:t>
      </w:r>
      <w:r>
        <w:rPr>
          <w:rFonts w:hint="eastAsia"/>
        </w:rPr>
        <w:t>上</w:t>
      </w:r>
      <w:r>
        <w:t>年增加11.8亿斤，其中早稻面积和产量均居全国第1位。全省累计建成高标准农田3</w:t>
      </w:r>
      <w:r>
        <w:rPr>
          <w:rFonts w:hint="eastAsia"/>
        </w:rPr>
        <w:t>,</w:t>
      </w:r>
      <w:r>
        <w:t>342万亩，占</w:t>
      </w:r>
      <w:r>
        <w:rPr>
          <w:rFonts w:hint="eastAsia"/>
        </w:rPr>
        <w:t>耕地面积的53.9</w:t>
      </w:r>
      <w:r>
        <w:t>%，2021年度460万亩建设任务已</w:t>
      </w:r>
      <w:r>
        <w:rPr>
          <w:rFonts w:hint="eastAsia"/>
        </w:rPr>
        <w:t>基本完成</w:t>
      </w:r>
      <w:r>
        <w:t>，整体进度快于往年。以实施“优质湘猪”工程为重点，抓好生猪稳产保供，全年生猪出栏6</w:t>
      </w:r>
      <w:r>
        <w:rPr>
          <w:rFonts w:hint="eastAsia"/>
        </w:rPr>
        <w:t>,</w:t>
      </w:r>
      <w:r>
        <w:t>12.8万头，同比增长30%左右，出栏量居全国前2位。蔬菜、禽蛋、水产生产平稳，供应有保障，满足了人民消费需要。</w:t>
      </w:r>
    </w:p>
    <w:p>
      <w:pPr>
        <w:ind w:firstLine="640"/>
      </w:pPr>
      <w:r>
        <w:rPr>
          <w:rFonts w:hint="eastAsia"/>
        </w:rPr>
        <w:t>2.大力发展农业优势特色千亿产业。</w:t>
      </w:r>
      <w:r>
        <w:t>全省累计创建国家农业现代化示范区4个、国家现代农业产业园7个和省级现代农业产业园27个、优质农副产品供应基地58个、特色产业园639个、农业特色小镇19个。重点培育了“两茶两油两菜”（安化黑茶、湖南红茶、湖南茶油、湖南菜籽油、“湘江源”蔬菜、湖南辣椒）省级区域公用品牌，与江西省共同打造“湘赣红”区域公用品牌。建成湖南省脱贫地区优质农产品展示中心、省优质农产品产销对接综合服务中心，北京新发地湖南优质农产品展销馆正式营运。</w:t>
      </w:r>
    </w:p>
    <w:p>
      <w:pPr>
        <w:pStyle w:val="4"/>
        <w:ind w:firstLine="643"/>
      </w:pPr>
      <w:r>
        <w:rPr>
          <w:rFonts w:hint="eastAsia"/>
        </w:rPr>
        <w:t>（五）增强可持续发展能力</w:t>
      </w:r>
    </w:p>
    <w:p>
      <w:pPr>
        <w:ind w:firstLine="640"/>
        <w:rPr>
          <w:rFonts w:hint="eastAsia"/>
        </w:rPr>
      </w:pPr>
      <w:r>
        <w:rPr>
          <w:rFonts w:hint="eastAsia"/>
        </w:rPr>
        <w:t>1.扎实推进受污染耕地安全利用。60.76万亩重度污染耕地全部退出水稻生产，897.4万亩轻中度污染耕地落实了一种以上安全利用措施、占国家下达任务的101.1%，长株潭重金属污染耕地治理试点任务全面完成，探索形成了“VIP+n”控镉技术模式，得到农业农村部的肯定和推广。</w:t>
      </w:r>
    </w:p>
    <w:p>
      <w:pPr>
        <w:ind w:firstLine="624"/>
        <w:rPr>
          <w:rFonts w:hint="eastAsia"/>
          <w:spacing w:val="-4"/>
        </w:rPr>
      </w:pPr>
      <w:r>
        <w:rPr>
          <w:rFonts w:hint="eastAsia"/>
          <w:spacing w:val="-4"/>
        </w:rPr>
        <w:t>2.持续推进畜禽粪污资源化利用。扎实开展“大棚房”清理整治回头看行动，排查出的15个违法违规问题均已整改到位。持续推进畜禽粪污资源化利用，抓好农作物秸秆综合利用试点示范，畜禽粪污资源化利用率、秸秆综合利用率均高于全国平均水平。</w:t>
      </w:r>
    </w:p>
    <w:p>
      <w:pPr>
        <w:ind w:firstLine="640"/>
      </w:pPr>
      <w:r>
        <w:rPr>
          <w:rFonts w:hint="eastAsia"/>
        </w:rPr>
        <w:t>3.</w:t>
      </w:r>
      <w:r>
        <w:t>全面推进农村人居环境整治</w:t>
      </w:r>
      <w:r>
        <w:rPr>
          <w:rFonts w:hint="eastAsia"/>
          <w:b/>
          <w:bCs/>
        </w:rPr>
        <w:t>。</w:t>
      </w:r>
      <w:r>
        <w:t>统筹</w:t>
      </w:r>
      <w:r>
        <w:rPr>
          <w:rFonts w:hint="eastAsia"/>
        </w:rPr>
        <w:t>进行</w:t>
      </w:r>
      <w:r>
        <w:t>农村生活垃圾和污水治理</w:t>
      </w:r>
      <w:r>
        <w:rPr>
          <w:rFonts w:hint="eastAsia"/>
        </w:rPr>
        <w:t>。</w:t>
      </w:r>
      <w:r>
        <w:t>93.8%的行政村对生活垃圾进行了治理、49.8%的行政村对生活污水进行了治理。省市县三级累计创建美丽乡村示范村6</w:t>
      </w:r>
      <w:r>
        <w:rPr>
          <w:rFonts w:hint="eastAsia"/>
        </w:rPr>
        <w:t>,</w:t>
      </w:r>
      <w:r>
        <w:t>757个。</w:t>
      </w:r>
    </w:p>
    <w:p>
      <w:pPr>
        <w:ind w:firstLine="640"/>
        <w:rPr>
          <w:rFonts w:eastAsia="仿宋"/>
        </w:rPr>
      </w:pPr>
      <w:r>
        <w:rPr>
          <w:rFonts w:hint="eastAsia"/>
        </w:rPr>
        <w:t>4.厕所普及率高。连</w:t>
      </w:r>
      <w:r>
        <w:t>续三年将农村改厕列入省重点民生实事，累计改（新）建农村户厕300余万户，全省一类县无害化卫生厕所普及率达93.9%，二三类县卫生厕所普及率分别达92.2%、80.3%，均达到中央要求。</w:t>
      </w:r>
    </w:p>
    <w:p>
      <w:pPr>
        <w:pStyle w:val="4"/>
        <w:ind w:firstLine="643"/>
        <w:rPr>
          <w:rFonts w:hint="eastAsia"/>
        </w:rPr>
      </w:pPr>
      <w:r>
        <w:rPr>
          <w:rFonts w:hint="eastAsia"/>
        </w:rPr>
        <w:t>（六）提高服务对象满意度</w:t>
      </w:r>
    </w:p>
    <w:p>
      <w:pPr>
        <w:ind w:firstLine="640"/>
      </w:pPr>
      <w:r>
        <w:rPr>
          <w:rFonts w:hint="eastAsia"/>
        </w:rPr>
        <w:t>绩效评价组通过线上调查和实地访问的方式进行满意度调查，2021年其他事业发展资金项目的服务对象满意度为90%，业务工作经费项目的服务对象满意度为95%，运行维护经费项目的服务对象满意度为95%，部门整体服务对象的满意度为95%。</w:t>
      </w:r>
    </w:p>
    <w:p>
      <w:pPr>
        <w:pStyle w:val="3"/>
        <w:ind w:firstLine="640"/>
      </w:pPr>
      <w:r>
        <w:rPr>
          <w:rFonts w:hint="eastAsia"/>
          <w:color w:val="000000"/>
        </w:rPr>
        <w:t>七、</w:t>
      </w:r>
      <w:r>
        <w:t>存在的问题及原因分析</w:t>
      </w:r>
    </w:p>
    <w:p>
      <w:pPr>
        <w:pStyle w:val="4"/>
        <w:ind w:firstLine="643"/>
        <w:rPr>
          <w:kern w:val="0"/>
        </w:rPr>
      </w:pPr>
      <w:r>
        <w:rPr>
          <w:rFonts w:hint="eastAsia"/>
          <w:kern w:val="0"/>
        </w:rPr>
        <w:t>（一）部分项目资金执行率有待提高</w:t>
      </w:r>
    </w:p>
    <w:p>
      <w:pPr>
        <w:ind w:firstLine="640"/>
        <w:rPr>
          <w:highlight w:val="yellow"/>
        </w:rPr>
      </w:pPr>
      <w:r>
        <w:rPr>
          <w:rFonts w:hint="eastAsia"/>
        </w:rPr>
        <w:t>按支出功能分类，其他农业农村支出预算10</w:t>
      </w:r>
      <w:r>
        <w:t>,</w:t>
      </w:r>
      <w:r>
        <w:rPr>
          <w:rFonts w:hint="eastAsia"/>
        </w:rPr>
        <w:t>933.31万元，实际支出6</w:t>
      </w:r>
      <w:r>
        <w:t>,</w:t>
      </w:r>
      <w:r>
        <w:rPr>
          <w:rFonts w:hint="eastAsia"/>
        </w:rPr>
        <w:t>177.75万元。其中：“湖南红茶”品牌宣传推广及营销促销、“湘赣红”品牌宣传推广及营销促销、“湘江源”蔬菜品牌宣传推广及营销促销、“湖南辣椒”品牌宣传推广及营销4个项目为10月份、11月份下达指标，金额合计为2,220万元，资金尚未使用。执法监管项目预算总金额4,676.81万元，实际支出金额822.05万元,结余较大的主要原因为2020年省级长江禁捕退捕过渡期补助厅本级指标3,960万元，实际使用金额362.34万元，支付比例为9.15%，资金执行率不高。</w:t>
      </w:r>
    </w:p>
    <w:p>
      <w:pPr>
        <w:ind w:firstLine="640"/>
      </w:pPr>
      <w:r>
        <w:rPr>
          <w:rFonts w:hint="eastAsia"/>
        </w:rPr>
        <w:t>原因分析：一是</w:t>
      </w:r>
      <w:r>
        <w:t>资金分配方案及实施方案上报</w:t>
      </w:r>
      <w:r>
        <w:rPr>
          <w:rFonts w:hint="eastAsia"/>
        </w:rPr>
        <w:t>较晚</w:t>
      </w:r>
      <w:r>
        <w:rPr>
          <w:spacing w:val="-6"/>
        </w:rPr>
        <w:t>，相关项目任务和方案无法在预算年度内完</w:t>
      </w:r>
      <w:r>
        <w:t>全落实到位</w:t>
      </w:r>
      <w:r>
        <w:rPr>
          <w:rFonts w:hint="eastAsia"/>
        </w:rPr>
        <w:t>。二是部分项目系10月之后预算追加资金项目</w:t>
      </w:r>
      <w:r>
        <w:t>。</w:t>
      </w:r>
      <w:r>
        <w:rPr>
          <w:rFonts w:hint="eastAsia"/>
        </w:rPr>
        <w:t>三是个别项目预算口径和支付口径不一致，如：支付渔政执法快艇采购进度款，按照合同付款方式，当年仅支出合同金额的30%，合计468.81万元，而预算按全合同金额下达。</w:t>
      </w:r>
    </w:p>
    <w:p>
      <w:pPr>
        <w:pStyle w:val="4"/>
        <w:ind w:firstLine="643"/>
        <w:rPr>
          <w:kern w:val="0"/>
        </w:rPr>
      </w:pPr>
      <w:bookmarkStart w:id="0" w:name="_Toc73268600"/>
      <w:r>
        <w:rPr>
          <w:kern w:val="0"/>
        </w:rPr>
        <w:t>（</w:t>
      </w:r>
      <w:r>
        <w:rPr>
          <w:rFonts w:hint="eastAsia"/>
          <w:kern w:val="0"/>
        </w:rPr>
        <w:t>二</w:t>
      </w:r>
      <w:r>
        <w:rPr>
          <w:kern w:val="0"/>
        </w:rPr>
        <w:t>）</w:t>
      </w:r>
      <w:bookmarkEnd w:id="0"/>
      <w:r>
        <w:rPr>
          <w:rFonts w:hint="eastAsia"/>
          <w:kern w:val="0"/>
        </w:rPr>
        <w:t>项目支出未严格按照指标明细进行归集核算</w:t>
      </w:r>
    </w:p>
    <w:p>
      <w:pPr>
        <w:ind w:firstLine="640"/>
        <w:rPr>
          <w:rFonts w:hint="eastAsia"/>
        </w:rPr>
      </w:pPr>
      <w:r>
        <w:rPr>
          <w:rFonts w:hint="eastAsia"/>
        </w:rPr>
        <w:t xml:space="preserve"> 通过对专项资金使用情况进行抽查，存在个别项目存在专项资金归集不清晰的情况。</w:t>
      </w:r>
    </w:p>
    <w:p>
      <w:pPr>
        <w:ind w:firstLine="640"/>
        <w:rPr>
          <w:rFonts w:hint="eastAsia"/>
          <w:kern w:val="0"/>
          <w:szCs w:val="32"/>
        </w:rPr>
      </w:pPr>
      <w:r>
        <w:rPr>
          <w:rFonts w:hint="eastAsia"/>
          <w:kern w:val="0"/>
          <w:szCs w:val="32"/>
        </w:rPr>
        <w:t>农产品品牌建设与监管、区域公共品牌建设项目中列支其他项目支出。如：2021年11-3#号凭证，区域公共品牌建设项目中支付湖南红茶室内LED电梯外小屏广告费14.20万元；2021年5-9#凭证，支出“湘赣红”品牌发布会暨步步高开业庆典产品组织及宣传服务费3.98万元；2021年12-334#号凭证，农产品品牌建设与监管项目中支出“湘江源”蔬菜品牌高速公路户外大牌广告宣传服务费67.52万元。</w:t>
      </w:r>
    </w:p>
    <w:p>
      <w:pPr>
        <w:ind w:firstLine="640"/>
      </w:pPr>
      <w:r>
        <w:rPr>
          <w:rFonts w:hint="eastAsia"/>
        </w:rPr>
        <w:t>原因分析：转账核算工作存在不够细致的情况。</w:t>
      </w:r>
    </w:p>
    <w:p>
      <w:pPr>
        <w:pStyle w:val="4"/>
        <w:ind w:firstLine="643"/>
        <w:rPr>
          <w:rFonts w:eastAsia="楷体" w:cs="楷体"/>
          <w:color w:val="000000"/>
          <w:kern w:val="0"/>
        </w:rPr>
      </w:pPr>
      <w:r>
        <w:rPr>
          <w:rFonts w:hint="eastAsia"/>
          <w:kern w:val="0"/>
        </w:rPr>
        <w:t>（三）个别合同签订程序欠规范</w:t>
      </w:r>
    </w:p>
    <w:p>
      <w:pPr>
        <w:ind w:firstLine="643"/>
      </w:pPr>
      <w:r>
        <w:rPr>
          <w:rFonts w:hint="eastAsia"/>
          <w:b/>
          <w:bCs/>
        </w:rPr>
        <w:t>1.项目验收时间先于合同履行日期。</w:t>
      </w:r>
      <w:r>
        <w:t>根据凭证</w:t>
      </w:r>
      <w:r>
        <w:rPr>
          <w:rFonts w:hint="eastAsia"/>
        </w:rPr>
        <w:t>2021年</w:t>
      </w:r>
      <w:r>
        <w:t>5-9#，“湘赣红”品牌发布会暨步步高开业庆典产品组织及宣传服务费3</w:t>
      </w:r>
      <w:r>
        <w:rPr>
          <w:rFonts w:hint="eastAsia"/>
        </w:rPr>
        <w:t>.97万</w:t>
      </w:r>
      <w:r>
        <w:t>元，合同履行时间为2021年3月30日，期限为5天，其后附项目验收单验收意见日期为2月7日。</w:t>
      </w:r>
    </w:p>
    <w:p>
      <w:pPr>
        <w:ind w:firstLine="643"/>
      </w:pPr>
      <w:r>
        <w:rPr>
          <w:rFonts w:hint="eastAsia"/>
          <w:b/>
          <w:bCs/>
        </w:rPr>
        <w:t>2.合同未明确签订日期。</w:t>
      </w:r>
      <w:r>
        <w:rPr>
          <w:rFonts w:hint="eastAsia"/>
        </w:rPr>
        <w:t>与湖南海荃游艇有限公司签订的湖南省农业农村厅船舶建造合同，合同中无签订日期，合同要素不齐全。</w:t>
      </w:r>
    </w:p>
    <w:p>
      <w:pPr>
        <w:ind w:firstLine="640"/>
      </w:pPr>
      <w:r>
        <w:rPr>
          <w:rFonts w:hint="eastAsia"/>
        </w:rPr>
        <w:t>原因分析：一方面是合同流程不及时导致合同签订手续滞后，一方面是合同时间落款日期未严格要求。</w:t>
      </w:r>
    </w:p>
    <w:p>
      <w:pPr>
        <w:pStyle w:val="4"/>
        <w:ind w:firstLine="643"/>
        <w:rPr>
          <w:rFonts w:hint="eastAsia"/>
          <w:kern w:val="0"/>
        </w:rPr>
      </w:pPr>
      <w:r>
        <w:rPr>
          <w:rFonts w:hint="eastAsia"/>
          <w:kern w:val="0"/>
        </w:rPr>
        <w:t>（四）个别项目存在指标互相调剂的情况</w:t>
      </w:r>
    </w:p>
    <w:p>
      <w:pPr>
        <w:ind w:firstLine="640"/>
        <w:rPr>
          <w:rFonts w:hint="eastAsia"/>
        </w:rPr>
      </w:pPr>
      <w:r>
        <w:rPr>
          <w:rFonts w:hint="eastAsia"/>
        </w:rPr>
        <w:t>通过自查部分项目支出凭证，发现个别项目存在指标互相调剂的情况。如：2021年1-20#号凭证，支出劳务派遣人员12月工资及元月社保6.48万元，其中项目支出业务工作专项中列支3.29万元，基本支出中列支3.19万元；2021年6-111#号凭证，支出厅党组理论学习中心组第三次党史学习教育费用4.73万元，其中项目支出业务工作专项中支出0.45万元（雨伞0.34万元，水0.04万元，党徽0.07万元），基本支出中列支4.28万元（住宿费2.31万元，餐费0.8万元，租车1.17万元）。</w:t>
      </w:r>
    </w:p>
    <w:p>
      <w:pPr>
        <w:ind w:firstLine="640"/>
      </w:pPr>
      <w:r>
        <w:rPr>
          <w:rFonts w:hint="eastAsia"/>
        </w:rPr>
        <w:t>原因分析：基本支出和项目支出因指标额度不足导致指标互相调剂的情况。</w:t>
      </w:r>
    </w:p>
    <w:p>
      <w:pPr>
        <w:pStyle w:val="3"/>
        <w:ind w:firstLine="640"/>
      </w:pPr>
      <w:r>
        <w:rPr>
          <w:rFonts w:hint="eastAsia"/>
        </w:rPr>
        <w:t>八、</w:t>
      </w:r>
      <w:r>
        <w:t>下一步改进措施</w:t>
      </w:r>
    </w:p>
    <w:p>
      <w:pPr>
        <w:pStyle w:val="4"/>
        <w:ind w:firstLine="643"/>
        <w:rPr>
          <w:kern w:val="0"/>
        </w:rPr>
      </w:pPr>
      <w:r>
        <w:rPr>
          <w:kern w:val="0"/>
        </w:rPr>
        <w:t>（</w:t>
      </w:r>
      <w:r>
        <w:rPr>
          <w:rFonts w:hint="eastAsia"/>
          <w:kern w:val="0"/>
        </w:rPr>
        <w:t>一</w:t>
      </w:r>
      <w:r>
        <w:rPr>
          <w:kern w:val="0"/>
        </w:rPr>
        <w:t>）</w:t>
      </w:r>
      <w:r>
        <w:rPr>
          <w:rFonts w:hint="eastAsia"/>
          <w:kern w:val="0"/>
        </w:rPr>
        <w:t>进一步提高资金执行率</w:t>
      </w:r>
    </w:p>
    <w:p>
      <w:pPr>
        <w:ind w:firstLine="640"/>
      </w:pPr>
      <w:r>
        <w:rPr>
          <w:rFonts w:hint="eastAsia"/>
        </w:rPr>
        <w:t>持续</w:t>
      </w:r>
      <w:r>
        <w:t>加强厅</w:t>
      </w:r>
      <w:r>
        <w:rPr>
          <w:rFonts w:hint="eastAsia"/>
        </w:rPr>
        <w:t>机关各</w:t>
      </w:r>
      <w:r>
        <w:t>业务处室</w:t>
      </w:r>
      <w:r>
        <w:rPr>
          <w:rFonts w:hint="eastAsia"/>
        </w:rPr>
        <w:t>的</w:t>
      </w:r>
      <w:r>
        <w:t>沟通配合，加强项目库建设，确保专项资金及时下达。</w:t>
      </w:r>
      <w:r>
        <w:rPr>
          <w:rFonts w:hint="eastAsia"/>
        </w:rPr>
        <w:t>提高年初预算编制准确性，控制预算追加量，提高预算资金使用率，对于资金执行率低的项目进一步分析其原因，落实到具体管理处室，从而提高部门整体预算执行率。</w:t>
      </w:r>
    </w:p>
    <w:p>
      <w:pPr>
        <w:pStyle w:val="4"/>
        <w:ind w:firstLine="643"/>
        <w:rPr>
          <w:kern w:val="0"/>
        </w:rPr>
      </w:pPr>
      <w:r>
        <w:rPr>
          <w:kern w:val="0"/>
        </w:rPr>
        <w:t>（</w:t>
      </w:r>
      <w:r>
        <w:rPr>
          <w:rFonts w:hint="eastAsia"/>
          <w:kern w:val="0"/>
        </w:rPr>
        <w:t>二</w:t>
      </w:r>
      <w:r>
        <w:rPr>
          <w:kern w:val="0"/>
        </w:rPr>
        <w:t>）</w:t>
      </w:r>
      <w:r>
        <w:rPr>
          <w:rFonts w:hint="eastAsia"/>
          <w:kern w:val="0"/>
        </w:rPr>
        <w:t>严格按照指标明细进行归集</w:t>
      </w:r>
    </w:p>
    <w:p>
      <w:pPr>
        <w:ind w:firstLine="640"/>
      </w:pPr>
      <w:r>
        <w:t>针对</w:t>
      </w:r>
      <w:r>
        <w:rPr>
          <w:rFonts w:hint="eastAsia"/>
        </w:rPr>
        <w:t>支出方向交叉的问题，我厅将进一步加大项目资金统筹整合力度，根据相关资金的主要任务和相关用途，对专项资金进行有效整合，</w:t>
      </w:r>
      <w:r>
        <w:rPr>
          <w:rFonts w:hint="eastAsia" w:eastAsia="仿宋"/>
        </w:rPr>
        <w:t>严格按照指标明细进行归集，</w:t>
      </w:r>
      <w:r>
        <w:rPr>
          <w:rFonts w:hint="eastAsia"/>
        </w:rPr>
        <w:t>进而加强资金管理，提高资金使用效益。</w:t>
      </w:r>
    </w:p>
    <w:p>
      <w:pPr>
        <w:pStyle w:val="4"/>
        <w:ind w:firstLine="643"/>
        <w:rPr>
          <w:rFonts w:hint="eastAsia"/>
          <w:kern w:val="0"/>
        </w:rPr>
      </w:pPr>
      <w:r>
        <w:rPr>
          <w:rFonts w:hint="eastAsia"/>
          <w:kern w:val="0"/>
        </w:rPr>
        <w:t>（三）规范合同手续及签订要求</w:t>
      </w:r>
    </w:p>
    <w:p>
      <w:pPr>
        <w:ind w:firstLine="640"/>
        <w:rPr>
          <w:rFonts w:hint="eastAsia"/>
        </w:rPr>
      </w:pPr>
      <w:r>
        <w:rPr>
          <w:rFonts w:hint="eastAsia"/>
        </w:rPr>
        <w:t>针对个别合同签订不及时导致合同先执行的情况，我厅将进一步优化合同签订手续，加快合同签订时间要求。针对个别合同无落款日期的情况，财务将督促业务处室完善合同要素，加强合同管理。</w:t>
      </w:r>
    </w:p>
    <w:p>
      <w:pPr>
        <w:pStyle w:val="4"/>
        <w:ind w:firstLine="643"/>
        <w:rPr>
          <w:rFonts w:hint="eastAsia"/>
          <w:kern w:val="0"/>
        </w:rPr>
      </w:pPr>
      <w:r>
        <w:rPr>
          <w:rFonts w:hint="eastAsia"/>
          <w:kern w:val="0"/>
        </w:rPr>
        <w:t>（四）加强财务管理，规范指标支出内容</w:t>
      </w:r>
    </w:p>
    <w:p>
      <w:pPr>
        <w:ind w:firstLine="640"/>
      </w:pPr>
      <w:r>
        <w:rPr>
          <w:rFonts w:hint="eastAsia"/>
        </w:rPr>
        <w:t>针对个别指标互相调剂使用的情况，财务处室将加强预算指标管理，合理分配项目支出。</w:t>
      </w:r>
    </w:p>
    <w:p>
      <w:pPr>
        <w:pStyle w:val="3"/>
        <w:ind w:firstLine="640"/>
      </w:pPr>
      <w:r>
        <w:rPr>
          <w:rFonts w:hint="eastAsia"/>
        </w:rPr>
        <w:t>九、</w:t>
      </w:r>
      <w:r>
        <w:t>绩效自评结果拟应用和公开情况</w:t>
      </w:r>
    </w:p>
    <w:p>
      <w:pPr>
        <w:ind w:firstLine="640"/>
      </w:pPr>
      <w:r>
        <w:t>一是落实绩效评价结果公开公示制度，将绩效评价报告上网公开，接受社会监督。二是加强绩效自评结果的应用，将评价中发现</w:t>
      </w:r>
      <w:r>
        <w:rPr>
          <w:spacing w:val="-6"/>
          <w:szCs w:val="22"/>
        </w:rPr>
        <w:t>的管理薄弱环节向各项目主管部门、实施单位进行反馈，要求逐一研究对策、落实整改责任并督促项目实施主体整改到位，绩</w:t>
      </w:r>
      <w:r>
        <w:t>效评价结果将作为以后年度专项资金分配的重要依据。</w:t>
      </w:r>
    </w:p>
    <w:p>
      <w:pPr>
        <w:ind w:firstLine="640"/>
        <w:rPr>
          <w:rFonts w:hint="eastAsia"/>
          <w:kern w:val="0"/>
        </w:rPr>
      </w:pPr>
      <w:r>
        <w:rPr>
          <w:rFonts w:hint="eastAsia"/>
          <w:kern w:val="0"/>
        </w:rPr>
        <w:t xml:space="preserve">  </w:t>
      </w:r>
    </w:p>
    <w:p>
      <w:pPr>
        <w:ind w:firstLine="640"/>
        <w:rPr>
          <w:kern w:val="0"/>
        </w:rPr>
      </w:pPr>
      <w:r>
        <w:rPr>
          <w:rFonts w:hint="eastAsia"/>
          <w:kern w:val="0"/>
        </w:rPr>
        <w:t>附表：1.</w:t>
      </w:r>
      <w:r>
        <w:rPr>
          <w:kern w:val="0"/>
        </w:rPr>
        <w:t>202</w:t>
      </w:r>
      <w:r>
        <w:rPr>
          <w:rFonts w:hint="eastAsia"/>
          <w:kern w:val="0"/>
        </w:rPr>
        <w:t>1</w:t>
      </w:r>
      <w:r>
        <w:rPr>
          <w:kern w:val="0"/>
        </w:rPr>
        <w:t>年度部门整体支出绩效评价基础数据表</w:t>
      </w:r>
    </w:p>
    <w:p>
      <w:pPr>
        <w:ind w:firstLine="1600" w:firstLineChars="500"/>
        <w:rPr>
          <w:kern w:val="0"/>
        </w:rPr>
      </w:pPr>
      <w:r>
        <w:rPr>
          <w:rFonts w:hint="eastAsia"/>
          <w:kern w:val="0"/>
        </w:rPr>
        <w:t>2.</w:t>
      </w:r>
      <w:r>
        <w:rPr>
          <w:kern w:val="0"/>
        </w:rPr>
        <w:t>202</w:t>
      </w:r>
      <w:r>
        <w:rPr>
          <w:rFonts w:hint="eastAsia"/>
          <w:kern w:val="0"/>
        </w:rPr>
        <w:t>1</w:t>
      </w:r>
      <w:r>
        <w:rPr>
          <w:kern w:val="0"/>
        </w:rPr>
        <w:t>年度部门整体支出绩效自评表</w:t>
      </w:r>
    </w:p>
    <w:p>
      <w:pPr>
        <w:ind w:firstLine="1600" w:firstLineChars="500"/>
        <w:rPr>
          <w:kern w:val="0"/>
        </w:rPr>
      </w:pPr>
      <w:r>
        <w:rPr>
          <w:rFonts w:hint="eastAsia"/>
          <w:kern w:val="0"/>
        </w:rPr>
        <w:t>3.</w:t>
      </w:r>
      <w:r>
        <w:rPr>
          <w:kern w:val="0"/>
        </w:rPr>
        <w:t>202</w:t>
      </w:r>
      <w:r>
        <w:rPr>
          <w:rFonts w:hint="eastAsia"/>
          <w:kern w:val="0"/>
        </w:rPr>
        <w:t>1</w:t>
      </w:r>
      <w:r>
        <w:rPr>
          <w:kern w:val="0"/>
        </w:rPr>
        <w:t>年度</w:t>
      </w:r>
      <w:r>
        <w:rPr>
          <w:rFonts w:hint="eastAsia"/>
          <w:kern w:val="0"/>
        </w:rPr>
        <w:t>项目支出</w:t>
      </w:r>
      <w:r>
        <w:rPr>
          <w:kern w:val="0"/>
        </w:rPr>
        <w:t>绩效自评表</w:t>
      </w:r>
    </w:p>
    <w:p>
      <w:pPr>
        <w:pStyle w:val="3"/>
        <w:ind w:firstLine="0" w:firstLineChars="0"/>
        <w:rPr>
          <w:rFonts w:hint="eastAsia"/>
          <w:kern w:val="0"/>
        </w:rPr>
      </w:pPr>
      <w:r>
        <w:rPr>
          <w:kern w:val="0"/>
        </w:rPr>
        <w:br w:type="page"/>
      </w:r>
      <w:r>
        <w:rPr>
          <w:rFonts w:hint="eastAsia"/>
          <w:kern w:val="0"/>
        </w:rPr>
        <w:t>附表1</w:t>
      </w:r>
    </w:p>
    <w:p>
      <w:pPr>
        <w:adjustRightInd/>
        <w:spacing w:before="108" w:beforeLines="25" w:after="108" w:afterLines="25" w:line="500" w:lineRule="exact"/>
        <w:ind w:firstLine="0" w:firstLineChars="0"/>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部门整体支出绩效评价基础数据表</w:t>
      </w:r>
    </w:p>
    <w:p>
      <w:pPr>
        <w:widowControl/>
        <w:tabs>
          <w:tab w:val="left" w:pos="3611"/>
          <w:tab w:val="left" w:pos="4791"/>
          <w:tab w:val="left" w:pos="5951"/>
          <w:tab w:val="left" w:pos="7071"/>
          <w:tab w:val="left" w:pos="8191"/>
          <w:tab w:val="left" w:pos="9311"/>
        </w:tabs>
        <w:adjustRightInd/>
        <w:snapToGrid/>
        <w:spacing w:line="240" w:lineRule="auto"/>
        <w:ind w:left="91" w:firstLine="0" w:firstLineChars="0"/>
        <w:jc w:val="left"/>
        <w:rPr>
          <w:rFonts w:eastAsia="宋体"/>
          <w:kern w:val="0"/>
          <w:sz w:val="21"/>
          <w:szCs w:val="21"/>
        </w:rPr>
      </w:pPr>
      <w:r>
        <w:rPr>
          <w:rFonts w:eastAsia="宋体"/>
          <w:kern w:val="0"/>
          <w:sz w:val="21"/>
          <w:szCs w:val="21"/>
        </w:rPr>
        <w:t>填报单位：湖南省农业农村厅</w:t>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p>
    <w:tbl>
      <w:tblPr>
        <w:tblStyle w:val="37"/>
        <w:tblW w:w="0" w:type="auto"/>
        <w:jc w:val="center"/>
        <w:tblLayout w:type="fixed"/>
        <w:tblCellMar>
          <w:top w:w="57" w:type="dxa"/>
          <w:left w:w="57" w:type="dxa"/>
          <w:bottom w:w="57" w:type="dxa"/>
          <w:right w:w="57" w:type="dxa"/>
        </w:tblCellMar>
      </w:tblPr>
      <w:tblGrid>
        <w:gridCol w:w="3169"/>
        <w:gridCol w:w="1008"/>
        <w:gridCol w:w="923"/>
        <w:gridCol w:w="951"/>
        <w:gridCol w:w="1170"/>
        <w:gridCol w:w="916"/>
        <w:gridCol w:w="821"/>
      </w:tblGrid>
      <w:tr>
        <w:tblPrEx>
          <w:tblCellMar>
            <w:top w:w="57" w:type="dxa"/>
            <w:left w:w="57" w:type="dxa"/>
            <w:bottom w:w="57" w:type="dxa"/>
            <w:right w:w="57" w:type="dxa"/>
          </w:tblCellMar>
        </w:tblPrEx>
        <w:trPr>
          <w:wBefore w:w="0" w:type="dxa"/>
          <w:trHeight w:val="284" w:hRule="atLeast"/>
          <w:jc w:val="center"/>
        </w:trPr>
        <w:tc>
          <w:tcPr>
            <w:tcW w:w="31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财政供养人员情况</w:t>
            </w: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编制数</w:t>
            </w:r>
          </w:p>
        </w:tc>
        <w:tc>
          <w:tcPr>
            <w:tcW w:w="212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202</w:t>
            </w:r>
            <w:r>
              <w:rPr>
                <w:rFonts w:hint="eastAsia" w:eastAsia="宋体"/>
                <w:b/>
                <w:bCs/>
                <w:kern w:val="0"/>
                <w:sz w:val="18"/>
                <w:szCs w:val="18"/>
              </w:rPr>
              <w:t>1</w:t>
            </w:r>
            <w:r>
              <w:rPr>
                <w:rFonts w:eastAsia="宋体"/>
                <w:b/>
                <w:bCs/>
                <w:kern w:val="0"/>
                <w:sz w:val="18"/>
                <w:szCs w:val="18"/>
              </w:rPr>
              <w:t>年实际在职人数</w:t>
            </w:r>
          </w:p>
        </w:tc>
        <w:tc>
          <w:tcPr>
            <w:tcW w:w="1737"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控制率</w:t>
            </w:r>
          </w:p>
        </w:tc>
      </w:tr>
      <w:tr>
        <w:tblPrEx>
          <w:tblCellMar>
            <w:top w:w="57" w:type="dxa"/>
            <w:left w:w="57" w:type="dxa"/>
            <w:bottom w:w="57" w:type="dxa"/>
            <w:right w:w="57" w:type="dxa"/>
          </w:tblCellMar>
        </w:tblPrEx>
        <w:trPr>
          <w:wBefore w:w="0" w:type="dxa"/>
          <w:trHeight w:val="284" w:hRule="atLeast"/>
          <w:jc w:val="center"/>
        </w:trPr>
        <w:tc>
          <w:tcPr>
            <w:tcW w:w="31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2863</w:t>
            </w:r>
          </w:p>
        </w:tc>
        <w:tc>
          <w:tcPr>
            <w:tcW w:w="212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26</w:t>
            </w:r>
            <w:r>
              <w:rPr>
                <w:rFonts w:hint="eastAsia" w:eastAsia="宋体"/>
                <w:kern w:val="0"/>
                <w:sz w:val="18"/>
                <w:szCs w:val="18"/>
              </w:rPr>
              <w:t>34</w:t>
            </w:r>
          </w:p>
        </w:tc>
        <w:tc>
          <w:tcPr>
            <w:tcW w:w="1737"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92.00</w:t>
            </w:r>
            <w:r>
              <w:rPr>
                <w:rFonts w:eastAsia="宋体"/>
                <w:kern w:val="0"/>
                <w:sz w:val="18"/>
                <w:szCs w:val="18"/>
              </w:rPr>
              <w:t>%</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经费控制情况（万元）</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20</w:t>
            </w:r>
            <w:r>
              <w:rPr>
                <w:rFonts w:hint="eastAsia" w:eastAsia="宋体"/>
                <w:b/>
                <w:bCs/>
                <w:kern w:val="0"/>
                <w:sz w:val="18"/>
                <w:szCs w:val="18"/>
              </w:rPr>
              <w:t>20</w:t>
            </w:r>
            <w:r>
              <w:rPr>
                <w:rFonts w:eastAsia="宋体"/>
                <w:b/>
                <w:bCs/>
                <w:kern w:val="0"/>
                <w:sz w:val="18"/>
                <w:szCs w:val="18"/>
              </w:rPr>
              <w:t>年决算数</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202</w:t>
            </w:r>
            <w:r>
              <w:rPr>
                <w:rFonts w:hint="eastAsia" w:eastAsia="宋体"/>
                <w:b/>
                <w:bCs/>
                <w:kern w:val="0"/>
                <w:sz w:val="18"/>
                <w:szCs w:val="18"/>
              </w:rPr>
              <w:t>1</w:t>
            </w:r>
            <w:r>
              <w:rPr>
                <w:rFonts w:eastAsia="宋体"/>
                <w:b/>
                <w:bCs/>
                <w:kern w:val="0"/>
                <w:sz w:val="18"/>
                <w:szCs w:val="18"/>
              </w:rPr>
              <w:t>年预算数</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b/>
                <w:bCs/>
                <w:kern w:val="0"/>
                <w:sz w:val="18"/>
                <w:szCs w:val="18"/>
              </w:rPr>
            </w:pPr>
            <w:r>
              <w:rPr>
                <w:rFonts w:eastAsia="宋体"/>
                <w:b/>
                <w:bCs/>
                <w:kern w:val="0"/>
                <w:sz w:val="18"/>
                <w:szCs w:val="18"/>
              </w:rPr>
              <w:t>202</w:t>
            </w:r>
            <w:r>
              <w:rPr>
                <w:rFonts w:hint="eastAsia" w:eastAsia="宋体"/>
                <w:b/>
                <w:bCs/>
                <w:kern w:val="0"/>
                <w:sz w:val="18"/>
                <w:szCs w:val="18"/>
              </w:rPr>
              <w:t>1</w:t>
            </w:r>
            <w:r>
              <w:rPr>
                <w:rFonts w:eastAsia="宋体"/>
                <w:b/>
                <w:bCs/>
                <w:kern w:val="0"/>
                <w:sz w:val="18"/>
                <w:szCs w:val="18"/>
              </w:rPr>
              <w:t>年决算数</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三公经费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444.03</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6</w:t>
            </w:r>
            <w:r>
              <w:rPr>
                <w:rFonts w:hint="eastAsia" w:eastAsia="宋体"/>
                <w:kern w:val="0"/>
                <w:sz w:val="18"/>
                <w:szCs w:val="18"/>
              </w:rPr>
              <w:t>99.90</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339.01</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 xml:space="preserve">   1、公务用车购置和维护经费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308.89</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3</w:t>
            </w:r>
            <w:r>
              <w:rPr>
                <w:rFonts w:hint="eastAsia" w:eastAsia="宋体"/>
                <w:kern w:val="0"/>
                <w:sz w:val="18"/>
                <w:szCs w:val="18"/>
              </w:rPr>
              <w:t>29.10</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264.29</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其中：公车购置</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65.27</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44</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37.55</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公车运行维护</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243.62</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28</w:t>
            </w:r>
            <w:r>
              <w:rPr>
                <w:rFonts w:hint="eastAsia" w:eastAsia="宋体"/>
                <w:kern w:val="0"/>
                <w:sz w:val="18"/>
                <w:szCs w:val="18"/>
              </w:rPr>
              <w:t>5.10</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226.74</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 xml:space="preserve">   2、出国经费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11.33</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1</w:t>
            </w:r>
            <w:r>
              <w:rPr>
                <w:rFonts w:hint="eastAsia" w:eastAsia="宋体"/>
                <w:kern w:val="0"/>
                <w:sz w:val="18"/>
                <w:szCs w:val="18"/>
              </w:rPr>
              <w:t>24</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hint="eastAsia" w:eastAsia="宋体"/>
                <w:kern w:val="0"/>
                <w:sz w:val="18"/>
                <w:szCs w:val="18"/>
              </w:rPr>
            </w:pPr>
            <w:r>
              <w:rPr>
                <w:rFonts w:hint="eastAsia" w:eastAsia="宋体"/>
                <w:kern w:val="0"/>
                <w:sz w:val="18"/>
                <w:szCs w:val="18"/>
              </w:rPr>
              <w:t>0</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 xml:space="preserve">   3、公务接待</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123.81</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246.80</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74.72</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项目支出：</w:t>
            </w: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401</w:t>
            </w:r>
            <w:r>
              <w:rPr>
                <w:rFonts w:hint="eastAsia" w:eastAsia="宋体"/>
                <w:kern w:val="0"/>
                <w:sz w:val="18"/>
                <w:szCs w:val="18"/>
              </w:rPr>
              <w:t>,</w:t>
            </w:r>
            <w:r>
              <w:rPr>
                <w:rFonts w:eastAsia="宋体"/>
                <w:kern w:val="0"/>
                <w:sz w:val="18"/>
                <w:szCs w:val="18"/>
              </w:rPr>
              <w:t>312.34</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84,863.95</w:t>
            </w:r>
          </w:p>
        </w:tc>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57,938.85</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1</w:t>
            </w:r>
            <w:r>
              <w:rPr>
                <w:rFonts w:hint="eastAsia" w:eastAsia="宋体"/>
                <w:kern w:val="0"/>
                <w:sz w:val="18"/>
                <w:szCs w:val="18"/>
              </w:rPr>
              <w:t>.</w:t>
            </w:r>
            <w:r>
              <w:rPr>
                <w:rFonts w:eastAsia="宋体"/>
                <w:kern w:val="0"/>
                <w:sz w:val="18"/>
                <w:szCs w:val="18"/>
              </w:rPr>
              <w:t>业务工作专项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18</w:t>
            </w:r>
            <w:r>
              <w:rPr>
                <w:rFonts w:hint="eastAsia" w:eastAsia="宋体"/>
                <w:kern w:val="0"/>
                <w:sz w:val="18"/>
                <w:szCs w:val="18"/>
              </w:rPr>
              <w:t>,</w:t>
            </w:r>
            <w:r>
              <w:rPr>
                <w:rFonts w:eastAsia="宋体"/>
                <w:kern w:val="0"/>
                <w:sz w:val="18"/>
                <w:szCs w:val="18"/>
              </w:rPr>
              <w:t>719.95</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14,513.53</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13,982.10</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2</w:t>
            </w:r>
            <w:r>
              <w:rPr>
                <w:rFonts w:hint="eastAsia" w:eastAsia="宋体"/>
                <w:kern w:val="0"/>
                <w:sz w:val="18"/>
                <w:szCs w:val="18"/>
              </w:rPr>
              <w:t>.</w:t>
            </w:r>
            <w:r>
              <w:rPr>
                <w:rFonts w:eastAsia="宋体"/>
                <w:kern w:val="0"/>
                <w:sz w:val="18"/>
                <w:szCs w:val="18"/>
              </w:rPr>
              <w:t>运行维护专项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3</w:t>
            </w:r>
            <w:r>
              <w:rPr>
                <w:rFonts w:hint="eastAsia" w:eastAsia="宋体"/>
                <w:kern w:val="0"/>
                <w:sz w:val="18"/>
                <w:szCs w:val="18"/>
              </w:rPr>
              <w:t>,</w:t>
            </w:r>
            <w:r>
              <w:rPr>
                <w:rFonts w:eastAsia="宋体"/>
                <w:kern w:val="0"/>
                <w:sz w:val="18"/>
                <w:szCs w:val="18"/>
              </w:rPr>
              <w:t>506.39</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1,245.96</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748.40</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3</w:t>
            </w:r>
            <w:r>
              <w:rPr>
                <w:rFonts w:hint="eastAsia" w:eastAsia="宋体"/>
                <w:kern w:val="0"/>
                <w:sz w:val="18"/>
                <w:szCs w:val="18"/>
              </w:rPr>
              <w:t>.</w:t>
            </w:r>
            <w:r>
              <w:rPr>
                <w:rFonts w:eastAsia="宋体"/>
                <w:kern w:val="0"/>
                <w:sz w:val="18"/>
                <w:szCs w:val="18"/>
              </w:rPr>
              <w:t>省级专项资金</w:t>
            </w: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379</w:t>
            </w:r>
            <w:r>
              <w:rPr>
                <w:rFonts w:hint="eastAsia" w:eastAsia="宋体"/>
                <w:kern w:val="0"/>
                <w:sz w:val="18"/>
                <w:szCs w:val="18"/>
              </w:rPr>
              <w:t>,</w:t>
            </w:r>
            <w:r>
              <w:rPr>
                <w:rFonts w:eastAsia="宋体"/>
                <w:kern w:val="0"/>
                <w:sz w:val="18"/>
                <w:szCs w:val="18"/>
              </w:rPr>
              <w:t>086</w:t>
            </w:r>
            <w:r>
              <w:rPr>
                <w:rFonts w:hint="eastAsia" w:eastAsia="宋体"/>
                <w:kern w:val="0"/>
                <w:sz w:val="18"/>
                <w:szCs w:val="18"/>
              </w:rPr>
              <w:t>.00</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27,909.62</w:t>
            </w:r>
          </w:p>
        </w:tc>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18,966.27</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hint="eastAsia" w:eastAsia="宋体"/>
                <w:kern w:val="0"/>
                <w:sz w:val="18"/>
                <w:szCs w:val="18"/>
              </w:rPr>
              <w:t>4.其他事业发展资金</w:t>
            </w: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41,176.34</w:t>
            </w:r>
          </w:p>
        </w:tc>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24,230.39</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tabs>
                <w:tab w:val="left" w:pos="720"/>
              </w:tabs>
              <w:adjustRightInd/>
              <w:snapToGrid/>
              <w:spacing w:line="240" w:lineRule="exact"/>
              <w:ind w:firstLine="0" w:firstLineChars="0"/>
              <w:rPr>
                <w:rFonts w:eastAsia="宋体"/>
                <w:kern w:val="0"/>
                <w:sz w:val="18"/>
                <w:szCs w:val="18"/>
              </w:rPr>
            </w:pPr>
            <w:r>
              <w:rPr>
                <w:rFonts w:hint="eastAsia" w:eastAsia="宋体"/>
                <w:kern w:val="0"/>
                <w:sz w:val="18"/>
                <w:szCs w:val="18"/>
              </w:rPr>
              <w:t>5.其他</w:t>
            </w:r>
          </w:p>
        </w:tc>
        <w:tc>
          <w:tcPr>
            <w:tcW w:w="1931" w:type="dxa"/>
            <w:gridSpan w:val="2"/>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18.50</w:t>
            </w:r>
          </w:p>
        </w:tc>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11.69</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公用经费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11</w:t>
            </w:r>
            <w:r>
              <w:rPr>
                <w:rFonts w:hint="eastAsia" w:eastAsia="宋体"/>
                <w:kern w:val="0"/>
                <w:sz w:val="18"/>
                <w:szCs w:val="18"/>
              </w:rPr>
              <w:t>,</w:t>
            </w:r>
            <w:r>
              <w:rPr>
                <w:rFonts w:eastAsia="宋体"/>
                <w:kern w:val="0"/>
                <w:sz w:val="18"/>
                <w:szCs w:val="18"/>
              </w:rPr>
              <w:t xml:space="preserve">102.18 </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5,351.19</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4,984.12</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其中：办公经费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color w:val="000000"/>
                <w:kern w:val="0"/>
                <w:sz w:val="18"/>
                <w:szCs w:val="18"/>
              </w:rPr>
            </w:pPr>
            <w:r>
              <w:rPr>
                <w:rFonts w:eastAsia="宋体"/>
                <w:kern w:val="0"/>
                <w:sz w:val="18"/>
                <w:szCs w:val="18"/>
              </w:rPr>
              <w:t xml:space="preserve">505.90 </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296.47</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293.86</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水费、电费、差旅费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color w:val="000000"/>
                <w:kern w:val="0"/>
                <w:sz w:val="18"/>
                <w:szCs w:val="18"/>
              </w:rPr>
            </w:pPr>
            <w:r>
              <w:rPr>
                <w:rFonts w:eastAsia="宋体"/>
                <w:kern w:val="0"/>
                <w:sz w:val="18"/>
                <w:szCs w:val="18"/>
              </w:rPr>
              <w:t>1</w:t>
            </w:r>
            <w:r>
              <w:rPr>
                <w:rFonts w:hint="eastAsia" w:eastAsia="宋体"/>
                <w:kern w:val="0"/>
                <w:sz w:val="18"/>
                <w:szCs w:val="18"/>
              </w:rPr>
              <w:t>,</w:t>
            </w:r>
            <w:r>
              <w:rPr>
                <w:rFonts w:eastAsia="宋体"/>
                <w:kern w:val="0"/>
                <w:sz w:val="18"/>
                <w:szCs w:val="18"/>
              </w:rPr>
              <w:t xml:space="preserve">530.59 </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779.06</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763.45</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会议费、培训费</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color w:val="000000"/>
                <w:kern w:val="0"/>
                <w:sz w:val="18"/>
                <w:szCs w:val="18"/>
              </w:rPr>
            </w:pPr>
            <w:r>
              <w:rPr>
                <w:rFonts w:eastAsia="宋体"/>
                <w:kern w:val="0"/>
                <w:sz w:val="18"/>
                <w:szCs w:val="18"/>
              </w:rPr>
              <w:t>1</w:t>
            </w:r>
            <w:r>
              <w:rPr>
                <w:rFonts w:hint="eastAsia" w:eastAsia="宋体"/>
                <w:kern w:val="0"/>
                <w:sz w:val="18"/>
                <w:szCs w:val="18"/>
              </w:rPr>
              <w:t>,</w:t>
            </w:r>
            <w:r>
              <w:rPr>
                <w:rFonts w:eastAsia="宋体"/>
                <w:kern w:val="0"/>
                <w:sz w:val="18"/>
                <w:szCs w:val="18"/>
              </w:rPr>
              <w:t xml:space="preserve">890.93 </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204.40</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134.22</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政府采购金额</w:t>
            </w:r>
          </w:p>
        </w:tc>
        <w:tc>
          <w:tcPr>
            <w:tcW w:w="193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hint="eastAsia" w:eastAsia="宋体"/>
                <w:kern w:val="0"/>
                <w:sz w:val="18"/>
                <w:szCs w:val="18"/>
              </w:rPr>
            </w:pPr>
            <w:r>
              <w:rPr>
                <w:rFonts w:hint="eastAsia" w:eastAsia="宋体"/>
                <w:kern w:val="0"/>
                <w:sz w:val="18"/>
                <w:szCs w:val="18"/>
              </w:rPr>
              <w:t>——</w:t>
            </w:r>
          </w:p>
        </w:tc>
        <w:tc>
          <w:tcPr>
            <w:tcW w:w="2121"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14,893.14</w:t>
            </w:r>
          </w:p>
        </w:tc>
        <w:tc>
          <w:tcPr>
            <w:tcW w:w="1737" w:type="dxa"/>
            <w:gridSpan w:val="2"/>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hint="eastAsia" w:eastAsia="宋体"/>
                <w:kern w:val="0"/>
                <w:sz w:val="18"/>
                <w:szCs w:val="18"/>
              </w:rPr>
              <w:t>35,960.37</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r>
              <w:rPr>
                <w:rFonts w:eastAsia="宋体"/>
                <w:kern w:val="0"/>
                <w:sz w:val="18"/>
                <w:szCs w:val="18"/>
              </w:rPr>
              <w:t>部门基本支出预算调整</w:t>
            </w:r>
          </w:p>
        </w:tc>
        <w:tc>
          <w:tcPr>
            <w:tcW w:w="1931" w:type="dxa"/>
            <w:gridSpan w:val="2"/>
            <w:tcBorders>
              <w:top w:val="single" w:color="auto" w:sz="4" w:space="0"/>
              <w:left w:val="nil"/>
              <w:bottom w:val="single" w:color="auto" w:sz="4" w:space="0"/>
              <w:right w:val="single" w:color="000000" w:sz="4" w:space="0"/>
            </w:tcBorders>
            <w:noWrap w:val="0"/>
            <w:vAlign w:val="bottom"/>
          </w:tcPr>
          <w:p>
            <w:pPr>
              <w:adjustRightInd/>
              <w:snapToGrid/>
              <w:spacing w:line="240" w:lineRule="exact"/>
              <w:ind w:firstLine="0" w:firstLineChars="0"/>
              <w:jc w:val="center"/>
              <w:rPr>
                <w:rFonts w:hint="eastAsia" w:eastAsia="宋体"/>
                <w:kern w:val="0"/>
                <w:sz w:val="18"/>
                <w:szCs w:val="18"/>
              </w:rPr>
            </w:pPr>
            <w:r>
              <w:rPr>
                <w:rFonts w:hint="eastAsia" w:eastAsia="宋体"/>
                <w:kern w:val="0"/>
                <w:sz w:val="18"/>
                <w:szCs w:val="18"/>
              </w:rPr>
              <w:t>——</w:t>
            </w:r>
          </w:p>
        </w:tc>
        <w:tc>
          <w:tcPr>
            <w:tcW w:w="2121" w:type="dxa"/>
            <w:gridSpan w:val="2"/>
            <w:tcBorders>
              <w:top w:val="single" w:color="auto" w:sz="4" w:space="0"/>
              <w:left w:val="nil"/>
              <w:bottom w:val="single" w:color="auto" w:sz="4" w:space="0"/>
              <w:right w:val="single" w:color="000000" w:sz="4" w:space="0"/>
            </w:tcBorders>
            <w:noWrap w:val="0"/>
            <w:vAlign w:val="bottom"/>
          </w:tcPr>
          <w:p>
            <w:pPr>
              <w:adjustRightInd/>
              <w:snapToGrid/>
              <w:spacing w:line="240" w:lineRule="exact"/>
              <w:ind w:firstLine="360"/>
              <w:jc w:val="center"/>
              <w:rPr>
                <w:rFonts w:eastAsia="宋体"/>
                <w:kern w:val="0"/>
                <w:sz w:val="18"/>
                <w:szCs w:val="18"/>
              </w:rPr>
            </w:pPr>
            <w:r>
              <w:rPr>
                <w:rFonts w:hint="eastAsia" w:eastAsia="宋体"/>
                <w:kern w:val="0"/>
                <w:sz w:val="18"/>
                <w:szCs w:val="18"/>
              </w:rPr>
              <w:t>948.30</w:t>
            </w:r>
          </w:p>
        </w:tc>
        <w:tc>
          <w:tcPr>
            <w:tcW w:w="1737" w:type="dxa"/>
            <w:gridSpan w:val="2"/>
            <w:tcBorders>
              <w:top w:val="single" w:color="auto" w:sz="4" w:space="0"/>
              <w:left w:val="nil"/>
              <w:bottom w:val="single" w:color="auto" w:sz="4" w:space="0"/>
              <w:right w:val="single" w:color="000000" w:sz="4" w:space="0"/>
            </w:tcBorders>
            <w:noWrap w:val="0"/>
            <w:vAlign w:val="bottom"/>
          </w:tcPr>
          <w:p>
            <w:pPr>
              <w:adjustRightInd/>
              <w:snapToGrid/>
              <w:spacing w:line="240" w:lineRule="exact"/>
              <w:ind w:firstLine="360"/>
              <w:rPr>
                <w:rFonts w:eastAsia="宋体"/>
                <w:kern w:val="0"/>
                <w:sz w:val="18"/>
                <w:szCs w:val="18"/>
              </w:rPr>
            </w:pPr>
            <w:r>
              <w:rPr>
                <w:rFonts w:hint="eastAsia" w:eastAsia="宋体"/>
                <w:kern w:val="0"/>
                <w:sz w:val="18"/>
                <w:szCs w:val="18"/>
              </w:rPr>
              <w:t>252.39</w:t>
            </w:r>
          </w:p>
        </w:tc>
      </w:tr>
      <w:tr>
        <w:tblPrEx>
          <w:tblCellMar>
            <w:top w:w="57" w:type="dxa"/>
            <w:left w:w="57" w:type="dxa"/>
            <w:bottom w:w="57" w:type="dxa"/>
            <w:right w:w="57" w:type="dxa"/>
          </w:tblCellMar>
        </w:tblPrEx>
        <w:trPr>
          <w:wBefore w:w="0" w:type="dxa"/>
          <w:trHeight w:val="284" w:hRule="atLeast"/>
          <w:jc w:val="center"/>
        </w:trPr>
        <w:tc>
          <w:tcPr>
            <w:tcW w:w="31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楼堂馆所控制情况</w:t>
            </w:r>
            <w:r>
              <w:rPr>
                <w:rFonts w:eastAsia="宋体"/>
                <w:kern w:val="0"/>
                <w:sz w:val="18"/>
                <w:szCs w:val="18"/>
              </w:rPr>
              <w:br w:type="textWrapping"/>
            </w:r>
            <w:r>
              <w:rPr>
                <w:rFonts w:eastAsia="宋体"/>
                <w:kern w:val="0"/>
                <w:sz w:val="18"/>
                <w:szCs w:val="18"/>
              </w:rPr>
              <w:t>（2</w:t>
            </w:r>
            <w:r>
              <w:rPr>
                <w:rFonts w:hint="eastAsia" w:eastAsia="宋体"/>
                <w:kern w:val="0"/>
                <w:sz w:val="18"/>
                <w:szCs w:val="18"/>
              </w:rPr>
              <w:t>021</w:t>
            </w:r>
            <w:r>
              <w:rPr>
                <w:rFonts w:eastAsia="宋体"/>
                <w:kern w:val="0"/>
                <w:sz w:val="18"/>
                <w:szCs w:val="18"/>
              </w:rPr>
              <w:t>年完工项目）</w:t>
            </w:r>
          </w:p>
        </w:tc>
        <w:tc>
          <w:tcPr>
            <w:tcW w:w="1008"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批复规模</w:t>
            </w:r>
            <w:r>
              <w:rPr>
                <w:rFonts w:eastAsia="宋体"/>
                <w:kern w:val="0"/>
                <w:sz w:val="18"/>
                <w:szCs w:val="18"/>
              </w:rPr>
              <w:br w:type="textWrapping"/>
            </w:r>
            <w:r>
              <w:rPr>
                <w:rFonts w:eastAsia="宋体"/>
                <w:kern w:val="0"/>
                <w:sz w:val="18"/>
                <w:szCs w:val="18"/>
              </w:rPr>
              <w:t>（㎡）</w:t>
            </w:r>
          </w:p>
        </w:tc>
        <w:tc>
          <w:tcPr>
            <w:tcW w:w="923"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实际规模（㎡）</w:t>
            </w:r>
          </w:p>
        </w:tc>
        <w:tc>
          <w:tcPr>
            <w:tcW w:w="951"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规模控制率</w:t>
            </w:r>
          </w:p>
        </w:tc>
        <w:tc>
          <w:tcPr>
            <w:tcW w:w="1170"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预算投资（万元）</w:t>
            </w:r>
          </w:p>
        </w:tc>
        <w:tc>
          <w:tcPr>
            <w:tcW w:w="916"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hint="eastAsia" w:eastAsia="宋体"/>
                <w:kern w:val="0"/>
                <w:sz w:val="18"/>
                <w:szCs w:val="18"/>
              </w:rPr>
            </w:pPr>
            <w:r>
              <w:rPr>
                <w:rFonts w:eastAsia="宋体"/>
                <w:kern w:val="0"/>
                <w:sz w:val="18"/>
                <w:szCs w:val="18"/>
              </w:rPr>
              <w:t>实际</w:t>
            </w:r>
          </w:p>
          <w:p>
            <w:pPr>
              <w:adjustRightInd/>
              <w:snapToGrid/>
              <w:spacing w:line="240" w:lineRule="exact"/>
              <w:ind w:firstLine="0" w:firstLineChars="0"/>
              <w:jc w:val="center"/>
              <w:rPr>
                <w:rFonts w:hint="eastAsia" w:eastAsia="宋体"/>
                <w:kern w:val="0"/>
                <w:sz w:val="18"/>
                <w:szCs w:val="18"/>
              </w:rPr>
            </w:pPr>
            <w:r>
              <w:rPr>
                <w:rFonts w:eastAsia="宋体"/>
                <w:kern w:val="0"/>
                <w:sz w:val="18"/>
                <w:szCs w:val="18"/>
              </w:rPr>
              <w:t>投资</w:t>
            </w:r>
          </w:p>
          <w:p>
            <w:pPr>
              <w:adjustRightInd/>
              <w:snapToGrid/>
              <w:spacing w:line="240" w:lineRule="exact"/>
              <w:ind w:firstLine="0" w:firstLineChars="0"/>
              <w:jc w:val="center"/>
              <w:rPr>
                <w:rFonts w:eastAsia="宋体"/>
                <w:kern w:val="0"/>
                <w:sz w:val="18"/>
                <w:szCs w:val="18"/>
              </w:rPr>
            </w:pPr>
            <w:r>
              <w:rPr>
                <w:rFonts w:eastAsia="宋体"/>
                <w:kern w:val="0"/>
                <w:sz w:val="18"/>
                <w:szCs w:val="18"/>
              </w:rPr>
              <w:t>（万元）</w:t>
            </w:r>
          </w:p>
        </w:tc>
        <w:tc>
          <w:tcPr>
            <w:tcW w:w="821" w:type="dxa"/>
            <w:tcBorders>
              <w:top w:val="single" w:color="auto" w:sz="4" w:space="0"/>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投资概算控制率</w:t>
            </w:r>
          </w:p>
        </w:tc>
      </w:tr>
      <w:tr>
        <w:tblPrEx>
          <w:tblCellMar>
            <w:top w:w="57" w:type="dxa"/>
            <w:left w:w="57" w:type="dxa"/>
            <w:bottom w:w="57" w:type="dxa"/>
            <w:right w:w="57" w:type="dxa"/>
          </w:tblCellMar>
        </w:tblPrEx>
        <w:trPr>
          <w:wBefore w:w="0" w:type="dxa"/>
          <w:trHeight w:val="284" w:hRule="atLeast"/>
          <w:jc w:val="center"/>
        </w:trPr>
        <w:tc>
          <w:tcPr>
            <w:tcW w:w="3169" w:type="dxa"/>
            <w:vMerge w:val="continue"/>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left"/>
              <w:rPr>
                <w:rFonts w:eastAsia="宋体"/>
                <w:kern w:val="0"/>
                <w:sz w:val="18"/>
                <w:szCs w:val="18"/>
              </w:rPr>
            </w:pPr>
          </w:p>
        </w:tc>
        <w:tc>
          <w:tcPr>
            <w:tcW w:w="1008"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c>
          <w:tcPr>
            <w:tcW w:w="923"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c>
          <w:tcPr>
            <w:tcW w:w="951"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c>
          <w:tcPr>
            <w:tcW w:w="1170"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c>
          <w:tcPr>
            <w:tcW w:w="916"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c>
          <w:tcPr>
            <w:tcW w:w="821" w:type="dxa"/>
            <w:tcBorders>
              <w:top w:val="nil"/>
              <w:left w:val="nil"/>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0</w:t>
            </w:r>
          </w:p>
        </w:tc>
      </w:tr>
      <w:tr>
        <w:tblPrEx>
          <w:tblCellMar>
            <w:top w:w="57" w:type="dxa"/>
            <w:left w:w="57" w:type="dxa"/>
            <w:bottom w:w="57" w:type="dxa"/>
            <w:right w:w="57" w:type="dxa"/>
          </w:tblCellMar>
        </w:tblPrEx>
        <w:trPr>
          <w:wBefore w:w="0" w:type="dxa"/>
          <w:trHeight w:val="284" w:hRule="atLeast"/>
          <w:jc w:val="center"/>
        </w:trPr>
        <w:tc>
          <w:tcPr>
            <w:tcW w:w="3169" w:type="dxa"/>
            <w:tcBorders>
              <w:top w:val="nil"/>
              <w:left w:val="single" w:color="auto" w:sz="4" w:space="0"/>
              <w:bottom w:val="single" w:color="auto" w:sz="4" w:space="0"/>
              <w:right w:val="single" w:color="auto"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厉行节约保障措施</w:t>
            </w:r>
          </w:p>
        </w:tc>
        <w:tc>
          <w:tcPr>
            <w:tcW w:w="5789" w:type="dxa"/>
            <w:gridSpan w:val="6"/>
            <w:tcBorders>
              <w:top w:val="single" w:color="auto" w:sz="4" w:space="0"/>
              <w:left w:val="nil"/>
              <w:bottom w:val="single" w:color="auto" w:sz="4" w:space="0"/>
              <w:right w:val="single" w:color="000000" w:sz="4" w:space="0"/>
            </w:tcBorders>
            <w:noWrap w:val="0"/>
            <w:vAlign w:val="center"/>
          </w:tcPr>
          <w:p>
            <w:pPr>
              <w:adjustRightInd/>
              <w:snapToGrid/>
              <w:spacing w:line="240" w:lineRule="exact"/>
              <w:ind w:firstLine="0" w:firstLineChars="0"/>
              <w:jc w:val="center"/>
              <w:rPr>
                <w:rFonts w:eastAsia="宋体"/>
                <w:kern w:val="0"/>
                <w:sz w:val="18"/>
                <w:szCs w:val="18"/>
              </w:rPr>
            </w:pPr>
            <w:r>
              <w:rPr>
                <w:rFonts w:eastAsia="宋体"/>
                <w:kern w:val="0"/>
                <w:sz w:val="18"/>
                <w:szCs w:val="18"/>
              </w:rPr>
              <w:t>-　</w:t>
            </w:r>
          </w:p>
        </w:tc>
      </w:tr>
    </w:tbl>
    <w:p>
      <w:pPr>
        <w:adjustRightInd/>
        <w:snapToGrid/>
        <w:spacing w:after="120" w:line="240" w:lineRule="auto"/>
        <w:ind w:firstLine="0" w:firstLineChars="0"/>
        <w:rPr>
          <w:rFonts w:eastAsia="仿宋"/>
          <w:sz w:val="24"/>
        </w:rPr>
      </w:pPr>
      <w:r>
        <w:rPr>
          <w:rFonts w:hint="eastAsia" w:eastAsia="仿宋"/>
          <w:sz w:val="24"/>
        </w:rPr>
        <w:t>说明：较2020年项目数据差异大，因2021年度仅包含部门预算中的省级专项资金。</w:t>
      </w:r>
    </w:p>
    <w:p>
      <w:pPr>
        <w:pStyle w:val="3"/>
        <w:ind w:firstLine="0" w:firstLineChars="0"/>
        <w:rPr>
          <w:rFonts w:hint="eastAsia"/>
          <w:kern w:val="0"/>
        </w:rPr>
      </w:pPr>
      <w:r>
        <w:rPr>
          <w:rFonts w:hint="eastAsia"/>
          <w:kern w:val="0"/>
        </w:rPr>
        <w:t>附表2</w:t>
      </w:r>
    </w:p>
    <w:p>
      <w:pPr>
        <w:adjustRightInd/>
        <w:spacing w:before="108" w:beforeLines="25" w:after="108" w:afterLines="25" w:line="500" w:lineRule="exact"/>
        <w:ind w:firstLine="0" w:firstLineChars="0"/>
        <w:jc w:val="center"/>
        <w:rPr>
          <w:rFonts w:hint="eastAsia"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rPr>
        <w:t>1</w:t>
      </w:r>
      <w:r>
        <w:rPr>
          <w:rFonts w:ascii="方正小标宋简体" w:eastAsia="方正小标宋简体"/>
          <w:kern w:val="0"/>
          <w:sz w:val="36"/>
          <w:szCs w:val="36"/>
        </w:rPr>
        <w:t>年部门整体支出绩效自评表</w:t>
      </w:r>
    </w:p>
    <w:tbl>
      <w:tblPr>
        <w:tblStyle w:val="3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77"/>
        <w:gridCol w:w="651"/>
        <w:gridCol w:w="300"/>
        <w:gridCol w:w="834"/>
        <w:gridCol w:w="1039"/>
        <w:gridCol w:w="1189"/>
        <w:gridCol w:w="1173"/>
        <w:gridCol w:w="672"/>
        <w:gridCol w:w="676"/>
        <w:gridCol w:w="571"/>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952" w:type="dxa"/>
            <w:vMerge w:val="restart"/>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部门</w:t>
            </w:r>
          </w:p>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名称</w:t>
            </w:r>
          </w:p>
        </w:tc>
        <w:tc>
          <w:tcPr>
            <w:tcW w:w="8689" w:type="dxa"/>
            <w:gridSpan w:val="11"/>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湖南省农业农村厅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8689" w:type="dxa"/>
            <w:gridSpan w:val="11"/>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restart"/>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年度预算申请</w:t>
            </w:r>
          </w:p>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（万元）</w:t>
            </w:r>
          </w:p>
        </w:tc>
        <w:tc>
          <w:tcPr>
            <w:tcW w:w="162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　</w:t>
            </w:r>
          </w:p>
        </w:tc>
        <w:tc>
          <w:tcPr>
            <w:tcW w:w="1134"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年初预算数</w:t>
            </w:r>
          </w:p>
        </w:tc>
        <w:tc>
          <w:tcPr>
            <w:tcW w:w="222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全年预算数</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全年执行数</w:t>
            </w:r>
          </w:p>
        </w:tc>
        <w:tc>
          <w:tcPr>
            <w:tcW w:w="672"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分值</w:t>
            </w:r>
          </w:p>
        </w:tc>
        <w:tc>
          <w:tcPr>
            <w:tcW w:w="1247"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执行率</w:t>
            </w:r>
          </w:p>
        </w:tc>
        <w:tc>
          <w:tcPr>
            <w:tcW w:w="607"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162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年度资金总额</w:t>
            </w:r>
          </w:p>
        </w:tc>
        <w:tc>
          <w:tcPr>
            <w:tcW w:w="1134"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108,585.96</w:t>
            </w:r>
          </w:p>
        </w:tc>
        <w:tc>
          <w:tcPr>
            <w:tcW w:w="222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133,140.24</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102,018.12</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w:t>
            </w:r>
          </w:p>
        </w:tc>
        <w:tc>
          <w:tcPr>
            <w:tcW w:w="1247"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76.62%</w:t>
            </w:r>
          </w:p>
        </w:tc>
        <w:tc>
          <w:tcPr>
            <w:tcW w:w="607"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按收入性质分：</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其中：一般公共预算：</w:t>
            </w:r>
            <w:r>
              <w:rPr>
                <w:rFonts w:eastAsia="宋体"/>
                <w:color w:val="000000"/>
                <w:kern w:val="0"/>
                <w:sz w:val="16"/>
                <w:szCs w:val="16"/>
              </w:rPr>
              <w:t>133,125.36</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政府性基金拨款：</w:t>
            </w:r>
            <w:r>
              <w:rPr>
                <w:rFonts w:eastAsia="宋体"/>
                <w:color w:val="000000"/>
                <w:kern w:val="0"/>
                <w:sz w:val="16"/>
                <w:szCs w:val="16"/>
              </w:rPr>
              <w:t>14.88</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基本支出：</w:t>
            </w:r>
            <w:r>
              <w:rPr>
                <w:rFonts w:eastAsia="宋体"/>
                <w:color w:val="000000"/>
                <w:kern w:val="0"/>
                <w:sz w:val="16"/>
                <w:szCs w:val="16"/>
              </w:rPr>
              <w:t>44,079.27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纳入专户管理的非税收入拨款：</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项目支出：</w:t>
            </w:r>
            <w:r>
              <w:rPr>
                <w:rFonts w:eastAsia="宋体"/>
                <w:color w:val="000000"/>
                <w:kern w:val="0"/>
                <w:sz w:val="16"/>
                <w:szCs w:val="16"/>
              </w:rPr>
              <w:t>57,938.85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其他资金：</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952" w:type="dxa"/>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年度总体目标</w:t>
            </w:r>
          </w:p>
        </w:tc>
        <w:tc>
          <w:tcPr>
            <w:tcW w:w="4990" w:type="dxa"/>
            <w:gridSpan w:val="6"/>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年初设定目标</w:t>
            </w:r>
          </w:p>
        </w:tc>
        <w:tc>
          <w:tcPr>
            <w:tcW w:w="3699" w:type="dxa"/>
            <w:gridSpan w:val="5"/>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5" w:hRule="atLeast"/>
          <w:jc w:val="center"/>
        </w:trPr>
        <w:tc>
          <w:tcPr>
            <w:tcW w:w="952" w:type="dxa"/>
            <w:vMerge w:val="continue"/>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4990" w:type="dxa"/>
            <w:gridSpan w:val="6"/>
            <w:noWrap w:val="0"/>
            <w:vAlign w:val="center"/>
          </w:tcPr>
          <w:p>
            <w:pPr>
              <w:widowControl/>
              <w:adjustRightInd/>
              <w:snapToGrid/>
              <w:spacing w:line="240" w:lineRule="exact"/>
              <w:ind w:firstLine="0" w:firstLineChars="0"/>
              <w:jc w:val="left"/>
              <w:rPr>
                <w:rFonts w:eastAsia="宋体" w:cs="宋体"/>
                <w:color w:val="000000"/>
                <w:kern w:val="0"/>
                <w:sz w:val="16"/>
                <w:szCs w:val="16"/>
              </w:rPr>
            </w:pPr>
            <w:r>
              <w:rPr>
                <w:rFonts w:hint="eastAsia" w:eastAsia="宋体" w:cs="宋体"/>
                <w:color w:val="000000"/>
                <w:kern w:val="0"/>
                <w:sz w:val="16"/>
                <w:szCs w:val="16"/>
              </w:rPr>
              <w:t>健全现代农业产业体系。建立适应市场需求、多元有效的农产品供给体系。稳定发展粮食生产。构建新型农业经营体系。稳定和完善以家庭承包经营为基础，统分结合的双层经营体制。完善农产品质量安全体系。加强农业产地环境治理，加大重金属污染耕地修复治理及农作物种植结构调整力度。强化现代农业支撑体系。加强农业科研基础研究和基础建设，加快科技成果转化和实用技术推广应用。创建农业现代化协调发展体系。构建农业和二三产业融合发展的现代农业产业体系；促进区域协调，形成各具特色的协调合作互动发展格局。</w:t>
            </w:r>
          </w:p>
        </w:tc>
        <w:tc>
          <w:tcPr>
            <w:tcW w:w="3699" w:type="dxa"/>
            <w:gridSpan w:val="5"/>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　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p>
        </w:tc>
        <w:tc>
          <w:tcPr>
            <w:tcW w:w="977"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一级指标</w:t>
            </w:r>
          </w:p>
        </w:tc>
        <w:tc>
          <w:tcPr>
            <w:tcW w:w="951"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二级指标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三级指标</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年度指标值</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实际完成值</w:t>
            </w:r>
          </w:p>
        </w:tc>
        <w:tc>
          <w:tcPr>
            <w:tcW w:w="672"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分值</w:t>
            </w:r>
          </w:p>
        </w:tc>
        <w:tc>
          <w:tcPr>
            <w:tcW w:w="676"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得分</w:t>
            </w:r>
          </w:p>
        </w:tc>
        <w:tc>
          <w:tcPr>
            <w:tcW w:w="117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绩效指标</w:t>
            </w:r>
          </w:p>
        </w:tc>
        <w:tc>
          <w:tcPr>
            <w:tcW w:w="977" w:type="dxa"/>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产出指标（</w:t>
            </w:r>
            <w:r>
              <w:rPr>
                <w:rFonts w:eastAsia="宋体"/>
                <w:color w:val="000000"/>
                <w:kern w:val="0"/>
                <w:sz w:val="16"/>
                <w:szCs w:val="16"/>
              </w:rPr>
              <w:t>50</w:t>
            </w:r>
            <w:r>
              <w:rPr>
                <w:rFonts w:hint="eastAsia" w:eastAsia="宋体" w:cs="宋体"/>
                <w:color w:val="000000"/>
                <w:kern w:val="0"/>
                <w:sz w:val="16"/>
                <w:szCs w:val="16"/>
              </w:rPr>
              <w:t>分）</w:t>
            </w: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数量指标</w:t>
            </w: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培育省级以上农业龙头企业（个）</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100</w:t>
            </w:r>
            <w:r>
              <w:rPr>
                <w:rFonts w:eastAsia="宋体"/>
                <w:color w:val="000000"/>
                <w:kern w:val="0"/>
                <w:sz w:val="16"/>
                <w:szCs w:val="16"/>
              </w:rPr>
              <w:t>　</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建设高标准农田面积（万亩）</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460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463</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推动全省粮食产量（亿斤）</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600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614.8</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支持健全现代农业发展体系（个）</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3</w:t>
            </w:r>
          </w:p>
        </w:tc>
        <w:tc>
          <w:tcPr>
            <w:tcW w:w="1173" w:type="dxa"/>
            <w:noWrap w:val="0"/>
            <w:vAlign w:val="center"/>
          </w:tcPr>
          <w:p>
            <w:pPr>
              <w:widowControl/>
              <w:adjustRightInd/>
              <w:snapToGrid/>
              <w:spacing w:line="240" w:lineRule="exact"/>
              <w:ind w:firstLine="0" w:firstLineChars="0"/>
              <w:jc w:val="center"/>
              <w:rPr>
                <w:rFonts w:hint="eastAsia" w:eastAsia="宋体"/>
                <w:color w:val="000000"/>
                <w:kern w:val="0"/>
                <w:sz w:val="16"/>
                <w:szCs w:val="16"/>
              </w:rPr>
            </w:pPr>
            <w:r>
              <w:rPr>
                <w:rFonts w:eastAsia="宋体"/>
                <w:color w:val="000000"/>
                <w:kern w:val="0"/>
                <w:sz w:val="16"/>
                <w:szCs w:val="16"/>
              </w:rPr>
              <w:t>　</w:t>
            </w:r>
            <w:r>
              <w:rPr>
                <w:rFonts w:hint="eastAsia" w:eastAsia="宋体"/>
                <w:color w:val="000000"/>
                <w:kern w:val="0"/>
                <w:sz w:val="16"/>
                <w:szCs w:val="16"/>
              </w:rPr>
              <w:t>3</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创建省级美丽乡村个数</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100</w:t>
            </w:r>
            <w:r>
              <w:rPr>
                <w:rFonts w:eastAsia="宋体"/>
                <w:color w:val="000000"/>
                <w:kern w:val="0"/>
                <w:sz w:val="16"/>
                <w:szCs w:val="16"/>
              </w:rPr>
              <w:t>　</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支持国家农村宅基地制度改革试点县（个）</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支持农业农村发展补短板项目（个）</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80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80</w:t>
            </w:r>
            <w:r>
              <w:rPr>
                <w:rFonts w:eastAsia="宋体"/>
                <w:color w:val="000000"/>
                <w:kern w:val="0"/>
                <w:sz w:val="16"/>
                <w:szCs w:val="16"/>
              </w:rPr>
              <w:t>　</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质量指标</w:t>
            </w: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畜禽产品抽检合格率（%）</w:t>
            </w:r>
          </w:p>
        </w:tc>
        <w:tc>
          <w:tcPr>
            <w:tcW w:w="1189" w:type="dxa"/>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合格率达97.5%以上</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r>
              <w:rPr>
                <w:rFonts w:hint="eastAsia" w:eastAsia="宋体"/>
                <w:color w:val="000000"/>
                <w:kern w:val="0"/>
                <w:sz w:val="16"/>
                <w:szCs w:val="16"/>
              </w:rPr>
              <w:t>100%</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农作物耕种收综合机械</w:t>
            </w:r>
          </w:p>
          <w:p>
            <w:pPr>
              <w:widowControl/>
              <w:adjustRightInd/>
              <w:snapToGrid/>
              <w:spacing w:line="240" w:lineRule="exact"/>
              <w:ind w:firstLine="0" w:firstLineChars="0"/>
              <w:jc w:val="center"/>
              <w:rPr>
                <w:rFonts w:hint="eastAsia" w:eastAsia="宋体" w:cs="宋体"/>
                <w:color w:val="000000"/>
                <w:kern w:val="0"/>
                <w:sz w:val="16"/>
                <w:szCs w:val="16"/>
              </w:rPr>
            </w:pPr>
            <w:r>
              <w:rPr>
                <w:rFonts w:hint="eastAsia" w:eastAsia="宋体" w:cs="宋体"/>
                <w:color w:val="000000"/>
                <w:kern w:val="0"/>
                <w:sz w:val="16"/>
                <w:szCs w:val="16"/>
              </w:rPr>
              <w:t>化率</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55%</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55%　</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时效指标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专项资金在预算批复</w:t>
            </w:r>
            <w:r>
              <w:rPr>
                <w:rFonts w:eastAsia="宋体"/>
                <w:color w:val="000000"/>
                <w:kern w:val="0"/>
                <w:sz w:val="16"/>
                <w:szCs w:val="16"/>
              </w:rPr>
              <w:t>60</w:t>
            </w:r>
            <w:r>
              <w:rPr>
                <w:rFonts w:hint="eastAsia" w:eastAsia="宋体" w:cs="宋体"/>
                <w:color w:val="000000"/>
                <w:kern w:val="0"/>
                <w:sz w:val="16"/>
                <w:szCs w:val="16"/>
              </w:rPr>
              <w:t>个工作日内拨付</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年度农业安全监管资金执行率（</w:t>
            </w:r>
            <w:r>
              <w:rPr>
                <w:rFonts w:eastAsia="宋体"/>
                <w:color w:val="000000"/>
                <w:kern w:val="0"/>
                <w:sz w:val="16"/>
                <w:szCs w:val="16"/>
              </w:rPr>
              <w:t>%</w:t>
            </w:r>
            <w:r>
              <w:rPr>
                <w:rFonts w:hint="eastAsia" w:eastAsia="宋体" w:cs="宋体"/>
                <w:color w:val="000000"/>
                <w:kern w:val="0"/>
                <w:sz w:val="16"/>
                <w:szCs w:val="16"/>
              </w:rPr>
              <w:t>）</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4</w:t>
            </w:r>
            <w:r>
              <w:rPr>
                <w:rFonts w:eastAsia="宋体"/>
                <w:color w:val="000000"/>
                <w:kern w:val="0"/>
                <w:sz w:val="16"/>
                <w:szCs w:val="16"/>
              </w:rPr>
              <w:t>　</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成本指标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百企培育奖补标准</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40-60</w:t>
            </w:r>
            <w:r>
              <w:rPr>
                <w:rFonts w:hint="eastAsia" w:eastAsia="宋体"/>
                <w:color w:val="000000"/>
                <w:kern w:val="0"/>
                <w:sz w:val="16"/>
                <w:szCs w:val="16"/>
              </w:rPr>
              <w:t>万元</w:t>
            </w:r>
            <w:r>
              <w:rPr>
                <w:rFonts w:eastAsia="宋体"/>
                <w:color w:val="000000"/>
                <w:kern w:val="0"/>
                <w:sz w:val="16"/>
                <w:szCs w:val="16"/>
              </w:rPr>
              <w:t xml:space="preserve">/ </w:t>
            </w:r>
            <w:r>
              <w:rPr>
                <w:rFonts w:hint="eastAsia" w:eastAsia="宋体"/>
                <w:color w:val="000000"/>
                <w:kern w:val="0"/>
                <w:sz w:val="16"/>
                <w:szCs w:val="16"/>
              </w:rPr>
              <w:t>个</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40-60</w:t>
            </w:r>
            <w:r>
              <w:rPr>
                <w:rFonts w:hint="eastAsia" w:eastAsia="宋体"/>
                <w:color w:val="000000"/>
                <w:kern w:val="0"/>
                <w:sz w:val="16"/>
                <w:szCs w:val="16"/>
              </w:rPr>
              <w:t>万元</w:t>
            </w:r>
            <w:r>
              <w:rPr>
                <w:rFonts w:eastAsia="宋体"/>
                <w:color w:val="000000"/>
                <w:kern w:val="0"/>
                <w:sz w:val="16"/>
                <w:szCs w:val="16"/>
              </w:rPr>
              <w:t xml:space="preserve">/ </w:t>
            </w:r>
            <w:r>
              <w:rPr>
                <w:rFonts w:hint="eastAsia" w:eastAsia="宋体"/>
                <w:color w:val="000000"/>
                <w:kern w:val="0"/>
                <w:sz w:val="16"/>
                <w:szCs w:val="16"/>
              </w:rPr>
              <w:t>个</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3</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3</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省级示范家庭农场奖补标准</w:t>
            </w:r>
          </w:p>
        </w:tc>
        <w:tc>
          <w:tcPr>
            <w:tcW w:w="1189"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w:t>
            </w:r>
            <w:r>
              <w:rPr>
                <w:rFonts w:hint="eastAsia" w:eastAsia="宋体"/>
                <w:color w:val="000000"/>
                <w:kern w:val="0"/>
                <w:sz w:val="16"/>
                <w:szCs w:val="16"/>
              </w:rPr>
              <w:t>万元</w:t>
            </w:r>
            <w:r>
              <w:rPr>
                <w:rFonts w:eastAsia="宋体"/>
                <w:color w:val="000000"/>
                <w:kern w:val="0"/>
                <w:sz w:val="16"/>
                <w:szCs w:val="16"/>
              </w:rPr>
              <w:t>/</w:t>
            </w:r>
            <w:r>
              <w:rPr>
                <w:rFonts w:hint="eastAsia" w:eastAsia="宋体"/>
                <w:color w:val="000000"/>
                <w:kern w:val="0"/>
                <w:sz w:val="16"/>
                <w:szCs w:val="16"/>
              </w:rPr>
              <w:t>个</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w:t>
            </w:r>
            <w:r>
              <w:rPr>
                <w:rFonts w:hint="eastAsia" w:eastAsia="宋体"/>
                <w:color w:val="000000"/>
                <w:kern w:val="0"/>
                <w:sz w:val="16"/>
                <w:szCs w:val="16"/>
              </w:rPr>
              <w:t>万元</w:t>
            </w:r>
            <w:r>
              <w:rPr>
                <w:rFonts w:eastAsia="宋体"/>
                <w:color w:val="000000"/>
                <w:kern w:val="0"/>
                <w:sz w:val="16"/>
                <w:szCs w:val="16"/>
              </w:rPr>
              <w:t>/</w:t>
            </w:r>
            <w:r>
              <w:rPr>
                <w:rFonts w:hint="eastAsia" w:eastAsia="宋体"/>
                <w:color w:val="000000"/>
                <w:kern w:val="0"/>
                <w:sz w:val="16"/>
                <w:szCs w:val="16"/>
              </w:rPr>
              <w:t>个</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3</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3</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restart"/>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效益指标（</w:t>
            </w:r>
            <w:r>
              <w:rPr>
                <w:rFonts w:eastAsia="宋体"/>
                <w:color w:val="000000"/>
                <w:kern w:val="0"/>
                <w:sz w:val="16"/>
                <w:szCs w:val="16"/>
              </w:rPr>
              <w:t>30</w:t>
            </w:r>
            <w:r>
              <w:rPr>
                <w:rFonts w:hint="eastAsia" w:eastAsia="宋体" w:cs="宋体"/>
                <w:color w:val="000000"/>
                <w:kern w:val="0"/>
                <w:sz w:val="16"/>
                <w:szCs w:val="16"/>
              </w:rPr>
              <w:t>分）</w:t>
            </w: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经济效益指标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农业产业化规模和质量</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明显提升</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明显提升</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粮油绿色高质高效创建示范基地亩均增收金额（元）</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w:t>
            </w:r>
            <w:r>
              <w:rPr>
                <w:rFonts w:eastAsia="宋体"/>
                <w:color w:val="000000"/>
                <w:kern w:val="0"/>
                <w:sz w:val="16"/>
                <w:szCs w:val="16"/>
              </w:rPr>
              <w:t>100</w:t>
            </w:r>
            <w:r>
              <w:rPr>
                <w:rFonts w:hint="eastAsia" w:eastAsia="宋体" w:cs="宋体"/>
                <w:color w:val="000000"/>
                <w:kern w:val="0"/>
                <w:sz w:val="16"/>
                <w:szCs w:val="16"/>
              </w:rPr>
              <w:t>元</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　100</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全年粮食面积较上年</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有所增长</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有所增长</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社会效益指标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市场粮食、畜禽等重要农产品供应和价格</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价格总体平稳或波动较小</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价格总体平稳或波动较小</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cs="宋体"/>
                <w:color w:val="000000"/>
                <w:kern w:val="0"/>
                <w:sz w:val="16"/>
                <w:szCs w:val="16"/>
              </w:rPr>
            </w:pPr>
            <w:r>
              <w:rPr>
                <w:rFonts w:hint="eastAsia" w:eastAsia="宋体" w:cs="宋体"/>
                <w:color w:val="000000"/>
                <w:kern w:val="0"/>
                <w:sz w:val="16"/>
                <w:szCs w:val="16"/>
              </w:rPr>
              <w:t>无重大转基因违法案件、重大农业污染事件、重大种子事故</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明显规范</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明显规范</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生态效益指标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耕地质量</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逐步提升</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逐步提升</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农业面源污染较上年</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有所减轻</w:t>
            </w:r>
          </w:p>
        </w:tc>
        <w:tc>
          <w:tcPr>
            <w:tcW w:w="1173"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有所减轻</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4</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51"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可持续影响指标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农业种植结构</w:t>
            </w:r>
          </w:p>
        </w:tc>
        <w:tc>
          <w:tcPr>
            <w:tcW w:w="1189" w:type="dxa"/>
            <w:noWrap w:val="0"/>
            <w:vAlign w:val="center"/>
          </w:tcPr>
          <w:p>
            <w:pPr>
              <w:widowControl/>
              <w:adjustRightInd/>
              <w:snapToGrid/>
              <w:spacing w:line="240" w:lineRule="exact"/>
              <w:ind w:firstLine="0" w:firstLineChars="0"/>
              <w:jc w:val="left"/>
              <w:rPr>
                <w:rFonts w:eastAsia="宋体" w:cs="宋体"/>
                <w:color w:val="000000"/>
                <w:kern w:val="0"/>
                <w:sz w:val="16"/>
                <w:szCs w:val="16"/>
              </w:rPr>
            </w:pPr>
            <w:r>
              <w:rPr>
                <w:rFonts w:hint="eastAsia" w:eastAsia="宋体" w:cs="宋体"/>
                <w:color w:val="000000"/>
                <w:kern w:val="0"/>
                <w:sz w:val="16"/>
                <w:szCs w:val="16"/>
              </w:rPr>
              <w:t>进一步优化</w:t>
            </w:r>
          </w:p>
        </w:tc>
        <w:tc>
          <w:tcPr>
            <w:tcW w:w="1173" w:type="dxa"/>
            <w:noWrap w:val="0"/>
            <w:vAlign w:val="center"/>
          </w:tcPr>
          <w:p>
            <w:pPr>
              <w:widowControl/>
              <w:adjustRightInd/>
              <w:snapToGrid/>
              <w:spacing w:line="240" w:lineRule="exact"/>
              <w:ind w:firstLine="0" w:firstLineChars="0"/>
              <w:jc w:val="left"/>
              <w:rPr>
                <w:rFonts w:eastAsia="宋体" w:cs="宋体"/>
                <w:color w:val="000000"/>
                <w:kern w:val="0"/>
                <w:sz w:val="16"/>
                <w:szCs w:val="16"/>
              </w:rPr>
            </w:pPr>
            <w:r>
              <w:rPr>
                <w:rFonts w:hint="eastAsia" w:eastAsia="宋体" w:cs="宋体"/>
                <w:color w:val="000000"/>
                <w:kern w:val="0"/>
                <w:sz w:val="16"/>
                <w:szCs w:val="16"/>
              </w:rPr>
              <w:t>进一步优化</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2</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2</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52" w:type="dxa"/>
            <w:vMerge w:val="continue"/>
            <w:noWrap w:val="0"/>
            <w:vAlign w:val="center"/>
          </w:tcPr>
          <w:p>
            <w:pPr>
              <w:widowControl/>
              <w:adjustRightInd/>
              <w:snapToGrid/>
              <w:spacing w:line="240" w:lineRule="exact"/>
              <w:ind w:firstLine="0" w:firstLineChars="0"/>
              <w:jc w:val="left"/>
              <w:rPr>
                <w:rFonts w:eastAsia="宋体" w:cs="宋体"/>
                <w:color w:val="000000"/>
                <w:kern w:val="0"/>
                <w:sz w:val="16"/>
                <w:szCs w:val="16"/>
              </w:rPr>
            </w:pPr>
          </w:p>
        </w:tc>
        <w:tc>
          <w:tcPr>
            <w:tcW w:w="977"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满意度指标（</w:t>
            </w:r>
            <w:r>
              <w:rPr>
                <w:rFonts w:eastAsia="宋体"/>
                <w:color w:val="000000"/>
                <w:kern w:val="0"/>
                <w:sz w:val="16"/>
                <w:szCs w:val="16"/>
              </w:rPr>
              <w:t>10</w:t>
            </w:r>
            <w:r>
              <w:rPr>
                <w:rFonts w:hint="eastAsia" w:eastAsia="宋体" w:cs="宋体"/>
                <w:color w:val="000000"/>
                <w:kern w:val="0"/>
                <w:sz w:val="16"/>
                <w:szCs w:val="16"/>
              </w:rPr>
              <w:t>分）</w:t>
            </w:r>
          </w:p>
        </w:tc>
        <w:tc>
          <w:tcPr>
            <w:tcW w:w="951"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服务对象满意度指标</w:t>
            </w:r>
          </w:p>
        </w:tc>
        <w:tc>
          <w:tcPr>
            <w:tcW w:w="1873" w:type="dxa"/>
            <w:gridSpan w:val="2"/>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实施单位对省厅及市县农业局工作满意度（</w:t>
            </w:r>
            <w:r>
              <w:rPr>
                <w:rFonts w:eastAsia="宋体"/>
                <w:color w:val="000000"/>
                <w:kern w:val="0"/>
                <w:sz w:val="16"/>
                <w:szCs w:val="16"/>
              </w:rPr>
              <w:t>%</w:t>
            </w:r>
            <w:r>
              <w:rPr>
                <w:rFonts w:hint="eastAsia" w:eastAsia="宋体" w:cs="宋体"/>
                <w:color w:val="000000"/>
                <w:kern w:val="0"/>
                <w:sz w:val="16"/>
                <w:szCs w:val="16"/>
              </w:rPr>
              <w:t>）</w:t>
            </w:r>
          </w:p>
        </w:tc>
        <w:tc>
          <w:tcPr>
            <w:tcW w:w="1189" w:type="dxa"/>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w:t>
            </w:r>
            <w:r>
              <w:rPr>
                <w:rFonts w:eastAsia="宋体"/>
                <w:color w:val="000000"/>
                <w:kern w:val="0"/>
                <w:sz w:val="16"/>
                <w:szCs w:val="16"/>
              </w:rPr>
              <w:t>90%</w:t>
            </w:r>
          </w:p>
        </w:tc>
        <w:tc>
          <w:tcPr>
            <w:tcW w:w="1173"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9</w:t>
            </w:r>
            <w:r>
              <w:rPr>
                <w:rFonts w:hint="eastAsia" w:eastAsia="宋体"/>
                <w:color w:val="000000"/>
                <w:kern w:val="0"/>
                <w:sz w:val="16"/>
                <w:szCs w:val="16"/>
              </w:rPr>
              <w:t>5</w:t>
            </w:r>
            <w:r>
              <w:rPr>
                <w:rFonts w:eastAsia="宋体"/>
                <w:color w:val="000000"/>
                <w:kern w:val="0"/>
                <w:sz w:val="16"/>
                <w:szCs w:val="16"/>
              </w:rPr>
              <w:t>%</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w:t>
            </w:r>
          </w:p>
        </w:tc>
        <w:tc>
          <w:tcPr>
            <w:tcW w:w="1178" w:type="dxa"/>
            <w:gridSpan w:val="2"/>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115" w:type="dxa"/>
            <w:gridSpan w:val="8"/>
            <w:noWrap w:val="0"/>
            <w:vAlign w:val="center"/>
          </w:tcPr>
          <w:p>
            <w:pPr>
              <w:widowControl/>
              <w:adjustRightInd/>
              <w:snapToGrid/>
              <w:spacing w:line="240" w:lineRule="exact"/>
              <w:ind w:firstLine="0" w:firstLineChars="0"/>
              <w:jc w:val="center"/>
              <w:rPr>
                <w:rFonts w:eastAsia="宋体" w:cs="宋体"/>
                <w:color w:val="000000"/>
                <w:kern w:val="0"/>
                <w:sz w:val="16"/>
                <w:szCs w:val="16"/>
              </w:rPr>
            </w:pPr>
            <w:r>
              <w:rPr>
                <w:rFonts w:hint="eastAsia" w:eastAsia="宋体" w:cs="宋体"/>
                <w:color w:val="000000"/>
                <w:kern w:val="0"/>
                <w:sz w:val="16"/>
                <w:szCs w:val="16"/>
              </w:rPr>
              <w:t>总分</w:t>
            </w:r>
          </w:p>
        </w:tc>
        <w:tc>
          <w:tcPr>
            <w:tcW w:w="672"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eastAsia="宋体"/>
                <w:color w:val="000000"/>
                <w:kern w:val="0"/>
                <w:sz w:val="16"/>
                <w:szCs w:val="16"/>
              </w:rPr>
              <w:t>100</w:t>
            </w:r>
          </w:p>
        </w:tc>
        <w:tc>
          <w:tcPr>
            <w:tcW w:w="676" w:type="dxa"/>
            <w:noWrap w:val="0"/>
            <w:vAlign w:val="center"/>
          </w:tcPr>
          <w:p>
            <w:pPr>
              <w:widowControl/>
              <w:adjustRightInd/>
              <w:snapToGrid/>
              <w:spacing w:line="240" w:lineRule="exact"/>
              <w:ind w:firstLine="0" w:firstLineChars="0"/>
              <w:jc w:val="center"/>
              <w:rPr>
                <w:rFonts w:eastAsia="宋体"/>
                <w:color w:val="000000"/>
                <w:kern w:val="0"/>
                <w:sz w:val="16"/>
                <w:szCs w:val="16"/>
              </w:rPr>
            </w:pPr>
            <w:r>
              <w:rPr>
                <w:rFonts w:hint="eastAsia" w:eastAsia="宋体"/>
                <w:color w:val="000000"/>
                <w:kern w:val="0"/>
                <w:sz w:val="16"/>
                <w:szCs w:val="16"/>
              </w:rPr>
              <w:t>97.7</w:t>
            </w:r>
            <w:r>
              <w:rPr>
                <w:rFonts w:eastAsia="宋体"/>
                <w:color w:val="000000"/>
                <w:kern w:val="0"/>
                <w:sz w:val="16"/>
                <w:szCs w:val="16"/>
              </w:rPr>
              <w:t>　</w:t>
            </w:r>
          </w:p>
        </w:tc>
        <w:tc>
          <w:tcPr>
            <w:tcW w:w="1178" w:type="dxa"/>
            <w:gridSpan w:val="2"/>
            <w:noWrap/>
            <w:vAlign w:val="center"/>
          </w:tcPr>
          <w:p>
            <w:pPr>
              <w:widowControl/>
              <w:adjustRightInd/>
              <w:snapToGrid/>
              <w:spacing w:line="240" w:lineRule="exact"/>
              <w:ind w:firstLine="0" w:firstLineChars="0"/>
              <w:jc w:val="left"/>
              <w:rPr>
                <w:rFonts w:eastAsia="宋体" w:cs="宋体"/>
                <w:color w:val="000000"/>
                <w:kern w:val="0"/>
                <w:sz w:val="16"/>
                <w:szCs w:val="16"/>
              </w:rPr>
            </w:pPr>
            <w:r>
              <w:rPr>
                <w:rFonts w:hint="eastAsia" w:eastAsia="宋体" w:cs="宋体"/>
                <w:color w:val="000000"/>
                <w:kern w:val="0"/>
                <w:sz w:val="16"/>
                <w:szCs w:val="16"/>
              </w:rPr>
              <w:t>　</w:t>
            </w:r>
          </w:p>
        </w:tc>
      </w:tr>
    </w:tbl>
    <w:p>
      <w:pPr>
        <w:adjustRightInd/>
        <w:snapToGrid/>
        <w:spacing w:line="600" w:lineRule="exact"/>
        <w:ind w:firstLine="198" w:firstLineChars="62"/>
        <w:rPr>
          <w:rFonts w:eastAsia="仿宋"/>
          <w:szCs w:val="22"/>
          <w:highlight w:val="yellow"/>
        </w:rPr>
      </w:pPr>
    </w:p>
    <w:p>
      <w:pPr>
        <w:pStyle w:val="3"/>
        <w:ind w:firstLine="0" w:firstLineChars="0"/>
        <w:rPr>
          <w:rFonts w:hint="eastAsia"/>
          <w:kern w:val="0"/>
        </w:rPr>
      </w:pPr>
      <w:r>
        <w:rPr>
          <w:rFonts w:eastAsia="仿宋"/>
          <w:szCs w:val="22"/>
          <w:highlight w:val="yellow"/>
        </w:rPr>
        <w:br w:type="page"/>
      </w:r>
      <w:r>
        <w:rPr>
          <w:rFonts w:hint="eastAsia"/>
          <w:kern w:val="0"/>
        </w:rPr>
        <w:t>附表3-1</w:t>
      </w:r>
    </w:p>
    <w:p>
      <w:pPr>
        <w:adjustRightInd/>
        <w:spacing w:before="108" w:beforeLines="25" w:after="108" w:afterLines="25" w:line="500" w:lineRule="exact"/>
        <w:ind w:firstLine="0" w:firstLineChars="0"/>
        <w:jc w:val="center"/>
        <w:rPr>
          <w:rFonts w:ascii="方正小标宋简体" w:eastAsia="方正小标宋简体"/>
          <w:kern w:val="0"/>
          <w:sz w:val="36"/>
          <w:szCs w:val="36"/>
        </w:rPr>
      </w:pPr>
      <w:bookmarkStart w:id="1" w:name="_Hlk73626984"/>
      <w:r>
        <w:rPr>
          <w:rFonts w:ascii="方正小标宋简体" w:eastAsia="方正小标宋简体"/>
          <w:kern w:val="0"/>
          <w:sz w:val="36"/>
          <w:szCs w:val="36"/>
        </w:rPr>
        <w:t>202</w:t>
      </w:r>
      <w:r>
        <w:rPr>
          <w:rFonts w:hint="eastAsia" w:ascii="方正小标宋简体" w:eastAsia="方正小标宋简体"/>
          <w:kern w:val="0"/>
          <w:sz w:val="36"/>
          <w:szCs w:val="36"/>
        </w:rPr>
        <w:t>1</w:t>
      </w:r>
      <w:r>
        <w:rPr>
          <w:rFonts w:ascii="方正小标宋简体" w:eastAsia="方正小标宋简体"/>
          <w:kern w:val="0"/>
          <w:sz w:val="36"/>
          <w:szCs w:val="36"/>
        </w:rPr>
        <w:t>年度</w:t>
      </w:r>
      <w:r>
        <w:rPr>
          <w:rFonts w:hint="eastAsia" w:ascii="方正小标宋简体" w:eastAsia="方正小标宋简体"/>
          <w:kern w:val="0"/>
          <w:sz w:val="36"/>
          <w:szCs w:val="36"/>
        </w:rPr>
        <w:t>项目支出</w:t>
      </w:r>
      <w:r>
        <w:rPr>
          <w:rFonts w:ascii="方正小标宋简体" w:eastAsia="方正小标宋简体"/>
          <w:kern w:val="0"/>
          <w:sz w:val="36"/>
          <w:szCs w:val="36"/>
        </w:rPr>
        <w:t>绩效自评表</w:t>
      </w:r>
    </w:p>
    <w:bookmarkEnd w:id="1"/>
    <w:tbl>
      <w:tblPr>
        <w:tblStyle w:val="37"/>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13"/>
        <w:gridCol w:w="919"/>
        <w:gridCol w:w="1116"/>
        <w:gridCol w:w="1163"/>
        <w:gridCol w:w="1171"/>
        <w:gridCol w:w="915"/>
        <w:gridCol w:w="91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1116" w:type="dxa"/>
            <w:vMerge w:val="restart"/>
            <w:noWrap w:val="0"/>
            <w:vAlign w:val="center"/>
          </w:tcPr>
          <w:p>
            <w:pPr>
              <w:widowControl/>
              <w:adjustRightInd/>
              <w:snapToGrid/>
              <w:spacing w:line="240" w:lineRule="exact"/>
              <w:ind w:firstLine="0" w:firstLineChars="0"/>
              <w:jc w:val="center"/>
              <w:rPr>
                <w:rFonts w:hint="eastAsia" w:eastAsia="宋体" w:cs="宋体"/>
                <w:color w:val="000000"/>
                <w:kern w:val="0"/>
                <w:sz w:val="18"/>
                <w:szCs w:val="18"/>
              </w:rPr>
            </w:pPr>
            <w:r>
              <w:rPr>
                <w:rFonts w:hint="eastAsia" w:eastAsia="宋体" w:cs="宋体"/>
                <w:color w:val="000000"/>
                <w:kern w:val="0"/>
                <w:sz w:val="18"/>
                <w:szCs w:val="18"/>
              </w:rPr>
              <w:t>项目支出</w:t>
            </w:r>
          </w:p>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名称</w:t>
            </w:r>
          </w:p>
        </w:tc>
        <w:tc>
          <w:tcPr>
            <w:tcW w:w="8148" w:type="dxa"/>
            <w:gridSpan w:val="8"/>
            <w:vMerge w:val="restart"/>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其他事业类发展资金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8148" w:type="dxa"/>
            <w:gridSpan w:val="8"/>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主管部门</w:t>
            </w:r>
          </w:p>
        </w:tc>
        <w:tc>
          <w:tcPr>
            <w:tcW w:w="4111" w:type="dxa"/>
            <w:gridSpan w:val="4"/>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　</w:t>
            </w:r>
            <w:r>
              <w:rPr>
                <w:rFonts w:eastAsia="宋体"/>
                <w:color w:val="000000"/>
                <w:kern w:val="0"/>
                <w:sz w:val="18"/>
                <w:szCs w:val="18"/>
              </w:rPr>
              <w:t xml:space="preserve">         </w:t>
            </w:r>
            <w:r>
              <w:rPr>
                <w:rFonts w:hint="eastAsia" w:eastAsia="宋体" w:cs="宋体"/>
                <w:color w:val="000000"/>
                <w:kern w:val="0"/>
                <w:sz w:val="18"/>
                <w:szCs w:val="18"/>
              </w:rPr>
              <w:t>湖南省农业农村厅</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实施单位</w:t>
            </w:r>
          </w:p>
        </w:tc>
        <w:tc>
          <w:tcPr>
            <w:tcW w:w="2866" w:type="dxa"/>
            <w:gridSpan w:val="3"/>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厅机关及厅直单位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1116"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项目资金</w:t>
            </w:r>
          </w:p>
        </w:tc>
        <w:tc>
          <w:tcPr>
            <w:tcW w:w="1832" w:type="dxa"/>
            <w:gridSpan w:val="2"/>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　</w:t>
            </w:r>
          </w:p>
        </w:tc>
        <w:tc>
          <w:tcPr>
            <w:tcW w:w="1116" w:type="dxa"/>
            <w:noWrap/>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年初预算数</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全年预算数</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全年执行数</w:t>
            </w:r>
          </w:p>
        </w:tc>
        <w:tc>
          <w:tcPr>
            <w:tcW w:w="91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分值</w:t>
            </w:r>
          </w:p>
        </w:tc>
        <w:tc>
          <w:tcPr>
            <w:tcW w:w="91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执行率</w:t>
            </w:r>
          </w:p>
        </w:tc>
        <w:tc>
          <w:tcPr>
            <w:tcW w:w="1036" w:type="dxa"/>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832"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年度资金总额　</w:t>
            </w:r>
          </w:p>
        </w:tc>
        <w:tc>
          <w:tcPr>
            <w:tcW w:w="111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23,983.33 </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41,176.34 </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24,230.39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58.85%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832"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其中：当年财政拨款　</w:t>
            </w:r>
          </w:p>
        </w:tc>
        <w:tc>
          <w:tcPr>
            <w:tcW w:w="111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4,290.54 </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18,703.55 </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9,313.92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832"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上年结转资金　</w:t>
            </w:r>
          </w:p>
        </w:tc>
        <w:tc>
          <w:tcPr>
            <w:tcW w:w="111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19,692.79 </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22,472.79 </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14,916.47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832"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其他资金</w:t>
            </w:r>
          </w:p>
        </w:tc>
        <w:tc>
          <w:tcPr>
            <w:tcW w:w="111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1116" w:type="dxa"/>
            <w:vMerge w:val="restart"/>
            <w:noWrap w:val="0"/>
            <w:vAlign w:val="center"/>
          </w:tcPr>
          <w:p>
            <w:pPr>
              <w:widowControl/>
              <w:adjustRightInd/>
              <w:snapToGrid/>
              <w:spacing w:line="240" w:lineRule="exact"/>
              <w:ind w:firstLine="0" w:firstLineChars="0"/>
              <w:jc w:val="center"/>
              <w:rPr>
                <w:rFonts w:hint="eastAsia" w:eastAsia="宋体" w:cs="宋体"/>
                <w:color w:val="000000"/>
                <w:kern w:val="0"/>
                <w:sz w:val="18"/>
                <w:szCs w:val="18"/>
              </w:rPr>
            </w:pPr>
            <w:r>
              <w:rPr>
                <w:rFonts w:hint="eastAsia" w:eastAsia="宋体" w:cs="宋体"/>
                <w:color w:val="000000"/>
                <w:kern w:val="0"/>
                <w:sz w:val="18"/>
                <w:szCs w:val="18"/>
              </w:rPr>
              <w:t>年度总体</w:t>
            </w:r>
          </w:p>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目标</w:t>
            </w:r>
          </w:p>
        </w:tc>
        <w:tc>
          <w:tcPr>
            <w:tcW w:w="4111" w:type="dxa"/>
            <w:gridSpan w:val="4"/>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预期目标</w:t>
            </w:r>
          </w:p>
        </w:tc>
        <w:tc>
          <w:tcPr>
            <w:tcW w:w="4037" w:type="dxa"/>
            <w:gridSpan w:val="4"/>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9"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4111" w:type="dxa"/>
            <w:gridSpan w:val="4"/>
            <w:noWrap w:val="0"/>
            <w:vAlign w:val="center"/>
          </w:tcPr>
          <w:p>
            <w:pPr>
              <w:widowControl/>
              <w:adjustRightInd/>
              <w:snapToGrid/>
              <w:spacing w:line="240" w:lineRule="exact"/>
              <w:ind w:firstLine="0" w:firstLineChars="0"/>
              <w:jc w:val="left"/>
              <w:rPr>
                <w:rFonts w:eastAsia="宋体" w:cs="宋体"/>
                <w:color w:val="000000"/>
                <w:kern w:val="0"/>
                <w:sz w:val="18"/>
                <w:szCs w:val="18"/>
              </w:rPr>
            </w:pPr>
            <w:r>
              <w:rPr>
                <w:rFonts w:hint="eastAsia" w:eastAsia="宋体" w:cs="宋体"/>
                <w:color w:val="000000"/>
                <w:kern w:val="0"/>
                <w:sz w:val="18"/>
                <w:szCs w:val="18"/>
              </w:rPr>
              <w:t>争创全国职业院校文化建设50强，争创湖南省党建工作标杆院系。建立劳动课教育资源和校内场地，构建与农业生产劳动相结合的劳动教育体系和考核平价体系，培养具有习苦耐劳品质、“一懂两爱”的复合型高素质技术技能人才。推广现代学徒制人才培养模式，加大实践实训课程课时比例，改善实践教学条件，加强专业群校内外实训基地建设。</w:t>
            </w:r>
          </w:p>
        </w:tc>
        <w:tc>
          <w:tcPr>
            <w:tcW w:w="4037" w:type="dxa"/>
            <w:gridSpan w:val="4"/>
            <w:noWrap w:val="0"/>
            <w:vAlign w:val="center"/>
          </w:tcPr>
          <w:p>
            <w:pPr>
              <w:widowControl/>
              <w:adjustRightInd/>
              <w:snapToGrid/>
              <w:spacing w:line="240" w:lineRule="exact"/>
              <w:ind w:firstLine="0" w:firstLineChars="0"/>
              <w:jc w:val="left"/>
              <w:rPr>
                <w:rFonts w:hint="eastAsia" w:eastAsia="宋体" w:cs="宋体"/>
                <w:color w:val="000000"/>
                <w:kern w:val="0"/>
                <w:sz w:val="18"/>
                <w:szCs w:val="18"/>
              </w:rPr>
            </w:pPr>
            <w:r>
              <w:rPr>
                <w:rFonts w:hint="eastAsia" w:eastAsia="宋体" w:cs="宋体"/>
                <w:color w:val="000000"/>
                <w:kern w:val="0"/>
                <w:sz w:val="18"/>
                <w:szCs w:val="18"/>
              </w:rPr>
              <w:t>　               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1116"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绩效指标</w:t>
            </w:r>
          </w:p>
        </w:tc>
        <w:tc>
          <w:tcPr>
            <w:tcW w:w="91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一级指标</w:t>
            </w:r>
          </w:p>
        </w:tc>
        <w:tc>
          <w:tcPr>
            <w:tcW w:w="919"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二级指标</w:t>
            </w:r>
          </w:p>
        </w:tc>
        <w:tc>
          <w:tcPr>
            <w:tcW w:w="1116" w:type="dxa"/>
            <w:noWrap w:val="0"/>
            <w:vAlign w:val="center"/>
          </w:tcPr>
          <w:p>
            <w:pPr>
              <w:widowControl/>
              <w:adjustRightInd/>
              <w:snapToGrid/>
              <w:spacing w:line="240" w:lineRule="exact"/>
              <w:ind w:firstLine="360"/>
              <w:jc w:val="center"/>
              <w:rPr>
                <w:rFonts w:eastAsia="宋体" w:cs="宋体"/>
                <w:color w:val="000000"/>
                <w:kern w:val="0"/>
                <w:sz w:val="18"/>
                <w:szCs w:val="18"/>
              </w:rPr>
            </w:pPr>
            <w:r>
              <w:rPr>
                <w:rFonts w:hint="eastAsia" w:eastAsia="宋体" w:cs="宋体"/>
                <w:color w:val="000000"/>
                <w:kern w:val="0"/>
                <w:sz w:val="18"/>
                <w:szCs w:val="18"/>
              </w:rPr>
              <w:t>三级指标</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年度指标值</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实际完成值</w:t>
            </w:r>
          </w:p>
        </w:tc>
        <w:tc>
          <w:tcPr>
            <w:tcW w:w="91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分值</w:t>
            </w:r>
          </w:p>
        </w:tc>
        <w:tc>
          <w:tcPr>
            <w:tcW w:w="91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得分</w:t>
            </w:r>
          </w:p>
        </w:tc>
        <w:tc>
          <w:tcPr>
            <w:tcW w:w="10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产出指标（</w:t>
            </w:r>
            <w:r>
              <w:rPr>
                <w:rFonts w:eastAsia="宋体"/>
                <w:color w:val="000000"/>
                <w:kern w:val="0"/>
                <w:sz w:val="18"/>
                <w:szCs w:val="18"/>
              </w:rPr>
              <w:t>50</w:t>
            </w:r>
            <w:r>
              <w:rPr>
                <w:rFonts w:hint="eastAsia" w:eastAsia="宋体" w:cs="宋体"/>
                <w:color w:val="000000"/>
                <w:kern w:val="0"/>
                <w:sz w:val="18"/>
                <w:szCs w:val="18"/>
              </w:rPr>
              <w:t>分）</w:t>
            </w:r>
          </w:p>
        </w:tc>
        <w:tc>
          <w:tcPr>
            <w:tcW w:w="919"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数量指标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“互联网</w:t>
            </w:r>
            <w:r>
              <w:rPr>
                <w:rFonts w:eastAsia="宋体"/>
                <w:color w:val="000000"/>
                <w:kern w:val="0"/>
                <w:sz w:val="18"/>
                <w:szCs w:val="18"/>
              </w:rPr>
              <w:t>+</w:t>
            </w:r>
            <w:r>
              <w:rPr>
                <w:rFonts w:hint="eastAsia" w:eastAsia="宋体" w:cs="宋体"/>
                <w:color w:val="000000"/>
                <w:kern w:val="0"/>
                <w:sz w:val="18"/>
                <w:szCs w:val="18"/>
              </w:rPr>
              <w:t>”创新创业大赛国家级奖项</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项</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成果导向专业教学标准</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r>
              <w:rPr>
                <w:rFonts w:hint="eastAsia" w:eastAsia="宋体"/>
                <w:color w:val="000000"/>
                <w:kern w:val="0"/>
                <w:sz w:val="18"/>
                <w:szCs w:val="18"/>
              </w:rPr>
              <w:t>个</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10</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全国职业技能大赛国家级奖项</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项</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建设校内实训室、实训基地</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r>
              <w:rPr>
                <w:rFonts w:hint="eastAsia" w:eastAsia="宋体"/>
                <w:color w:val="000000"/>
                <w:kern w:val="0"/>
                <w:sz w:val="18"/>
                <w:szCs w:val="18"/>
              </w:rPr>
              <w:t>个</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5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“新时代爱国主义”特色的思想政治理论省级精品在线开放课程</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门</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创建新技术示范基地数</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r>
              <w:rPr>
                <w:rFonts w:hint="eastAsia" w:eastAsia="宋体"/>
                <w:color w:val="000000"/>
                <w:kern w:val="0"/>
                <w:sz w:val="18"/>
                <w:szCs w:val="18"/>
              </w:rPr>
              <w:t>个</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5</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优质精品课程</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20</w:t>
            </w:r>
            <w:r>
              <w:rPr>
                <w:rFonts w:hint="eastAsia" w:eastAsia="宋体"/>
                <w:color w:val="000000"/>
                <w:kern w:val="0"/>
                <w:sz w:val="18"/>
                <w:szCs w:val="18"/>
              </w:rPr>
              <w:t>门</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20</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开展基层农技推广体系调研</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r>
              <w:rPr>
                <w:rFonts w:hint="eastAsia" w:eastAsia="宋体"/>
                <w:color w:val="000000"/>
                <w:kern w:val="0"/>
                <w:sz w:val="18"/>
                <w:szCs w:val="18"/>
              </w:rPr>
              <w:t>次</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2</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成果导向课程标准</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50</w:t>
            </w:r>
            <w:r>
              <w:rPr>
                <w:rFonts w:hint="eastAsia" w:eastAsia="宋体"/>
                <w:color w:val="000000"/>
                <w:kern w:val="0"/>
                <w:sz w:val="18"/>
                <w:szCs w:val="18"/>
              </w:rPr>
              <w:t>个</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50</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成果导向人才培养方案</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r>
              <w:rPr>
                <w:rFonts w:hint="eastAsia" w:eastAsia="宋体"/>
                <w:color w:val="000000"/>
                <w:kern w:val="0"/>
                <w:sz w:val="18"/>
                <w:szCs w:val="18"/>
              </w:rPr>
              <w:t>个</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10</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“挑战杯”科技作品和创业计划竞赛国家级奖项</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项</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开展基层农技推广工作培训</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r>
              <w:rPr>
                <w:rFonts w:hint="eastAsia" w:eastAsia="宋体"/>
                <w:color w:val="000000"/>
                <w:kern w:val="0"/>
                <w:sz w:val="18"/>
                <w:szCs w:val="18"/>
              </w:rPr>
              <w:t>期</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2</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举办课程思政培训</w:t>
            </w:r>
            <w:r>
              <w:rPr>
                <w:rFonts w:eastAsia="宋体"/>
                <w:color w:val="000000"/>
                <w:kern w:val="0"/>
                <w:sz w:val="18"/>
                <w:szCs w:val="18"/>
              </w:rPr>
              <w:t>/</w:t>
            </w:r>
            <w:r>
              <w:rPr>
                <w:rFonts w:hint="eastAsia" w:eastAsia="宋体" w:cs="宋体"/>
                <w:color w:val="000000"/>
                <w:kern w:val="0"/>
                <w:sz w:val="18"/>
                <w:szCs w:val="18"/>
              </w:rPr>
              <w:t>研讨会</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次</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质量指标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双师教师比例</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省级精品在线开放课程（含思政课）</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r>
              <w:rPr>
                <w:rFonts w:hint="eastAsia" w:eastAsia="宋体"/>
                <w:color w:val="000000"/>
                <w:kern w:val="0"/>
                <w:sz w:val="18"/>
                <w:szCs w:val="18"/>
              </w:rPr>
              <w:t>门</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4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毕业生就业率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毕业设计抽查通过率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全国职业技能大赛国家级奖项</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项</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年度重点工作完成总结评价</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优良</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优良</w:t>
            </w:r>
            <w:r>
              <w:rPr>
                <w:rFonts w:eastAsia="宋体"/>
                <w:color w:val="000000"/>
                <w:kern w:val="0"/>
                <w:sz w:val="18"/>
                <w:szCs w:val="18"/>
              </w:rPr>
              <w:t>　</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智慧校园数据准确率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技能抽查通过率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经费支出符合相关政策比率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1+X</w:t>
            </w:r>
            <w:r>
              <w:rPr>
                <w:rFonts w:hint="eastAsia" w:eastAsia="宋体" w:cs="宋体"/>
                <w:color w:val="000000"/>
                <w:kern w:val="0"/>
                <w:sz w:val="18"/>
                <w:szCs w:val="18"/>
              </w:rPr>
              <w:t>”证书通过率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eastAsia="宋体"/>
                <w:color w:val="000000"/>
                <w:kern w:val="0"/>
                <w:sz w:val="18"/>
                <w:szCs w:val="18"/>
              </w:rPr>
              <w:t>95%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年度项目经费预算执行率</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教师双语教学能力对国际交流生、留学生培养的支撑水平</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形成调研报告</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份</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r>
              <w:rPr>
                <w:rFonts w:hint="eastAsia" w:eastAsia="宋体"/>
                <w:color w:val="000000"/>
                <w:kern w:val="0"/>
                <w:sz w:val="18"/>
                <w:szCs w:val="18"/>
              </w:rPr>
              <w:t>份</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现代学徒制推广度</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时效指标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工作情况反馈及时率（</w:t>
            </w:r>
            <w:r>
              <w:rPr>
                <w:rFonts w:eastAsia="宋体"/>
                <w:color w:val="000000"/>
                <w:kern w:val="0"/>
                <w:sz w:val="18"/>
                <w:szCs w:val="18"/>
              </w:rPr>
              <w:t>%</w:t>
            </w:r>
            <w:r>
              <w:rPr>
                <w:rFonts w:hint="eastAsia" w:eastAsia="宋体" w:cs="宋体"/>
                <w:color w:val="000000"/>
                <w:kern w:val="0"/>
                <w:sz w:val="18"/>
                <w:szCs w:val="18"/>
              </w:rPr>
              <w:t>）</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任务终期完成度（</w:t>
            </w:r>
            <w:r>
              <w:rPr>
                <w:rFonts w:eastAsia="宋体"/>
                <w:color w:val="000000"/>
                <w:kern w:val="0"/>
                <w:sz w:val="18"/>
                <w:szCs w:val="18"/>
              </w:rPr>
              <w:t>%</w:t>
            </w:r>
            <w:r>
              <w:rPr>
                <w:rFonts w:hint="eastAsia" w:eastAsia="宋体" w:cs="宋体"/>
                <w:color w:val="000000"/>
                <w:kern w:val="0"/>
                <w:sz w:val="18"/>
                <w:szCs w:val="18"/>
              </w:rPr>
              <w:t>）</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成本指标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成本控制率</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预算以内</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预算以内</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效益指标（</w:t>
            </w:r>
            <w:r>
              <w:rPr>
                <w:rFonts w:eastAsia="宋体"/>
                <w:color w:val="000000"/>
                <w:kern w:val="0"/>
                <w:sz w:val="18"/>
                <w:szCs w:val="18"/>
              </w:rPr>
              <w:t>30</w:t>
            </w:r>
            <w:r>
              <w:rPr>
                <w:rFonts w:hint="eastAsia" w:eastAsia="宋体" w:cs="宋体"/>
                <w:color w:val="000000"/>
                <w:kern w:val="0"/>
                <w:sz w:val="18"/>
                <w:szCs w:val="18"/>
              </w:rPr>
              <w:t>分）</w:t>
            </w:r>
          </w:p>
        </w:tc>
        <w:tc>
          <w:tcPr>
            <w:tcW w:w="919"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经济效益指标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为企业提供技术服务促进产值提升（亿元）</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服务武陵山区促进当地特色农业产值增加（亿元）</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社会效益指标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农业科技推广应用率</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进一步提高</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进一步提高</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现代农业发展带动就业人数</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有所增加</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有所增加</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noWrap w:val="0"/>
            <w:vAlign w:val="center"/>
          </w:tcPr>
          <w:p>
            <w:pPr>
              <w:widowControl/>
              <w:adjustRightInd/>
              <w:snapToGrid/>
              <w:spacing w:line="240" w:lineRule="exact"/>
              <w:ind w:firstLine="0" w:firstLineChars="0"/>
              <w:jc w:val="center"/>
              <w:rPr>
                <w:rFonts w:eastAsia="宋体" w:cs="宋体"/>
                <w:kern w:val="0"/>
                <w:sz w:val="18"/>
                <w:szCs w:val="18"/>
              </w:rPr>
            </w:pPr>
            <w:r>
              <w:rPr>
                <w:rFonts w:hint="eastAsia" w:eastAsia="宋体" w:cs="宋体"/>
                <w:kern w:val="0"/>
                <w:sz w:val="18"/>
                <w:szCs w:val="18"/>
              </w:rPr>
              <w:t>生态效益指标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生态环保意识</w:t>
            </w:r>
          </w:p>
        </w:tc>
        <w:tc>
          <w:tcPr>
            <w:tcW w:w="116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明显增强</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明显增强</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9" w:type="dxa"/>
            <w:noWrap w:val="0"/>
            <w:vAlign w:val="center"/>
          </w:tcPr>
          <w:p>
            <w:pPr>
              <w:widowControl/>
              <w:adjustRightInd/>
              <w:snapToGrid/>
              <w:spacing w:line="240" w:lineRule="exact"/>
              <w:ind w:firstLine="0" w:firstLineChars="0"/>
              <w:jc w:val="center"/>
              <w:rPr>
                <w:rFonts w:eastAsia="宋体" w:cs="宋体"/>
                <w:kern w:val="0"/>
                <w:sz w:val="18"/>
                <w:szCs w:val="18"/>
              </w:rPr>
            </w:pPr>
            <w:r>
              <w:rPr>
                <w:rFonts w:hint="eastAsia" w:eastAsia="宋体" w:cs="宋体"/>
                <w:kern w:val="0"/>
                <w:sz w:val="18"/>
                <w:szCs w:val="18"/>
              </w:rPr>
              <w:t>可持续指标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长期定点服务示范县持续发展个数（个）</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2</w:t>
            </w:r>
          </w:p>
        </w:tc>
        <w:tc>
          <w:tcPr>
            <w:tcW w:w="1171"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eastAsia="宋体"/>
                <w:color w:val="000000"/>
                <w:kern w:val="0"/>
                <w:sz w:val="18"/>
                <w:szCs w:val="18"/>
              </w:rPr>
              <w:t>2</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1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13"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满意度指标（</w:t>
            </w:r>
            <w:r>
              <w:rPr>
                <w:rFonts w:eastAsia="宋体"/>
                <w:color w:val="000000"/>
                <w:kern w:val="0"/>
                <w:sz w:val="18"/>
                <w:szCs w:val="18"/>
              </w:rPr>
              <w:t>10</w:t>
            </w:r>
            <w:r>
              <w:rPr>
                <w:rFonts w:hint="eastAsia" w:eastAsia="宋体" w:cs="宋体"/>
                <w:color w:val="000000"/>
                <w:kern w:val="0"/>
                <w:sz w:val="18"/>
                <w:szCs w:val="18"/>
              </w:rPr>
              <w:t>分）</w:t>
            </w:r>
          </w:p>
        </w:tc>
        <w:tc>
          <w:tcPr>
            <w:tcW w:w="919" w:type="dxa"/>
            <w:noWrap w:val="0"/>
            <w:vAlign w:val="center"/>
          </w:tcPr>
          <w:p>
            <w:pPr>
              <w:widowControl/>
              <w:adjustRightInd/>
              <w:snapToGrid/>
              <w:spacing w:line="240" w:lineRule="exact"/>
              <w:ind w:firstLine="0" w:firstLineChars="0"/>
              <w:jc w:val="center"/>
              <w:rPr>
                <w:rFonts w:eastAsia="宋体" w:cs="宋体"/>
                <w:kern w:val="0"/>
                <w:sz w:val="18"/>
                <w:szCs w:val="18"/>
              </w:rPr>
            </w:pPr>
            <w:r>
              <w:rPr>
                <w:rFonts w:hint="eastAsia" w:eastAsia="宋体" w:cs="宋体"/>
                <w:kern w:val="0"/>
                <w:sz w:val="18"/>
                <w:szCs w:val="18"/>
              </w:rPr>
              <w:t>社会公益或服务对象满意度指标</w:t>
            </w:r>
          </w:p>
        </w:tc>
        <w:tc>
          <w:tcPr>
            <w:tcW w:w="111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项目实施受影响群体</w:t>
            </w:r>
          </w:p>
        </w:tc>
        <w:tc>
          <w:tcPr>
            <w:tcW w:w="116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ascii="宋体" w:hAnsi="宋体" w:eastAsia="宋体" w:cs="宋体"/>
                <w:color w:val="000000"/>
                <w:kern w:val="0"/>
                <w:sz w:val="18"/>
                <w:szCs w:val="18"/>
              </w:rPr>
              <w:t>≧</w:t>
            </w:r>
            <w:r>
              <w:rPr>
                <w:rFonts w:eastAsia="宋体"/>
                <w:color w:val="000000"/>
                <w:kern w:val="0"/>
                <w:sz w:val="18"/>
                <w:szCs w:val="18"/>
              </w:rPr>
              <w:t>80%</w:t>
            </w:r>
          </w:p>
        </w:tc>
        <w:tc>
          <w:tcPr>
            <w:tcW w:w="1171"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90</w:t>
            </w:r>
            <w:r>
              <w:rPr>
                <w:rFonts w:eastAsia="宋体"/>
                <w:color w:val="000000"/>
                <w:kern w:val="0"/>
                <w:sz w:val="18"/>
                <w:szCs w:val="18"/>
              </w:rPr>
              <w:t>%</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10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398" w:type="dxa"/>
            <w:gridSpan w:val="6"/>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总分</w:t>
            </w:r>
          </w:p>
        </w:tc>
        <w:tc>
          <w:tcPr>
            <w:tcW w:w="915" w:type="dxa"/>
            <w:noWrap w:val="0"/>
            <w:vAlign w:val="center"/>
          </w:tcPr>
          <w:p>
            <w:pPr>
              <w:widowControl/>
              <w:adjustRightInd/>
              <w:snapToGrid/>
              <w:spacing w:line="240" w:lineRule="exact"/>
              <w:ind w:firstLine="0" w:firstLineChars="0"/>
              <w:rPr>
                <w:rFonts w:eastAsia="宋体"/>
                <w:color w:val="000000"/>
                <w:kern w:val="0"/>
                <w:sz w:val="18"/>
                <w:szCs w:val="18"/>
              </w:rPr>
            </w:pPr>
            <w:r>
              <w:rPr>
                <w:rFonts w:eastAsia="宋体"/>
                <w:color w:val="000000"/>
                <w:kern w:val="0"/>
                <w:sz w:val="18"/>
                <w:szCs w:val="18"/>
              </w:rPr>
              <w:t>100</w:t>
            </w:r>
          </w:p>
        </w:tc>
        <w:tc>
          <w:tcPr>
            <w:tcW w:w="91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96</w:t>
            </w:r>
            <w:r>
              <w:rPr>
                <w:rFonts w:eastAsia="宋体"/>
                <w:color w:val="000000"/>
                <w:kern w:val="0"/>
                <w:sz w:val="18"/>
                <w:szCs w:val="18"/>
              </w:rPr>
              <w:t>　</w:t>
            </w:r>
          </w:p>
        </w:tc>
        <w:tc>
          <w:tcPr>
            <w:tcW w:w="1036" w:type="dxa"/>
            <w:noWrap/>
            <w:vAlign w:val="center"/>
          </w:tcPr>
          <w:p>
            <w:pPr>
              <w:widowControl/>
              <w:adjustRightInd/>
              <w:snapToGrid/>
              <w:spacing w:line="240" w:lineRule="exact"/>
              <w:ind w:firstLine="0" w:firstLineChars="0"/>
              <w:jc w:val="left"/>
              <w:rPr>
                <w:rFonts w:eastAsia="宋体" w:cs="宋体"/>
                <w:color w:val="000000"/>
                <w:kern w:val="0"/>
                <w:sz w:val="22"/>
                <w:szCs w:val="22"/>
              </w:rPr>
            </w:pPr>
            <w:r>
              <w:rPr>
                <w:rFonts w:hint="eastAsia" w:eastAsia="宋体" w:cs="宋体"/>
                <w:color w:val="000000"/>
                <w:kern w:val="0"/>
                <w:sz w:val="22"/>
                <w:szCs w:val="22"/>
              </w:rPr>
              <w:t>　</w:t>
            </w:r>
          </w:p>
        </w:tc>
      </w:tr>
    </w:tbl>
    <w:p>
      <w:pPr>
        <w:pStyle w:val="3"/>
        <w:ind w:firstLine="640"/>
        <w:rPr>
          <w:rFonts w:hint="eastAsia"/>
          <w:kern w:val="0"/>
        </w:rPr>
      </w:pPr>
      <w:r>
        <w:rPr>
          <w:rFonts w:eastAsia="仿宋"/>
          <w:kern w:val="0"/>
          <w:szCs w:val="22"/>
        </w:rPr>
        <w:t xml:space="preserve"> </w:t>
      </w:r>
      <w:r>
        <w:rPr>
          <w:rFonts w:eastAsia="仿宋"/>
          <w:kern w:val="0"/>
          <w:szCs w:val="22"/>
        </w:rPr>
        <w:br w:type="page"/>
      </w:r>
      <w:r>
        <w:rPr>
          <w:rFonts w:hint="eastAsia"/>
          <w:kern w:val="0"/>
        </w:rPr>
        <w:t>附表3-2</w:t>
      </w:r>
    </w:p>
    <w:p>
      <w:pPr>
        <w:adjustRightInd/>
        <w:spacing w:before="108" w:beforeLines="25" w:after="108" w:afterLines="25" w:line="500" w:lineRule="exact"/>
        <w:ind w:firstLine="0" w:firstLineChars="0"/>
        <w:jc w:val="center"/>
        <w:rPr>
          <w:rFonts w:hint="eastAsia"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rPr>
        <w:t>1</w:t>
      </w:r>
      <w:r>
        <w:rPr>
          <w:rFonts w:ascii="方正小标宋简体" w:eastAsia="方正小标宋简体"/>
          <w:kern w:val="0"/>
          <w:sz w:val="36"/>
          <w:szCs w:val="36"/>
        </w:rPr>
        <w:t>年度</w:t>
      </w:r>
      <w:r>
        <w:rPr>
          <w:rFonts w:hint="eastAsia" w:ascii="方正小标宋简体" w:eastAsia="方正小标宋简体"/>
          <w:kern w:val="0"/>
          <w:sz w:val="36"/>
          <w:szCs w:val="36"/>
        </w:rPr>
        <w:t>项目支出</w:t>
      </w:r>
      <w:r>
        <w:rPr>
          <w:rFonts w:ascii="方正小标宋简体" w:eastAsia="方正小标宋简体"/>
          <w:kern w:val="0"/>
          <w:sz w:val="36"/>
          <w:szCs w:val="36"/>
        </w:rPr>
        <w:t>绩效自评表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55"/>
        <w:gridCol w:w="755"/>
        <w:gridCol w:w="1148"/>
        <w:gridCol w:w="936"/>
        <w:gridCol w:w="936"/>
        <w:gridCol w:w="755"/>
        <w:gridCol w:w="755"/>
        <w:gridCol w:w="756"/>
        <w:gridCol w:w="75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restart"/>
            <w:noWrap w:val="0"/>
            <w:vAlign w:val="center"/>
          </w:tcPr>
          <w:p>
            <w:pPr>
              <w:widowControl/>
              <w:adjustRightInd/>
              <w:snapToGrid/>
              <w:spacing w:line="240" w:lineRule="exact"/>
              <w:ind w:firstLine="0" w:firstLineChars="0"/>
              <w:jc w:val="left"/>
              <w:rPr>
                <w:rFonts w:eastAsia="宋体" w:cs="宋体"/>
                <w:color w:val="000000"/>
                <w:kern w:val="0"/>
                <w:sz w:val="18"/>
                <w:szCs w:val="18"/>
              </w:rPr>
            </w:pPr>
            <w:r>
              <w:rPr>
                <w:rFonts w:hint="eastAsia" w:eastAsia="宋体" w:cs="宋体"/>
                <w:color w:val="000000"/>
                <w:kern w:val="0"/>
                <w:sz w:val="18"/>
                <w:szCs w:val="18"/>
              </w:rPr>
              <w:t>项目支出名称</w:t>
            </w:r>
          </w:p>
        </w:tc>
        <w:tc>
          <w:tcPr>
            <w:tcW w:w="8305" w:type="dxa"/>
            <w:gridSpan w:val="10"/>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　业务工作经费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8305" w:type="dxa"/>
            <w:gridSpan w:val="10"/>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主管</w:t>
            </w:r>
          </w:p>
        </w:tc>
        <w:tc>
          <w:tcPr>
            <w:tcW w:w="3594" w:type="dxa"/>
            <w:gridSpan w:val="4"/>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省农业农村厅</w:t>
            </w:r>
          </w:p>
        </w:tc>
        <w:tc>
          <w:tcPr>
            <w:tcW w:w="936"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实施单位</w:t>
            </w:r>
          </w:p>
        </w:tc>
        <w:tc>
          <w:tcPr>
            <w:tcW w:w="3775" w:type="dxa"/>
            <w:gridSpan w:val="5"/>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厅机关及厅直单位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部门</w:t>
            </w:r>
          </w:p>
        </w:tc>
        <w:tc>
          <w:tcPr>
            <w:tcW w:w="3594" w:type="dxa"/>
            <w:gridSpan w:val="4"/>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3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3775" w:type="dxa"/>
            <w:gridSpan w:val="5"/>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项目资金</w:t>
            </w:r>
          </w:p>
        </w:tc>
        <w:tc>
          <w:tcPr>
            <w:tcW w:w="1510" w:type="dxa"/>
            <w:gridSpan w:val="2"/>
            <w:vMerge w:val="restart"/>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148"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年初预算数</w:t>
            </w:r>
          </w:p>
        </w:tc>
        <w:tc>
          <w:tcPr>
            <w:tcW w:w="936"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全年预算数</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全年</w:t>
            </w:r>
          </w:p>
        </w:tc>
        <w:tc>
          <w:tcPr>
            <w:tcW w:w="1510"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分值</w:t>
            </w:r>
          </w:p>
        </w:tc>
        <w:tc>
          <w:tcPr>
            <w:tcW w:w="1512" w:type="dxa"/>
            <w:gridSpan w:val="2"/>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执行率</w:t>
            </w:r>
          </w:p>
        </w:tc>
        <w:tc>
          <w:tcPr>
            <w:tcW w:w="753"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0" w:type="dxa"/>
            <w:gridSpan w:val="2"/>
            <w:vMerge w:val="continue"/>
            <w:noWrap w:val="0"/>
            <w:vAlign w:val="center"/>
          </w:tcPr>
          <w:p>
            <w:pPr>
              <w:widowControl/>
              <w:adjustRightInd/>
              <w:snapToGrid/>
              <w:spacing w:line="240" w:lineRule="exact"/>
              <w:ind w:firstLine="0" w:firstLineChars="0"/>
              <w:jc w:val="left"/>
              <w:rPr>
                <w:rFonts w:eastAsia="宋体"/>
                <w:color w:val="000000"/>
                <w:kern w:val="0"/>
                <w:sz w:val="18"/>
                <w:szCs w:val="18"/>
              </w:rPr>
            </w:pPr>
          </w:p>
        </w:tc>
        <w:tc>
          <w:tcPr>
            <w:tcW w:w="1148"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36"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执行数</w:t>
            </w:r>
          </w:p>
        </w:tc>
        <w:tc>
          <w:tcPr>
            <w:tcW w:w="1510"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2" w:type="dxa"/>
            <w:gridSpan w:val="2"/>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3"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0"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年度资金总额</w:t>
            </w:r>
          </w:p>
        </w:tc>
        <w:tc>
          <w:tcPr>
            <w:tcW w:w="1148"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14,479.59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14,513.53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13,982.10 </w:t>
            </w:r>
          </w:p>
        </w:tc>
        <w:tc>
          <w:tcPr>
            <w:tcW w:w="1510"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1512"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96.34%</w:t>
            </w:r>
          </w:p>
        </w:tc>
        <w:tc>
          <w:tcPr>
            <w:tcW w:w="75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0"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其中：当年财政拨款</w:t>
            </w:r>
          </w:p>
        </w:tc>
        <w:tc>
          <w:tcPr>
            <w:tcW w:w="1148"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13,371.59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13,405.53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12,911.26 </w:t>
            </w:r>
          </w:p>
        </w:tc>
        <w:tc>
          <w:tcPr>
            <w:tcW w:w="1510"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512"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75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0"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上年结转资金</w:t>
            </w:r>
          </w:p>
        </w:tc>
        <w:tc>
          <w:tcPr>
            <w:tcW w:w="1148"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1,108.00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1,108.00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xml:space="preserve">1,070.84 </w:t>
            </w:r>
          </w:p>
        </w:tc>
        <w:tc>
          <w:tcPr>
            <w:tcW w:w="1510"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512"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75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510"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其他资金</w:t>
            </w:r>
          </w:p>
        </w:tc>
        <w:tc>
          <w:tcPr>
            <w:tcW w:w="1148"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510"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1512"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c>
          <w:tcPr>
            <w:tcW w:w="753"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年度总体目标</w:t>
            </w:r>
          </w:p>
        </w:tc>
        <w:tc>
          <w:tcPr>
            <w:tcW w:w="3594" w:type="dxa"/>
            <w:gridSpan w:val="4"/>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预期目标</w:t>
            </w:r>
          </w:p>
        </w:tc>
        <w:tc>
          <w:tcPr>
            <w:tcW w:w="4711" w:type="dxa"/>
            <w:gridSpan w:val="6"/>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4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3594" w:type="dxa"/>
            <w:gridSpan w:val="4"/>
            <w:noWrap w:val="0"/>
            <w:vAlign w:val="center"/>
          </w:tcPr>
          <w:p>
            <w:pPr>
              <w:widowControl/>
              <w:adjustRightInd/>
              <w:snapToGrid/>
              <w:spacing w:line="240" w:lineRule="exact"/>
              <w:ind w:firstLine="0" w:firstLineChars="0"/>
              <w:rPr>
                <w:rFonts w:eastAsia="宋体" w:cs="宋体"/>
                <w:color w:val="000000"/>
                <w:kern w:val="0"/>
                <w:sz w:val="18"/>
                <w:szCs w:val="18"/>
              </w:rPr>
            </w:pPr>
            <w:r>
              <w:rPr>
                <w:rFonts w:hint="eastAsia" w:eastAsia="宋体" w:cs="宋体"/>
                <w:color w:val="000000"/>
                <w:kern w:val="0"/>
                <w:sz w:val="18"/>
                <w:szCs w:val="18"/>
              </w:rPr>
              <w:t>综合协调全省农业农村工作，指导农村改革和发展；拟定实施农业发展政策和规划，指导新农村建设；稳定和完善农村经营管理体制，拟定实施全省农业产业化发展规划与政策；指导粮食等主要农产品生产，引导农业产业结构调整和产品品质改善；促进农业产前、产中、产后一体化发展，拟定实施农产品加工业发展政策、规划，制定实施农业科研、农技推广规划、计划和有关政策，指导农技推广体系改革与建设；指导协调农民教育培训，承担农民就地就近就业培训工作；组织农业资源区划工作，依法管理耕地质量；制定实施农业生态建设规划，指导农业面源污染治理；参与组织开展农业贸易促进和有关经济、技术交流与合作等。</w:t>
            </w:r>
          </w:p>
        </w:tc>
        <w:tc>
          <w:tcPr>
            <w:tcW w:w="4711" w:type="dxa"/>
            <w:gridSpan w:val="6"/>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全部完成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绩效指标</w:t>
            </w: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一级指标</w:t>
            </w: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二级指标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三级指标</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年度指标值</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实际完成值</w:t>
            </w: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分值</w:t>
            </w:r>
          </w:p>
        </w:tc>
        <w:tc>
          <w:tcPr>
            <w:tcW w:w="75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得分</w:t>
            </w:r>
          </w:p>
        </w:tc>
        <w:tc>
          <w:tcPr>
            <w:tcW w:w="1509"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产出指标（</w:t>
            </w:r>
            <w:r>
              <w:rPr>
                <w:rFonts w:eastAsia="宋体"/>
                <w:color w:val="000000"/>
                <w:kern w:val="0"/>
                <w:sz w:val="18"/>
                <w:szCs w:val="18"/>
              </w:rPr>
              <w:t>50</w:t>
            </w:r>
            <w:r>
              <w:rPr>
                <w:rFonts w:hint="eastAsia" w:eastAsia="宋体" w:cs="宋体"/>
                <w:color w:val="000000"/>
                <w:kern w:val="0"/>
                <w:sz w:val="18"/>
                <w:szCs w:val="18"/>
              </w:rPr>
              <w:t>分）</w:t>
            </w:r>
          </w:p>
        </w:tc>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数量指标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绩效评价抽查项目比例</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30%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30%</w:t>
            </w:r>
            <w:r>
              <w:rPr>
                <w:rFonts w:eastAsia="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宣传活动次数</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10</w:t>
            </w:r>
            <w:r>
              <w:rPr>
                <w:rFonts w:eastAsia="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制定修改农业相关制度</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10</w:t>
            </w:r>
            <w:r>
              <w:rPr>
                <w:rFonts w:eastAsia="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项目规范化标准化建设</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10</w:t>
            </w:r>
            <w:r>
              <w:rPr>
                <w:rFonts w:eastAsia="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定期组织学习</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10</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olor w:val="000000"/>
                <w:kern w:val="0"/>
                <w:sz w:val="18"/>
                <w:szCs w:val="18"/>
              </w:rPr>
              <w:t>10</w:t>
            </w:r>
            <w:r>
              <w:rPr>
                <w:rFonts w:hint="eastAsia" w:eastAsia="宋体" w:cs="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培训进修人次</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100</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100</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质量指标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制定制度符合要求</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100%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100%</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项目评审合格率</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培训合格率</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w:t>
            </w:r>
            <w:r>
              <w:rPr>
                <w:rFonts w:eastAsia="宋体"/>
                <w:color w:val="000000"/>
                <w:kern w:val="0"/>
                <w:sz w:val="18"/>
                <w:szCs w:val="18"/>
              </w:rPr>
              <w:t>95%</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eastAsia="宋体"/>
                <w:color w:val="000000"/>
                <w:kern w:val="0"/>
                <w:sz w:val="18"/>
                <w:szCs w:val="18"/>
              </w:rPr>
              <w:t>95%</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4</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时效指标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年度资金执行率（</w:t>
            </w:r>
            <w:r>
              <w:rPr>
                <w:rFonts w:eastAsia="宋体"/>
                <w:color w:val="000000"/>
                <w:kern w:val="0"/>
                <w:sz w:val="18"/>
                <w:szCs w:val="18"/>
              </w:rPr>
              <w:t>%</w:t>
            </w:r>
            <w:r>
              <w:rPr>
                <w:rFonts w:hint="eastAsia" w:eastAsia="宋体" w:cs="宋体"/>
                <w:color w:val="000000"/>
                <w:kern w:val="0"/>
                <w:sz w:val="18"/>
                <w:szCs w:val="18"/>
              </w:rPr>
              <w:t>）</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ascii="宋体" w:hAnsi="宋体" w:eastAsia="宋体" w:cs="宋体"/>
                <w:color w:val="000000"/>
                <w:kern w:val="0"/>
                <w:sz w:val="18"/>
                <w:szCs w:val="18"/>
              </w:rPr>
              <w:t>≧</w:t>
            </w:r>
            <w:r>
              <w:rPr>
                <w:rFonts w:eastAsia="宋体"/>
                <w:color w:val="000000"/>
                <w:kern w:val="0"/>
                <w:sz w:val="18"/>
                <w:szCs w:val="18"/>
              </w:rPr>
              <w:t>90%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9</w:t>
            </w:r>
            <w:r>
              <w:rPr>
                <w:rFonts w:hint="eastAsia" w:eastAsia="宋体"/>
                <w:color w:val="000000"/>
                <w:kern w:val="0"/>
                <w:sz w:val="18"/>
                <w:szCs w:val="18"/>
              </w:rPr>
              <w:t>6.34</w:t>
            </w:r>
            <w:r>
              <w:rPr>
                <w:rFonts w:eastAsia="宋体"/>
                <w:color w:val="000000"/>
                <w:kern w:val="0"/>
                <w:sz w:val="18"/>
                <w:szCs w:val="18"/>
              </w:rPr>
              <w:t>%</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成本指标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成本控制率</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预算以内</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预算以内</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5</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效益指标（</w:t>
            </w:r>
            <w:r>
              <w:rPr>
                <w:rFonts w:eastAsia="宋体"/>
                <w:color w:val="000000"/>
                <w:kern w:val="0"/>
                <w:sz w:val="18"/>
                <w:szCs w:val="18"/>
              </w:rPr>
              <w:t>30</w:t>
            </w:r>
            <w:r>
              <w:rPr>
                <w:rFonts w:hint="eastAsia" w:eastAsia="宋体" w:cs="宋体"/>
                <w:color w:val="000000"/>
                <w:kern w:val="0"/>
                <w:sz w:val="18"/>
                <w:szCs w:val="18"/>
              </w:rPr>
              <w:t>分）</w:t>
            </w: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经济效益指标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农业产前、产中、产后一体化发展</w:t>
            </w:r>
          </w:p>
        </w:tc>
        <w:tc>
          <w:tcPr>
            <w:tcW w:w="936" w:type="dxa"/>
            <w:noWrap w:val="0"/>
            <w:vAlign w:val="bottom"/>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有所促进</w:t>
            </w:r>
          </w:p>
        </w:tc>
        <w:tc>
          <w:tcPr>
            <w:tcW w:w="1691" w:type="dxa"/>
            <w:gridSpan w:val="2"/>
            <w:noWrap w:val="0"/>
            <w:vAlign w:val="bottom"/>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有所促进</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社会效益指标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现代农业产业体系</w:t>
            </w:r>
          </w:p>
        </w:tc>
        <w:tc>
          <w:tcPr>
            <w:tcW w:w="936" w:type="dxa"/>
            <w:noWrap w:val="0"/>
            <w:vAlign w:val="bottom"/>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不断健全</w:t>
            </w:r>
          </w:p>
        </w:tc>
        <w:tc>
          <w:tcPr>
            <w:tcW w:w="1691" w:type="dxa"/>
            <w:gridSpan w:val="2"/>
            <w:noWrap w:val="0"/>
            <w:vAlign w:val="bottom"/>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s="宋体"/>
                <w:color w:val="000000"/>
                <w:kern w:val="0"/>
                <w:sz w:val="18"/>
                <w:szCs w:val="18"/>
              </w:rPr>
              <w:t>不断健全</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noWrap w:val="0"/>
            <w:vAlign w:val="center"/>
          </w:tcPr>
          <w:p>
            <w:pPr>
              <w:widowControl/>
              <w:adjustRightInd/>
              <w:snapToGrid/>
              <w:spacing w:line="240" w:lineRule="exact"/>
              <w:ind w:firstLine="0" w:firstLineChars="0"/>
              <w:jc w:val="center"/>
              <w:rPr>
                <w:rFonts w:eastAsia="宋体" w:cs="宋体"/>
                <w:kern w:val="0"/>
                <w:sz w:val="18"/>
                <w:szCs w:val="18"/>
              </w:rPr>
            </w:pPr>
            <w:r>
              <w:rPr>
                <w:rFonts w:hint="eastAsia" w:eastAsia="宋体" w:cs="宋体"/>
                <w:kern w:val="0"/>
                <w:sz w:val="18"/>
                <w:szCs w:val="18"/>
              </w:rPr>
              <w:t>生态效益指标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重金属污染耕地修复治理</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不断改善</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不断改善</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restart"/>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可持续影响指标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农业大数据应用</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持续推进</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持续推进</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农业农村现代化进程</w:t>
            </w:r>
          </w:p>
        </w:tc>
        <w:tc>
          <w:tcPr>
            <w:tcW w:w="936"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进一步加快</w:t>
            </w:r>
          </w:p>
        </w:tc>
        <w:tc>
          <w:tcPr>
            <w:tcW w:w="1691" w:type="dxa"/>
            <w:gridSpan w:val="2"/>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进一步加快</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6</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trPr>
        <w:tc>
          <w:tcPr>
            <w:tcW w:w="755" w:type="dxa"/>
            <w:vMerge w:val="continue"/>
            <w:noWrap w:val="0"/>
            <w:vAlign w:val="center"/>
          </w:tcPr>
          <w:p>
            <w:pPr>
              <w:widowControl/>
              <w:adjustRightInd/>
              <w:snapToGrid/>
              <w:spacing w:line="240" w:lineRule="exact"/>
              <w:ind w:firstLine="0" w:firstLineChars="0"/>
              <w:jc w:val="left"/>
              <w:rPr>
                <w:rFonts w:eastAsia="宋体" w:cs="宋体"/>
                <w:color w:val="000000"/>
                <w:kern w:val="0"/>
                <w:sz w:val="18"/>
                <w:szCs w:val="18"/>
              </w:rPr>
            </w:pP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满意度指标（</w:t>
            </w:r>
            <w:r>
              <w:rPr>
                <w:rFonts w:eastAsia="宋体"/>
                <w:color w:val="000000"/>
                <w:kern w:val="0"/>
                <w:sz w:val="18"/>
                <w:szCs w:val="18"/>
              </w:rPr>
              <w:t>10</w:t>
            </w:r>
            <w:r>
              <w:rPr>
                <w:rFonts w:hint="eastAsia" w:eastAsia="宋体" w:cs="宋体"/>
                <w:color w:val="000000"/>
                <w:kern w:val="0"/>
                <w:sz w:val="18"/>
                <w:szCs w:val="18"/>
              </w:rPr>
              <w:t>分）</w:t>
            </w:r>
          </w:p>
        </w:tc>
        <w:tc>
          <w:tcPr>
            <w:tcW w:w="755"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社会公益或服务对象满意度指标</w:t>
            </w:r>
          </w:p>
        </w:tc>
        <w:tc>
          <w:tcPr>
            <w:tcW w:w="1148" w:type="dxa"/>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受益群众满意度</w:t>
            </w:r>
          </w:p>
        </w:tc>
        <w:tc>
          <w:tcPr>
            <w:tcW w:w="93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ascii="宋体" w:hAnsi="宋体" w:eastAsia="宋体" w:cs="宋体"/>
                <w:color w:val="000000"/>
                <w:kern w:val="0"/>
                <w:sz w:val="18"/>
                <w:szCs w:val="18"/>
              </w:rPr>
              <w:t>≧</w:t>
            </w:r>
            <w:r>
              <w:rPr>
                <w:rFonts w:hint="eastAsia" w:eastAsia="宋体"/>
                <w:color w:val="000000"/>
                <w:kern w:val="0"/>
                <w:sz w:val="18"/>
                <w:szCs w:val="18"/>
              </w:rPr>
              <w:t>9</w:t>
            </w:r>
            <w:r>
              <w:rPr>
                <w:rFonts w:eastAsia="宋体"/>
                <w:color w:val="000000"/>
                <w:kern w:val="0"/>
                <w:sz w:val="18"/>
                <w:szCs w:val="18"/>
              </w:rPr>
              <w:t>0%</w:t>
            </w:r>
          </w:p>
        </w:tc>
        <w:tc>
          <w:tcPr>
            <w:tcW w:w="1691"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95%</w:t>
            </w:r>
            <w:r>
              <w:rPr>
                <w:rFonts w:eastAsia="宋体"/>
                <w:color w:val="000000"/>
                <w:kern w:val="0"/>
                <w:sz w:val="18"/>
                <w:szCs w:val="18"/>
              </w:rPr>
              <w:t>　</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w:t>
            </w:r>
          </w:p>
        </w:tc>
        <w:tc>
          <w:tcPr>
            <w:tcW w:w="1509" w:type="dxa"/>
            <w:gridSpan w:val="2"/>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040" w:type="dxa"/>
            <w:gridSpan w:val="7"/>
            <w:noWrap w:val="0"/>
            <w:vAlign w:val="center"/>
          </w:tcPr>
          <w:p>
            <w:pPr>
              <w:widowControl/>
              <w:adjustRightInd/>
              <w:snapToGrid/>
              <w:spacing w:line="240" w:lineRule="exact"/>
              <w:ind w:firstLine="0" w:firstLineChars="0"/>
              <w:jc w:val="center"/>
              <w:rPr>
                <w:rFonts w:eastAsia="宋体" w:cs="宋体"/>
                <w:color w:val="000000"/>
                <w:kern w:val="0"/>
                <w:sz w:val="18"/>
                <w:szCs w:val="18"/>
              </w:rPr>
            </w:pPr>
            <w:r>
              <w:rPr>
                <w:rFonts w:hint="eastAsia" w:eastAsia="宋体" w:cs="宋体"/>
                <w:color w:val="000000"/>
                <w:kern w:val="0"/>
                <w:sz w:val="18"/>
                <w:szCs w:val="18"/>
              </w:rPr>
              <w:t>总分</w:t>
            </w:r>
          </w:p>
        </w:tc>
        <w:tc>
          <w:tcPr>
            <w:tcW w:w="755"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eastAsia="宋体"/>
                <w:color w:val="000000"/>
                <w:kern w:val="0"/>
                <w:sz w:val="18"/>
                <w:szCs w:val="18"/>
              </w:rPr>
              <w:t>100</w:t>
            </w:r>
          </w:p>
        </w:tc>
        <w:tc>
          <w:tcPr>
            <w:tcW w:w="756" w:type="dxa"/>
            <w:noWrap w:val="0"/>
            <w:vAlign w:val="center"/>
          </w:tcPr>
          <w:p>
            <w:pPr>
              <w:widowControl/>
              <w:adjustRightInd/>
              <w:snapToGrid/>
              <w:spacing w:line="240" w:lineRule="exact"/>
              <w:ind w:firstLine="0" w:firstLineChars="0"/>
              <w:jc w:val="center"/>
              <w:rPr>
                <w:rFonts w:eastAsia="宋体"/>
                <w:color w:val="000000"/>
                <w:kern w:val="0"/>
                <w:sz w:val="18"/>
                <w:szCs w:val="18"/>
              </w:rPr>
            </w:pPr>
            <w:r>
              <w:rPr>
                <w:rFonts w:hint="eastAsia" w:eastAsia="宋体"/>
                <w:color w:val="000000"/>
                <w:kern w:val="0"/>
                <w:sz w:val="18"/>
                <w:szCs w:val="18"/>
              </w:rPr>
              <w:t>99.70</w:t>
            </w:r>
            <w:r>
              <w:rPr>
                <w:rFonts w:eastAsia="宋体"/>
                <w:color w:val="000000"/>
                <w:kern w:val="0"/>
                <w:sz w:val="18"/>
                <w:szCs w:val="18"/>
              </w:rPr>
              <w:t>　</w:t>
            </w:r>
          </w:p>
        </w:tc>
        <w:tc>
          <w:tcPr>
            <w:tcW w:w="1509" w:type="dxa"/>
            <w:gridSpan w:val="2"/>
            <w:noWrap/>
            <w:vAlign w:val="center"/>
          </w:tcPr>
          <w:p>
            <w:pPr>
              <w:widowControl/>
              <w:adjustRightInd/>
              <w:snapToGrid/>
              <w:spacing w:line="240" w:lineRule="exact"/>
              <w:ind w:firstLine="0" w:firstLineChars="0"/>
              <w:jc w:val="left"/>
              <w:rPr>
                <w:rFonts w:eastAsia="宋体" w:cs="宋体"/>
                <w:color w:val="000000"/>
                <w:kern w:val="0"/>
                <w:sz w:val="22"/>
                <w:szCs w:val="22"/>
              </w:rPr>
            </w:pPr>
            <w:r>
              <w:rPr>
                <w:rFonts w:hint="eastAsia" w:eastAsia="宋体" w:cs="宋体"/>
                <w:color w:val="000000"/>
                <w:kern w:val="0"/>
                <w:sz w:val="22"/>
                <w:szCs w:val="22"/>
              </w:rPr>
              <w:t>　</w:t>
            </w:r>
          </w:p>
        </w:tc>
      </w:tr>
    </w:tbl>
    <w:p>
      <w:pPr>
        <w:adjustRightInd/>
        <w:snapToGrid/>
        <w:spacing w:after="120" w:line="600" w:lineRule="exact"/>
        <w:ind w:firstLine="0" w:firstLineChars="0"/>
        <w:rPr>
          <w:rFonts w:eastAsia="仿宋"/>
          <w:szCs w:val="22"/>
          <w:highlight w:val="yellow"/>
        </w:rPr>
      </w:pPr>
    </w:p>
    <w:p>
      <w:pPr>
        <w:widowControl/>
        <w:adjustRightInd/>
        <w:snapToGrid/>
        <w:spacing w:line="240" w:lineRule="auto"/>
        <w:ind w:firstLine="0" w:firstLineChars="0"/>
        <w:jc w:val="center"/>
        <w:rPr>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titlePg/>
          <w:docGrid w:type="linesAndChars" w:linePitch="435" w:charSpace="0"/>
        </w:sectPr>
      </w:pPr>
    </w:p>
    <w:p>
      <w:pPr>
        <w:pStyle w:val="3"/>
        <w:ind w:firstLine="0" w:firstLineChars="0"/>
        <w:rPr>
          <w:rFonts w:hint="eastAsia"/>
          <w:kern w:val="0"/>
        </w:rPr>
      </w:pPr>
      <w:r>
        <w:rPr>
          <w:rFonts w:hint="eastAsia"/>
          <w:kern w:val="0"/>
        </w:rPr>
        <w:t>附表3-3</w:t>
      </w:r>
    </w:p>
    <w:p>
      <w:pPr>
        <w:adjustRightInd/>
        <w:spacing w:before="144" w:beforeLines="25" w:after="144" w:afterLines="25" w:line="500" w:lineRule="exact"/>
        <w:ind w:firstLine="0" w:firstLineChars="0"/>
        <w:jc w:val="center"/>
        <w:rPr>
          <w:rFonts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rPr>
        <w:t>1</w:t>
      </w:r>
      <w:r>
        <w:rPr>
          <w:rFonts w:ascii="方正小标宋简体" w:eastAsia="方正小标宋简体"/>
          <w:kern w:val="0"/>
          <w:sz w:val="36"/>
          <w:szCs w:val="36"/>
        </w:rPr>
        <w:t>年度</w:t>
      </w:r>
      <w:r>
        <w:rPr>
          <w:rFonts w:hint="eastAsia" w:ascii="方正小标宋简体" w:eastAsia="方正小标宋简体"/>
          <w:kern w:val="0"/>
          <w:sz w:val="36"/>
          <w:szCs w:val="36"/>
        </w:rPr>
        <w:t>项目支出</w:t>
      </w:r>
      <w:r>
        <w:rPr>
          <w:rFonts w:ascii="方正小标宋简体" w:eastAsia="方正小标宋简体"/>
          <w:kern w:val="0"/>
          <w:sz w:val="36"/>
          <w:szCs w:val="36"/>
        </w:rPr>
        <w:t>绩效自评表</w:t>
      </w:r>
    </w:p>
    <w:tbl>
      <w:tblPr>
        <w:tblStyle w:val="37"/>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86"/>
        <w:gridCol w:w="1081"/>
        <w:gridCol w:w="691"/>
        <w:gridCol w:w="1122"/>
        <w:gridCol w:w="1254"/>
        <w:gridCol w:w="1189"/>
        <w:gridCol w:w="740"/>
        <w:gridCol w:w="88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项目支出名称</w:t>
            </w:r>
          </w:p>
        </w:tc>
        <w:tc>
          <w:tcPr>
            <w:tcW w:w="8913" w:type="dxa"/>
            <w:gridSpan w:val="9"/>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运行维护经费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主管部门</w:t>
            </w:r>
          </w:p>
        </w:tc>
        <w:tc>
          <w:tcPr>
            <w:tcW w:w="5034" w:type="dxa"/>
            <w:gridSpan w:val="5"/>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省农业农村厅</w:t>
            </w:r>
          </w:p>
        </w:tc>
        <w:tc>
          <w:tcPr>
            <w:tcW w:w="1189"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实施单位</w:t>
            </w:r>
          </w:p>
        </w:tc>
        <w:tc>
          <w:tcPr>
            <w:tcW w:w="2690" w:type="dxa"/>
            <w:gridSpan w:val="3"/>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厅机关及厅直单位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项目资金</w:t>
            </w:r>
          </w:p>
        </w:tc>
        <w:tc>
          <w:tcPr>
            <w:tcW w:w="2658" w:type="dxa"/>
            <w:gridSpan w:val="3"/>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122"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年初预算数</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全年预算数</w:t>
            </w:r>
          </w:p>
        </w:tc>
        <w:tc>
          <w:tcPr>
            <w:tcW w:w="1189"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全年执行数</w:t>
            </w:r>
          </w:p>
        </w:tc>
        <w:tc>
          <w:tcPr>
            <w:tcW w:w="740"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分值</w:t>
            </w:r>
          </w:p>
        </w:tc>
        <w:tc>
          <w:tcPr>
            <w:tcW w:w="886"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执行率</w:t>
            </w:r>
          </w:p>
        </w:tc>
        <w:tc>
          <w:tcPr>
            <w:tcW w:w="106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2658" w:type="dxa"/>
            <w:gridSpan w:val="3"/>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年度资金总额</w:t>
            </w:r>
          </w:p>
        </w:tc>
        <w:tc>
          <w:tcPr>
            <w:tcW w:w="1122"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1245.96</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1245.96 </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748.40 </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60.07%</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2658" w:type="dxa"/>
            <w:gridSpan w:val="3"/>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其中：当年财政拨款</w:t>
            </w:r>
          </w:p>
        </w:tc>
        <w:tc>
          <w:tcPr>
            <w:tcW w:w="1122"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1061.90 </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1061.90 </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565.76 </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2658" w:type="dxa"/>
            <w:gridSpan w:val="3"/>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上年结转资金</w:t>
            </w:r>
          </w:p>
        </w:tc>
        <w:tc>
          <w:tcPr>
            <w:tcW w:w="1122"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184.06 </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184.06 </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xml:space="preserve">182.65 </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2658" w:type="dxa"/>
            <w:gridSpan w:val="3"/>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其他资金</w:t>
            </w:r>
          </w:p>
        </w:tc>
        <w:tc>
          <w:tcPr>
            <w:tcW w:w="1122"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年度总体目标</w:t>
            </w:r>
          </w:p>
        </w:tc>
        <w:tc>
          <w:tcPr>
            <w:tcW w:w="5034" w:type="dxa"/>
            <w:gridSpan w:val="5"/>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预期目标</w:t>
            </w:r>
          </w:p>
        </w:tc>
        <w:tc>
          <w:tcPr>
            <w:tcW w:w="3879" w:type="dxa"/>
            <w:gridSpan w:val="4"/>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5034" w:type="dxa"/>
            <w:gridSpan w:val="5"/>
            <w:noWrap w:val="0"/>
            <w:vAlign w:val="center"/>
          </w:tcPr>
          <w:p>
            <w:pPr>
              <w:adjustRightInd/>
              <w:spacing w:line="240" w:lineRule="exact"/>
              <w:ind w:firstLine="0" w:firstLineChars="0"/>
              <w:textAlignment w:val="center"/>
              <w:rPr>
                <w:rFonts w:eastAsia="宋体" w:cs="宋体"/>
                <w:color w:val="000000"/>
                <w:kern w:val="0"/>
                <w:sz w:val="18"/>
                <w:szCs w:val="18"/>
              </w:rPr>
            </w:pPr>
            <w:r>
              <w:rPr>
                <w:rFonts w:hint="eastAsia" w:eastAsia="宋体" w:cs="宋体"/>
                <w:color w:val="000000"/>
                <w:kern w:val="0"/>
                <w:sz w:val="18"/>
                <w:szCs w:val="18"/>
              </w:rPr>
              <w:t>办公设备及车辆采购</w:t>
            </w:r>
            <w:r>
              <w:rPr>
                <w:rFonts w:eastAsia="宋体"/>
                <w:color w:val="000000"/>
                <w:kern w:val="0"/>
                <w:sz w:val="18"/>
                <w:szCs w:val="18"/>
              </w:rPr>
              <w:t>,</w:t>
            </w:r>
            <w:r>
              <w:rPr>
                <w:rFonts w:hint="eastAsia" w:eastAsia="宋体" w:cs="宋体"/>
                <w:color w:val="000000"/>
                <w:kern w:val="0"/>
                <w:sz w:val="18"/>
                <w:szCs w:val="18"/>
              </w:rPr>
              <w:t>保障机关办公正常运行。</w:t>
            </w:r>
          </w:p>
        </w:tc>
        <w:tc>
          <w:tcPr>
            <w:tcW w:w="3879" w:type="dxa"/>
            <w:gridSpan w:val="4"/>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绩效指标</w:t>
            </w:r>
          </w:p>
        </w:tc>
        <w:tc>
          <w:tcPr>
            <w:tcW w:w="886"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一级</w:t>
            </w:r>
          </w:p>
          <w:p>
            <w:pPr>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指标</w:t>
            </w: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二级</w:t>
            </w:r>
          </w:p>
          <w:p>
            <w:pPr>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三级指标</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年度指标值</w:t>
            </w:r>
          </w:p>
        </w:tc>
        <w:tc>
          <w:tcPr>
            <w:tcW w:w="1189"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实际完成值</w:t>
            </w:r>
          </w:p>
        </w:tc>
        <w:tc>
          <w:tcPr>
            <w:tcW w:w="740"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分值</w:t>
            </w:r>
          </w:p>
        </w:tc>
        <w:tc>
          <w:tcPr>
            <w:tcW w:w="886"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得分</w:t>
            </w:r>
          </w:p>
        </w:tc>
        <w:tc>
          <w:tcPr>
            <w:tcW w:w="106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产出指标（</w:t>
            </w:r>
            <w:r>
              <w:rPr>
                <w:rFonts w:eastAsia="宋体"/>
                <w:color w:val="000000"/>
                <w:kern w:val="0"/>
                <w:sz w:val="18"/>
                <w:szCs w:val="18"/>
              </w:rPr>
              <w:t>50</w:t>
            </w:r>
            <w:r>
              <w:rPr>
                <w:rFonts w:hint="eastAsia" w:eastAsia="宋体" w:cs="宋体"/>
                <w:color w:val="000000"/>
                <w:kern w:val="0"/>
                <w:sz w:val="18"/>
                <w:szCs w:val="18"/>
              </w:rPr>
              <w:t>分）</w:t>
            </w:r>
          </w:p>
        </w:tc>
        <w:tc>
          <w:tcPr>
            <w:tcW w:w="1081"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数量指标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采购公务用车（辆）</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olor w:val="000000"/>
                <w:kern w:val="0"/>
                <w:sz w:val="18"/>
                <w:szCs w:val="18"/>
              </w:rPr>
              <w:t>1</w:t>
            </w:r>
            <w:r>
              <w:rPr>
                <w:rFonts w:eastAsia="宋体"/>
                <w:color w:val="000000"/>
                <w:kern w:val="0"/>
                <w:sz w:val="18"/>
                <w:szCs w:val="18"/>
              </w:rPr>
              <w:t>　</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采购办公设备</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低于上限值</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s="宋体"/>
                <w:color w:val="000000"/>
                <w:kern w:val="0"/>
                <w:sz w:val="18"/>
                <w:szCs w:val="18"/>
              </w:rPr>
              <w:t>低于上限值</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质量指标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办公设备使用年限</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高于文件规定</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s="宋体"/>
                <w:color w:val="000000"/>
                <w:kern w:val="0"/>
                <w:sz w:val="18"/>
                <w:szCs w:val="18"/>
              </w:rPr>
              <w:t>高于文件规定</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时效指标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采购完成时间</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r>
              <w:rPr>
                <w:rFonts w:hint="eastAsia" w:eastAsia="宋体"/>
                <w:color w:val="000000"/>
                <w:kern w:val="0"/>
                <w:sz w:val="18"/>
                <w:szCs w:val="18"/>
              </w:rPr>
              <w:t>月底前</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r>
              <w:rPr>
                <w:rFonts w:hint="eastAsia" w:eastAsia="宋体"/>
                <w:color w:val="000000"/>
                <w:kern w:val="0"/>
                <w:sz w:val="18"/>
                <w:szCs w:val="18"/>
              </w:rPr>
              <w:t>月底前</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成本指标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成本控制率</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预算以内</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s="宋体"/>
                <w:color w:val="000000"/>
                <w:kern w:val="0"/>
                <w:sz w:val="18"/>
                <w:szCs w:val="18"/>
              </w:rPr>
              <w:t>预算以内</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效益指标（</w:t>
            </w:r>
            <w:r>
              <w:rPr>
                <w:rFonts w:eastAsia="宋体"/>
                <w:color w:val="000000"/>
                <w:kern w:val="0"/>
                <w:sz w:val="18"/>
                <w:szCs w:val="18"/>
              </w:rPr>
              <w:t>30</w:t>
            </w:r>
            <w:r>
              <w:rPr>
                <w:rFonts w:hint="eastAsia" w:eastAsia="宋体" w:cs="宋体"/>
                <w:color w:val="000000"/>
                <w:kern w:val="0"/>
                <w:sz w:val="18"/>
                <w:szCs w:val="18"/>
              </w:rPr>
              <w:t>分）</w:t>
            </w: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经济效益指标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三公经费控制执行</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严格控制</w:t>
            </w:r>
          </w:p>
        </w:tc>
        <w:tc>
          <w:tcPr>
            <w:tcW w:w="1189"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严格控制</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社会效益指标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保障机关正常运转</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保障到位</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s="宋体"/>
                <w:color w:val="000000"/>
                <w:kern w:val="0"/>
                <w:sz w:val="18"/>
                <w:szCs w:val="18"/>
              </w:rPr>
              <w:t>保障到位</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noWrap w:val="0"/>
            <w:vAlign w:val="center"/>
          </w:tcPr>
          <w:p>
            <w:pPr>
              <w:adjustRightInd/>
              <w:spacing w:line="240" w:lineRule="exact"/>
              <w:ind w:firstLine="0" w:firstLineChars="0"/>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保障实验室正常运转</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保障到位</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s="宋体"/>
                <w:color w:val="000000"/>
                <w:kern w:val="0"/>
                <w:sz w:val="18"/>
                <w:szCs w:val="18"/>
              </w:rPr>
              <w:t>保障到位</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noWrap w:val="0"/>
            <w:vAlign w:val="center"/>
          </w:tcPr>
          <w:p>
            <w:pPr>
              <w:adjustRightInd/>
              <w:spacing w:line="240" w:lineRule="exact"/>
              <w:ind w:firstLine="0" w:firstLineChars="0"/>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生态效益指标</w:t>
            </w:r>
          </w:p>
        </w:tc>
        <w:tc>
          <w:tcPr>
            <w:tcW w:w="1813" w:type="dxa"/>
            <w:gridSpan w:val="2"/>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办公环境</w:t>
            </w:r>
          </w:p>
        </w:tc>
        <w:tc>
          <w:tcPr>
            <w:tcW w:w="1254"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改善并提高</w:t>
            </w:r>
          </w:p>
        </w:tc>
        <w:tc>
          <w:tcPr>
            <w:tcW w:w="1189"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改善并提高</w:t>
            </w:r>
          </w:p>
        </w:tc>
        <w:tc>
          <w:tcPr>
            <w:tcW w:w="740"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813" w:type="dxa"/>
            <w:gridSpan w:val="2"/>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254"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189"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740"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c>
          <w:tcPr>
            <w:tcW w:w="1064"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可持续影响指标</w:t>
            </w:r>
          </w:p>
        </w:tc>
        <w:tc>
          <w:tcPr>
            <w:tcW w:w="1813" w:type="dxa"/>
            <w:gridSpan w:val="2"/>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财务软件持续使用</w:t>
            </w:r>
          </w:p>
        </w:tc>
        <w:tc>
          <w:tcPr>
            <w:tcW w:w="1254"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持续使用</w:t>
            </w:r>
          </w:p>
        </w:tc>
        <w:tc>
          <w:tcPr>
            <w:tcW w:w="1189" w:type="dxa"/>
            <w:vMerge w:val="restart"/>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持续使用</w:t>
            </w:r>
          </w:p>
        </w:tc>
        <w:tc>
          <w:tcPr>
            <w:tcW w:w="740"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vMerge w:val="restart"/>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813" w:type="dxa"/>
            <w:gridSpan w:val="2"/>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254"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189"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740"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c>
          <w:tcPr>
            <w:tcW w:w="1064" w:type="dxa"/>
            <w:vMerge w:val="continue"/>
            <w:noWrap w:val="0"/>
            <w:vAlign w:val="center"/>
          </w:tcPr>
          <w:p>
            <w:pPr>
              <w:adjustRightInd/>
              <w:spacing w:line="240" w:lineRule="exact"/>
              <w:ind w:firstLine="0" w:firstLineChars="0"/>
              <w:jc w:val="left"/>
              <w:textAlignment w:val="center"/>
              <w:rPr>
                <w:rFonts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081"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科技推广</w:t>
            </w:r>
          </w:p>
        </w:tc>
        <w:tc>
          <w:tcPr>
            <w:tcW w:w="1254"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不断促进</w:t>
            </w:r>
          </w:p>
        </w:tc>
        <w:tc>
          <w:tcPr>
            <w:tcW w:w="1189"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不断促进</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5</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1062" w:type="dxa"/>
            <w:vMerge w:val="continue"/>
            <w:noWrap w:val="0"/>
            <w:vAlign w:val="center"/>
          </w:tcPr>
          <w:p>
            <w:pPr>
              <w:adjustRightInd/>
              <w:spacing w:line="240" w:lineRule="exact"/>
              <w:ind w:firstLine="0" w:firstLineChars="0"/>
              <w:jc w:val="left"/>
              <w:textAlignment w:val="center"/>
              <w:rPr>
                <w:rFonts w:eastAsia="宋体" w:cs="宋体"/>
                <w:color w:val="000000"/>
                <w:kern w:val="0"/>
                <w:sz w:val="18"/>
                <w:szCs w:val="18"/>
              </w:rPr>
            </w:pPr>
          </w:p>
        </w:tc>
        <w:tc>
          <w:tcPr>
            <w:tcW w:w="886"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满意度指标</w:t>
            </w:r>
          </w:p>
        </w:tc>
        <w:tc>
          <w:tcPr>
            <w:tcW w:w="1081" w:type="dxa"/>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服务对象满意度指标</w:t>
            </w:r>
          </w:p>
        </w:tc>
        <w:tc>
          <w:tcPr>
            <w:tcW w:w="1813" w:type="dxa"/>
            <w:gridSpan w:val="2"/>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服务对象满意度</w:t>
            </w:r>
          </w:p>
        </w:tc>
        <w:tc>
          <w:tcPr>
            <w:tcW w:w="125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≥95%</w:t>
            </w:r>
          </w:p>
        </w:tc>
        <w:tc>
          <w:tcPr>
            <w:tcW w:w="1189"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95%</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w:t>
            </w:r>
          </w:p>
        </w:tc>
        <w:tc>
          <w:tcPr>
            <w:tcW w:w="1064"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7285" w:type="dxa"/>
            <w:gridSpan w:val="7"/>
            <w:noWrap w:val="0"/>
            <w:vAlign w:val="center"/>
          </w:tcPr>
          <w:p>
            <w:pPr>
              <w:adjustRightInd/>
              <w:spacing w:line="240" w:lineRule="exact"/>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总分</w:t>
            </w:r>
          </w:p>
        </w:tc>
        <w:tc>
          <w:tcPr>
            <w:tcW w:w="740"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eastAsia="宋体"/>
                <w:color w:val="000000"/>
                <w:kern w:val="0"/>
                <w:sz w:val="18"/>
                <w:szCs w:val="18"/>
              </w:rPr>
              <w:t>100</w:t>
            </w:r>
          </w:p>
        </w:tc>
        <w:tc>
          <w:tcPr>
            <w:tcW w:w="886" w:type="dxa"/>
            <w:noWrap w:val="0"/>
            <w:vAlign w:val="center"/>
          </w:tcPr>
          <w:p>
            <w:pPr>
              <w:adjustRightInd/>
              <w:spacing w:line="240" w:lineRule="exact"/>
              <w:ind w:firstLine="0" w:firstLineChars="0"/>
              <w:jc w:val="center"/>
              <w:textAlignment w:val="center"/>
              <w:rPr>
                <w:rFonts w:eastAsia="宋体"/>
                <w:color w:val="000000"/>
                <w:kern w:val="0"/>
                <w:sz w:val="18"/>
                <w:szCs w:val="18"/>
              </w:rPr>
            </w:pPr>
            <w:r>
              <w:rPr>
                <w:rFonts w:hint="eastAsia" w:eastAsia="宋体"/>
                <w:color w:val="000000"/>
                <w:kern w:val="0"/>
                <w:sz w:val="18"/>
                <w:szCs w:val="18"/>
              </w:rPr>
              <w:t>96</w:t>
            </w:r>
          </w:p>
        </w:tc>
        <w:tc>
          <w:tcPr>
            <w:tcW w:w="1064" w:type="dxa"/>
            <w:noWrap/>
            <w:vAlign w:val="center"/>
          </w:tcPr>
          <w:p>
            <w:pPr>
              <w:adjustRightInd/>
              <w:spacing w:line="240" w:lineRule="exact"/>
              <w:ind w:firstLine="0" w:firstLineChars="0"/>
              <w:jc w:val="left"/>
              <w:textAlignment w:val="center"/>
              <w:rPr>
                <w:rFonts w:eastAsia="宋体" w:cs="宋体"/>
                <w:color w:val="000000"/>
                <w:kern w:val="0"/>
                <w:sz w:val="22"/>
                <w:szCs w:val="22"/>
              </w:rPr>
            </w:pPr>
            <w:r>
              <w:rPr>
                <w:rFonts w:hint="eastAsia" w:eastAsia="宋体" w:cs="宋体"/>
                <w:color w:val="000000"/>
                <w:kern w:val="0"/>
                <w:sz w:val="22"/>
                <w:szCs w:val="22"/>
              </w:rPr>
              <w:t>　</w:t>
            </w:r>
          </w:p>
        </w:tc>
      </w:tr>
    </w:tbl>
    <w:p>
      <w:pPr>
        <w:widowControl/>
        <w:adjustRightInd/>
        <w:snapToGrid/>
        <w:spacing w:line="240" w:lineRule="auto"/>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1588" w:gutter="0"/>
      <w:cols w:space="425"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right"/>
    </w:pPr>
    <w:r>
      <w:rPr>
        <w:rStyle w:val="41"/>
        <w:rFonts w:hint="eastAsia"/>
        <w:sz w:val="28"/>
        <w:szCs w:val="28"/>
      </w:rPr>
      <w:t>—</w:t>
    </w:r>
    <w:r>
      <w:rPr>
        <w:sz w:val="28"/>
        <w:szCs w:val="28"/>
      </w:rPr>
      <w:fldChar w:fldCharType="begin"/>
    </w:r>
    <w:r>
      <w:rPr>
        <w:rStyle w:val="41"/>
        <w:sz w:val="28"/>
        <w:szCs w:val="28"/>
      </w:rPr>
      <w:instrText xml:space="preserve">PAGE  </w:instrText>
    </w:r>
    <w:r>
      <w:rPr>
        <w:sz w:val="28"/>
        <w:szCs w:val="28"/>
      </w:rPr>
      <w:fldChar w:fldCharType="separate"/>
    </w:r>
    <w:r>
      <w:rPr>
        <w:rStyle w:val="41"/>
        <w:sz w:val="28"/>
        <w:szCs w:val="28"/>
        <w:lang/>
      </w:rPr>
      <w:t>5</w:t>
    </w:r>
    <w:r>
      <w:rPr>
        <w:sz w:val="28"/>
        <w:szCs w:val="28"/>
      </w:rPr>
      <w:fldChar w:fldCharType="end"/>
    </w:r>
    <w:r>
      <w:rPr>
        <w:rStyle w:val="41"/>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ind w:firstLine="0" w:firstLineChars="0"/>
      <w:rPr>
        <w:rStyle w:val="41"/>
        <w:sz w:val="28"/>
        <w:szCs w:val="28"/>
      </w:rPr>
    </w:pPr>
    <w:r>
      <w:rPr>
        <w:rStyle w:val="41"/>
        <w:rFonts w:hint="eastAsia"/>
        <w:sz w:val="28"/>
        <w:szCs w:val="28"/>
      </w:rPr>
      <w:t>—</w:t>
    </w:r>
    <w:r>
      <w:rPr>
        <w:rStyle w:val="41"/>
        <w:sz w:val="28"/>
        <w:szCs w:val="28"/>
      </w:rPr>
      <w:fldChar w:fldCharType="begin"/>
    </w:r>
    <w:r>
      <w:rPr>
        <w:rStyle w:val="41"/>
        <w:sz w:val="28"/>
        <w:szCs w:val="28"/>
      </w:rPr>
      <w:instrText xml:space="preserve">PAGE  </w:instrText>
    </w:r>
    <w:r>
      <w:rPr>
        <w:rStyle w:val="41"/>
        <w:sz w:val="28"/>
        <w:szCs w:val="28"/>
      </w:rPr>
      <w:fldChar w:fldCharType="separate"/>
    </w:r>
    <w:r>
      <w:rPr>
        <w:rStyle w:val="41"/>
        <w:sz w:val="28"/>
        <w:szCs w:val="28"/>
        <w:lang/>
      </w:rPr>
      <w:t>2</w:t>
    </w:r>
    <w:r>
      <w:rPr>
        <w:rStyle w:val="41"/>
        <w:sz w:val="28"/>
        <w:szCs w:val="28"/>
      </w:rPr>
      <w:fldChar w:fldCharType="end"/>
    </w:r>
    <w:r>
      <w:rPr>
        <w:rStyle w:val="41"/>
        <w:rFonts w:hint="eastAsia"/>
        <w:sz w:val="28"/>
        <w:szCs w:val="28"/>
      </w:rPr>
      <w:t>—</w:t>
    </w:r>
  </w:p>
  <w:p>
    <w:pPr>
      <w:pStyle w:val="2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ind w:firstLine="360"/>
      <w:rPr>
        <w:rStyle w:val="41"/>
      </w:rPr>
    </w:pPr>
    <w:r>
      <w:rPr>
        <w:rStyle w:val="41"/>
      </w:rPr>
      <w:fldChar w:fldCharType="begin"/>
    </w:r>
    <w:r>
      <w:rPr>
        <w:rStyle w:val="41"/>
      </w:rPr>
      <w:instrText xml:space="preserve">PAGE  </w:instrText>
    </w:r>
    <w:r>
      <w:rPr>
        <w:rStyle w:val="41"/>
      </w:rPr>
      <w:fldChar w:fldCharType="separate"/>
    </w:r>
    <w:r>
      <w:rPr>
        <w:rStyle w:val="41"/>
        <w:lang/>
      </w:rPr>
      <w:t>28</w:t>
    </w:r>
    <w:r>
      <w:rPr>
        <w:rStyle w:val="41"/>
      </w:rP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27</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evenAndOddHeaders w:val="1"/>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D1"/>
    <w:rsid w:val="00002FA5"/>
    <w:rsid w:val="00006C32"/>
    <w:rsid w:val="00007908"/>
    <w:rsid w:val="00007EC3"/>
    <w:rsid w:val="00024EF4"/>
    <w:rsid w:val="000302CA"/>
    <w:rsid w:val="000346D0"/>
    <w:rsid w:val="00035A54"/>
    <w:rsid w:val="0004256F"/>
    <w:rsid w:val="00067530"/>
    <w:rsid w:val="0007169A"/>
    <w:rsid w:val="0008224A"/>
    <w:rsid w:val="0008225D"/>
    <w:rsid w:val="00086951"/>
    <w:rsid w:val="00093228"/>
    <w:rsid w:val="00093C24"/>
    <w:rsid w:val="000A5BE6"/>
    <w:rsid w:val="000A7285"/>
    <w:rsid w:val="000A7F14"/>
    <w:rsid w:val="000B2D96"/>
    <w:rsid w:val="000C0529"/>
    <w:rsid w:val="000C09A4"/>
    <w:rsid w:val="000D245B"/>
    <w:rsid w:val="000D6C15"/>
    <w:rsid w:val="000D7E84"/>
    <w:rsid w:val="000E3FAC"/>
    <w:rsid w:val="000F6ADF"/>
    <w:rsid w:val="000F7DE6"/>
    <w:rsid w:val="0010233B"/>
    <w:rsid w:val="0010631C"/>
    <w:rsid w:val="001102AC"/>
    <w:rsid w:val="001154B0"/>
    <w:rsid w:val="00117FB4"/>
    <w:rsid w:val="00133085"/>
    <w:rsid w:val="00136317"/>
    <w:rsid w:val="001377BA"/>
    <w:rsid w:val="00144B63"/>
    <w:rsid w:val="00146AEA"/>
    <w:rsid w:val="0015554F"/>
    <w:rsid w:val="001615F1"/>
    <w:rsid w:val="0017713B"/>
    <w:rsid w:val="001912F6"/>
    <w:rsid w:val="001A3707"/>
    <w:rsid w:val="001B41C1"/>
    <w:rsid w:val="001B576C"/>
    <w:rsid w:val="001C6157"/>
    <w:rsid w:val="001D436C"/>
    <w:rsid w:val="001E26AE"/>
    <w:rsid w:val="001E5562"/>
    <w:rsid w:val="001F0E1D"/>
    <w:rsid w:val="001F27A7"/>
    <w:rsid w:val="001F7E44"/>
    <w:rsid w:val="002132E7"/>
    <w:rsid w:val="00216DE3"/>
    <w:rsid w:val="00217325"/>
    <w:rsid w:val="0022253E"/>
    <w:rsid w:val="00224FE2"/>
    <w:rsid w:val="00233FE1"/>
    <w:rsid w:val="00236CF7"/>
    <w:rsid w:val="00251ED1"/>
    <w:rsid w:val="00252761"/>
    <w:rsid w:val="00266387"/>
    <w:rsid w:val="00267433"/>
    <w:rsid w:val="002728F5"/>
    <w:rsid w:val="00277442"/>
    <w:rsid w:val="00284A16"/>
    <w:rsid w:val="00294B7F"/>
    <w:rsid w:val="002A03AF"/>
    <w:rsid w:val="002B50BC"/>
    <w:rsid w:val="002B555C"/>
    <w:rsid w:val="002B699F"/>
    <w:rsid w:val="002C2BE9"/>
    <w:rsid w:val="002C41CA"/>
    <w:rsid w:val="002C48EE"/>
    <w:rsid w:val="002D5F5D"/>
    <w:rsid w:val="002D60ED"/>
    <w:rsid w:val="002E1B41"/>
    <w:rsid w:val="002E2434"/>
    <w:rsid w:val="002F2983"/>
    <w:rsid w:val="0030431E"/>
    <w:rsid w:val="003267B3"/>
    <w:rsid w:val="00337314"/>
    <w:rsid w:val="0034527E"/>
    <w:rsid w:val="00354CF2"/>
    <w:rsid w:val="00367730"/>
    <w:rsid w:val="0037196F"/>
    <w:rsid w:val="00373C5B"/>
    <w:rsid w:val="00377880"/>
    <w:rsid w:val="0039444A"/>
    <w:rsid w:val="003950F8"/>
    <w:rsid w:val="003B583C"/>
    <w:rsid w:val="003B61D2"/>
    <w:rsid w:val="003D1A2E"/>
    <w:rsid w:val="003E1A3C"/>
    <w:rsid w:val="003E6E7A"/>
    <w:rsid w:val="003E7845"/>
    <w:rsid w:val="003F5B52"/>
    <w:rsid w:val="00401E5A"/>
    <w:rsid w:val="004038A1"/>
    <w:rsid w:val="0040762C"/>
    <w:rsid w:val="004137CE"/>
    <w:rsid w:val="0042011E"/>
    <w:rsid w:val="00426898"/>
    <w:rsid w:val="004530E2"/>
    <w:rsid w:val="00457133"/>
    <w:rsid w:val="004579C4"/>
    <w:rsid w:val="00457D86"/>
    <w:rsid w:val="0048169E"/>
    <w:rsid w:val="00483935"/>
    <w:rsid w:val="004A4F35"/>
    <w:rsid w:val="004B1401"/>
    <w:rsid w:val="004B4FE9"/>
    <w:rsid w:val="004C72CA"/>
    <w:rsid w:val="005027D2"/>
    <w:rsid w:val="00503846"/>
    <w:rsid w:val="00503C28"/>
    <w:rsid w:val="005153F7"/>
    <w:rsid w:val="00521399"/>
    <w:rsid w:val="00524EFB"/>
    <w:rsid w:val="0052588C"/>
    <w:rsid w:val="00527AFA"/>
    <w:rsid w:val="00533C33"/>
    <w:rsid w:val="0053594C"/>
    <w:rsid w:val="00562C13"/>
    <w:rsid w:val="00563FA5"/>
    <w:rsid w:val="005748F0"/>
    <w:rsid w:val="005759E9"/>
    <w:rsid w:val="005775BA"/>
    <w:rsid w:val="00586695"/>
    <w:rsid w:val="00595DED"/>
    <w:rsid w:val="005A07BC"/>
    <w:rsid w:val="005B11C3"/>
    <w:rsid w:val="005B339E"/>
    <w:rsid w:val="005C33EA"/>
    <w:rsid w:val="005E1B34"/>
    <w:rsid w:val="005F34FB"/>
    <w:rsid w:val="005F3821"/>
    <w:rsid w:val="005F5909"/>
    <w:rsid w:val="005F73B8"/>
    <w:rsid w:val="00604BA3"/>
    <w:rsid w:val="00615EC6"/>
    <w:rsid w:val="00620A06"/>
    <w:rsid w:val="0062279B"/>
    <w:rsid w:val="00665671"/>
    <w:rsid w:val="00665ADA"/>
    <w:rsid w:val="0067095B"/>
    <w:rsid w:val="00672B50"/>
    <w:rsid w:val="00673E18"/>
    <w:rsid w:val="00675749"/>
    <w:rsid w:val="00682A36"/>
    <w:rsid w:val="0069343F"/>
    <w:rsid w:val="0069486E"/>
    <w:rsid w:val="00694E45"/>
    <w:rsid w:val="006A3FED"/>
    <w:rsid w:val="006B4787"/>
    <w:rsid w:val="006C1E2E"/>
    <w:rsid w:val="006C26C5"/>
    <w:rsid w:val="006C73CA"/>
    <w:rsid w:val="006D54CA"/>
    <w:rsid w:val="006E0038"/>
    <w:rsid w:val="006E5060"/>
    <w:rsid w:val="006E5C7E"/>
    <w:rsid w:val="007019FA"/>
    <w:rsid w:val="0070315A"/>
    <w:rsid w:val="0072068B"/>
    <w:rsid w:val="00721062"/>
    <w:rsid w:val="00727E0B"/>
    <w:rsid w:val="0073122A"/>
    <w:rsid w:val="00731536"/>
    <w:rsid w:val="00733C8A"/>
    <w:rsid w:val="0073790C"/>
    <w:rsid w:val="00741589"/>
    <w:rsid w:val="007427C9"/>
    <w:rsid w:val="007455B2"/>
    <w:rsid w:val="007568E8"/>
    <w:rsid w:val="00765C97"/>
    <w:rsid w:val="007718B4"/>
    <w:rsid w:val="00773DC7"/>
    <w:rsid w:val="00776445"/>
    <w:rsid w:val="007815EC"/>
    <w:rsid w:val="00782E66"/>
    <w:rsid w:val="00792789"/>
    <w:rsid w:val="00795933"/>
    <w:rsid w:val="00797BCD"/>
    <w:rsid w:val="007A354F"/>
    <w:rsid w:val="007A3BBB"/>
    <w:rsid w:val="007D76CA"/>
    <w:rsid w:val="007F2205"/>
    <w:rsid w:val="008061C9"/>
    <w:rsid w:val="00806288"/>
    <w:rsid w:val="0081054E"/>
    <w:rsid w:val="00835465"/>
    <w:rsid w:val="008413A8"/>
    <w:rsid w:val="00843891"/>
    <w:rsid w:val="00852393"/>
    <w:rsid w:val="008538CD"/>
    <w:rsid w:val="00855188"/>
    <w:rsid w:val="00865296"/>
    <w:rsid w:val="00870033"/>
    <w:rsid w:val="00871348"/>
    <w:rsid w:val="008776FD"/>
    <w:rsid w:val="00881379"/>
    <w:rsid w:val="00896890"/>
    <w:rsid w:val="008A2D85"/>
    <w:rsid w:val="008B1111"/>
    <w:rsid w:val="008B3BA8"/>
    <w:rsid w:val="008B575D"/>
    <w:rsid w:val="008B6CCC"/>
    <w:rsid w:val="008C1899"/>
    <w:rsid w:val="008E1E37"/>
    <w:rsid w:val="008E7182"/>
    <w:rsid w:val="008F171E"/>
    <w:rsid w:val="008F50D3"/>
    <w:rsid w:val="008F72A2"/>
    <w:rsid w:val="00903E16"/>
    <w:rsid w:val="009049D6"/>
    <w:rsid w:val="009064B9"/>
    <w:rsid w:val="009064D6"/>
    <w:rsid w:val="00906A01"/>
    <w:rsid w:val="009079C9"/>
    <w:rsid w:val="00922662"/>
    <w:rsid w:val="00927203"/>
    <w:rsid w:val="00927721"/>
    <w:rsid w:val="0093280E"/>
    <w:rsid w:val="009403B0"/>
    <w:rsid w:val="0094521C"/>
    <w:rsid w:val="00950A17"/>
    <w:rsid w:val="00964980"/>
    <w:rsid w:val="00966A61"/>
    <w:rsid w:val="0097714D"/>
    <w:rsid w:val="009A0D0B"/>
    <w:rsid w:val="009A58CD"/>
    <w:rsid w:val="009A7352"/>
    <w:rsid w:val="009C1F50"/>
    <w:rsid w:val="009C6B4F"/>
    <w:rsid w:val="009D0976"/>
    <w:rsid w:val="009D25AA"/>
    <w:rsid w:val="009D48E6"/>
    <w:rsid w:val="009D538B"/>
    <w:rsid w:val="009D7B7A"/>
    <w:rsid w:val="009F168E"/>
    <w:rsid w:val="009F666F"/>
    <w:rsid w:val="00A10FDD"/>
    <w:rsid w:val="00A30E90"/>
    <w:rsid w:val="00A3204B"/>
    <w:rsid w:val="00A375F0"/>
    <w:rsid w:val="00A70CA8"/>
    <w:rsid w:val="00A85D9A"/>
    <w:rsid w:val="00A94A8D"/>
    <w:rsid w:val="00AC4D1B"/>
    <w:rsid w:val="00AD3872"/>
    <w:rsid w:val="00AD4BBF"/>
    <w:rsid w:val="00AE41C0"/>
    <w:rsid w:val="00AF084E"/>
    <w:rsid w:val="00B04AD2"/>
    <w:rsid w:val="00B10150"/>
    <w:rsid w:val="00B25C99"/>
    <w:rsid w:val="00B313CA"/>
    <w:rsid w:val="00B55B1C"/>
    <w:rsid w:val="00B611C2"/>
    <w:rsid w:val="00B664A4"/>
    <w:rsid w:val="00B8517D"/>
    <w:rsid w:val="00B92FC9"/>
    <w:rsid w:val="00B959D4"/>
    <w:rsid w:val="00BA7C79"/>
    <w:rsid w:val="00BB3DE4"/>
    <w:rsid w:val="00BB65B3"/>
    <w:rsid w:val="00BD26D1"/>
    <w:rsid w:val="00BD60C7"/>
    <w:rsid w:val="00BD6869"/>
    <w:rsid w:val="00BE3D09"/>
    <w:rsid w:val="00BF1979"/>
    <w:rsid w:val="00BF211C"/>
    <w:rsid w:val="00C14CF9"/>
    <w:rsid w:val="00C15974"/>
    <w:rsid w:val="00C2144B"/>
    <w:rsid w:val="00C339B2"/>
    <w:rsid w:val="00C34A2D"/>
    <w:rsid w:val="00C61E8F"/>
    <w:rsid w:val="00C86A8F"/>
    <w:rsid w:val="00C92528"/>
    <w:rsid w:val="00CC5681"/>
    <w:rsid w:val="00CC6D71"/>
    <w:rsid w:val="00CD472A"/>
    <w:rsid w:val="00CD5A39"/>
    <w:rsid w:val="00D0666A"/>
    <w:rsid w:val="00D17C1F"/>
    <w:rsid w:val="00D2221C"/>
    <w:rsid w:val="00D2232E"/>
    <w:rsid w:val="00D30562"/>
    <w:rsid w:val="00D3279E"/>
    <w:rsid w:val="00D35381"/>
    <w:rsid w:val="00D35B7D"/>
    <w:rsid w:val="00D63025"/>
    <w:rsid w:val="00D64B70"/>
    <w:rsid w:val="00D65A24"/>
    <w:rsid w:val="00DA5429"/>
    <w:rsid w:val="00DB1C5C"/>
    <w:rsid w:val="00DC0256"/>
    <w:rsid w:val="00DD2777"/>
    <w:rsid w:val="00DE1BB9"/>
    <w:rsid w:val="00DE1DC6"/>
    <w:rsid w:val="00DE26F2"/>
    <w:rsid w:val="00DF1B80"/>
    <w:rsid w:val="00DF520F"/>
    <w:rsid w:val="00E00CB9"/>
    <w:rsid w:val="00E204A6"/>
    <w:rsid w:val="00E22202"/>
    <w:rsid w:val="00E23973"/>
    <w:rsid w:val="00E3159F"/>
    <w:rsid w:val="00E31D76"/>
    <w:rsid w:val="00E3678B"/>
    <w:rsid w:val="00E400C6"/>
    <w:rsid w:val="00E514B3"/>
    <w:rsid w:val="00E53B2C"/>
    <w:rsid w:val="00E55A3B"/>
    <w:rsid w:val="00E67162"/>
    <w:rsid w:val="00E73319"/>
    <w:rsid w:val="00E82DC3"/>
    <w:rsid w:val="00E8626A"/>
    <w:rsid w:val="00E95FB7"/>
    <w:rsid w:val="00EB5BC3"/>
    <w:rsid w:val="00EC4A9C"/>
    <w:rsid w:val="00ED13D7"/>
    <w:rsid w:val="00ED2096"/>
    <w:rsid w:val="00EE0F9A"/>
    <w:rsid w:val="00EE280B"/>
    <w:rsid w:val="00EE34C6"/>
    <w:rsid w:val="00EF1153"/>
    <w:rsid w:val="00EF3047"/>
    <w:rsid w:val="00F0414A"/>
    <w:rsid w:val="00F126DF"/>
    <w:rsid w:val="00F15826"/>
    <w:rsid w:val="00F370F9"/>
    <w:rsid w:val="00F450B9"/>
    <w:rsid w:val="00F509BB"/>
    <w:rsid w:val="00F50CAF"/>
    <w:rsid w:val="00F51F00"/>
    <w:rsid w:val="00F6075A"/>
    <w:rsid w:val="00F743D7"/>
    <w:rsid w:val="00F77585"/>
    <w:rsid w:val="00F95C78"/>
    <w:rsid w:val="00FB6858"/>
    <w:rsid w:val="00FC2996"/>
    <w:rsid w:val="00FE04AD"/>
    <w:rsid w:val="3DA53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45"/>
    <w:qFormat/>
    <w:uiPriority w:val="9"/>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46"/>
    <w:qFormat/>
    <w:uiPriority w:val="9"/>
    <w:pPr>
      <w:outlineLvl w:val="1"/>
    </w:pPr>
    <w:rPr>
      <w:rFonts w:eastAsia="黑体"/>
      <w:bCs/>
      <w:szCs w:val="32"/>
    </w:rPr>
  </w:style>
  <w:style w:type="paragraph" w:styleId="4">
    <w:name w:val="heading 3"/>
    <w:basedOn w:val="1"/>
    <w:next w:val="1"/>
    <w:link w:val="47"/>
    <w:qFormat/>
    <w:uiPriority w:val="0"/>
    <w:pPr>
      <w:outlineLvl w:val="2"/>
    </w:pPr>
    <w:rPr>
      <w:rFonts w:eastAsia="楷体_GB2312"/>
      <w:b/>
      <w:bCs/>
      <w:szCs w:val="32"/>
    </w:rPr>
  </w:style>
  <w:style w:type="paragraph" w:styleId="5">
    <w:name w:val="heading 4"/>
    <w:basedOn w:val="1"/>
    <w:next w:val="1"/>
    <w:link w:val="48"/>
    <w:qFormat/>
    <w:uiPriority w:val="9"/>
    <w:pPr>
      <w:outlineLvl w:val="3"/>
    </w:pPr>
    <w:rPr>
      <w:bCs/>
      <w:szCs w:val="28"/>
    </w:rPr>
  </w:style>
  <w:style w:type="paragraph" w:styleId="6">
    <w:name w:val="heading 5"/>
    <w:basedOn w:val="1"/>
    <w:next w:val="1"/>
    <w:link w:val="49"/>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39">
    <w:name w:val="Default Paragraph Font"/>
    <w:unhideWhenUsed/>
    <w:uiPriority w:val="1"/>
  </w:style>
  <w:style w:type="table" w:default="1" w:styleId="37">
    <w:name w:val="Normal Table"/>
    <w:semiHidden/>
    <w:unhideWhenUsed/>
    <w:qFormat/>
    <w:uiPriority w:val="99"/>
    <w:tblPr>
      <w:tblStyle w:val="37"/>
      <w:tblCellMar>
        <w:top w:w="0" w:type="dxa"/>
        <w:left w:w="108" w:type="dxa"/>
        <w:bottom w:w="0" w:type="dxa"/>
        <w:right w:w="108" w:type="dxa"/>
      </w:tblCellMar>
    </w:tblPr>
    <w:trPr>
      <w:wBefore w:w="0" w:type="dxa"/>
    </w:trPr>
  </w:style>
  <w:style w:type="paragraph" w:styleId="7">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8">
    <w:name w:val="Normal Indent"/>
    <w:basedOn w:val="1"/>
    <w:qFormat/>
    <w:uiPriority w:val="0"/>
    <w:pPr>
      <w:adjustRightInd/>
      <w:snapToGrid/>
      <w:spacing w:line="500" w:lineRule="exact"/>
    </w:pPr>
    <w:rPr>
      <w:rFonts w:eastAsia="仿宋"/>
      <w:sz w:val="28"/>
      <w:szCs w:val="20"/>
    </w:rPr>
  </w:style>
  <w:style w:type="paragraph" w:styleId="9">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10">
    <w:name w:val="Document Map"/>
    <w:basedOn w:val="1"/>
    <w:link w:val="59"/>
    <w:uiPriority w:val="0"/>
    <w:pPr>
      <w:adjustRightInd/>
      <w:snapToGrid/>
      <w:spacing w:line="360" w:lineRule="auto"/>
    </w:pPr>
    <w:rPr>
      <w:rFonts w:ascii="宋体" w:hAnsi="Calibri" w:eastAsia="宋体"/>
      <w:sz w:val="18"/>
      <w:szCs w:val="18"/>
    </w:rPr>
  </w:style>
  <w:style w:type="paragraph" w:styleId="11">
    <w:name w:val="annotation text"/>
    <w:basedOn w:val="1"/>
    <w:link w:val="90"/>
    <w:unhideWhenUsed/>
    <w:qFormat/>
    <w:uiPriority w:val="99"/>
    <w:pPr>
      <w:adjustRightInd/>
      <w:snapToGrid/>
      <w:spacing w:line="600" w:lineRule="exact"/>
      <w:jc w:val="left"/>
    </w:pPr>
    <w:rPr>
      <w:rFonts w:eastAsia="仿宋"/>
      <w:kern w:val="0"/>
      <w:szCs w:val="20"/>
    </w:rPr>
  </w:style>
  <w:style w:type="paragraph" w:styleId="12">
    <w:name w:val="Body Text 3"/>
    <w:basedOn w:val="1"/>
    <w:uiPriority w:val="0"/>
    <w:pPr>
      <w:spacing w:after="120"/>
    </w:pPr>
    <w:rPr>
      <w:sz w:val="16"/>
      <w:szCs w:val="16"/>
    </w:rPr>
  </w:style>
  <w:style w:type="paragraph" w:styleId="13">
    <w:name w:val="Body Text"/>
    <w:basedOn w:val="1"/>
    <w:link w:val="86"/>
    <w:qFormat/>
    <w:uiPriority w:val="99"/>
    <w:pPr>
      <w:spacing w:after="120"/>
    </w:pPr>
  </w:style>
  <w:style w:type="paragraph" w:styleId="14">
    <w:name w:val="Body Text Indent"/>
    <w:basedOn w:val="1"/>
    <w:link w:val="88"/>
    <w:qFormat/>
    <w:uiPriority w:val="0"/>
    <w:pPr>
      <w:spacing w:after="120"/>
      <w:ind w:left="420" w:leftChars="200"/>
    </w:pPr>
  </w:style>
  <w:style w:type="paragraph" w:styleId="15">
    <w:name w:val="toc 5"/>
    <w:basedOn w:val="1"/>
    <w:next w:val="1"/>
    <w:uiPriority w:val="0"/>
    <w:pPr>
      <w:adjustRightInd/>
      <w:snapToGrid/>
      <w:spacing w:line="360" w:lineRule="auto"/>
      <w:ind w:left="960"/>
      <w:jc w:val="left"/>
    </w:pPr>
    <w:rPr>
      <w:rFonts w:ascii="Calibri" w:hAnsi="Calibri" w:eastAsia="宋体" w:cs="Calibri"/>
      <w:sz w:val="18"/>
      <w:szCs w:val="18"/>
    </w:rPr>
  </w:style>
  <w:style w:type="paragraph" w:styleId="16">
    <w:name w:val="toc 3"/>
    <w:basedOn w:val="1"/>
    <w:next w:val="1"/>
    <w:uiPriority w:val="0"/>
    <w:pPr>
      <w:adjustRightInd/>
      <w:snapToGrid/>
      <w:spacing w:line="360" w:lineRule="auto"/>
      <w:ind w:left="480"/>
      <w:jc w:val="left"/>
    </w:pPr>
    <w:rPr>
      <w:rFonts w:ascii="Calibri" w:hAnsi="Calibri" w:eastAsia="宋体" w:cs="Calibri"/>
      <w:i/>
      <w:iCs/>
      <w:sz w:val="20"/>
      <w:szCs w:val="20"/>
    </w:rPr>
  </w:style>
  <w:style w:type="paragraph" w:styleId="17">
    <w:name w:val="Plain Text"/>
    <w:basedOn w:val="1"/>
    <w:link w:val="83"/>
    <w:uiPriority w:val="0"/>
    <w:pPr>
      <w:adjustRightInd/>
      <w:snapToGrid/>
      <w:spacing w:line="240" w:lineRule="auto"/>
      <w:ind w:firstLine="0" w:firstLineChars="0"/>
    </w:pPr>
    <w:rPr>
      <w:rFonts w:ascii="宋体" w:hAnsi="Courier New" w:eastAsia="宋体"/>
      <w:kern w:val="0"/>
      <w:sz w:val="20"/>
      <w:szCs w:val="21"/>
    </w:rPr>
  </w:style>
  <w:style w:type="paragraph" w:styleId="18">
    <w:name w:val="toc 8"/>
    <w:basedOn w:val="1"/>
    <w:next w:val="1"/>
    <w:uiPriority w:val="0"/>
    <w:pPr>
      <w:adjustRightInd/>
      <w:snapToGrid/>
      <w:spacing w:line="360" w:lineRule="auto"/>
      <w:ind w:left="1680"/>
      <w:jc w:val="left"/>
    </w:pPr>
    <w:rPr>
      <w:rFonts w:ascii="Calibri" w:hAnsi="Calibri" w:eastAsia="宋体" w:cs="Calibri"/>
      <w:sz w:val="18"/>
      <w:szCs w:val="18"/>
    </w:rPr>
  </w:style>
  <w:style w:type="paragraph" w:styleId="19">
    <w:name w:val="Date"/>
    <w:basedOn w:val="1"/>
    <w:next w:val="1"/>
    <w:uiPriority w:val="0"/>
    <w:pPr>
      <w:ind w:left="100" w:leftChars="2500"/>
    </w:pPr>
  </w:style>
  <w:style w:type="paragraph" w:styleId="20">
    <w:name w:val="Balloon Text"/>
    <w:basedOn w:val="1"/>
    <w:link w:val="67"/>
    <w:qFormat/>
    <w:uiPriority w:val="99"/>
    <w:pPr>
      <w:adjustRightInd/>
      <w:snapToGrid/>
      <w:spacing w:line="240" w:lineRule="auto"/>
    </w:pPr>
    <w:rPr>
      <w:rFonts w:ascii="Calibri" w:hAnsi="Calibri" w:eastAsia="Times New Roman"/>
      <w:kern w:val="0"/>
      <w:sz w:val="18"/>
      <w:szCs w:val="18"/>
    </w:rPr>
  </w:style>
  <w:style w:type="paragraph" w:styleId="21">
    <w:name w:val="footer"/>
    <w:basedOn w:val="1"/>
    <w:link w:val="50"/>
    <w:qFormat/>
    <w:uiPriority w:val="0"/>
    <w:pPr>
      <w:tabs>
        <w:tab w:val="center" w:pos="4153"/>
        <w:tab w:val="right" w:pos="8306"/>
      </w:tabs>
      <w:spacing w:line="240" w:lineRule="atLeast"/>
      <w:jc w:val="left"/>
    </w:pPr>
    <w:rPr>
      <w:sz w:val="18"/>
      <w:szCs w:val="18"/>
    </w:rPr>
  </w:style>
  <w:style w:type="paragraph" w:styleId="22">
    <w:name w:val="header"/>
    <w:basedOn w:val="1"/>
    <w:link w:val="51"/>
    <w:qFormat/>
    <w:uiPriority w:val="99"/>
    <w:pPr>
      <w:pBdr>
        <w:bottom w:val="single" w:color="auto" w:sz="6" w:space="1"/>
      </w:pBdr>
      <w:tabs>
        <w:tab w:val="center" w:pos="4153"/>
        <w:tab w:val="right" w:pos="8306"/>
      </w:tabs>
      <w:spacing w:line="240" w:lineRule="atLeast"/>
      <w:jc w:val="center"/>
    </w:pPr>
    <w:rPr>
      <w:sz w:val="18"/>
      <w:szCs w:val="18"/>
    </w:rPr>
  </w:style>
  <w:style w:type="paragraph" w:styleId="23">
    <w:name w:val="toc 1"/>
    <w:basedOn w:val="1"/>
    <w:next w:val="1"/>
    <w:uiPriority w:val="0"/>
    <w:pPr>
      <w:adjustRightInd/>
      <w:snapToGrid/>
      <w:spacing w:before="120" w:after="120" w:line="360" w:lineRule="auto"/>
      <w:jc w:val="left"/>
    </w:pPr>
    <w:rPr>
      <w:rFonts w:ascii="Calibri" w:hAnsi="Calibri" w:eastAsia="宋体" w:cs="Calibri"/>
      <w:b/>
      <w:bCs/>
      <w:caps/>
      <w:sz w:val="20"/>
      <w:szCs w:val="20"/>
    </w:rPr>
  </w:style>
  <w:style w:type="paragraph" w:styleId="24">
    <w:name w:val="toc 4"/>
    <w:basedOn w:val="1"/>
    <w:next w:val="1"/>
    <w:uiPriority w:val="0"/>
    <w:pPr>
      <w:adjustRightInd/>
      <w:snapToGrid/>
      <w:spacing w:line="360" w:lineRule="auto"/>
      <w:ind w:left="720"/>
      <w:jc w:val="left"/>
    </w:pPr>
    <w:rPr>
      <w:rFonts w:ascii="Calibri" w:hAnsi="Calibri" w:eastAsia="宋体" w:cs="Calibri"/>
      <w:sz w:val="18"/>
      <w:szCs w:val="18"/>
    </w:rPr>
  </w:style>
  <w:style w:type="paragraph" w:styleId="25">
    <w:name w:val="Subtitle"/>
    <w:next w:val="1"/>
    <w:link w:val="91"/>
    <w:qFormat/>
    <w:uiPriority w:val="0"/>
    <w:pPr>
      <w:spacing w:line="580" w:lineRule="exact"/>
      <w:jc w:val="center"/>
      <w:outlineLvl w:val="0"/>
    </w:pPr>
    <w:rPr>
      <w:rFonts w:ascii="宋体" w:hAnsi="Cambria"/>
      <w:b/>
      <w:bCs/>
      <w:kern w:val="28"/>
      <w:sz w:val="44"/>
      <w:szCs w:val="32"/>
      <w:lang w:val="en-US" w:eastAsia="zh-CN" w:bidi="ar-SA"/>
    </w:rPr>
  </w:style>
  <w:style w:type="paragraph" w:styleId="26">
    <w:name w:val="toc 6"/>
    <w:basedOn w:val="1"/>
    <w:next w:val="1"/>
    <w:uiPriority w:val="0"/>
    <w:pPr>
      <w:adjustRightInd/>
      <w:snapToGrid/>
      <w:spacing w:line="360" w:lineRule="auto"/>
      <w:ind w:left="1200"/>
      <w:jc w:val="left"/>
    </w:pPr>
    <w:rPr>
      <w:rFonts w:ascii="Calibri" w:hAnsi="Calibri" w:eastAsia="宋体" w:cs="Calibri"/>
      <w:sz w:val="18"/>
      <w:szCs w:val="18"/>
    </w:rPr>
  </w:style>
  <w:style w:type="paragraph" w:styleId="27">
    <w:name w:val="table of figures"/>
    <w:basedOn w:val="1"/>
    <w:next w:val="1"/>
    <w:uiPriority w:val="0"/>
    <w:pPr>
      <w:adjustRightInd/>
      <w:snapToGrid/>
      <w:spacing w:line="360" w:lineRule="auto"/>
      <w:ind w:left="480" w:hanging="480"/>
      <w:jc w:val="left"/>
    </w:pPr>
    <w:rPr>
      <w:rFonts w:ascii="Calibri" w:hAnsi="Calibri" w:eastAsia="宋体"/>
      <w:smallCaps/>
      <w:sz w:val="20"/>
      <w:szCs w:val="20"/>
    </w:rPr>
  </w:style>
  <w:style w:type="paragraph" w:styleId="28">
    <w:name w:val="toc 2"/>
    <w:basedOn w:val="1"/>
    <w:next w:val="1"/>
    <w:uiPriority w:val="0"/>
    <w:pPr>
      <w:adjustRightInd/>
      <w:snapToGrid/>
      <w:spacing w:line="360" w:lineRule="auto"/>
      <w:ind w:left="240"/>
      <w:jc w:val="left"/>
    </w:pPr>
    <w:rPr>
      <w:rFonts w:ascii="Calibri" w:hAnsi="Calibri" w:eastAsia="宋体" w:cs="Calibri"/>
      <w:smallCaps/>
      <w:sz w:val="20"/>
      <w:szCs w:val="20"/>
    </w:rPr>
  </w:style>
  <w:style w:type="paragraph" w:styleId="29">
    <w:name w:val="toc 9"/>
    <w:basedOn w:val="1"/>
    <w:next w:val="1"/>
    <w:uiPriority w:val="0"/>
    <w:pPr>
      <w:adjustRightInd/>
      <w:snapToGrid/>
      <w:spacing w:line="360" w:lineRule="auto"/>
      <w:ind w:left="1920"/>
      <w:jc w:val="left"/>
    </w:pPr>
    <w:rPr>
      <w:rFonts w:ascii="Calibri" w:hAnsi="Calibri" w:eastAsia="宋体" w:cs="Calibri"/>
      <w:sz w:val="18"/>
      <w:szCs w:val="18"/>
    </w:rPr>
  </w:style>
  <w:style w:type="paragraph" w:styleId="30">
    <w:name w:val="Body Text 2"/>
    <w:basedOn w:val="1"/>
    <w:link w:val="92"/>
    <w:qFormat/>
    <w:uiPriority w:val="99"/>
    <w:pPr>
      <w:adjustRightInd/>
      <w:snapToGrid/>
      <w:spacing w:line="600" w:lineRule="exact"/>
    </w:pPr>
    <w:rPr>
      <w:rFonts w:eastAsia="仿宋"/>
      <w:szCs w:val="22"/>
    </w:rPr>
  </w:style>
  <w:style w:type="paragraph" w:styleId="31">
    <w:name w:val="HTML Preformatted"/>
    <w:basedOn w:val="1"/>
    <w:link w:val="77"/>
    <w:qFormat/>
    <w:uiPriority w:val="0"/>
    <w:pPr>
      <w:adjustRightInd/>
      <w:snapToGrid/>
      <w:spacing w:line="360" w:lineRule="auto"/>
    </w:pPr>
    <w:rPr>
      <w:rFonts w:ascii="Courier New" w:hAnsi="Courier New" w:eastAsia="宋体"/>
      <w:kern w:val="0"/>
      <w:sz w:val="20"/>
      <w:szCs w:val="20"/>
    </w:rPr>
  </w:style>
  <w:style w:type="paragraph" w:styleId="32">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styleId="33">
    <w:name w:val="Title"/>
    <w:basedOn w:val="1"/>
    <w:next w:val="1"/>
    <w:link w:val="93"/>
    <w:qFormat/>
    <w:uiPriority w:val="10"/>
    <w:pPr>
      <w:adjustRightInd/>
      <w:snapToGrid/>
      <w:spacing w:line="600" w:lineRule="exact"/>
      <w:ind w:firstLine="0" w:firstLineChars="0"/>
      <w:jc w:val="center"/>
      <w:outlineLvl w:val="0"/>
    </w:pPr>
    <w:rPr>
      <w:rFonts w:ascii="Cambria" w:hAnsi="Cambria" w:eastAsia="宋体"/>
      <w:b/>
      <w:bCs/>
      <w:kern w:val="0"/>
      <w:sz w:val="36"/>
      <w:szCs w:val="32"/>
    </w:rPr>
  </w:style>
  <w:style w:type="paragraph" w:styleId="34">
    <w:name w:val="annotation subject"/>
    <w:basedOn w:val="11"/>
    <w:next w:val="11"/>
    <w:link w:val="94"/>
    <w:unhideWhenUsed/>
    <w:qFormat/>
    <w:uiPriority w:val="99"/>
    <w:rPr>
      <w:rFonts w:eastAsia="宋体"/>
      <w:b/>
      <w:bCs/>
      <w:sz w:val="20"/>
    </w:rPr>
  </w:style>
  <w:style w:type="paragraph" w:styleId="35">
    <w:name w:val="Body Text First Indent"/>
    <w:basedOn w:val="13"/>
    <w:link w:val="87"/>
    <w:qFormat/>
    <w:uiPriority w:val="0"/>
    <w:pPr>
      <w:ind w:firstLine="420" w:firstLineChars="100"/>
    </w:pPr>
  </w:style>
  <w:style w:type="paragraph" w:styleId="36">
    <w:name w:val="Body Text First Indent 2"/>
    <w:basedOn w:val="14"/>
    <w:link w:val="89"/>
    <w:qFormat/>
    <w:uiPriority w:val="0"/>
    <w:pPr>
      <w:ind w:firstLine="420"/>
    </w:pPr>
  </w:style>
  <w:style w:type="table" w:styleId="38">
    <w:name w:val="Table Grid"/>
    <w:basedOn w:val="37"/>
    <w:uiPriority w:val="0"/>
    <w:pPr>
      <w:widowControl w:val="0"/>
      <w:adjustRightInd w:val="0"/>
      <w:snapToGrid w:val="0"/>
      <w:spacing w:line="590" w:lineRule="atLeast"/>
      <w:ind w:firstLine="200" w:firstLineChars="200"/>
      <w:jc w:val="both"/>
    </w:p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rFonts w:cs="Times New Roman"/>
      <w:b/>
      <w:bCs/>
    </w:rPr>
  </w:style>
  <w:style w:type="character" w:styleId="41">
    <w:name w:val="page number"/>
    <w:basedOn w:val="39"/>
    <w:uiPriority w:val="0"/>
  </w:style>
  <w:style w:type="character" w:styleId="42">
    <w:name w:val="Emphasis"/>
    <w:basedOn w:val="39"/>
    <w:qFormat/>
    <w:uiPriority w:val="0"/>
    <w:rPr>
      <w:rFonts w:cs="Times New Roman"/>
      <w:i/>
      <w:iCs/>
    </w:rPr>
  </w:style>
  <w:style w:type="character" w:styleId="43">
    <w:name w:val="Hyperlink"/>
    <w:unhideWhenUsed/>
    <w:uiPriority w:val="0"/>
    <w:rPr>
      <w:color w:val="0000FF"/>
      <w:u w:val="single"/>
    </w:rPr>
  </w:style>
  <w:style w:type="character" w:styleId="44">
    <w:name w:val="annotation reference"/>
    <w:unhideWhenUsed/>
    <w:qFormat/>
    <w:uiPriority w:val="99"/>
    <w:rPr>
      <w:sz w:val="21"/>
      <w:szCs w:val="21"/>
    </w:rPr>
  </w:style>
  <w:style w:type="character" w:customStyle="1" w:styleId="45">
    <w:name w:val="标题 1 Char"/>
    <w:aliases w:val="标题 1，章 Char"/>
    <w:basedOn w:val="39"/>
    <w:link w:val="2"/>
    <w:qFormat/>
    <w:locked/>
    <w:uiPriority w:val="9"/>
    <w:rPr>
      <w:rFonts w:eastAsia="方正小标宋简体"/>
      <w:bCs/>
      <w:kern w:val="44"/>
      <w:sz w:val="44"/>
      <w:szCs w:val="44"/>
    </w:rPr>
  </w:style>
  <w:style w:type="character" w:customStyle="1" w:styleId="46">
    <w:name w:val="标题 2 Char"/>
    <w:aliases w:val="标题 2，节 Char1"/>
    <w:basedOn w:val="39"/>
    <w:link w:val="3"/>
    <w:qFormat/>
    <w:uiPriority w:val="9"/>
    <w:rPr>
      <w:rFonts w:eastAsia="黑体"/>
      <w:bCs/>
      <w:kern w:val="2"/>
      <w:sz w:val="32"/>
      <w:szCs w:val="32"/>
    </w:rPr>
  </w:style>
  <w:style w:type="character" w:customStyle="1" w:styleId="47">
    <w:name w:val="标题 3 Char"/>
    <w:aliases w:val="标题 3，部分 Char1"/>
    <w:basedOn w:val="39"/>
    <w:link w:val="4"/>
    <w:qFormat/>
    <w:uiPriority w:val="0"/>
    <w:rPr>
      <w:rFonts w:eastAsia="楷体_GB2312"/>
      <w:b/>
      <w:bCs/>
      <w:kern w:val="2"/>
      <w:sz w:val="32"/>
      <w:szCs w:val="32"/>
    </w:rPr>
  </w:style>
  <w:style w:type="character" w:customStyle="1" w:styleId="48">
    <w:name w:val="标题 4 Char1"/>
    <w:basedOn w:val="39"/>
    <w:link w:val="5"/>
    <w:locked/>
    <w:uiPriority w:val="0"/>
    <w:rPr>
      <w:rFonts w:eastAsia="仿宋_GB2312"/>
      <w:bCs/>
      <w:kern w:val="2"/>
      <w:sz w:val="32"/>
      <w:szCs w:val="28"/>
      <w:lang w:val="en-US" w:eastAsia="zh-CN" w:bidi="ar-SA"/>
    </w:rPr>
  </w:style>
  <w:style w:type="character" w:customStyle="1" w:styleId="49">
    <w:name w:val="标题 5 Char"/>
    <w:basedOn w:val="39"/>
    <w:link w:val="6"/>
    <w:locked/>
    <w:uiPriority w:val="0"/>
    <w:rPr>
      <w:rFonts w:ascii="Calibri" w:hAnsi="Calibri" w:eastAsia="宋体"/>
      <w:b/>
      <w:bCs/>
      <w:kern w:val="2"/>
      <w:sz w:val="28"/>
      <w:szCs w:val="28"/>
      <w:lang w:val="en-US" w:eastAsia="zh-CN" w:bidi="ar-SA"/>
    </w:rPr>
  </w:style>
  <w:style w:type="character" w:customStyle="1" w:styleId="50">
    <w:name w:val="页脚 Char"/>
    <w:basedOn w:val="39"/>
    <w:link w:val="21"/>
    <w:qFormat/>
    <w:locked/>
    <w:uiPriority w:val="0"/>
    <w:rPr>
      <w:rFonts w:eastAsia="仿宋_GB2312"/>
      <w:kern w:val="2"/>
      <w:sz w:val="18"/>
      <w:szCs w:val="18"/>
      <w:lang w:val="en-US" w:eastAsia="zh-CN" w:bidi="ar-SA"/>
    </w:rPr>
  </w:style>
  <w:style w:type="character" w:customStyle="1" w:styleId="51">
    <w:name w:val="页眉 Char"/>
    <w:basedOn w:val="39"/>
    <w:link w:val="22"/>
    <w:qFormat/>
    <w:locked/>
    <w:uiPriority w:val="99"/>
    <w:rPr>
      <w:rFonts w:eastAsia="仿宋_GB2312"/>
      <w:kern w:val="2"/>
      <w:sz w:val="18"/>
      <w:szCs w:val="18"/>
      <w:lang w:val="en-US" w:eastAsia="zh-CN" w:bidi="ar-SA"/>
    </w:rPr>
  </w:style>
  <w:style w:type="paragraph" w:customStyle="1" w:styleId="52">
    <w:name w:val="表头"/>
    <w:basedOn w:val="1"/>
    <w:uiPriority w:val="0"/>
    <w:pPr>
      <w:spacing w:before="80" w:after="80" w:line="280" w:lineRule="atLeast"/>
      <w:ind w:firstLine="0" w:firstLineChars="0"/>
      <w:jc w:val="center"/>
    </w:pPr>
    <w:rPr>
      <w:rFonts w:eastAsia="黑体" w:cs="宋体"/>
      <w:sz w:val="24"/>
    </w:rPr>
  </w:style>
  <w:style w:type="paragraph" w:customStyle="1" w:styleId="53">
    <w:name w:val="表内文字"/>
    <w:basedOn w:val="1"/>
    <w:uiPriority w:val="0"/>
    <w:pPr>
      <w:spacing w:before="60" w:after="60" w:line="280" w:lineRule="atLeast"/>
      <w:ind w:firstLine="0" w:firstLineChars="0"/>
    </w:pPr>
    <w:rPr>
      <w:sz w:val="24"/>
    </w:rPr>
  </w:style>
  <w:style w:type="paragraph" w:customStyle="1" w:styleId="54">
    <w:name w:val="p0"/>
    <w:basedOn w:val="1"/>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55">
    <w:name w:val="Char Char Char Char Char Char Char Char Char"/>
    <w:basedOn w:val="1"/>
    <w:uiPriority w:val="0"/>
    <w:pPr>
      <w:widowControl/>
      <w:adjustRightInd/>
      <w:snapToGrid/>
      <w:spacing w:after="160" w:line="240" w:lineRule="exact"/>
      <w:ind w:firstLine="0" w:firstLineChars="0"/>
      <w:jc w:val="left"/>
    </w:pPr>
    <w:rPr>
      <w:rFonts w:eastAsia="宋体"/>
      <w:sz w:val="21"/>
      <w:szCs w:val="20"/>
    </w:rPr>
  </w:style>
  <w:style w:type="character" w:customStyle="1" w:styleId="56">
    <w:name w:val="Heading 2 Char"/>
    <w:aliases w:val="标题 2，节 Char"/>
    <w:basedOn w:val="39"/>
    <w:locked/>
    <w:uiPriority w:val="0"/>
    <w:rPr>
      <w:rFonts w:ascii="Times New Roman" w:hAnsi="Times New Roman" w:eastAsia="宋体" w:cs="Times New Roman"/>
      <w:b/>
      <w:bCs/>
      <w:sz w:val="32"/>
      <w:szCs w:val="32"/>
    </w:rPr>
  </w:style>
  <w:style w:type="character" w:customStyle="1" w:styleId="57">
    <w:name w:val="Heading 3 Char"/>
    <w:aliases w:val="标题 3，部分 Char"/>
    <w:basedOn w:val="39"/>
    <w:locked/>
    <w:uiPriority w:val="0"/>
    <w:rPr>
      <w:rFonts w:ascii="Times New Roman" w:hAnsi="Times New Roman" w:eastAsia="宋体" w:cs="Times New Roman"/>
      <w:b/>
      <w:bCs/>
      <w:sz w:val="32"/>
      <w:szCs w:val="32"/>
    </w:rPr>
  </w:style>
  <w:style w:type="paragraph" w:customStyle="1" w:styleId="58">
    <w:name w:val="无间隔1"/>
    <w:uiPriority w:val="0"/>
    <w:pPr>
      <w:widowControl w:val="0"/>
      <w:spacing w:line="276" w:lineRule="auto"/>
      <w:jc w:val="center"/>
    </w:pPr>
    <w:rPr>
      <w:kern w:val="2"/>
      <w:sz w:val="21"/>
      <w:szCs w:val="22"/>
      <w:lang w:val="en-US" w:eastAsia="zh-CN" w:bidi="ar-SA"/>
    </w:rPr>
  </w:style>
  <w:style w:type="character" w:customStyle="1" w:styleId="59">
    <w:name w:val="文档结构图 Char"/>
    <w:basedOn w:val="39"/>
    <w:link w:val="10"/>
    <w:locked/>
    <w:uiPriority w:val="0"/>
    <w:rPr>
      <w:rFonts w:ascii="宋体" w:hAnsi="Calibri" w:eastAsia="宋体"/>
      <w:kern w:val="2"/>
      <w:sz w:val="18"/>
      <w:szCs w:val="18"/>
      <w:lang w:val="en-US" w:eastAsia="zh-CN" w:bidi="ar-SA"/>
    </w:rPr>
  </w:style>
  <w:style w:type="character" w:customStyle="1" w:styleId="60">
    <w:name w:val="Body text_"/>
    <w:basedOn w:val="39"/>
    <w:link w:val="61"/>
    <w:locked/>
    <w:uiPriority w:val="0"/>
    <w:rPr>
      <w:rFonts w:ascii="宋体" w:hAnsi="宋体"/>
      <w:spacing w:val="30"/>
      <w:sz w:val="28"/>
      <w:szCs w:val="28"/>
      <w:shd w:val="clear" w:color="auto" w:fill="FFFFFF"/>
      <w:lang w:bidi="ar-SA"/>
    </w:rPr>
  </w:style>
  <w:style w:type="paragraph" w:customStyle="1" w:styleId="61">
    <w:name w:val="Body text"/>
    <w:basedOn w:val="1"/>
    <w:link w:val="60"/>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rPr>
  </w:style>
  <w:style w:type="character" w:customStyle="1" w:styleId="62">
    <w:name w:val="Body text + 11.5 pt"/>
    <w:aliases w:val="Bold,Spacing 0 pt,Body text + 10.5 pt"/>
    <w:basedOn w:val="60"/>
    <w:uiPriority w:val="0"/>
    <w:rPr>
      <w:b/>
      <w:bCs/>
      <w:color w:val="000000"/>
      <w:spacing w:val="0"/>
      <w:w w:val="100"/>
      <w:position w:val="0"/>
      <w:sz w:val="23"/>
      <w:szCs w:val="23"/>
      <w:lang w:val="zh-TW"/>
    </w:rPr>
  </w:style>
  <w:style w:type="character" w:customStyle="1" w:styleId="63">
    <w:name w:val="Char Char"/>
    <w:basedOn w:val="39"/>
    <w:uiPriority w:val="0"/>
    <w:rPr>
      <w:rFonts w:ascii="宋体" w:hAnsi="Courier New" w:eastAsia="宋体" w:cs="Times New Roman"/>
      <w:kern w:val="2"/>
      <w:sz w:val="21"/>
      <w:lang w:val="en-US" w:eastAsia="zh-CN"/>
    </w:rPr>
  </w:style>
  <w:style w:type="character" w:customStyle="1" w:styleId="64">
    <w:name w:val="font01"/>
    <w:basedOn w:val="39"/>
    <w:uiPriority w:val="0"/>
    <w:rPr>
      <w:rFonts w:ascii="宋体" w:hAnsi="宋体" w:eastAsia="宋体" w:cs="宋体"/>
      <w:color w:val="000000"/>
      <w:sz w:val="22"/>
      <w:szCs w:val="22"/>
      <w:u w:val="none"/>
    </w:rPr>
  </w:style>
  <w:style w:type="character" w:customStyle="1" w:styleId="65">
    <w:name w:val="font21"/>
    <w:basedOn w:val="39"/>
    <w:uiPriority w:val="0"/>
    <w:rPr>
      <w:rFonts w:ascii="Times New Roman" w:hAnsi="Times New Roman" w:cs="Times New Roman"/>
      <w:color w:val="000000"/>
      <w:sz w:val="27"/>
      <w:szCs w:val="27"/>
      <w:u w:val="none"/>
      <w:vertAlign w:val="subscript"/>
    </w:rPr>
  </w:style>
  <w:style w:type="character" w:customStyle="1" w:styleId="66">
    <w:name w:val="font11"/>
    <w:basedOn w:val="39"/>
    <w:uiPriority w:val="0"/>
    <w:rPr>
      <w:rFonts w:ascii="宋体" w:hAnsi="宋体" w:eastAsia="宋体" w:cs="宋体"/>
      <w:color w:val="000000"/>
      <w:sz w:val="24"/>
      <w:szCs w:val="24"/>
      <w:u w:val="none"/>
    </w:rPr>
  </w:style>
  <w:style w:type="character" w:customStyle="1" w:styleId="67">
    <w:name w:val="批注框文本 Char"/>
    <w:basedOn w:val="39"/>
    <w:link w:val="20"/>
    <w:qFormat/>
    <w:locked/>
    <w:uiPriority w:val="99"/>
    <w:rPr>
      <w:rFonts w:ascii="Calibri" w:hAnsi="Calibri"/>
      <w:sz w:val="18"/>
      <w:szCs w:val="18"/>
      <w:lang w:bidi="ar-SA"/>
    </w:rPr>
  </w:style>
  <w:style w:type="character" w:customStyle="1" w:styleId="68">
    <w:name w:val="apple-converted-space"/>
    <w:basedOn w:val="39"/>
    <w:uiPriority w:val="0"/>
    <w:rPr>
      <w:rFonts w:cs="Times New Roman"/>
    </w:rPr>
  </w:style>
  <w:style w:type="paragraph" w:customStyle="1" w:styleId="69">
    <w:name w:val="列出段落1"/>
    <w:basedOn w:val="1"/>
    <w:uiPriority w:val="0"/>
    <w:pPr>
      <w:adjustRightInd/>
      <w:snapToGrid/>
      <w:spacing w:line="360" w:lineRule="auto"/>
      <w:ind w:firstLine="420"/>
    </w:pPr>
    <w:rPr>
      <w:rFonts w:ascii="Calibri" w:hAnsi="Calibri" w:eastAsia="宋体"/>
      <w:sz w:val="24"/>
    </w:rPr>
  </w:style>
  <w:style w:type="paragraph" w:customStyle="1" w:styleId="70">
    <w:name w:val="TOC 标题1"/>
    <w:basedOn w:val="2"/>
    <w:next w:val="1"/>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71">
    <w:name w:val="表格内容样式"/>
    <w:basedOn w:val="1"/>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72">
    <w:name w:val="MSG_EN_FONT_STYLE_NAME_TEMPLATE_ROLE_NUMBER MSG_EN_FONT_STYLE_NAME_BY_ROLE_TEXT 2"/>
    <w:basedOn w:val="1"/>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73">
    <w:name w:val="无间隔111"/>
    <w:uiPriority w:val="0"/>
    <w:pPr>
      <w:widowControl w:val="0"/>
      <w:spacing w:line="80" w:lineRule="atLeast"/>
      <w:ind w:firstLine="403"/>
      <w:jc w:val="center"/>
    </w:pPr>
    <w:rPr>
      <w:kern w:val="2"/>
      <w:sz w:val="21"/>
      <w:szCs w:val="22"/>
      <w:lang w:val="en-US" w:eastAsia="zh-CN" w:bidi="ar-SA"/>
    </w:rPr>
  </w:style>
  <w:style w:type="paragraph" w:customStyle="1" w:styleId="74">
    <w:name w:val="无间隔11"/>
    <w:uiPriority w:val="0"/>
    <w:pPr>
      <w:widowControl w:val="0"/>
      <w:spacing w:line="80" w:lineRule="atLeast"/>
      <w:ind w:firstLine="403"/>
      <w:jc w:val="center"/>
    </w:pPr>
    <w:rPr>
      <w:kern w:val="2"/>
      <w:sz w:val="21"/>
      <w:szCs w:val="22"/>
      <w:lang w:val="en-US" w:eastAsia="zh-CN" w:bidi="ar-SA"/>
    </w:rPr>
  </w:style>
  <w:style w:type="paragraph" w:customStyle="1" w:styleId="75">
    <w:name w:val="无间隔2"/>
    <w:uiPriority w:val="0"/>
    <w:pPr>
      <w:widowControl w:val="0"/>
      <w:spacing w:line="80" w:lineRule="atLeast"/>
      <w:ind w:firstLine="403"/>
      <w:jc w:val="center"/>
    </w:pPr>
    <w:rPr>
      <w:rFonts w:ascii="Calibri" w:hAnsi="Calibri"/>
      <w:kern w:val="2"/>
      <w:sz w:val="21"/>
      <w:szCs w:val="22"/>
      <w:lang w:val="en-US" w:eastAsia="zh-CN" w:bidi="ar-SA"/>
    </w:rPr>
  </w:style>
  <w:style w:type="character" w:customStyle="1" w:styleId="76">
    <w:name w:val="number"/>
    <w:basedOn w:val="39"/>
    <w:uiPriority w:val="0"/>
    <w:rPr>
      <w:rFonts w:cs="Times New Roman"/>
    </w:rPr>
  </w:style>
  <w:style w:type="character" w:customStyle="1" w:styleId="77">
    <w:name w:val="HTML 预设格式 Char"/>
    <w:basedOn w:val="39"/>
    <w:link w:val="31"/>
    <w:locked/>
    <w:uiPriority w:val="0"/>
    <w:rPr>
      <w:rFonts w:ascii="Courier New" w:hAnsi="Courier New" w:eastAsia="宋体"/>
      <w:lang w:bidi="ar-SA"/>
    </w:rPr>
  </w:style>
  <w:style w:type="paragraph" w:customStyle="1" w:styleId="78">
    <w:name w:val="s10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9">
    <w:name w:val="s15"/>
    <w:basedOn w:val="39"/>
    <w:uiPriority w:val="0"/>
    <w:rPr>
      <w:rFonts w:cs="Times New Roman"/>
    </w:rPr>
  </w:style>
  <w:style w:type="paragraph" w:customStyle="1" w:styleId="80">
    <w:name w:val="s106"/>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1">
    <w:name w:val="reader-word-layer"/>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2">
    <w:name w:val="p18"/>
    <w:basedOn w:val="1"/>
    <w:uiPriority w:val="0"/>
    <w:pPr>
      <w:widowControl/>
      <w:adjustRightInd/>
      <w:snapToGrid/>
      <w:spacing w:line="240" w:lineRule="auto"/>
      <w:ind w:firstLine="0" w:firstLineChars="0"/>
    </w:pPr>
    <w:rPr>
      <w:rFonts w:eastAsia="宋体"/>
      <w:kern w:val="0"/>
      <w:sz w:val="21"/>
      <w:szCs w:val="21"/>
    </w:rPr>
  </w:style>
  <w:style w:type="character" w:customStyle="1" w:styleId="83">
    <w:name w:val="纯文本 Char"/>
    <w:basedOn w:val="39"/>
    <w:link w:val="17"/>
    <w:uiPriority w:val="0"/>
    <w:rPr>
      <w:rFonts w:ascii="宋体" w:hAnsi="Courier New" w:eastAsia="宋体"/>
      <w:szCs w:val="21"/>
      <w:lang w:val="en-US" w:eastAsia="zh-CN" w:bidi="ar-SA"/>
    </w:rPr>
  </w:style>
  <w:style w:type="paragraph" w:customStyle="1" w:styleId="84">
    <w:name w:val="正文1"/>
    <w:basedOn w:val="1"/>
    <w:uiPriority w:val="0"/>
    <w:pPr>
      <w:adjustRightInd/>
      <w:snapToGrid/>
      <w:spacing w:line="240" w:lineRule="auto"/>
      <w:ind w:firstLine="0" w:firstLineChars="0"/>
    </w:pPr>
    <w:rPr>
      <w:rFonts w:eastAsia="宋体"/>
      <w:sz w:val="21"/>
      <w:szCs w:val="21"/>
    </w:rPr>
  </w:style>
  <w:style w:type="character" w:customStyle="1" w:styleId="85">
    <w:name w:val="标题 4 Char"/>
    <w:basedOn w:val="39"/>
    <w:qFormat/>
    <w:uiPriority w:val="9"/>
    <w:rPr>
      <w:rFonts w:eastAsia="仿宋_GB2312"/>
      <w:bCs/>
      <w:kern w:val="2"/>
      <w:sz w:val="32"/>
      <w:szCs w:val="28"/>
      <w:lang w:val="en-US" w:eastAsia="zh-CN" w:bidi="ar-SA"/>
    </w:rPr>
  </w:style>
  <w:style w:type="character" w:customStyle="1" w:styleId="86">
    <w:name w:val="正文文本 Char"/>
    <w:basedOn w:val="39"/>
    <w:link w:val="13"/>
    <w:uiPriority w:val="99"/>
    <w:rPr>
      <w:rFonts w:eastAsia="仿宋_GB2312"/>
      <w:kern w:val="2"/>
      <w:sz w:val="32"/>
      <w:szCs w:val="24"/>
    </w:rPr>
  </w:style>
  <w:style w:type="character" w:customStyle="1" w:styleId="87">
    <w:name w:val="正文首行缩进 Char"/>
    <w:basedOn w:val="86"/>
    <w:link w:val="35"/>
    <w:uiPriority w:val="0"/>
  </w:style>
  <w:style w:type="character" w:customStyle="1" w:styleId="88">
    <w:name w:val="正文文本缩进 Char"/>
    <w:basedOn w:val="39"/>
    <w:link w:val="14"/>
    <w:uiPriority w:val="0"/>
    <w:rPr>
      <w:rFonts w:eastAsia="仿宋_GB2312"/>
      <w:kern w:val="2"/>
      <w:sz w:val="32"/>
      <w:szCs w:val="24"/>
    </w:rPr>
  </w:style>
  <w:style w:type="character" w:customStyle="1" w:styleId="89">
    <w:name w:val="正文首行缩进 2 Char"/>
    <w:basedOn w:val="88"/>
    <w:link w:val="36"/>
    <w:uiPriority w:val="0"/>
  </w:style>
  <w:style w:type="character" w:customStyle="1" w:styleId="90">
    <w:name w:val="批注文字 Char"/>
    <w:basedOn w:val="39"/>
    <w:link w:val="11"/>
    <w:qFormat/>
    <w:uiPriority w:val="99"/>
    <w:rPr>
      <w:rFonts w:eastAsia="仿宋"/>
      <w:sz w:val="32"/>
    </w:rPr>
  </w:style>
  <w:style w:type="character" w:customStyle="1" w:styleId="91">
    <w:name w:val="副标题 Char"/>
    <w:basedOn w:val="39"/>
    <w:link w:val="25"/>
    <w:qFormat/>
    <w:uiPriority w:val="0"/>
    <w:rPr>
      <w:rFonts w:ascii="宋体" w:hAnsi="Cambria"/>
      <w:b/>
      <w:bCs/>
      <w:kern w:val="28"/>
      <w:sz w:val="44"/>
      <w:szCs w:val="32"/>
      <w:lang w:val="en-US" w:eastAsia="zh-CN" w:bidi="ar-SA"/>
    </w:rPr>
  </w:style>
  <w:style w:type="character" w:customStyle="1" w:styleId="92">
    <w:name w:val="正文文本 2 Char"/>
    <w:basedOn w:val="39"/>
    <w:link w:val="30"/>
    <w:uiPriority w:val="99"/>
    <w:rPr>
      <w:rFonts w:eastAsia="仿宋"/>
      <w:kern w:val="2"/>
      <w:sz w:val="32"/>
      <w:szCs w:val="22"/>
    </w:rPr>
  </w:style>
  <w:style w:type="character" w:customStyle="1" w:styleId="93">
    <w:name w:val="标题 Char"/>
    <w:basedOn w:val="39"/>
    <w:link w:val="33"/>
    <w:qFormat/>
    <w:uiPriority w:val="10"/>
    <w:rPr>
      <w:rFonts w:ascii="Cambria" w:hAnsi="Cambria"/>
      <w:b/>
      <w:bCs/>
      <w:sz w:val="36"/>
      <w:szCs w:val="32"/>
    </w:rPr>
  </w:style>
  <w:style w:type="character" w:customStyle="1" w:styleId="94">
    <w:name w:val="批注主题 Char"/>
    <w:basedOn w:val="90"/>
    <w:link w:val="34"/>
    <w:qFormat/>
    <w:uiPriority w:val="99"/>
    <w:rPr>
      <w:b/>
      <w:bCs/>
    </w:rPr>
  </w:style>
  <w:style w:type="character" w:customStyle="1" w:styleId="95">
    <w:name w:val="font31"/>
    <w:qFormat/>
    <w:uiPriority w:val="0"/>
    <w:rPr>
      <w:rFonts w:hint="eastAsia" w:ascii="宋体" w:hAnsi="宋体" w:eastAsia="宋体" w:cs="宋体"/>
      <w:color w:val="000000"/>
      <w:sz w:val="20"/>
      <w:szCs w:val="20"/>
      <w:u w:val="none"/>
    </w:rPr>
  </w:style>
  <w:style w:type="character" w:customStyle="1" w:styleId="96">
    <w:name w:val="标题 3 字符"/>
    <w:qFormat/>
    <w:uiPriority w:val="9"/>
    <w:rPr>
      <w:rFonts w:ascii="仿宋_GB2312" w:eastAsia="仿宋_GB2312"/>
      <w:b/>
      <w:bCs/>
      <w:sz w:val="32"/>
      <w:szCs w:val="32"/>
    </w:rPr>
  </w:style>
  <w:style w:type="character" w:customStyle="1" w:styleId="97">
    <w:name w:val="font61"/>
    <w:uiPriority w:val="0"/>
    <w:rPr>
      <w:rFonts w:hint="eastAsia" w:ascii="宋体" w:hAnsi="宋体" w:eastAsia="宋体" w:cs="宋体"/>
      <w:color w:val="000000"/>
      <w:sz w:val="20"/>
      <w:szCs w:val="20"/>
      <w:u w:val="none"/>
    </w:rPr>
  </w:style>
  <w:style w:type="paragraph" w:customStyle="1" w:styleId="98">
    <w:name w:val="_Style 6"/>
    <w:basedOn w:val="1"/>
    <w:qFormat/>
    <w:uiPriority w:val="0"/>
    <w:pPr>
      <w:snapToGrid/>
      <w:spacing w:line="600" w:lineRule="exact"/>
      <w:ind w:firstLine="0" w:firstLineChars="0"/>
    </w:pPr>
    <w:rPr>
      <w:rFonts w:ascii="Tahoma" w:hAnsi="Tahoma" w:eastAsia="仿宋"/>
      <w:sz w:val="24"/>
      <w:szCs w:val="20"/>
    </w:rPr>
  </w:style>
  <w:style w:type="paragraph" w:styleId="99">
    <w:name w:val=""/>
    <w:unhideWhenUsed/>
    <w:uiPriority w:val="99"/>
    <w:rPr>
      <w:rFonts w:eastAsia="仿宋"/>
      <w:kern w:val="2"/>
      <w:sz w:val="32"/>
      <w:szCs w:val="22"/>
      <w:lang w:val="en-US" w:eastAsia="zh-CN" w:bidi="ar-SA"/>
    </w:rPr>
  </w:style>
  <w:style w:type="paragraph" w:styleId="100">
    <w:name w:val="List Paragraph"/>
    <w:basedOn w:val="1"/>
    <w:qFormat/>
    <w:uiPriority w:val="99"/>
    <w:pPr>
      <w:adjustRightInd/>
      <w:snapToGrid/>
      <w:spacing w:line="600" w:lineRule="exact"/>
      <w:ind w:firstLine="420"/>
    </w:pPr>
    <w:rPr>
      <w:rFonts w:eastAsia="仿宋"/>
      <w:szCs w:val="22"/>
    </w:rPr>
  </w:style>
  <w:style w:type="paragraph" w:customStyle="1" w:styleId="10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2565</Words>
  <Characters>14627</Characters>
  <Lines>121</Lines>
  <Paragraphs>34</Paragraphs>
  <TotalTime>0</TotalTime>
  <ScaleCrop>false</ScaleCrop>
  <LinksUpToDate>false</LinksUpToDate>
  <CharactersWithSpaces>17158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2021-12-09T02:07:00Z</dcterms:created>
  <dc:creator>walkinnet</dc:creator>
  <cp:lastModifiedBy>万全鹏</cp:lastModifiedBy>
  <cp:lastPrinted>2019-04-25T09:22:00Z</cp:lastPrinted>
  <dcterms:modified xsi:type="dcterms:W3CDTF">2022-06-24T09:19:50Z</dcterms:modified>
  <dc:title>湘农函〔2014〕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EA822FEE170E48E2AA2669A1CDB5FB3E</vt:lpwstr>
  </property>
</Properties>
</file>