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hint="eastAsia" w:eastAsia="黑体"/>
          <w:color w:val="000000"/>
          <w:sz w:val="32"/>
          <w:szCs w:val="32"/>
        </w:rPr>
      </w:pPr>
      <w:bookmarkStart w:id="2039" w:name="_GoBack"/>
      <w:bookmarkEnd w:id="2039"/>
    </w:p>
    <w:p>
      <w:pPr>
        <w:jc w:val="center"/>
        <w:rPr>
          <w:rFonts w:hint="eastAsia" w:ascii="黑体" w:eastAsia="黑体"/>
          <w:color w:val="000000"/>
          <w:sz w:val="52"/>
          <w:szCs w:val="52"/>
        </w:rPr>
      </w:pPr>
    </w:p>
    <w:p>
      <w:pPr>
        <w:spacing w:line="800" w:lineRule="exact"/>
        <w:jc w:val="center"/>
        <w:rPr>
          <w:rFonts w:hint="eastAsia" w:ascii="方正小标宋简体" w:eastAsia="方正小标宋简体"/>
          <w:color w:val="000000"/>
          <w:sz w:val="48"/>
          <w:szCs w:val="48"/>
        </w:rPr>
      </w:pPr>
      <w:r>
        <w:rPr>
          <w:rFonts w:hint="eastAsia" w:ascii="方正小标宋简体" w:eastAsia="方正小标宋简体"/>
          <w:color w:val="000000"/>
          <w:sz w:val="48"/>
          <w:szCs w:val="48"/>
        </w:rPr>
        <w:t>湖南省农田建设项目工程电子招标投标</w:t>
      </w:r>
    </w:p>
    <w:p>
      <w:pPr>
        <w:spacing w:line="800" w:lineRule="exact"/>
        <w:jc w:val="center"/>
        <w:rPr>
          <w:rFonts w:hint="eastAsia" w:ascii="方正小标宋简体" w:eastAsia="方正小标宋简体"/>
          <w:color w:val="000000"/>
          <w:sz w:val="48"/>
          <w:szCs w:val="48"/>
        </w:rPr>
      </w:pPr>
      <w:r>
        <w:rPr>
          <w:rFonts w:hint="eastAsia" w:ascii="方正小标宋简体" w:eastAsia="方正小标宋简体"/>
          <w:color w:val="000000"/>
          <w:sz w:val="48"/>
          <w:szCs w:val="48"/>
        </w:rPr>
        <w:t>施工招标文件示范文本</w:t>
      </w:r>
    </w:p>
    <w:p>
      <w:pPr>
        <w:jc w:val="center"/>
        <w:rPr>
          <w:rFonts w:hint="eastAsia" w:ascii="黑体" w:eastAsia="黑体"/>
          <w:color w:val="000000"/>
          <w:sz w:val="36"/>
          <w:szCs w:val="36"/>
        </w:rPr>
      </w:pPr>
    </w:p>
    <w:p>
      <w:pPr>
        <w:spacing w:line="800" w:lineRule="exact"/>
        <w:jc w:val="center"/>
        <w:rPr>
          <w:rFonts w:hint="eastAsia" w:ascii="黑体" w:eastAsia="黑体"/>
          <w:color w:val="000000"/>
          <w:sz w:val="48"/>
          <w:szCs w:val="48"/>
        </w:rPr>
      </w:pPr>
      <w:r>
        <w:rPr>
          <w:rFonts w:hint="eastAsia" w:ascii="黑体" w:eastAsia="黑体"/>
          <w:color w:val="000000"/>
          <w:sz w:val="48"/>
          <w:szCs w:val="48"/>
        </w:rPr>
        <w:t>（2022年版）</w:t>
      </w:r>
    </w:p>
    <w:p>
      <w:pPr>
        <w:rPr>
          <w:rFonts w:hint="eastAsia"/>
          <w:color w:val="000000"/>
        </w:rPr>
      </w:pPr>
    </w:p>
    <w:p>
      <w:pPr>
        <w:rPr>
          <w:rFonts w:hint="eastAsia"/>
          <w:color w:val="000000"/>
        </w:rPr>
      </w:pPr>
    </w:p>
    <w:p>
      <w:pPr>
        <w:rPr>
          <w:rFonts w:hint="eastAsia"/>
          <w:color w:val="000000"/>
        </w:rPr>
      </w:pPr>
    </w:p>
    <w:p>
      <w:pPr>
        <w:jc w:val="center"/>
        <w:rPr>
          <w:rFonts w:hint="eastAsia"/>
          <w:color w:val="000000"/>
        </w:rPr>
      </w:pPr>
    </w:p>
    <w:p>
      <w:pPr>
        <w:rPr>
          <w:rFonts w:hint="eastAsia"/>
          <w:color w:val="000000"/>
        </w:rPr>
      </w:pPr>
    </w:p>
    <w:p>
      <w:pPr>
        <w:rPr>
          <w:rFonts w:hint="eastAsia"/>
          <w:color w:val="000000"/>
        </w:rPr>
      </w:pPr>
    </w:p>
    <w:p>
      <w:pPr>
        <w:rPr>
          <w:rFonts w:hint="eastAsia"/>
          <w:color w:val="000000"/>
        </w:rPr>
      </w:pPr>
    </w:p>
    <w:p>
      <w:pPr>
        <w:pStyle w:val="2"/>
        <w:rPr>
          <w:rFonts w:hint="eastAsia"/>
          <w:color w:val="000000"/>
        </w:rPr>
      </w:pPr>
    </w:p>
    <w:p>
      <w:pPr>
        <w:pStyle w:val="2"/>
        <w:rPr>
          <w:rFonts w:hint="eastAsia"/>
          <w:color w:val="000000"/>
        </w:rPr>
      </w:pPr>
    </w:p>
    <w:p>
      <w:pPr>
        <w:pStyle w:val="2"/>
        <w:rPr>
          <w:rFonts w:hint="eastAsia"/>
          <w:color w:val="000000"/>
        </w:rPr>
      </w:pPr>
    </w:p>
    <w:p>
      <w:pPr>
        <w:pStyle w:val="2"/>
        <w:rPr>
          <w:rFonts w:hint="eastAsia"/>
          <w:color w:val="000000"/>
        </w:rPr>
      </w:pPr>
    </w:p>
    <w:p>
      <w:pPr>
        <w:rPr>
          <w:rFonts w:hint="eastAsia"/>
          <w:color w:val="000000"/>
        </w:rPr>
      </w:pPr>
    </w:p>
    <w:p>
      <w:pPr>
        <w:jc w:val="center"/>
        <w:rPr>
          <w:rFonts w:hint="eastAsia"/>
          <w:color w:val="000000"/>
          <w:sz w:val="30"/>
          <w:szCs w:val="30"/>
        </w:rPr>
      </w:pPr>
    </w:p>
    <w:p>
      <w:pPr>
        <w:pStyle w:val="2"/>
        <w:rPr>
          <w:rFonts w:hint="eastAsia"/>
        </w:rPr>
      </w:pPr>
    </w:p>
    <w:p>
      <w:pPr>
        <w:pStyle w:val="2"/>
        <w:rPr>
          <w:rFonts w:hint="eastAsia"/>
        </w:rPr>
      </w:pPr>
    </w:p>
    <w:p>
      <w:pPr>
        <w:pStyle w:val="2"/>
        <w:rPr>
          <w:rFonts w:hint="eastAsia"/>
        </w:rPr>
      </w:pPr>
    </w:p>
    <w:p>
      <w:pPr>
        <w:jc w:val="center"/>
        <w:rPr>
          <w:rFonts w:hint="eastAsia"/>
          <w:color w:val="000000"/>
          <w:sz w:val="30"/>
          <w:szCs w:val="30"/>
        </w:rPr>
      </w:pPr>
    </w:p>
    <w:p>
      <w:pPr>
        <w:jc w:val="center"/>
        <w:rPr>
          <w:rFonts w:hint="eastAsia"/>
          <w:color w:val="000000"/>
          <w:sz w:val="30"/>
          <w:szCs w:val="30"/>
        </w:rPr>
      </w:pPr>
    </w:p>
    <w:tbl>
      <w:tblPr>
        <w:tblStyle w:val="47"/>
        <w:tblpPr w:leftFromText="180" w:rightFromText="180" w:vertAnchor="text" w:horzAnchor="page" w:tblpX="3054" w:tblpY="122"/>
        <w:tblOverlap w:val="never"/>
        <w:tblW w:w="0" w:type="auto"/>
        <w:tblInd w:w="0" w:type="dxa"/>
        <w:tblLayout w:type="fixed"/>
        <w:tblCellMar>
          <w:top w:w="0" w:type="dxa"/>
          <w:left w:w="108" w:type="dxa"/>
          <w:bottom w:w="0" w:type="dxa"/>
          <w:right w:w="108" w:type="dxa"/>
        </w:tblCellMar>
      </w:tblPr>
      <w:tblGrid>
        <w:gridCol w:w="5660"/>
      </w:tblGrid>
      <w:tr>
        <w:trPr>
          <w:trHeight w:val="472" w:hRule="atLeast"/>
        </w:trPr>
        <w:tc>
          <w:tcPr>
            <w:tcW w:w="5660" w:type="dxa"/>
            <w:noWrap w:val="0"/>
            <w:vAlign w:val="center"/>
          </w:tcPr>
          <w:p>
            <w:pPr>
              <w:jc w:val="distribute"/>
              <w:rPr>
                <w:rFonts w:ascii="黑体" w:eastAsia="黑体"/>
                <w:bCs/>
                <w:color w:val="000000"/>
                <w:sz w:val="36"/>
                <w:szCs w:val="36"/>
              </w:rPr>
            </w:pPr>
            <w:r>
              <w:rPr>
                <w:rFonts w:hint="eastAsia" w:ascii="黑体" w:eastAsia="黑体"/>
                <w:bCs/>
                <w:color w:val="000000"/>
                <w:sz w:val="36"/>
                <w:szCs w:val="36"/>
              </w:rPr>
              <w:t>湖南省农业农村厅</w:t>
            </w:r>
          </w:p>
        </w:tc>
      </w:tr>
      <w:tr>
        <w:tblPrEx>
          <w:tblCellMar>
            <w:top w:w="0" w:type="dxa"/>
            <w:left w:w="108" w:type="dxa"/>
            <w:bottom w:w="0" w:type="dxa"/>
            <w:right w:w="108" w:type="dxa"/>
          </w:tblCellMar>
        </w:tblPrEx>
        <w:trPr>
          <w:trHeight w:val="650" w:hRule="atLeast"/>
        </w:trPr>
        <w:tc>
          <w:tcPr>
            <w:tcW w:w="5660" w:type="dxa"/>
            <w:noWrap w:val="0"/>
            <w:vAlign w:val="center"/>
          </w:tcPr>
          <w:p>
            <w:pPr>
              <w:jc w:val="distribute"/>
              <w:rPr>
                <w:rFonts w:ascii="黑体" w:eastAsia="黑体"/>
                <w:bCs/>
                <w:color w:val="000000"/>
                <w:sz w:val="36"/>
                <w:szCs w:val="36"/>
              </w:rPr>
            </w:pPr>
            <w:r>
              <w:rPr>
                <w:rFonts w:hint="eastAsia" w:ascii="黑体" w:eastAsia="黑体"/>
                <w:bCs/>
                <w:color w:val="000000"/>
                <w:sz w:val="36"/>
                <w:szCs w:val="36"/>
              </w:rPr>
              <w:t>湖南省发展和改革委员会</w:t>
            </w:r>
          </w:p>
        </w:tc>
      </w:tr>
    </w:tbl>
    <w:p>
      <w:pPr>
        <w:jc w:val="center"/>
        <w:rPr>
          <w:rFonts w:hint="eastAsia"/>
          <w:color w:val="000000"/>
          <w:sz w:val="30"/>
          <w:szCs w:val="30"/>
        </w:rPr>
      </w:pPr>
    </w:p>
    <w:p>
      <w:pPr>
        <w:pStyle w:val="2"/>
        <w:rPr>
          <w:rFonts w:hint="eastAsia"/>
          <w:color w:val="000000"/>
          <w:sz w:val="30"/>
          <w:szCs w:val="30"/>
        </w:rPr>
      </w:pPr>
    </w:p>
    <w:p>
      <w:pPr>
        <w:pStyle w:val="2"/>
        <w:rPr>
          <w:rFonts w:hint="eastAsia"/>
          <w:color w:val="000000"/>
          <w:sz w:val="30"/>
          <w:szCs w:val="30"/>
        </w:rPr>
      </w:pPr>
    </w:p>
    <w:p>
      <w:pPr>
        <w:autoSpaceDE w:val="0"/>
        <w:autoSpaceDN w:val="0"/>
        <w:adjustRightInd w:val="0"/>
        <w:spacing w:line="500" w:lineRule="exact"/>
        <w:jc w:val="center"/>
        <w:rPr>
          <w:rFonts w:ascii="宋体" w:hAnsi="宋体" w:cs="宋体"/>
          <w:bCs/>
          <w:color w:val="000000"/>
          <w:w w:val="91"/>
          <w:kern w:val="0"/>
          <w:szCs w:val="21"/>
        </w:rPr>
      </w:pPr>
    </w:p>
    <w:p>
      <w:pPr>
        <w:jc w:val="center"/>
        <w:rPr>
          <w:rFonts w:hint="eastAsia" w:ascii="宋体" w:hAnsi="宋体" w:cs="宋体"/>
          <w:bCs/>
          <w:color w:val="000000"/>
          <w:w w:val="91"/>
          <w:kern w:val="0"/>
          <w:sz w:val="36"/>
          <w:szCs w:val="36"/>
        </w:rPr>
      </w:pPr>
      <w:r>
        <w:rPr>
          <w:rFonts w:hint="eastAsia" w:ascii="宋体" w:hAnsi="宋体" w:cs="宋体"/>
          <w:bCs/>
          <w:color w:val="000000"/>
          <w:w w:val="91"/>
          <w:kern w:val="0"/>
          <w:sz w:val="36"/>
          <w:szCs w:val="36"/>
        </w:rPr>
        <w:t>二〇二二年</w:t>
      </w:r>
      <w:r>
        <w:rPr>
          <w:rFonts w:hint="eastAsia" w:ascii="宋体" w:hAnsi="宋体" w:cs="宋体"/>
          <w:bCs/>
          <w:color w:val="000000"/>
          <w:w w:val="91"/>
          <w:kern w:val="0"/>
          <w:sz w:val="36"/>
          <w:szCs w:val="36"/>
          <w:lang w:eastAsia="zh-CN"/>
        </w:rPr>
        <w:t>六</w:t>
      </w:r>
      <w:r>
        <w:rPr>
          <w:rFonts w:hint="eastAsia" w:ascii="宋体" w:hAnsi="宋体" w:cs="宋体"/>
          <w:bCs/>
          <w:color w:val="000000"/>
          <w:w w:val="91"/>
          <w:kern w:val="0"/>
          <w:sz w:val="36"/>
          <w:szCs w:val="36"/>
        </w:rPr>
        <w:t>月</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rPr>
          <w:rFonts w:ascii="宋体" w:hAnsi="宋体" w:cs="宋体"/>
          <w:color w:val="000000"/>
          <w:sz w:val="24"/>
          <w:bdr w:val="single" w:color="auto" w:sz="4" w:space="0"/>
        </w:rPr>
      </w:pPr>
    </w:p>
    <w:p>
      <w:pPr>
        <w:pStyle w:val="2"/>
        <w:rPr>
          <w:rFonts w:ascii="宋体" w:hAnsi="宋体" w:cs="宋体"/>
          <w:color w:val="000000"/>
          <w:sz w:val="24"/>
          <w:bdr w:val="single" w:color="auto" w:sz="4" w:space="0"/>
        </w:rPr>
      </w:pPr>
    </w:p>
    <w:p>
      <w:pPr>
        <w:pStyle w:val="2"/>
        <w:rPr>
          <w:rFonts w:ascii="宋体" w:hAnsi="宋体" w:cs="宋体"/>
          <w:color w:val="000000"/>
          <w:sz w:val="24"/>
          <w:bdr w:val="single" w:color="auto" w:sz="4" w:space="0"/>
        </w:rPr>
      </w:pPr>
    </w:p>
    <w:p>
      <w:pPr>
        <w:pStyle w:val="2"/>
        <w:rPr>
          <w:rFonts w:ascii="宋体" w:hAnsi="宋体" w:cs="宋体"/>
          <w:color w:val="000000"/>
          <w:sz w:val="24"/>
          <w:bdr w:val="single" w:color="auto" w:sz="4" w:space="0"/>
        </w:rPr>
      </w:pPr>
    </w:p>
    <w:p>
      <w:pPr>
        <w:pStyle w:val="2"/>
        <w:rPr>
          <w:rFonts w:ascii="宋体" w:hAnsi="宋体" w:cs="宋体"/>
          <w:color w:val="000000"/>
          <w:sz w:val="24"/>
          <w:bdr w:val="single" w:color="auto" w:sz="4" w:space="0"/>
        </w:rPr>
      </w:pPr>
    </w:p>
    <w:p>
      <w:pPr>
        <w:pStyle w:val="2"/>
        <w:rPr>
          <w:rFonts w:ascii="宋体" w:hAnsi="宋体" w:cs="宋体"/>
          <w:color w:val="000000"/>
          <w:sz w:val="24"/>
          <w:bdr w:val="single" w:color="auto" w:sz="4" w:space="0"/>
        </w:rPr>
      </w:pPr>
    </w:p>
    <w:p>
      <w:pPr>
        <w:pStyle w:val="2"/>
        <w:rPr>
          <w:rFonts w:ascii="宋体" w:hAnsi="宋体" w:cs="宋体"/>
          <w:color w:val="000000"/>
          <w:sz w:val="24"/>
          <w:bdr w:val="single" w:color="auto" w:sz="4" w:space="0"/>
        </w:rPr>
      </w:pPr>
    </w:p>
    <w:p>
      <w:pPr>
        <w:pStyle w:val="2"/>
        <w:rPr>
          <w:rFonts w:ascii="宋体" w:hAnsi="宋体" w:cs="宋体"/>
          <w:color w:val="000000"/>
          <w:sz w:val="24"/>
          <w:bdr w:val="single" w:color="auto" w:sz="4" w:space="0"/>
        </w:rPr>
      </w:pPr>
    </w:p>
    <w:p>
      <w:pPr>
        <w:pStyle w:val="2"/>
        <w:rPr>
          <w:rFonts w:ascii="宋体" w:hAnsi="宋体" w:cs="宋体"/>
          <w:color w:val="000000"/>
          <w:sz w:val="24"/>
          <w:bdr w:val="single" w:color="auto" w:sz="4" w:space="0"/>
        </w:rPr>
      </w:pPr>
    </w:p>
    <w:p>
      <w:pPr>
        <w:pStyle w:val="2"/>
        <w:rPr>
          <w:rFonts w:ascii="宋体" w:hAnsi="宋体" w:cs="宋体"/>
          <w:color w:val="000000"/>
          <w:sz w:val="24"/>
          <w:bdr w:val="single" w:color="auto" w:sz="4" w:space="0"/>
        </w:rPr>
      </w:pPr>
    </w:p>
    <w:p>
      <w:pPr>
        <w:pStyle w:val="2"/>
        <w:rPr>
          <w:rFonts w:ascii="宋体" w:hAnsi="宋体" w:cs="宋体"/>
          <w:color w:val="000000"/>
          <w:sz w:val="24"/>
          <w:bdr w:val="single" w:color="auto" w:sz="4" w:space="0"/>
        </w:rPr>
        <w:sectPr>
          <w:headerReference r:id="rId4" w:type="first"/>
          <w:headerReference r:id="rId3" w:type="default"/>
          <w:pgSz w:w="11906" w:h="16838"/>
          <w:pgMar w:top="1701" w:right="1361" w:bottom="1701" w:left="1474" w:header="1021" w:footer="1021" w:gutter="0"/>
          <w:pgNumType w:start="1"/>
          <w:cols w:space="720" w:num="1"/>
          <w:titlePg/>
          <w:docGrid w:linePitch="312" w:charSpace="0"/>
        </w:sectPr>
      </w:pPr>
    </w:p>
    <w:p>
      <w:pPr>
        <w:spacing w:line="500" w:lineRule="exact"/>
        <w:jc w:val="center"/>
        <w:rPr>
          <w:rFonts w:ascii="宋体" w:hAnsi="宋体" w:cs="宋体"/>
          <w:b/>
          <w:color w:val="000000"/>
          <w:sz w:val="40"/>
          <w:szCs w:val="40"/>
        </w:rPr>
      </w:pPr>
      <w:bookmarkStart w:id="0" w:name="_Toc222029481"/>
      <w:bookmarkStart w:id="1" w:name="_Toc144974495"/>
      <w:bookmarkStart w:id="2" w:name="_Toc168476045"/>
      <w:bookmarkStart w:id="3" w:name="_Toc222030983"/>
      <w:bookmarkStart w:id="4" w:name="_Toc229305341"/>
      <w:bookmarkStart w:id="5" w:name="_Toc222032650"/>
      <w:bookmarkStart w:id="6" w:name="_Toc168475642"/>
      <w:bookmarkStart w:id="7" w:name="_Toc221950007"/>
      <w:bookmarkStart w:id="8" w:name="_Toc222033832"/>
      <w:r>
        <w:rPr>
          <w:rFonts w:hint="eastAsia" w:ascii="宋体" w:hAnsi="宋体" w:cs="宋体"/>
          <w:b/>
          <w:color w:val="000000"/>
          <w:sz w:val="40"/>
          <w:szCs w:val="40"/>
        </w:rPr>
        <w:t>使 用 说 明</w:t>
      </w:r>
    </w:p>
    <w:p>
      <w:pPr>
        <w:spacing w:line="500" w:lineRule="exact"/>
        <w:jc w:val="center"/>
        <w:rPr>
          <w:rFonts w:ascii="宋体" w:hAnsi="宋体" w:cs="宋体"/>
          <w:b/>
          <w:color w:val="000000"/>
          <w:sz w:val="32"/>
          <w:szCs w:val="32"/>
        </w:rPr>
      </w:pPr>
    </w:p>
    <w:p>
      <w:pPr>
        <w:spacing w:line="490" w:lineRule="exact"/>
        <w:ind w:firstLine="560" w:firstLineChars="200"/>
        <w:rPr>
          <w:rFonts w:eastAsia="仿宋"/>
          <w:color w:val="000000"/>
          <w:sz w:val="28"/>
          <w:szCs w:val="28"/>
        </w:rPr>
      </w:pPr>
      <w:r>
        <w:rPr>
          <w:rFonts w:eastAsia="仿宋"/>
          <w:color w:val="000000"/>
          <w:sz w:val="28"/>
          <w:szCs w:val="28"/>
        </w:rPr>
        <w:t>一、《湖南省农田建设项目工程电子招标投标施工招标文件示范文本（202</w:t>
      </w:r>
      <w:r>
        <w:rPr>
          <w:rFonts w:hint="eastAsia" w:eastAsia="仿宋"/>
          <w:color w:val="000000"/>
          <w:sz w:val="28"/>
          <w:szCs w:val="28"/>
        </w:rPr>
        <w:t>2</w:t>
      </w:r>
      <w:r>
        <w:rPr>
          <w:rFonts w:eastAsia="仿宋"/>
          <w:color w:val="000000"/>
          <w:sz w:val="28"/>
          <w:szCs w:val="28"/>
        </w:rPr>
        <w:t>年版）》（以下简称《示范文本》）</w:t>
      </w:r>
      <w:r>
        <w:rPr>
          <w:rFonts w:hint="eastAsia" w:eastAsia="仿宋"/>
          <w:color w:val="000000"/>
          <w:sz w:val="28"/>
          <w:szCs w:val="28"/>
        </w:rPr>
        <w:t>依据</w:t>
      </w:r>
      <w:r>
        <w:rPr>
          <w:rFonts w:eastAsia="仿宋"/>
          <w:color w:val="000000"/>
          <w:sz w:val="28"/>
          <w:szCs w:val="28"/>
        </w:rPr>
        <w:t>《中华人民共和国招标投标法》</w:t>
      </w:r>
      <w:r>
        <w:rPr>
          <w:rFonts w:hint="eastAsia" w:eastAsia="仿宋"/>
          <w:color w:val="000000"/>
          <w:sz w:val="28"/>
          <w:szCs w:val="28"/>
        </w:rPr>
        <w:t>、</w:t>
      </w:r>
      <w:r>
        <w:rPr>
          <w:rFonts w:eastAsia="仿宋"/>
          <w:color w:val="000000"/>
          <w:sz w:val="28"/>
          <w:szCs w:val="28"/>
        </w:rPr>
        <w:t>《中华人民共和国招标投标法实施条例》（国务院令第613号）</w:t>
      </w:r>
      <w:r>
        <w:rPr>
          <w:rFonts w:hint="eastAsia" w:eastAsia="仿宋"/>
          <w:color w:val="000000"/>
          <w:sz w:val="28"/>
          <w:szCs w:val="28"/>
        </w:rPr>
        <w:t>、《湖南省实施&lt;</w:t>
      </w:r>
      <w:r>
        <w:rPr>
          <w:rFonts w:eastAsia="仿宋"/>
          <w:color w:val="000000"/>
          <w:sz w:val="28"/>
          <w:szCs w:val="28"/>
        </w:rPr>
        <w:t>中华人民共和国招标投标法</w:t>
      </w:r>
      <w:r>
        <w:rPr>
          <w:rFonts w:hint="eastAsia" w:eastAsia="仿宋"/>
          <w:color w:val="000000"/>
          <w:sz w:val="28"/>
          <w:szCs w:val="28"/>
        </w:rPr>
        <w:t>&gt;办法》、</w:t>
      </w:r>
      <w:r>
        <w:rPr>
          <w:rFonts w:eastAsia="仿宋"/>
          <w:color w:val="000000"/>
          <w:sz w:val="28"/>
          <w:szCs w:val="28"/>
        </w:rPr>
        <w:t>《标准施工招标文件》（国家发改委等9部委第56号令）、《电子招标投标办法》（国家发改委令第20号）</w:t>
      </w:r>
      <w:r>
        <w:rPr>
          <w:rFonts w:hint="eastAsia" w:eastAsia="仿宋"/>
          <w:color w:val="000000"/>
          <w:sz w:val="28"/>
          <w:szCs w:val="28"/>
        </w:rPr>
        <w:t>、</w:t>
      </w:r>
      <w:r>
        <w:rPr>
          <w:rFonts w:eastAsia="仿宋"/>
          <w:color w:val="000000"/>
          <w:sz w:val="28"/>
          <w:szCs w:val="28"/>
        </w:rPr>
        <w:t>《农田建设项目管理办法》</w:t>
      </w:r>
      <w:r>
        <w:rPr>
          <w:rFonts w:hint="eastAsia" w:eastAsia="仿宋"/>
          <w:color w:val="000000"/>
          <w:sz w:val="28"/>
          <w:szCs w:val="28"/>
        </w:rPr>
        <w:t>（农业农村部2019年第4号令）</w:t>
      </w:r>
      <w:r>
        <w:rPr>
          <w:rFonts w:eastAsia="仿宋"/>
          <w:color w:val="000000"/>
          <w:sz w:val="28"/>
          <w:szCs w:val="28"/>
        </w:rPr>
        <w:t>、《湖南省农田建设项目管理</w:t>
      </w:r>
      <w:r>
        <w:rPr>
          <w:rFonts w:hint="eastAsia" w:eastAsia="仿宋"/>
          <w:color w:val="000000"/>
          <w:sz w:val="28"/>
          <w:szCs w:val="28"/>
        </w:rPr>
        <w:t>实施</w:t>
      </w:r>
      <w:r>
        <w:rPr>
          <w:rFonts w:eastAsia="仿宋"/>
          <w:color w:val="000000"/>
          <w:sz w:val="28"/>
          <w:szCs w:val="28"/>
        </w:rPr>
        <w:t>办法》</w:t>
      </w:r>
      <w:r>
        <w:rPr>
          <w:rFonts w:hint="eastAsia" w:eastAsia="仿宋"/>
          <w:color w:val="000000"/>
          <w:sz w:val="28"/>
          <w:szCs w:val="28"/>
        </w:rPr>
        <w:t>（湘农发〔2020〕</w:t>
      </w:r>
      <w:r>
        <w:rPr>
          <w:rFonts w:hint="eastAsia" w:ascii="仿宋" w:hAnsi="仿宋" w:eastAsia="仿宋" w:cs="仿宋"/>
          <w:color w:val="000000"/>
          <w:sz w:val="28"/>
          <w:szCs w:val="28"/>
        </w:rPr>
        <w:t>61号</w:t>
      </w:r>
      <w:r>
        <w:rPr>
          <w:rFonts w:hint="eastAsia" w:eastAsia="仿宋"/>
          <w:color w:val="000000"/>
          <w:sz w:val="28"/>
          <w:szCs w:val="28"/>
        </w:rPr>
        <w:t>）等编制</w:t>
      </w:r>
      <w:r>
        <w:rPr>
          <w:rFonts w:eastAsia="仿宋"/>
          <w:color w:val="000000"/>
          <w:sz w:val="28"/>
          <w:szCs w:val="28"/>
        </w:rPr>
        <w:t>。</w:t>
      </w:r>
    </w:p>
    <w:p>
      <w:pPr>
        <w:spacing w:line="490" w:lineRule="exact"/>
        <w:ind w:firstLine="560" w:firstLineChars="200"/>
        <w:rPr>
          <w:rFonts w:eastAsia="仿宋"/>
          <w:color w:val="000000"/>
          <w:sz w:val="28"/>
          <w:szCs w:val="28"/>
        </w:rPr>
      </w:pPr>
      <w:r>
        <w:rPr>
          <w:rFonts w:eastAsia="仿宋"/>
          <w:color w:val="000000"/>
          <w:sz w:val="28"/>
          <w:szCs w:val="28"/>
        </w:rPr>
        <w:t>二、《示范文本》适用于本省行政区域内，全部使用国有资金投资或国有资金投资占控股或主导地位的各类</w:t>
      </w:r>
      <w:r>
        <w:rPr>
          <w:rFonts w:hint="eastAsia" w:eastAsia="仿宋"/>
          <w:color w:val="000000"/>
          <w:sz w:val="28"/>
          <w:szCs w:val="28"/>
        </w:rPr>
        <w:t>农田建设项目工程</w:t>
      </w:r>
      <w:r>
        <w:rPr>
          <w:rFonts w:eastAsia="仿宋"/>
          <w:color w:val="000000"/>
          <w:sz w:val="28"/>
          <w:szCs w:val="28"/>
        </w:rPr>
        <w:t>施工招标</w:t>
      </w:r>
      <w:r>
        <w:rPr>
          <w:rFonts w:hint="eastAsia" w:eastAsia="仿宋"/>
          <w:color w:val="000000"/>
          <w:sz w:val="28"/>
          <w:szCs w:val="28"/>
        </w:rPr>
        <w:t>，</w:t>
      </w:r>
      <w:r>
        <w:rPr>
          <w:rFonts w:eastAsia="仿宋"/>
          <w:color w:val="000000"/>
          <w:sz w:val="28"/>
          <w:szCs w:val="28"/>
        </w:rPr>
        <w:t>其他资金投资项目可参照使用。</w:t>
      </w:r>
    </w:p>
    <w:p>
      <w:pPr>
        <w:spacing w:line="490" w:lineRule="exact"/>
        <w:ind w:firstLine="560" w:firstLineChars="200"/>
        <w:rPr>
          <w:rFonts w:eastAsia="仿宋"/>
          <w:color w:val="000000"/>
          <w:sz w:val="28"/>
          <w:szCs w:val="28"/>
        </w:rPr>
      </w:pPr>
      <w:r>
        <w:rPr>
          <w:rFonts w:eastAsia="仿宋"/>
          <w:color w:val="000000"/>
          <w:sz w:val="28"/>
          <w:szCs w:val="28"/>
        </w:rPr>
        <w:t>三、《示范文本》用相同序号标示的章、节、条、款、项、目，供招标人和投标人选择使用。以空格标示的由招标人填写的内容，招标人应根据招标项目具体特点和实际需要具体化，确实没有需要填写的，在空格中用“/”标示。下划线上或下划线旁的括号内容为提示性内容，招标人在编制招标文件或投标人在编制投标文件时，填入具体内容将其覆盖。用下划线标出的引用文件须用最新的文件替代。</w:t>
      </w:r>
    </w:p>
    <w:p>
      <w:pPr>
        <w:spacing w:line="490" w:lineRule="exact"/>
        <w:ind w:firstLine="560" w:firstLineChars="200"/>
        <w:rPr>
          <w:rFonts w:eastAsia="仿宋"/>
          <w:color w:val="000000"/>
          <w:sz w:val="28"/>
          <w:szCs w:val="28"/>
        </w:rPr>
      </w:pPr>
      <w:r>
        <w:rPr>
          <w:rFonts w:eastAsia="仿宋"/>
          <w:color w:val="000000"/>
          <w:sz w:val="28"/>
          <w:szCs w:val="28"/>
        </w:rPr>
        <w:t>四、招标人按照《示范文本》第一章的格式发布招标公告后，将实际发布的招标公告编入招标文件中，作为投标邀请。招标公告应同时注明发布所在的所有媒介名称。</w:t>
      </w:r>
    </w:p>
    <w:p>
      <w:pPr>
        <w:spacing w:line="490" w:lineRule="exact"/>
        <w:ind w:firstLine="560" w:firstLineChars="200"/>
        <w:rPr>
          <w:rFonts w:eastAsia="仿宋"/>
          <w:color w:val="000000"/>
          <w:sz w:val="28"/>
          <w:szCs w:val="28"/>
        </w:rPr>
      </w:pPr>
      <w:r>
        <w:rPr>
          <w:rFonts w:eastAsia="仿宋"/>
          <w:color w:val="000000"/>
          <w:sz w:val="28"/>
          <w:szCs w:val="28"/>
        </w:rPr>
        <w:t>五、《示范文本》第二章“投标人须知”正文和前附表，除以空格标示的由招标人填空的内容、选择性内容和可补充内容外，均应不加修改地直接引用。填空、选择和补充内容由招标人根据国家和地方有关法律法规的规定以及招标项目具体情况确定并用醒目的字体标记。</w:t>
      </w:r>
    </w:p>
    <w:p>
      <w:pPr>
        <w:spacing w:line="490" w:lineRule="exact"/>
        <w:ind w:firstLine="560" w:firstLineChars="200"/>
        <w:rPr>
          <w:rFonts w:eastAsia="仿宋"/>
          <w:color w:val="000000"/>
          <w:sz w:val="28"/>
          <w:szCs w:val="28"/>
        </w:rPr>
      </w:pPr>
      <w:r>
        <w:rPr>
          <w:rFonts w:eastAsia="仿宋"/>
          <w:color w:val="000000"/>
          <w:sz w:val="28"/>
          <w:szCs w:val="28"/>
        </w:rPr>
        <w:t>六、《示范文本》第三章“评标办法”分别规定了综合评估法I、</w:t>
      </w:r>
      <w:r>
        <w:rPr>
          <w:rFonts w:hint="eastAsia" w:eastAsia="仿宋"/>
          <w:color w:val="000000"/>
          <w:sz w:val="28"/>
          <w:szCs w:val="28"/>
        </w:rPr>
        <w:t>综合评估法</w:t>
      </w:r>
      <w:r>
        <w:rPr>
          <w:rFonts w:eastAsia="仿宋"/>
          <w:color w:val="000000"/>
          <w:sz w:val="28"/>
          <w:szCs w:val="28"/>
        </w:rPr>
        <w:t>II和经评审的最低投标价法三种评标方法</w:t>
      </w:r>
      <w:r>
        <w:rPr>
          <w:rFonts w:hint="eastAsia" w:eastAsia="仿宋"/>
          <w:color w:val="000000"/>
          <w:sz w:val="28"/>
          <w:szCs w:val="28"/>
        </w:rPr>
        <w:t>。原则上采用</w:t>
      </w:r>
      <w:r>
        <w:rPr>
          <w:rFonts w:eastAsia="仿宋"/>
          <w:color w:val="000000"/>
          <w:sz w:val="28"/>
          <w:szCs w:val="28"/>
        </w:rPr>
        <w:t>综合评估法I</w:t>
      </w:r>
      <w:r>
        <w:rPr>
          <w:rFonts w:hint="eastAsia" w:eastAsia="仿宋"/>
          <w:color w:val="000000"/>
          <w:sz w:val="28"/>
          <w:szCs w:val="28"/>
        </w:rPr>
        <w:t>或</w:t>
      </w:r>
      <w:r>
        <w:rPr>
          <w:rFonts w:eastAsia="仿宋"/>
          <w:color w:val="000000"/>
          <w:sz w:val="28"/>
          <w:szCs w:val="28"/>
        </w:rPr>
        <w:t>经评审的最低投标价法</w:t>
      </w:r>
      <w:r>
        <w:rPr>
          <w:rFonts w:hint="eastAsia" w:eastAsia="仿宋"/>
          <w:color w:val="000000"/>
          <w:sz w:val="28"/>
          <w:szCs w:val="28"/>
        </w:rPr>
        <w:t>；采用综合评估法</w:t>
      </w:r>
      <w:r>
        <w:rPr>
          <w:rFonts w:eastAsia="仿宋"/>
          <w:color w:val="000000"/>
          <w:sz w:val="28"/>
          <w:szCs w:val="28"/>
        </w:rPr>
        <w:t>II</w:t>
      </w:r>
      <w:r>
        <w:rPr>
          <w:rFonts w:hint="eastAsia" w:eastAsia="仿宋"/>
          <w:color w:val="000000"/>
          <w:sz w:val="28"/>
          <w:szCs w:val="28"/>
        </w:rPr>
        <w:t>的须是</w:t>
      </w:r>
      <w:r>
        <w:rPr>
          <w:rFonts w:eastAsia="仿宋"/>
          <w:color w:val="000000"/>
          <w:sz w:val="28"/>
          <w:szCs w:val="28"/>
        </w:rPr>
        <w:t>工程较复杂、技术难度较大</w:t>
      </w:r>
      <w:r>
        <w:rPr>
          <w:rFonts w:hint="eastAsia" w:eastAsia="仿宋"/>
          <w:color w:val="000000"/>
          <w:sz w:val="28"/>
          <w:szCs w:val="28"/>
        </w:rPr>
        <w:t>、</w:t>
      </w:r>
      <w:r>
        <w:rPr>
          <w:rFonts w:eastAsia="仿宋"/>
          <w:color w:val="000000"/>
          <w:sz w:val="28"/>
          <w:szCs w:val="28"/>
        </w:rPr>
        <w:t>专业性较强</w:t>
      </w:r>
      <w:r>
        <w:rPr>
          <w:rFonts w:hint="eastAsia" w:eastAsia="仿宋"/>
          <w:color w:val="000000"/>
          <w:sz w:val="28"/>
          <w:szCs w:val="28"/>
        </w:rPr>
        <w:t>、投资金额大的</w:t>
      </w:r>
      <w:r>
        <w:rPr>
          <w:rFonts w:eastAsia="仿宋"/>
          <w:color w:val="000000"/>
          <w:sz w:val="28"/>
          <w:szCs w:val="28"/>
        </w:rPr>
        <w:t>农田建设项目工程</w:t>
      </w:r>
      <w:r>
        <w:rPr>
          <w:rFonts w:hint="eastAsia" w:eastAsia="仿宋"/>
          <w:color w:val="000000"/>
          <w:sz w:val="28"/>
          <w:szCs w:val="28"/>
        </w:rPr>
        <w:t>，且经省农业农村主管部门备案。</w:t>
      </w:r>
      <w:r>
        <w:rPr>
          <w:rFonts w:eastAsia="仿宋"/>
          <w:color w:val="000000"/>
          <w:sz w:val="28"/>
          <w:szCs w:val="28"/>
        </w:rPr>
        <w:t>招标人根据招标项目具体特点、相关规定和实际需要选择使用</w:t>
      </w:r>
      <w:r>
        <w:rPr>
          <w:rFonts w:hint="eastAsia" w:eastAsia="仿宋"/>
          <w:color w:val="000000"/>
          <w:sz w:val="28"/>
          <w:szCs w:val="28"/>
        </w:rPr>
        <w:t>，</w:t>
      </w:r>
      <w:r>
        <w:rPr>
          <w:rFonts w:eastAsia="仿宋"/>
          <w:color w:val="000000"/>
          <w:sz w:val="28"/>
          <w:szCs w:val="28"/>
        </w:rPr>
        <w:t>投标报价评审计分方式及各评审因素的权重等由招标人根据有关规定和招标项目具体情况确定。</w:t>
      </w:r>
      <w:r>
        <w:rPr>
          <w:rFonts w:eastAsia="仿宋"/>
          <w:bCs/>
          <w:color w:val="000000"/>
          <w:sz w:val="28"/>
          <w:szCs w:val="28"/>
        </w:rPr>
        <w:t>“评标办法前附表”和正文应列明投标人不满足要求即否决其投标的全部条款，</w:t>
      </w:r>
      <w:r>
        <w:rPr>
          <w:rFonts w:eastAsia="仿宋"/>
          <w:b/>
          <w:bCs/>
          <w:color w:val="000000"/>
          <w:sz w:val="28"/>
          <w:szCs w:val="28"/>
        </w:rPr>
        <w:t>除法律法规及规范性文件规定的强制性条款外，没有列明的不得作为评审的依据。</w:t>
      </w:r>
    </w:p>
    <w:p>
      <w:pPr>
        <w:spacing w:line="490" w:lineRule="exact"/>
        <w:ind w:firstLine="560" w:firstLineChars="200"/>
        <w:rPr>
          <w:rFonts w:eastAsia="仿宋"/>
          <w:color w:val="000000"/>
          <w:sz w:val="28"/>
          <w:szCs w:val="28"/>
        </w:rPr>
      </w:pPr>
      <w:r>
        <w:rPr>
          <w:rFonts w:eastAsia="仿宋"/>
          <w:color w:val="000000"/>
          <w:sz w:val="28"/>
          <w:szCs w:val="28"/>
        </w:rPr>
        <w:t>七、《示范文本》第四章“合同条款及格式”中通用合同条款应全文引用，专用合同条款系对通用合同条款进行补充、细化。除通用合同条款明确专用合同条款可作出不同约定外，专用合同条款补充细化的内容不得与通用合同条款规定相抵触，不得违反法律、法规和行业规章的有关规定和平等、自愿、公平以及诚实信用原则。</w:t>
      </w:r>
    </w:p>
    <w:p>
      <w:pPr>
        <w:spacing w:line="490" w:lineRule="exact"/>
        <w:ind w:firstLine="420"/>
        <w:rPr>
          <w:rFonts w:eastAsia="仿宋"/>
          <w:color w:val="000000"/>
          <w:sz w:val="28"/>
          <w:szCs w:val="28"/>
        </w:rPr>
      </w:pPr>
      <w:r>
        <w:rPr>
          <w:rFonts w:eastAsia="仿宋"/>
          <w:color w:val="000000"/>
          <w:sz w:val="28"/>
          <w:szCs w:val="28"/>
        </w:rPr>
        <w:t>八、第五章“工程量清单”是以《高标准农田建设通则》（GBT30600-2014）、《</w:t>
      </w:r>
      <w:r>
        <w:rPr>
          <w:rFonts w:hint="eastAsia" w:eastAsia="仿宋"/>
          <w:color w:val="000000"/>
          <w:sz w:val="28"/>
          <w:szCs w:val="28"/>
        </w:rPr>
        <w:t>湖南省</w:t>
      </w:r>
      <w:r>
        <w:rPr>
          <w:rFonts w:eastAsia="仿宋"/>
          <w:color w:val="000000"/>
          <w:sz w:val="28"/>
          <w:szCs w:val="28"/>
        </w:rPr>
        <w:t>高标准农田建设</w:t>
      </w:r>
      <w:r>
        <w:rPr>
          <w:rFonts w:hint="eastAsia" w:eastAsia="仿宋"/>
          <w:color w:val="000000"/>
          <w:sz w:val="28"/>
          <w:szCs w:val="28"/>
        </w:rPr>
        <w:t>地方</w:t>
      </w:r>
      <w:r>
        <w:rPr>
          <w:rFonts w:eastAsia="仿宋"/>
          <w:color w:val="000000"/>
          <w:sz w:val="28"/>
          <w:szCs w:val="28"/>
        </w:rPr>
        <w:t>标准》（</w:t>
      </w:r>
      <w:r>
        <w:rPr>
          <w:rFonts w:hint="eastAsia" w:eastAsia="仿宋"/>
          <w:color w:val="000000"/>
          <w:sz w:val="28"/>
          <w:szCs w:val="28"/>
        </w:rPr>
        <w:t>DB43</w:t>
      </w:r>
      <w:r>
        <w:rPr>
          <w:rFonts w:eastAsia="仿宋"/>
          <w:color w:val="000000"/>
          <w:sz w:val="28"/>
          <w:szCs w:val="28"/>
        </w:rPr>
        <w:t>/T</w:t>
      </w:r>
      <w:r>
        <w:rPr>
          <w:rFonts w:hint="eastAsia" w:eastAsia="仿宋"/>
          <w:color w:val="000000"/>
          <w:sz w:val="28"/>
          <w:szCs w:val="28"/>
        </w:rPr>
        <w:t>876-2014</w:t>
      </w:r>
      <w:r>
        <w:rPr>
          <w:rFonts w:eastAsia="仿宋"/>
          <w:color w:val="000000"/>
          <w:sz w:val="28"/>
          <w:szCs w:val="28"/>
        </w:rPr>
        <w:t>）</w:t>
      </w:r>
      <w:r>
        <w:rPr>
          <w:rFonts w:hint="eastAsia" w:eastAsia="仿宋"/>
          <w:color w:val="000000"/>
          <w:sz w:val="28"/>
          <w:szCs w:val="28"/>
        </w:rPr>
        <w:t>、国家标准</w:t>
      </w:r>
      <w:r>
        <w:rPr>
          <w:rFonts w:eastAsia="仿宋"/>
          <w:color w:val="000000"/>
          <w:sz w:val="28"/>
          <w:szCs w:val="28"/>
        </w:rPr>
        <w:t>《水利工程设计概（估）算编制规定》（水总</w:t>
      </w:r>
      <w:r>
        <w:rPr>
          <w:rFonts w:hint="eastAsia" w:eastAsia="仿宋"/>
          <w:color w:val="000000"/>
          <w:sz w:val="28"/>
          <w:szCs w:val="28"/>
        </w:rPr>
        <w:t>〔2014〕</w:t>
      </w:r>
      <w:r>
        <w:rPr>
          <w:rFonts w:eastAsia="仿宋"/>
          <w:color w:val="000000"/>
          <w:sz w:val="28"/>
          <w:szCs w:val="28"/>
        </w:rPr>
        <w:t>429号）</w:t>
      </w:r>
      <w:r>
        <w:rPr>
          <w:rFonts w:hint="eastAsia" w:eastAsia="仿宋"/>
          <w:color w:val="000000"/>
          <w:sz w:val="28"/>
          <w:szCs w:val="28"/>
        </w:rPr>
        <w:t>（报国家审批的项目）、其他项目按《湖南省水利水电工程设计概（估）算编制规定》（湘水建管〔2015〕第130号）、《水利工程工程量清单计价规范》GB50501-2007及湖南省现行水利计价办法补充相关内容</w:t>
      </w:r>
      <w:r>
        <w:rPr>
          <w:rFonts w:eastAsia="仿宋"/>
          <w:color w:val="000000"/>
          <w:sz w:val="28"/>
          <w:szCs w:val="28"/>
        </w:rPr>
        <w:t>，供招标人编制招标工程量清单使用，但应与“投标人须知”“通用合同条款”“专用合同条款”“技术标准和要求（合同技术条款）”“图纸（招标图纸）”相衔接。</w:t>
      </w:r>
    </w:p>
    <w:p>
      <w:pPr>
        <w:spacing w:line="490" w:lineRule="exact"/>
        <w:ind w:firstLine="560" w:firstLineChars="200"/>
        <w:rPr>
          <w:rFonts w:eastAsia="仿宋"/>
          <w:color w:val="000000"/>
          <w:sz w:val="28"/>
          <w:szCs w:val="28"/>
        </w:rPr>
      </w:pPr>
      <w:r>
        <w:rPr>
          <w:rFonts w:eastAsia="仿宋"/>
          <w:color w:val="000000"/>
          <w:sz w:val="28"/>
          <w:szCs w:val="28"/>
        </w:rPr>
        <w:t>九、第六章图纸（招标图纸）提出了图纸有关要求，招标人应根据招标项目具体特点和实际需要，参考本章要求编制，但应注意与“投标人须知”“通用合同条款”“专用合同条款”“技术标准和要求（合同技术条款）”相衔接。</w:t>
      </w:r>
    </w:p>
    <w:p>
      <w:pPr>
        <w:spacing w:line="490" w:lineRule="exact"/>
        <w:ind w:firstLine="560" w:firstLineChars="200"/>
        <w:rPr>
          <w:rFonts w:eastAsia="仿宋"/>
          <w:color w:val="000000"/>
          <w:sz w:val="28"/>
          <w:szCs w:val="28"/>
        </w:rPr>
      </w:pPr>
      <w:r>
        <w:rPr>
          <w:rFonts w:eastAsia="仿宋"/>
          <w:color w:val="000000"/>
          <w:sz w:val="28"/>
          <w:szCs w:val="28"/>
        </w:rPr>
        <w:t>十、第七章“技术标准和要求（合同技术条款）”供参考，招标人可根据招标项目具体特点和实际需要进行修改和补充，但应注意与“通用合同条款”“专用合同条款”“工程量清单”相衔接。“技术标准和要求（合同技术条款）”应符合国家强制性标准，不得要求或标明某一特定的专利、商标、名称、设计、原产地或生产供应者，不得含有倾向或者排斥投标人的其它内容。如果必须采用，则应有“参照或相当于×××技术标准”字样。</w:t>
      </w:r>
    </w:p>
    <w:p>
      <w:pPr>
        <w:spacing w:line="490" w:lineRule="exact"/>
        <w:ind w:firstLine="560" w:firstLineChars="200"/>
        <w:rPr>
          <w:rFonts w:eastAsia="仿宋"/>
          <w:color w:val="000000"/>
          <w:sz w:val="28"/>
          <w:szCs w:val="28"/>
        </w:rPr>
      </w:pPr>
      <w:r>
        <w:rPr>
          <w:rFonts w:eastAsia="仿宋"/>
          <w:color w:val="000000"/>
          <w:sz w:val="28"/>
          <w:szCs w:val="28"/>
        </w:rPr>
        <w:t>“技术标准和要求（合同技术条款）”有关竣工验收（验收）以及质量评定与第四章“合同条款及格式”相关条款不一致时，以第四章“合同条款及格式”中采用的有关条款为准。</w:t>
      </w:r>
    </w:p>
    <w:p>
      <w:pPr>
        <w:spacing w:line="490" w:lineRule="exact"/>
        <w:ind w:firstLine="560" w:firstLineChars="200"/>
        <w:rPr>
          <w:rFonts w:eastAsia="仿宋"/>
          <w:color w:val="000000"/>
          <w:sz w:val="28"/>
          <w:szCs w:val="28"/>
        </w:rPr>
      </w:pPr>
      <w:r>
        <w:rPr>
          <w:rFonts w:eastAsia="仿宋"/>
          <w:color w:val="000000"/>
          <w:sz w:val="28"/>
          <w:szCs w:val="28"/>
        </w:rPr>
        <w:t>十一、投标文件按第八章投标文件格式编制。</w:t>
      </w:r>
    </w:p>
    <w:p>
      <w:pPr>
        <w:spacing w:line="490" w:lineRule="exact"/>
        <w:ind w:firstLine="560" w:firstLineChars="200"/>
        <w:rPr>
          <w:rFonts w:eastAsia="仿宋"/>
          <w:color w:val="000000"/>
          <w:sz w:val="28"/>
          <w:szCs w:val="28"/>
        </w:rPr>
      </w:pPr>
      <w:r>
        <w:rPr>
          <w:rFonts w:eastAsia="仿宋"/>
          <w:color w:val="000000"/>
          <w:sz w:val="28"/>
          <w:szCs w:val="28"/>
        </w:rPr>
        <w:t>十二、水利水电工程相关专业职称包括水利水电工程建筑、水利水电工程管理、工程施工与概预算、水利工程施工、农田水利工程等水利水电类相关专业职称。</w:t>
      </w:r>
    </w:p>
    <w:p>
      <w:pPr>
        <w:spacing w:line="490" w:lineRule="exact"/>
        <w:ind w:firstLine="560" w:firstLineChars="200"/>
        <w:rPr>
          <w:rFonts w:eastAsia="仿宋"/>
          <w:color w:val="000000"/>
          <w:sz w:val="28"/>
          <w:szCs w:val="28"/>
        </w:rPr>
      </w:pPr>
      <w:r>
        <w:rPr>
          <w:rFonts w:hint="eastAsia" w:eastAsia="仿宋"/>
          <w:color w:val="000000"/>
          <w:sz w:val="28"/>
          <w:szCs w:val="28"/>
        </w:rPr>
        <w:t>市政公用工程</w:t>
      </w:r>
      <w:r>
        <w:rPr>
          <w:rFonts w:eastAsia="仿宋"/>
          <w:color w:val="000000"/>
          <w:sz w:val="28"/>
          <w:szCs w:val="28"/>
        </w:rPr>
        <w:t>相关专业职称包括道路与桥梁、给排水、土木工程、工民建、结构、建筑施工、建筑工程等相关专业职称。</w:t>
      </w:r>
    </w:p>
    <w:p>
      <w:pPr>
        <w:spacing w:line="490" w:lineRule="exact"/>
        <w:ind w:firstLine="560" w:firstLineChars="200"/>
        <w:rPr>
          <w:rFonts w:eastAsia="仿宋"/>
          <w:color w:val="000000"/>
          <w:sz w:val="28"/>
          <w:szCs w:val="28"/>
        </w:rPr>
      </w:pPr>
      <w:r>
        <w:rPr>
          <w:rFonts w:eastAsia="仿宋"/>
          <w:color w:val="000000"/>
          <w:sz w:val="28"/>
          <w:szCs w:val="28"/>
        </w:rPr>
        <w:t>建筑工程相关专业职称包括土木工程、工民建、结构、建筑施工、建筑工程、给排水、电气等相关专业职称。</w:t>
      </w:r>
    </w:p>
    <w:p>
      <w:pPr>
        <w:spacing w:line="490" w:lineRule="exact"/>
        <w:ind w:firstLine="560" w:firstLineChars="200"/>
        <w:rPr>
          <w:rFonts w:hint="eastAsia" w:eastAsia="仿宋"/>
          <w:color w:val="000000"/>
          <w:sz w:val="28"/>
          <w:szCs w:val="28"/>
        </w:rPr>
      </w:pPr>
      <w:r>
        <w:rPr>
          <w:rFonts w:hint="eastAsia" w:eastAsia="仿宋"/>
          <w:color w:val="000000"/>
          <w:sz w:val="28"/>
          <w:szCs w:val="28"/>
        </w:rPr>
        <w:t>人力资源和社会保障部门</w:t>
      </w:r>
      <w:r>
        <w:rPr>
          <w:rFonts w:eastAsia="仿宋"/>
          <w:color w:val="000000"/>
          <w:sz w:val="28"/>
          <w:szCs w:val="28"/>
        </w:rPr>
        <w:t>有相关规定的从其规定。</w:t>
      </w:r>
    </w:p>
    <w:p>
      <w:pPr>
        <w:spacing w:line="490" w:lineRule="exact"/>
        <w:ind w:firstLine="560" w:firstLineChars="200"/>
        <w:rPr>
          <w:rFonts w:hint="eastAsia" w:ascii="仿宋" w:hAnsi="仿宋" w:eastAsia="仿宋" w:cs="仿宋"/>
          <w:color w:val="000000"/>
          <w:kern w:val="0"/>
          <w:sz w:val="28"/>
          <w:szCs w:val="32"/>
          <w:shd w:val="clear" w:color="FFFFFF" w:fill="D9D9D9"/>
        </w:rPr>
      </w:pPr>
      <w:r>
        <w:rPr>
          <w:rFonts w:eastAsia="仿宋"/>
          <w:color w:val="000000"/>
          <w:sz w:val="28"/>
          <w:szCs w:val="28"/>
        </w:rPr>
        <w:t>十三、《示范文本》中“以上”“以下”“以内”“不少于” “不超过”除另有约定外均包含本数</w:t>
      </w:r>
      <w:r>
        <w:rPr>
          <w:rFonts w:hint="eastAsia" w:eastAsia="仿宋"/>
          <w:color w:val="000000"/>
          <w:sz w:val="28"/>
          <w:szCs w:val="28"/>
        </w:rPr>
        <w:t>；天：除特别指明外，指日历天。开始当天不计入，从次日开始计算。期限最后一天的截止时间为当天24:00。</w:t>
      </w:r>
    </w:p>
    <w:p>
      <w:pPr>
        <w:spacing w:line="440" w:lineRule="exact"/>
        <w:ind w:firstLine="552" w:firstLineChars="200"/>
        <w:rPr>
          <w:rFonts w:hint="eastAsia" w:eastAsia="仿宋"/>
          <w:color w:val="000000"/>
          <w:spacing w:val="-2"/>
          <w:sz w:val="28"/>
          <w:szCs w:val="28"/>
        </w:rPr>
      </w:pPr>
      <w:r>
        <w:rPr>
          <w:rFonts w:eastAsia="仿宋"/>
          <w:color w:val="000000"/>
          <w:spacing w:val="-2"/>
          <w:sz w:val="28"/>
          <w:szCs w:val="28"/>
        </w:rPr>
        <w:t>十四、《示范文本》为202</w:t>
      </w:r>
      <w:r>
        <w:rPr>
          <w:rFonts w:hint="eastAsia" w:eastAsia="仿宋"/>
          <w:color w:val="000000"/>
          <w:spacing w:val="-2"/>
          <w:sz w:val="28"/>
          <w:szCs w:val="28"/>
        </w:rPr>
        <w:t>2</w:t>
      </w:r>
      <w:r>
        <w:rPr>
          <w:rFonts w:eastAsia="仿宋"/>
          <w:color w:val="000000"/>
          <w:spacing w:val="-2"/>
          <w:sz w:val="28"/>
          <w:szCs w:val="28"/>
        </w:rPr>
        <w:t>年版，自印发之日起执行，有效期5年，将根据实际执行过程中出现的问题以及</w:t>
      </w:r>
      <w:r>
        <w:rPr>
          <w:rFonts w:hint="eastAsia" w:eastAsia="仿宋"/>
          <w:color w:val="000000"/>
          <w:spacing w:val="-2"/>
          <w:sz w:val="28"/>
          <w:szCs w:val="28"/>
        </w:rPr>
        <w:t>法律法规</w:t>
      </w:r>
      <w:r>
        <w:rPr>
          <w:rFonts w:eastAsia="仿宋"/>
          <w:color w:val="000000"/>
          <w:spacing w:val="-2"/>
          <w:sz w:val="28"/>
          <w:szCs w:val="28"/>
        </w:rPr>
        <w:t>规定及时进行修改。执行过程中，本示范文本与国家、省出台新的文件不一致的，按照国家、省出台新的文件执行。使用国际组织或者外国政府贷款、援助资金的项目进行招标，贷款方、资金提供方对招标投标的具体条件和程序有不同规定的，可以适用其规定，但违背中华人民共和国的社会公共利益的除外。各使用单位或个人对《示范文本》的修改意见和建议，可向湖南省农业农村厅反映。</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lang w:val="en-US" w:eastAsia="zh-CN"/>
        </w:rPr>
      </w:pPr>
    </w:p>
    <w:p>
      <w:pPr>
        <w:rPr>
          <w:rFonts w:eastAsia="黑体"/>
          <w:color w:val="000000"/>
          <w:sz w:val="32"/>
          <w:szCs w:val="32"/>
          <w:u w:val="single"/>
        </w:rPr>
        <w:sectPr>
          <w:footerReference r:id="rId6" w:type="default"/>
          <w:headerReference r:id="rId5" w:type="even"/>
          <w:footerReference r:id="rId7" w:type="even"/>
          <w:pgSz w:w="11906" w:h="16838"/>
          <w:pgMar w:top="1701" w:right="1361" w:bottom="1701" w:left="1474" w:header="1021" w:footer="1021" w:gutter="0"/>
          <w:pgNumType w:start="1"/>
          <w:cols w:space="720" w:num="1"/>
          <w:docGrid w:linePitch="312" w:charSpace="0"/>
        </w:sectPr>
      </w:pPr>
    </w:p>
    <w:p>
      <w:pPr>
        <w:pStyle w:val="2"/>
      </w:pPr>
    </w:p>
    <w:p>
      <w:pPr>
        <w:rPr>
          <w:rFonts w:eastAsia="黑体"/>
          <w:color w:val="000000"/>
          <w:sz w:val="32"/>
          <w:szCs w:val="32"/>
          <w:u w:val="single"/>
        </w:rPr>
        <w:sectPr>
          <w:footerReference r:id="rId8" w:type="default"/>
          <w:pgSz w:w="11906" w:h="16838"/>
          <w:pgMar w:top="1701" w:right="1361" w:bottom="1701" w:left="1474" w:header="1021" w:footer="1021" w:gutter="0"/>
          <w:pgNumType w:start="1"/>
          <w:cols w:space="720" w:num="1"/>
          <w:docGrid w:linePitch="312" w:charSpace="0"/>
        </w:sectPr>
      </w:pPr>
    </w:p>
    <w:p>
      <w:pPr>
        <w:pStyle w:val="2"/>
        <w:rPr>
          <w:color w:val="000000"/>
        </w:rPr>
      </w:pPr>
    </w:p>
    <w:p>
      <w:pPr>
        <w:rPr>
          <w:rFonts w:eastAsia="黑体"/>
          <w:color w:val="000000"/>
          <w:sz w:val="32"/>
          <w:szCs w:val="32"/>
        </w:rPr>
      </w:pPr>
      <w:r>
        <w:rPr>
          <w:rFonts w:eastAsia="黑体"/>
          <w:color w:val="000000"/>
          <w:sz w:val="32"/>
          <w:szCs w:val="32"/>
          <w:u w:val="single"/>
        </w:rPr>
        <w:t xml:space="preserve">            </w:t>
      </w:r>
      <w:r>
        <w:rPr>
          <w:rFonts w:eastAsia="黑体"/>
          <w:color w:val="000000"/>
          <w:sz w:val="32"/>
          <w:szCs w:val="32"/>
        </w:rPr>
        <w:t>（项目名称）</w:t>
      </w:r>
      <w:r>
        <w:rPr>
          <w:rFonts w:eastAsia="黑体"/>
          <w:color w:val="000000"/>
          <w:sz w:val="32"/>
          <w:szCs w:val="32"/>
          <w:u w:val="single"/>
        </w:rPr>
        <w:t xml:space="preserve">             </w:t>
      </w:r>
      <w:r>
        <w:rPr>
          <w:rFonts w:eastAsia="黑体"/>
          <w:color w:val="000000"/>
          <w:sz w:val="32"/>
          <w:szCs w:val="32"/>
        </w:rPr>
        <w:t xml:space="preserve"> （标段名称）施工</w:t>
      </w:r>
    </w:p>
    <w:p>
      <w:pPr>
        <w:spacing w:line="288" w:lineRule="auto"/>
        <w:jc w:val="center"/>
        <w:rPr>
          <w:b/>
          <w:bCs/>
          <w:color w:val="000000"/>
          <w:szCs w:val="52"/>
        </w:rPr>
      </w:pPr>
    </w:p>
    <w:p>
      <w:pPr>
        <w:spacing w:line="288" w:lineRule="auto"/>
        <w:jc w:val="center"/>
        <w:rPr>
          <w:b/>
          <w:bCs/>
          <w:color w:val="000000"/>
          <w:szCs w:val="52"/>
        </w:rPr>
      </w:pPr>
    </w:p>
    <w:p>
      <w:pPr>
        <w:spacing w:line="288" w:lineRule="auto"/>
        <w:jc w:val="center"/>
        <w:rPr>
          <w:b/>
          <w:bCs/>
          <w:color w:val="000000"/>
          <w:szCs w:val="52"/>
        </w:rPr>
      </w:pPr>
    </w:p>
    <w:p>
      <w:pPr>
        <w:spacing w:line="288" w:lineRule="auto"/>
        <w:jc w:val="center"/>
        <w:rPr>
          <w:b/>
          <w:bCs/>
          <w:color w:val="000000"/>
          <w:szCs w:val="52"/>
        </w:rPr>
      </w:pPr>
    </w:p>
    <w:p>
      <w:pPr>
        <w:jc w:val="center"/>
        <w:rPr>
          <w:rFonts w:eastAsia="方正小标宋_GBK"/>
          <w:b/>
          <w:bCs/>
          <w:color w:val="000000"/>
          <w:sz w:val="72"/>
          <w:szCs w:val="72"/>
        </w:rPr>
      </w:pPr>
      <w:r>
        <w:rPr>
          <w:rFonts w:eastAsia="方正小标宋_GBK"/>
          <w:b/>
          <w:bCs/>
          <w:color w:val="000000"/>
          <w:sz w:val="72"/>
          <w:szCs w:val="72"/>
        </w:rPr>
        <w:t>招 标 文 件</w:t>
      </w:r>
    </w:p>
    <w:p>
      <w:pPr>
        <w:spacing w:line="600" w:lineRule="exact"/>
        <w:jc w:val="center"/>
        <w:rPr>
          <w:rFonts w:eastAsia="方正小标宋_GBK"/>
          <w:b/>
          <w:bCs/>
          <w:color w:val="000000"/>
          <w:sz w:val="72"/>
          <w:szCs w:val="72"/>
        </w:rPr>
      </w:pPr>
    </w:p>
    <w:p>
      <w:pPr>
        <w:jc w:val="center"/>
        <w:rPr>
          <w:rFonts w:eastAsia="楷体_GB2312"/>
          <w:b/>
          <w:bCs/>
          <w:color w:val="000000"/>
          <w:sz w:val="32"/>
          <w:szCs w:val="30"/>
        </w:rPr>
      </w:pPr>
      <w:r>
        <w:rPr>
          <w:rFonts w:eastAsia="楷体_GB2312"/>
          <w:b/>
          <w:bCs/>
          <w:color w:val="000000"/>
          <w:sz w:val="32"/>
          <w:szCs w:val="30"/>
        </w:rPr>
        <w:t>（项目管理编号：</w:t>
      </w:r>
      <w:r>
        <w:rPr>
          <w:rFonts w:eastAsia="楷体_GB2312"/>
          <w:b/>
          <w:bCs/>
          <w:color w:val="000000"/>
          <w:sz w:val="32"/>
          <w:szCs w:val="30"/>
          <w:u w:val="single"/>
        </w:rPr>
        <w:t xml:space="preserve">  （填入项目管理编号）  </w:t>
      </w:r>
      <w:r>
        <w:rPr>
          <w:rFonts w:eastAsia="楷体_GB2312"/>
          <w:b/>
          <w:bCs/>
          <w:color w:val="000000"/>
          <w:sz w:val="32"/>
          <w:szCs w:val="30"/>
        </w:rPr>
        <w:t>）</w:t>
      </w:r>
    </w:p>
    <w:p>
      <w:pPr>
        <w:spacing w:line="600" w:lineRule="exact"/>
        <w:jc w:val="center"/>
        <w:rPr>
          <w:rFonts w:eastAsia="方正小标宋_GBK"/>
          <w:b/>
          <w:bCs/>
          <w:color w:val="000000"/>
          <w:sz w:val="72"/>
          <w:szCs w:val="72"/>
        </w:rPr>
      </w:pPr>
    </w:p>
    <w:p>
      <w:pPr>
        <w:spacing w:line="600" w:lineRule="exact"/>
        <w:jc w:val="center"/>
        <w:rPr>
          <w:rFonts w:eastAsia="方正小标宋_GBK"/>
          <w:b/>
          <w:bCs/>
          <w:color w:val="000000"/>
          <w:sz w:val="72"/>
          <w:szCs w:val="72"/>
        </w:rPr>
      </w:pPr>
    </w:p>
    <w:p>
      <w:pPr>
        <w:spacing w:line="600" w:lineRule="exact"/>
        <w:jc w:val="center"/>
        <w:rPr>
          <w:rFonts w:eastAsia="方正小标宋_GBK"/>
          <w:b/>
          <w:bCs/>
          <w:color w:val="000000"/>
          <w:sz w:val="72"/>
          <w:szCs w:val="72"/>
        </w:rPr>
      </w:pPr>
    </w:p>
    <w:p>
      <w:pPr>
        <w:spacing w:line="600" w:lineRule="exact"/>
        <w:jc w:val="center"/>
        <w:rPr>
          <w:rFonts w:eastAsia="方正小标宋_GBK"/>
          <w:b/>
          <w:bCs/>
          <w:color w:val="000000"/>
          <w:sz w:val="72"/>
          <w:szCs w:val="72"/>
        </w:rPr>
      </w:pPr>
    </w:p>
    <w:p>
      <w:pPr>
        <w:spacing w:line="600" w:lineRule="exact"/>
        <w:jc w:val="center"/>
        <w:rPr>
          <w:rFonts w:eastAsia="方正小标宋_GBK"/>
          <w:b/>
          <w:bCs/>
          <w:color w:val="000000"/>
          <w:sz w:val="72"/>
          <w:szCs w:val="72"/>
        </w:rPr>
      </w:pPr>
    </w:p>
    <w:p>
      <w:pPr>
        <w:spacing w:line="600" w:lineRule="exact"/>
        <w:jc w:val="center"/>
        <w:rPr>
          <w:rFonts w:eastAsia="方正小标宋_GBK"/>
          <w:b/>
          <w:bCs/>
          <w:color w:val="000000"/>
          <w:sz w:val="72"/>
          <w:szCs w:val="72"/>
        </w:rPr>
      </w:pPr>
    </w:p>
    <w:p>
      <w:pPr>
        <w:spacing w:line="600" w:lineRule="exact"/>
        <w:jc w:val="center"/>
        <w:rPr>
          <w:rFonts w:eastAsia="方正小标宋_GBK"/>
          <w:b/>
          <w:bCs/>
          <w:color w:val="000000"/>
          <w:sz w:val="72"/>
          <w:szCs w:val="72"/>
        </w:rPr>
      </w:pPr>
    </w:p>
    <w:p>
      <w:pPr>
        <w:spacing w:line="600" w:lineRule="exact"/>
        <w:jc w:val="center"/>
        <w:rPr>
          <w:rFonts w:eastAsia="方正小标宋_GBK"/>
          <w:b/>
          <w:bCs/>
          <w:color w:val="000000"/>
          <w:sz w:val="72"/>
          <w:szCs w:val="72"/>
        </w:rPr>
      </w:pPr>
    </w:p>
    <w:p>
      <w:pPr>
        <w:spacing w:line="800" w:lineRule="exact"/>
        <w:ind w:firstLine="1219" w:firstLineChars="381"/>
        <w:jc w:val="left"/>
        <w:rPr>
          <w:rFonts w:eastAsia="黑体"/>
          <w:bCs/>
          <w:color w:val="000000"/>
          <w:kern w:val="0"/>
          <w:sz w:val="32"/>
          <w:szCs w:val="32"/>
          <w:u w:val="single"/>
        </w:rPr>
      </w:pPr>
      <w:r>
        <w:rPr>
          <w:rFonts w:eastAsia="黑体"/>
          <w:bCs/>
          <w:color w:val="000000"/>
          <w:kern w:val="0"/>
          <w:sz w:val="32"/>
          <w:szCs w:val="32"/>
        </w:rPr>
        <w:t>招  标  人：</w:t>
      </w:r>
      <w:r>
        <w:rPr>
          <w:rFonts w:eastAsia="黑体"/>
          <w:bCs/>
          <w:color w:val="000000"/>
          <w:kern w:val="0"/>
          <w:sz w:val="32"/>
          <w:szCs w:val="32"/>
          <w:u w:val="single"/>
        </w:rPr>
        <w:t>（填入招标人全称</w:t>
      </w:r>
      <w:r>
        <w:rPr>
          <w:rFonts w:hint="eastAsia" w:eastAsia="黑体"/>
          <w:bCs/>
          <w:color w:val="000000"/>
          <w:kern w:val="0"/>
          <w:sz w:val="32"/>
          <w:szCs w:val="32"/>
          <w:u w:val="single"/>
        </w:rPr>
        <w:t>并加盖公章</w:t>
      </w:r>
      <w:r>
        <w:rPr>
          <w:rFonts w:eastAsia="黑体"/>
          <w:bCs/>
          <w:color w:val="000000"/>
          <w:kern w:val="0"/>
          <w:sz w:val="32"/>
          <w:szCs w:val="32"/>
          <w:u w:val="single"/>
        </w:rPr>
        <w:t>）</w:t>
      </w:r>
    </w:p>
    <w:p>
      <w:pPr>
        <w:spacing w:line="800" w:lineRule="exact"/>
        <w:ind w:firstLine="1219" w:firstLineChars="381"/>
        <w:rPr>
          <w:rFonts w:eastAsia="黑体"/>
          <w:bCs/>
          <w:color w:val="000000"/>
          <w:kern w:val="0"/>
          <w:sz w:val="32"/>
          <w:szCs w:val="32"/>
          <w:u w:val="single"/>
        </w:rPr>
      </w:pPr>
      <w:r>
        <w:rPr>
          <w:rFonts w:eastAsia="黑体"/>
          <w:bCs/>
          <w:color w:val="000000"/>
          <w:kern w:val="0"/>
          <w:sz w:val="32"/>
          <w:szCs w:val="32"/>
        </w:rPr>
        <w:t>招标代理人：</w:t>
      </w:r>
      <w:r>
        <w:rPr>
          <w:rFonts w:eastAsia="黑体"/>
          <w:bCs/>
          <w:color w:val="000000"/>
          <w:kern w:val="0"/>
          <w:sz w:val="32"/>
          <w:szCs w:val="32"/>
          <w:u w:val="single"/>
        </w:rPr>
        <w:t>（填入招标代理人全称</w:t>
      </w:r>
      <w:r>
        <w:rPr>
          <w:rFonts w:hint="eastAsia" w:eastAsia="黑体"/>
          <w:bCs/>
          <w:color w:val="000000"/>
          <w:kern w:val="0"/>
          <w:sz w:val="32"/>
          <w:szCs w:val="32"/>
          <w:u w:val="single"/>
        </w:rPr>
        <w:t>并加盖公章</w:t>
      </w:r>
      <w:r>
        <w:rPr>
          <w:rFonts w:eastAsia="黑体"/>
          <w:bCs/>
          <w:color w:val="000000"/>
          <w:kern w:val="0"/>
          <w:sz w:val="32"/>
          <w:szCs w:val="32"/>
          <w:u w:val="single"/>
        </w:rPr>
        <w:t>）</w:t>
      </w:r>
    </w:p>
    <w:p>
      <w:pPr>
        <w:spacing w:line="800" w:lineRule="exact"/>
        <w:ind w:firstLine="1219" w:firstLineChars="381"/>
        <w:rPr>
          <w:rFonts w:eastAsia="黑体"/>
          <w:bCs/>
          <w:color w:val="000000"/>
          <w:kern w:val="0"/>
          <w:sz w:val="32"/>
          <w:szCs w:val="32"/>
          <w:u w:val="single"/>
        </w:rPr>
      </w:pPr>
      <w:r>
        <w:rPr>
          <w:rFonts w:eastAsia="黑体"/>
          <w:bCs/>
          <w:color w:val="000000"/>
          <w:kern w:val="0"/>
          <w:sz w:val="32"/>
          <w:szCs w:val="32"/>
        </w:rPr>
        <w:t>招标代理</w:t>
      </w:r>
      <w:r>
        <w:rPr>
          <w:rFonts w:hint="eastAsia" w:eastAsia="黑体"/>
          <w:bCs/>
          <w:color w:val="000000"/>
          <w:kern w:val="0"/>
          <w:sz w:val="32"/>
          <w:szCs w:val="32"/>
        </w:rPr>
        <w:t>项目负责</w:t>
      </w:r>
      <w:r>
        <w:rPr>
          <w:rFonts w:eastAsia="黑体"/>
          <w:bCs/>
          <w:color w:val="000000"/>
          <w:kern w:val="0"/>
          <w:sz w:val="32"/>
          <w:szCs w:val="32"/>
        </w:rPr>
        <w:t>人：</w:t>
      </w:r>
      <w:r>
        <w:rPr>
          <w:rFonts w:eastAsia="黑体"/>
          <w:bCs/>
          <w:color w:val="000000"/>
          <w:kern w:val="0"/>
          <w:sz w:val="32"/>
          <w:szCs w:val="32"/>
          <w:u w:val="single"/>
        </w:rPr>
        <w:t>（填入招标代理</w:t>
      </w:r>
      <w:r>
        <w:rPr>
          <w:rFonts w:hint="eastAsia" w:eastAsia="黑体"/>
          <w:bCs/>
          <w:color w:val="000000"/>
          <w:kern w:val="0"/>
          <w:sz w:val="32"/>
          <w:szCs w:val="32"/>
          <w:u w:val="single"/>
        </w:rPr>
        <w:t>项目负责人全名</w:t>
      </w:r>
      <w:r>
        <w:rPr>
          <w:rFonts w:eastAsia="黑体"/>
          <w:bCs/>
          <w:color w:val="000000"/>
          <w:kern w:val="0"/>
          <w:sz w:val="32"/>
          <w:szCs w:val="32"/>
          <w:u w:val="single"/>
        </w:rPr>
        <w:t>）</w:t>
      </w:r>
    </w:p>
    <w:p>
      <w:pPr>
        <w:spacing w:line="800" w:lineRule="exact"/>
        <w:ind w:firstLine="1219" w:firstLineChars="381"/>
        <w:rPr>
          <w:rFonts w:eastAsia="黑体"/>
          <w:bCs/>
          <w:color w:val="000000"/>
          <w:kern w:val="0"/>
          <w:sz w:val="32"/>
          <w:szCs w:val="32"/>
          <w:u w:val="single"/>
        </w:rPr>
      </w:pPr>
    </w:p>
    <w:p>
      <w:pPr>
        <w:pStyle w:val="2"/>
      </w:pPr>
    </w:p>
    <w:p>
      <w:pPr>
        <w:spacing w:line="800" w:lineRule="exact"/>
        <w:ind w:firstLine="3123" w:firstLineChars="976"/>
        <w:jc w:val="left"/>
        <w:rPr>
          <w:rFonts w:hint="eastAsia" w:eastAsia="黑体"/>
          <w:bCs/>
          <w:color w:val="000000"/>
          <w:sz w:val="32"/>
          <w:szCs w:val="32"/>
        </w:rPr>
      </w:pPr>
      <w:r>
        <w:rPr>
          <w:rFonts w:eastAsia="黑体"/>
          <w:bCs/>
          <w:color w:val="000000"/>
          <w:sz w:val="32"/>
          <w:szCs w:val="32"/>
          <w:u w:val="single"/>
        </w:rPr>
        <w:t xml:space="preserve">        </w:t>
      </w:r>
      <w:r>
        <w:rPr>
          <w:rFonts w:eastAsia="黑体"/>
          <w:bCs/>
          <w:color w:val="000000"/>
          <w:sz w:val="32"/>
          <w:szCs w:val="32"/>
        </w:rPr>
        <w:t>年</w:t>
      </w:r>
      <w:r>
        <w:rPr>
          <w:rFonts w:eastAsia="黑体"/>
          <w:bCs/>
          <w:color w:val="000000"/>
          <w:sz w:val="32"/>
          <w:szCs w:val="32"/>
          <w:u w:val="single"/>
        </w:rPr>
        <w:t xml:space="preserve">     </w:t>
      </w:r>
      <w:r>
        <w:rPr>
          <w:rFonts w:eastAsia="黑体"/>
          <w:bCs/>
          <w:color w:val="000000"/>
          <w:sz w:val="32"/>
          <w:szCs w:val="32"/>
        </w:rPr>
        <w:t>月</w:t>
      </w:r>
    </w:p>
    <w:p>
      <w:pPr>
        <w:pStyle w:val="2"/>
        <w:rPr>
          <w:lang w:val="en-US" w:eastAsia="zh-CN"/>
        </w:rPr>
      </w:pPr>
    </w:p>
    <w:p>
      <w:pPr>
        <w:pStyle w:val="2"/>
        <w:rPr>
          <w:lang w:val="en-US" w:eastAsia="zh-CN"/>
        </w:rPr>
        <w:sectPr>
          <w:footerReference r:id="rId9" w:type="default"/>
          <w:pgSz w:w="11906" w:h="16838"/>
          <w:pgMar w:top="1701" w:right="1361" w:bottom="1701" w:left="1474" w:header="1021" w:footer="1021" w:gutter="0"/>
          <w:pgNumType w:start="1"/>
          <w:cols w:space="720" w:num="1"/>
          <w:docGrid w:linePitch="312" w:charSpace="0"/>
        </w:sectPr>
      </w:pPr>
    </w:p>
    <w:p>
      <w:pPr>
        <w:pStyle w:val="2"/>
        <w:spacing w:after="0" w:line="600" w:lineRule="exact"/>
        <w:jc w:val="center"/>
        <w:rPr>
          <w:rFonts w:eastAsia="方正小标宋_GBK"/>
          <w:b/>
          <w:color w:val="000000"/>
          <w:sz w:val="40"/>
          <w:szCs w:val="36"/>
        </w:rPr>
      </w:pPr>
      <w:bookmarkStart w:id="9" w:name="_Toc221949919"/>
      <w:bookmarkStart w:id="10" w:name="_Toc387753530"/>
      <w:r>
        <w:rPr>
          <w:rFonts w:eastAsia="方正小标宋_GBK"/>
          <w:b/>
          <w:color w:val="000000"/>
          <w:sz w:val="40"/>
          <w:szCs w:val="36"/>
        </w:rPr>
        <w:t>目    录</w:t>
      </w:r>
    </w:p>
    <w:p>
      <w:pPr>
        <w:rPr>
          <w:color w:val="000000"/>
        </w:rPr>
      </w:pPr>
    </w:p>
    <w:p>
      <w:pPr>
        <w:pStyle w:val="161"/>
        <w:tabs>
          <w:tab w:val="right" w:leader="dot" w:pos="9070"/>
        </w:tabs>
        <w:spacing w:line="360" w:lineRule="auto"/>
        <w:jc w:val="both"/>
        <w:rPr>
          <w:rFonts w:eastAsia="黑体"/>
          <w:color w:val="000000"/>
          <w:sz w:val="32"/>
          <w:szCs w:val="32"/>
        </w:rPr>
      </w:pPr>
      <w:r>
        <w:rPr>
          <w:rFonts w:eastAsia="仿宋"/>
          <w:color w:val="000000"/>
          <w:sz w:val="28"/>
          <w:szCs w:val="28"/>
        </w:rPr>
        <w:fldChar w:fldCharType="begin"/>
      </w:r>
      <w:r>
        <w:rPr>
          <w:rFonts w:eastAsia="仿宋"/>
          <w:color w:val="000000"/>
          <w:sz w:val="28"/>
          <w:szCs w:val="28"/>
        </w:rPr>
        <w:instrText xml:space="preserve">TOC \o "1-3" \h \u </w:instrText>
      </w:r>
      <w:r>
        <w:rPr>
          <w:rFonts w:eastAsia="仿宋"/>
          <w:color w:val="000000"/>
          <w:sz w:val="28"/>
          <w:szCs w:val="28"/>
        </w:rPr>
        <w:fldChar w:fldCharType="separate"/>
      </w:r>
      <w:r>
        <w:rPr>
          <w:rFonts w:eastAsia="黑体"/>
          <w:color w:val="000000"/>
          <w:sz w:val="32"/>
          <w:szCs w:val="32"/>
        </w:rPr>
        <w:fldChar w:fldCharType="begin"/>
      </w:r>
      <w:r>
        <w:rPr>
          <w:rFonts w:eastAsia="黑体"/>
          <w:color w:val="000000"/>
          <w:sz w:val="32"/>
          <w:szCs w:val="32"/>
        </w:rPr>
        <w:instrText xml:space="preserve"> HYPERLINK \l _Toc25170 </w:instrText>
      </w:r>
      <w:r>
        <w:rPr>
          <w:rFonts w:eastAsia="黑体"/>
          <w:color w:val="000000"/>
          <w:sz w:val="32"/>
          <w:szCs w:val="32"/>
        </w:rPr>
        <w:fldChar w:fldCharType="separate"/>
      </w:r>
      <w:r>
        <w:rPr>
          <w:rFonts w:eastAsia="黑体"/>
          <w:bCs/>
          <w:color w:val="000000"/>
          <w:spacing w:val="40"/>
          <w:sz w:val="32"/>
          <w:szCs w:val="32"/>
        </w:rPr>
        <w:t>第一卷</w:t>
      </w:r>
      <w:r>
        <w:rPr>
          <w:rFonts w:eastAsia="黑体"/>
          <w:color w:val="000000"/>
          <w:sz w:val="32"/>
          <w:szCs w:val="32"/>
        </w:rPr>
        <w:tab/>
      </w:r>
      <w:r>
        <w:rPr>
          <w:rFonts w:eastAsia="黑体"/>
          <w:color w:val="000000"/>
          <w:sz w:val="32"/>
          <w:szCs w:val="32"/>
        </w:rPr>
        <w:fldChar w:fldCharType="begin"/>
      </w:r>
      <w:r>
        <w:rPr>
          <w:rFonts w:eastAsia="黑体"/>
          <w:color w:val="000000"/>
          <w:sz w:val="32"/>
          <w:szCs w:val="32"/>
        </w:rPr>
        <w:instrText xml:space="preserve"> PAGEREF _Toc25170 \h </w:instrText>
      </w:r>
      <w:r>
        <w:rPr>
          <w:rFonts w:eastAsia="黑体"/>
          <w:color w:val="000000"/>
          <w:sz w:val="32"/>
          <w:szCs w:val="32"/>
        </w:rPr>
        <w:fldChar w:fldCharType="separate"/>
      </w:r>
      <w:r>
        <w:rPr>
          <w:rFonts w:eastAsia="黑体"/>
          <w:color w:val="000000"/>
          <w:sz w:val="32"/>
          <w:szCs w:val="32"/>
        </w:rPr>
        <w:t>1</w:t>
      </w:r>
      <w:r>
        <w:rPr>
          <w:rFonts w:eastAsia="黑体"/>
          <w:color w:val="000000"/>
          <w:sz w:val="32"/>
          <w:szCs w:val="32"/>
        </w:rPr>
        <w:fldChar w:fldCharType="end"/>
      </w:r>
      <w:r>
        <w:rPr>
          <w:rFonts w:eastAsia="黑体"/>
          <w:color w:val="000000"/>
          <w:sz w:val="32"/>
          <w:szCs w:val="32"/>
        </w:rPr>
        <w:fldChar w:fldCharType="end"/>
      </w:r>
    </w:p>
    <w:p>
      <w:pPr>
        <w:pStyle w:val="161"/>
        <w:tabs>
          <w:tab w:val="right" w:leader="dot" w:pos="9070"/>
        </w:tabs>
        <w:spacing w:line="360" w:lineRule="auto"/>
        <w:ind w:firstLine="320" w:firstLineChars="100"/>
        <w:jc w:val="both"/>
        <w:rPr>
          <w:rFonts w:eastAsia="仿宋"/>
          <w:color w:val="000000"/>
          <w:sz w:val="28"/>
          <w:szCs w:val="28"/>
        </w:rPr>
      </w:pPr>
      <w:r>
        <w:rPr>
          <w:rFonts w:eastAsia="黑体"/>
          <w:color w:val="000000"/>
          <w:sz w:val="32"/>
          <w:szCs w:val="32"/>
        </w:rPr>
        <w:fldChar w:fldCharType="begin"/>
      </w:r>
      <w:r>
        <w:rPr>
          <w:rFonts w:eastAsia="黑体"/>
          <w:color w:val="000000"/>
          <w:sz w:val="32"/>
          <w:szCs w:val="32"/>
        </w:rPr>
        <w:instrText xml:space="preserve"> HYPERLINK \l _Toc4433 </w:instrText>
      </w:r>
      <w:r>
        <w:rPr>
          <w:rFonts w:eastAsia="黑体"/>
          <w:color w:val="000000"/>
          <w:sz w:val="32"/>
          <w:szCs w:val="32"/>
        </w:rPr>
        <w:fldChar w:fldCharType="separate"/>
      </w:r>
      <w:r>
        <w:rPr>
          <w:rFonts w:eastAsia="黑体"/>
          <w:color w:val="000000"/>
          <w:sz w:val="32"/>
          <w:szCs w:val="32"/>
        </w:rPr>
        <w:t>第一章  招标公告</w:t>
      </w:r>
      <w:r>
        <w:rPr>
          <w:rFonts w:eastAsia="黑体"/>
          <w:color w:val="000000"/>
          <w:sz w:val="32"/>
          <w:szCs w:val="32"/>
        </w:rPr>
        <w:tab/>
      </w:r>
      <w:r>
        <w:rPr>
          <w:rFonts w:eastAsia="黑体"/>
          <w:color w:val="000000"/>
          <w:sz w:val="32"/>
          <w:szCs w:val="32"/>
        </w:rPr>
        <w:fldChar w:fldCharType="begin"/>
      </w:r>
      <w:r>
        <w:rPr>
          <w:rFonts w:eastAsia="黑体"/>
          <w:color w:val="000000"/>
          <w:sz w:val="32"/>
          <w:szCs w:val="32"/>
        </w:rPr>
        <w:instrText xml:space="preserve"> PAGEREF _Toc4433 \h </w:instrText>
      </w:r>
      <w:r>
        <w:rPr>
          <w:rFonts w:eastAsia="黑体"/>
          <w:color w:val="000000"/>
          <w:sz w:val="32"/>
          <w:szCs w:val="32"/>
        </w:rPr>
        <w:fldChar w:fldCharType="separate"/>
      </w:r>
      <w:r>
        <w:rPr>
          <w:rFonts w:eastAsia="黑体"/>
          <w:color w:val="000000"/>
          <w:sz w:val="32"/>
          <w:szCs w:val="32"/>
        </w:rPr>
        <w:t>2</w:t>
      </w:r>
      <w:r>
        <w:rPr>
          <w:rFonts w:eastAsia="黑体"/>
          <w:color w:val="000000"/>
          <w:sz w:val="32"/>
          <w:szCs w:val="32"/>
        </w:rPr>
        <w:fldChar w:fldCharType="end"/>
      </w:r>
      <w:r>
        <w:rPr>
          <w:rFonts w:eastAsia="黑体"/>
          <w:color w:val="000000"/>
          <w:sz w:val="32"/>
          <w:szCs w:val="32"/>
        </w:rPr>
        <w:fldChar w:fldCharType="end"/>
      </w:r>
    </w:p>
    <w:p>
      <w:pPr>
        <w:pStyle w:val="142"/>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_Toc933 </w:instrText>
      </w:r>
      <w:r>
        <w:rPr>
          <w:rFonts w:eastAsia="仿宋"/>
          <w:color w:val="000000"/>
          <w:sz w:val="28"/>
          <w:szCs w:val="28"/>
        </w:rPr>
        <w:fldChar w:fldCharType="separate"/>
      </w:r>
      <w:r>
        <w:rPr>
          <w:rFonts w:eastAsia="仿宋"/>
          <w:color w:val="000000"/>
          <w:kern w:val="2"/>
          <w:sz w:val="28"/>
          <w:szCs w:val="28"/>
        </w:rPr>
        <w:t>1</w:t>
      </w:r>
      <w:r>
        <w:rPr>
          <w:rFonts w:eastAsia="仿宋"/>
          <w:color w:val="000000"/>
          <w:sz w:val="28"/>
          <w:szCs w:val="28"/>
        </w:rPr>
        <w:t>．</w:t>
      </w:r>
      <w:r>
        <w:rPr>
          <w:rFonts w:eastAsia="仿宋"/>
          <w:color w:val="000000"/>
          <w:kern w:val="2"/>
          <w:sz w:val="28"/>
          <w:szCs w:val="28"/>
        </w:rPr>
        <w:t>招标条件</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_Toc933 \h </w:instrText>
      </w:r>
      <w:r>
        <w:rPr>
          <w:rFonts w:eastAsia="仿宋"/>
          <w:color w:val="000000"/>
          <w:sz w:val="28"/>
          <w:szCs w:val="28"/>
        </w:rPr>
        <w:fldChar w:fldCharType="separate"/>
      </w:r>
      <w:r>
        <w:rPr>
          <w:rFonts w:eastAsia="仿宋"/>
          <w:color w:val="000000"/>
          <w:sz w:val="28"/>
          <w:szCs w:val="28"/>
        </w:rPr>
        <w:t>2</w:t>
      </w:r>
      <w:r>
        <w:rPr>
          <w:rFonts w:eastAsia="仿宋"/>
          <w:color w:val="000000"/>
          <w:sz w:val="28"/>
          <w:szCs w:val="28"/>
        </w:rPr>
        <w:fldChar w:fldCharType="end"/>
      </w:r>
      <w:r>
        <w:rPr>
          <w:rFonts w:eastAsia="仿宋"/>
          <w:color w:val="000000"/>
          <w:sz w:val="28"/>
          <w:szCs w:val="28"/>
        </w:rPr>
        <w:fldChar w:fldCharType="end"/>
      </w:r>
    </w:p>
    <w:p>
      <w:pPr>
        <w:pStyle w:val="142"/>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_Toc4963 </w:instrText>
      </w:r>
      <w:r>
        <w:rPr>
          <w:rFonts w:eastAsia="仿宋"/>
          <w:color w:val="000000"/>
          <w:sz w:val="28"/>
          <w:szCs w:val="28"/>
        </w:rPr>
        <w:fldChar w:fldCharType="separate"/>
      </w:r>
      <w:r>
        <w:rPr>
          <w:rFonts w:eastAsia="仿宋"/>
          <w:color w:val="000000"/>
          <w:kern w:val="2"/>
          <w:sz w:val="28"/>
          <w:szCs w:val="28"/>
        </w:rPr>
        <w:t>2</w:t>
      </w:r>
      <w:r>
        <w:rPr>
          <w:rFonts w:eastAsia="仿宋"/>
          <w:color w:val="000000"/>
          <w:sz w:val="28"/>
          <w:szCs w:val="28"/>
        </w:rPr>
        <w:t>．</w:t>
      </w:r>
      <w:r>
        <w:rPr>
          <w:rFonts w:eastAsia="仿宋"/>
          <w:color w:val="000000"/>
          <w:kern w:val="2"/>
          <w:sz w:val="28"/>
          <w:szCs w:val="28"/>
        </w:rPr>
        <w:t>项目概况与招标范围</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_Toc4963 \h </w:instrText>
      </w:r>
      <w:r>
        <w:rPr>
          <w:rFonts w:eastAsia="仿宋"/>
          <w:color w:val="000000"/>
          <w:sz w:val="28"/>
          <w:szCs w:val="28"/>
        </w:rPr>
        <w:fldChar w:fldCharType="separate"/>
      </w:r>
      <w:r>
        <w:rPr>
          <w:rFonts w:eastAsia="仿宋"/>
          <w:color w:val="000000"/>
          <w:sz w:val="28"/>
          <w:szCs w:val="28"/>
        </w:rPr>
        <w:t>2</w:t>
      </w:r>
      <w:r>
        <w:rPr>
          <w:rFonts w:eastAsia="仿宋"/>
          <w:color w:val="000000"/>
          <w:sz w:val="28"/>
          <w:szCs w:val="28"/>
        </w:rPr>
        <w:fldChar w:fldCharType="end"/>
      </w:r>
      <w:r>
        <w:rPr>
          <w:rFonts w:eastAsia="仿宋"/>
          <w:color w:val="000000"/>
          <w:sz w:val="28"/>
          <w:szCs w:val="28"/>
        </w:rPr>
        <w:fldChar w:fldCharType="end"/>
      </w:r>
    </w:p>
    <w:p>
      <w:pPr>
        <w:pStyle w:val="142"/>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_Toc16870 </w:instrText>
      </w:r>
      <w:r>
        <w:rPr>
          <w:rFonts w:eastAsia="仿宋"/>
          <w:color w:val="000000"/>
          <w:sz w:val="28"/>
          <w:szCs w:val="28"/>
        </w:rPr>
        <w:fldChar w:fldCharType="separate"/>
      </w:r>
      <w:r>
        <w:rPr>
          <w:rFonts w:eastAsia="仿宋"/>
          <w:color w:val="000000"/>
          <w:kern w:val="2"/>
          <w:sz w:val="28"/>
          <w:szCs w:val="28"/>
        </w:rPr>
        <w:t>3</w:t>
      </w:r>
      <w:r>
        <w:rPr>
          <w:rFonts w:eastAsia="仿宋"/>
          <w:color w:val="000000"/>
          <w:sz w:val="28"/>
          <w:szCs w:val="28"/>
        </w:rPr>
        <w:t>．</w:t>
      </w:r>
      <w:r>
        <w:rPr>
          <w:rFonts w:eastAsia="仿宋"/>
          <w:color w:val="000000"/>
          <w:kern w:val="2"/>
          <w:sz w:val="28"/>
          <w:szCs w:val="28"/>
        </w:rPr>
        <w:t>投标人资格要求</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_Toc16870 \h </w:instrText>
      </w:r>
      <w:r>
        <w:rPr>
          <w:rFonts w:eastAsia="仿宋"/>
          <w:color w:val="000000"/>
          <w:sz w:val="28"/>
          <w:szCs w:val="28"/>
        </w:rPr>
        <w:fldChar w:fldCharType="separate"/>
      </w:r>
      <w:r>
        <w:rPr>
          <w:rFonts w:eastAsia="仿宋"/>
          <w:color w:val="000000"/>
          <w:sz w:val="28"/>
          <w:szCs w:val="28"/>
        </w:rPr>
        <w:t>2</w:t>
      </w:r>
      <w:r>
        <w:rPr>
          <w:rFonts w:eastAsia="仿宋"/>
          <w:color w:val="000000"/>
          <w:sz w:val="28"/>
          <w:szCs w:val="28"/>
        </w:rPr>
        <w:fldChar w:fldCharType="end"/>
      </w:r>
      <w:r>
        <w:rPr>
          <w:rFonts w:eastAsia="仿宋"/>
          <w:color w:val="000000"/>
          <w:sz w:val="28"/>
          <w:szCs w:val="28"/>
        </w:rPr>
        <w:fldChar w:fldCharType="end"/>
      </w:r>
    </w:p>
    <w:p>
      <w:pPr>
        <w:pStyle w:val="142"/>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_Toc10070 </w:instrText>
      </w:r>
      <w:r>
        <w:rPr>
          <w:rFonts w:eastAsia="仿宋"/>
          <w:color w:val="000000"/>
          <w:sz w:val="28"/>
          <w:szCs w:val="28"/>
        </w:rPr>
        <w:fldChar w:fldCharType="separate"/>
      </w:r>
      <w:r>
        <w:rPr>
          <w:rFonts w:eastAsia="仿宋"/>
          <w:color w:val="000000"/>
          <w:kern w:val="2"/>
          <w:sz w:val="28"/>
          <w:szCs w:val="28"/>
        </w:rPr>
        <w:t>4</w:t>
      </w:r>
      <w:r>
        <w:rPr>
          <w:rFonts w:eastAsia="仿宋"/>
          <w:color w:val="000000"/>
          <w:sz w:val="28"/>
          <w:szCs w:val="28"/>
        </w:rPr>
        <w:t>．</w:t>
      </w:r>
      <w:r>
        <w:rPr>
          <w:rFonts w:eastAsia="仿宋"/>
          <w:color w:val="000000"/>
          <w:kern w:val="2"/>
          <w:sz w:val="28"/>
          <w:szCs w:val="28"/>
        </w:rPr>
        <w:t>招标文件的获取及修改、澄清答疑发布</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_Toc10070 \h </w:instrText>
      </w:r>
      <w:r>
        <w:rPr>
          <w:rFonts w:eastAsia="仿宋"/>
          <w:color w:val="000000"/>
          <w:sz w:val="28"/>
          <w:szCs w:val="28"/>
        </w:rPr>
        <w:fldChar w:fldCharType="separate"/>
      </w:r>
      <w:r>
        <w:rPr>
          <w:rFonts w:eastAsia="仿宋"/>
          <w:color w:val="000000"/>
          <w:sz w:val="28"/>
          <w:szCs w:val="28"/>
        </w:rPr>
        <w:t>4</w:t>
      </w:r>
      <w:r>
        <w:rPr>
          <w:rFonts w:eastAsia="仿宋"/>
          <w:color w:val="000000"/>
          <w:sz w:val="28"/>
          <w:szCs w:val="28"/>
        </w:rPr>
        <w:fldChar w:fldCharType="end"/>
      </w:r>
      <w:r>
        <w:rPr>
          <w:rFonts w:eastAsia="仿宋"/>
          <w:color w:val="000000"/>
          <w:sz w:val="28"/>
          <w:szCs w:val="28"/>
        </w:rPr>
        <w:fldChar w:fldCharType="end"/>
      </w:r>
    </w:p>
    <w:p>
      <w:pPr>
        <w:pStyle w:val="142"/>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_Toc17802 </w:instrText>
      </w:r>
      <w:r>
        <w:rPr>
          <w:rFonts w:eastAsia="仿宋"/>
          <w:color w:val="000000"/>
          <w:sz w:val="28"/>
          <w:szCs w:val="28"/>
        </w:rPr>
        <w:fldChar w:fldCharType="separate"/>
      </w:r>
      <w:r>
        <w:rPr>
          <w:rFonts w:eastAsia="仿宋"/>
          <w:color w:val="000000"/>
          <w:kern w:val="2"/>
          <w:sz w:val="28"/>
          <w:szCs w:val="28"/>
        </w:rPr>
        <w:t>5</w:t>
      </w:r>
      <w:r>
        <w:rPr>
          <w:rFonts w:eastAsia="仿宋"/>
          <w:color w:val="000000"/>
          <w:sz w:val="28"/>
          <w:szCs w:val="28"/>
        </w:rPr>
        <w:t>．</w:t>
      </w:r>
      <w:r>
        <w:rPr>
          <w:rFonts w:eastAsia="仿宋"/>
          <w:color w:val="000000"/>
          <w:kern w:val="2"/>
          <w:sz w:val="28"/>
          <w:szCs w:val="28"/>
        </w:rPr>
        <w:t>投标担保</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_Toc17802 \h </w:instrText>
      </w:r>
      <w:r>
        <w:rPr>
          <w:rFonts w:eastAsia="仿宋"/>
          <w:color w:val="000000"/>
          <w:sz w:val="28"/>
          <w:szCs w:val="28"/>
        </w:rPr>
        <w:fldChar w:fldCharType="separate"/>
      </w:r>
      <w:r>
        <w:rPr>
          <w:rFonts w:eastAsia="仿宋"/>
          <w:color w:val="000000"/>
          <w:sz w:val="28"/>
          <w:szCs w:val="28"/>
        </w:rPr>
        <w:t>4</w:t>
      </w:r>
      <w:r>
        <w:rPr>
          <w:rFonts w:eastAsia="仿宋"/>
          <w:color w:val="000000"/>
          <w:sz w:val="28"/>
          <w:szCs w:val="28"/>
        </w:rPr>
        <w:fldChar w:fldCharType="end"/>
      </w:r>
      <w:r>
        <w:rPr>
          <w:rFonts w:eastAsia="仿宋"/>
          <w:color w:val="000000"/>
          <w:sz w:val="28"/>
          <w:szCs w:val="28"/>
        </w:rPr>
        <w:fldChar w:fldCharType="end"/>
      </w:r>
    </w:p>
    <w:p>
      <w:pPr>
        <w:pStyle w:val="142"/>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_Toc23315 </w:instrText>
      </w:r>
      <w:r>
        <w:rPr>
          <w:rFonts w:eastAsia="仿宋"/>
          <w:color w:val="000000"/>
          <w:sz w:val="28"/>
          <w:szCs w:val="28"/>
        </w:rPr>
        <w:fldChar w:fldCharType="separate"/>
      </w:r>
      <w:r>
        <w:rPr>
          <w:rFonts w:eastAsia="仿宋"/>
          <w:color w:val="000000"/>
          <w:kern w:val="2"/>
          <w:sz w:val="28"/>
          <w:szCs w:val="28"/>
        </w:rPr>
        <w:t>6</w:t>
      </w:r>
      <w:r>
        <w:rPr>
          <w:rFonts w:eastAsia="仿宋"/>
          <w:color w:val="000000"/>
          <w:sz w:val="28"/>
          <w:szCs w:val="28"/>
        </w:rPr>
        <w:t>．</w:t>
      </w:r>
      <w:r>
        <w:rPr>
          <w:rFonts w:eastAsia="仿宋"/>
          <w:color w:val="000000"/>
          <w:kern w:val="2"/>
          <w:sz w:val="28"/>
          <w:szCs w:val="28"/>
        </w:rPr>
        <w:t>投标文件递交</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_Toc23315 \h </w:instrText>
      </w:r>
      <w:r>
        <w:rPr>
          <w:rFonts w:eastAsia="仿宋"/>
          <w:color w:val="000000"/>
          <w:sz w:val="28"/>
          <w:szCs w:val="28"/>
        </w:rPr>
        <w:fldChar w:fldCharType="separate"/>
      </w:r>
      <w:r>
        <w:rPr>
          <w:rFonts w:eastAsia="仿宋"/>
          <w:color w:val="000000"/>
          <w:sz w:val="28"/>
          <w:szCs w:val="28"/>
        </w:rPr>
        <w:t>4</w:t>
      </w:r>
      <w:r>
        <w:rPr>
          <w:rFonts w:eastAsia="仿宋"/>
          <w:color w:val="000000"/>
          <w:sz w:val="28"/>
          <w:szCs w:val="28"/>
        </w:rPr>
        <w:fldChar w:fldCharType="end"/>
      </w:r>
      <w:r>
        <w:rPr>
          <w:rFonts w:eastAsia="仿宋"/>
          <w:color w:val="000000"/>
          <w:sz w:val="28"/>
          <w:szCs w:val="28"/>
        </w:rPr>
        <w:fldChar w:fldCharType="end"/>
      </w:r>
    </w:p>
    <w:p>
      <w:pPr>
        <w:pStyle w:val="142"/>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_Toc30453 </w:instrText>
      </w:r>
      <w:r>
        <w:rPr>
          <w:rFonts w:eastAsia="仿宋"/>
          <w:color w:val="000000"/>
          <w:sz w:val="28"/>
          <w:szCs w:val="28"/>
        </w:rPr>
        <w:fldChar w:fldCharType="separate"/>
      </w:r>
      <w:r>
        <w:rPr>
          <w:rFonts w:eastAsia="仿宋"/>
          <w:color w:val="000000"/>
          <w:kern w:val="2"/>
          <w:sz w:val="28"/>
          <w:szCs w:val="28"/>
        </w:rPr>
        <w:t>7</w:t>
      </w:r>
      <w:r>
        <w:rPr>
          <w:rFonts w:eastAsia="仿宋"/>
          <w:color w:val="000000"/>
          <w:sz w:val="28"/>
          <w:szCs w:val="28"/>
        </w:rPr>
        <w:t>．</w:t>
      </w:r>
      <w:r>
        <w:rPr>
          <w:rFonts w:eastAsia="仿宋"/>
          <w:color w:val="000000"/>
          <w:kern w:val="2"/>
          <w:sz w:val="28"/>
          <w:szCs w:val="28"/>
        </w:rPr>
        <w:t>评标办法</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_Toc30453 \h </w:instrText>
      </w:r>
      <w:r>
        <w:rPr>
          <w:rFonts w:eastAsia="仿宋"/>
          <w:color w:val="000000"/>
          <w:sz w:val="28"/>
          <w:szCs w:val="28"/>
        </w:rPr>
        <w:fldChar w:fldCharType="separate"/>
      </w:r>
      <w:r>
        <w:rPr>
          <w:rFonts w:eastAsia="仿宋"/>
          <w:color w:val="000000"/>
          <w:sz w:val="28"/>
          <w:szCs w:val="28"/>
        </w:rPr>
        <w:t>5</w:t>
      </w:r>
      <w:r>
        <w:rPr>
          <w:rFonts w:eastAsia="仿宋"/>
          <w:color w:val="000000"/>
          <w:sz w:val="28"/>
          <w:szCs w:val="28"/>
        </w:rPr>
        <w:fldChar w:fldCharType="end"/>
      </w:r>
      <w:r>
        <w:rPr>
          <w:rFonts w:eastAsia="仿宋"/>
          <w:color w:val="000000"/>
          <w:sz w:val="28"/>
          <w:szCs w:val="28"/>
        </w:rPr>
        <w:fldChar w:fldCharType="end"/>
      </w:r>
    </w:p>
    <w:p>
      <w:pPr>
        <w:pStyle w:val="142"/>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_Toc18187 </w:instrText>
      </w:r>
      <w:r>
        <w:rPr>
          <w:rFonts w:eastAsia="仿宋"/>
          <w:color w:val="000000"/>
          <w:sz w:val="28"/>
          <w:szCs w:val="28"/>
        </w:rPr>
        <w:fldChar w:fldCharType="separate"/>
      </w:r>
      <w:r>
        <w:rPr>
          <w:rFonts w:eastAsia="仿宋"/>
          <w:color w:val="000000"/>
          <w:kern w:val="2"/>
          <w:sz w:val="28"/>
          <w:szCs w:val="28"/>
        </w:rPr>
        <w:t>8</w:t>
      </w:r>
      <w:r>
        <w:rPr>
          <w:rFonts w:eastAsia="仿宋"/>
          <w:color w:val="000000"/>
          <w:sz w:val="28"/>
          <w:szCs w:val="28"/>
        </w:rPr>
        <w:t>．</w:t>
      </w:r>
      <w:r>
        <w:rPr>
          <w:rFonts w:eastAsia="仿宋"/>
          <w:color w:val="000000"/>
          <w:kern w:val="2"/>
          <w:sz w:val="28"/>
          <w:szCs w:val="28"/>
        </w:rPr>
        <w:t>踏勘现场和投标预备会</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_Toc18187 \h </w:instrText>
      </w:r>
      <w:r>
        <w:rPr>
          <w:rFonts w:eastAsia="仿宋"/>
          <w:color w:val="000000"/>
          <w:sz w:val="28"/>
          <w:szCs w:val="28"/>
        </w:rPr>
        <w:fldChar w:fldCharType="separate"/>
      </w:r>
      <w:r>
        <w:rPr>
          <w:rFonts w:eastAsia="仿宋"/>
          <w:color w:val="000000"/>
          <w:sz w:val="28"/>
          <w:szCs w:val="28"/>
        </w:rPr>
        <w:t>5</w:t>
      </w:r>
      <w:r>
        <w:rPr>
          <w:rFonts w:eastAsia="仿宋"/>
          <w:color w:val="000000"/>
          <w:sz w:val="28"/>
          <w:szCs w:val="28"/>
        </w:rPr>
        <w:fldChar w:fldCharType="end"/>
      </w:r>
      <w:r>
        <w:rPr>
          <w:rFonts w:eastAsia="仿宋"/>
          <w:color w:val="000000"/>
          <w:sz w:val="28"/>
          <w:szCs w:val="28"/>
        </w:rPr>
        <w:fldChar w:fldCharType="end"/>
      </w:r>
    </w:p>
    <w:p>
      <w:pPr>
        <w:pStyle w:val="142"/>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_Toc11 </w:instrText>
      </w:r>
      <w:r>
        <w:rPr>
          <w:rFonts w:eastAsia="仿宋"/>
          <w:color w:val="000000"/>
          <w:sz w:val="28"/>
          <w:szCs w:val="28"/>
        </w:rPr>
        <w:fldChar w:fldCharType="separate"/>
      </w:r>
      <w:r>
        <w:rPr>
          <w:rFonts w:eastAsia="仿宋"/>
          <w:color w:val="000000"/>
          <w:kern w:val="2"/>
          <w:sz w:val="28"/>
          <w:szCs w:val="28"/>
        </w:rPr>
        <w:t>9</w:t>
      </w:r>
      <w:r>
        <w:rPr>
          <w:rFonts w:eastAsia="仿宋"/>
          <w:color w:val="000000"/>
          <w:sz w:val="28"/>
          <w:szCs w:val="28"/>
        </w:rPr>
        <w:t>．</w:t>
      </w:r>
      <w:r>
        <w:rPr>
          <w:rFonts w:eastAsia="仿宋"/>
          <w:color w:val="000000"/>
          <w:kern w:val="2"/>
          <w:sz w:val="28"/>
          <w:szCs w:val="28"/>
        </w:rPr>
        <w:t>发布公告的媒介</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_Toc11 \h </w:instrText>
      </w:r>
      <w:r>
        <w:rPr>
          <w:rFonts w:eastAsia="仿宋"/>
          <w:color w:val="000000"/>
          <w:sz w:val="28"/>
          <w:szCs w:val="28"/>
        </w:rPr>
        <w:fldChar w:fldCharType="separate"/>
      </w:r>
      <w:r>
        <w:rPr>
          <w:rFonts w:eastAsia="仿宋"/>
          <w:color w:val="000000"/>
          <w:sz w:val="28"/>
          <w:szCs w:val="28"/>
        </w:rPr>
        <w:t>5</w:t>
      </w:r>
      <w:r>
        <w:rPr>
          <w:rFonts w:eastAsia="仿宋"/>
          <w:color w:val="000000"/>
          <w:sz w:val="28"/>
          <w:szCs w:val="28"/>
        </w:rPr>
        <w:fldChar w:fldCharType="end"/>
      </w:r>
      <w:r>
        <w:rPr>
          <w:rFonts w:eastAsia="仿宋"/>
          <w:color w:val="000000"/>
          <w:sz w:val="28"/>
          <w:szCs w:val="28"/>
        </w:rPr>
        <w:fldChar w:fldCharType="end"/>
      </w:r>
    </w:p>
    <w:p>
      <w:pPr>
        <w:pStyle w:val="142"/>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_Toc23544 </w:instrText>
      </w:r>
      <w:r>
        <w:rPr>
          <w:rFonts w:eastAsia="仿宋"/>
          <w:color w:val="000000"/>
          <w:sz w:val="28"/>
          <w:szCs w:val="28"/>
        </w:rPr>
        <w:fldChar w:fldCharType="separate"/>
      </w:r>
      <w:r>
        <w:rPr>
          <w:rFonts w:eastAsia="仿宋"/>
          <w:color w:val="000000"/>
          <w:kern w:val="2"/>
          <w:sz w:val="28"/>
          <w:szCs w:val="28"/>
        </w:rPr>
        <w:t>10</w:t>
      </w:r>
      <w:r>
        <w:rPr>
          <w:rFonts w:eastAsia="仿宋"/>
          <w:color w:val="000000"/>
          <w:sz w:val="28"/>
          <w:szCs w:val="28"/>
        </w:rPr>
        <w:t>．</w:t>
      </w:r>
      <w:r>
        <w:rPr>
          <w:rFonts w:eastAsia="仿宋"/>
          <w:color w:val="000000"/>
          <w:kern w:val="2"/>
          <w:sz w:val="28"/>
          <w:szCs w:val="28"/>
        </w:rPr>
        <w:t>行政监督</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_Toc23544 \h </w:instrText>
      </w:r>
      <w:r>
        <w:rPr>
          <w:rFonts w:eastAsia="仿宋"/>
          <w:color w:val="000000"/>
          <w:sz w:val="28"/>
          <w:szCs w:val="28"/>
        </w:rPr>
        <w:fldChar w:fldCharType="separate"/>
      </w:r>
      <w:r>
        <w:rPr>
          <w:rFonts w:eastAsia="仿宋"/>
          <w:color w:val="000000"/>
          <w:sz w:val="28"/>
          <w:szCs w:val="28"/>
        </w:rPr>
        <w:t>5</w:t>
      </w:r>
      <w:r>
        <w:rPr>
          <w:rFonts w:eastAsia="仿宋"/>
          <w:color w:val="000000"/>
          <w:sz w:val="28"/>
          <w:szCs w:val="28"/>
        </w:rPr>
        <w:fldChar w:fldCharType="end"/>
      </w:r>
      <w:r>
        <w:rPr>
          <w:rFonts w:eastAsia="仿宋"/>
          <w:color w:val="000000"/>
          <w:sz w:val="28"/>
          <w:szCs w:val="28"/>
        </w:rPr>
        <w:fldChar w:fldCharType="end"/>
      </w:r>
    </w:p>
    <w:p>
      <w:pPr>
        <w:pStyle w:val="142"/>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_Toc27630 </w:instrText>
      </w:r>
      <w:r>
        <w:rPr>
          <w:rFonts w:eastAsia="仿宋"/>
          <w:color w:val="000000"/>
          <w:sz w:val="28"/>
          <w:szCs w:val="28"/>
        </w:rPr>
        <w:fldChar w:fldCharType="separate"/>
      </w:r>
      <w:r>
        <w:rPr>
          <w:rFonts w:eastAsia="仿宋"/>
          <w:color w:val="000000"/>
          <w:kern w:val="2"/>
          <w:sz w:val="28"/>
          <w:szCs w:val="28"/>
        </w:rPr>
        <w:t>11</w:t>
      </w:r>
      <w:r>
        <w:rPr>
          <w:rFonts w:eastAsia="仿宋"/>
          <w:color w:val="000000"/>
          <w:sz w:val="28"/>
          <w:szCs w:val="28"/>
        </w:rPr>
        <w:t>．</w:t>
      </w:r>
      <w:r>
        <w:rPr>
          <w:rFonts w:eastAsia="仿宋"/>
          <w:color w:val="000000"/>
          <w:kern w:val="2"/>
          <w:sz w:val="28"/>
          <w:szCs w:val="28"/>
        </w:rPr>
        <w:t>联系方式</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_Toc27630 \h </w:instrText>
      </w:r>
      <w:r>
        <w:rPr>
          <w:rFonts w:eastAsia="仿宋"/>
          <w:color w:val="000000"/>
          <w:sz w:val="28"/>
          <w:szCs w:val="28"/>
        </w:rPr>
        <w:fldChar w:fldCharType="separate"/>
      </w:r>
      <w:r>
        <w:rPr>
          <w:rFonts w:eastAsia="仿宋"/>
          <w:color w:val="000000"/>
          <w:sz w:val="28"/>
          <w:szCs w:val="28"/>
        </w:rPr>
        <w:t>5</w:t>
      </w:r>
      <w:r>
        <w:rPr>
          <w:rFonts w:eastAsia="仿宋"/>
          <w:color w:val="000000"/>
          <w:sz w:val="28"/>
          <w:szCs w:val="28"/>
        </w:rPr>
        <w:fldChar w:fldCharType="end"/>
      </w:r>
      <w:r>
        <w:rPr>
          <w:rFonts w:eastAsia="仿宋"/>
          <w:color w:val="000000"/>
          <w:sz w:val="28"/>
          <w:szCs w:val="28"/>
        </w:rPr>
        <w:fldChar w:fldCharType="end"/>
      </w:r>
    </w:p>
    <w:p>
      <w:pPr>
        <w:pStyle w:val="161"/>
        <w:tabs>
          <w:tab w:val="right" w:leader="dot" w:pos="9070"/>
        </w:tabs>
        <w:spacing w:line="360" w:lineRule="auto"/>
        <w:ind w:firstLine="320" w:firstLineChars="100"/>
        <w:jc w:val="both"/>
        <w:rPr>
          <w:rFonts w:eastAsia="仿宋"/>
          <w:color w:val="000000"/>
          <w:sz w:val="28"/>
          <w:szCs w:val="28"/>
        </w:rPr>
      </w:pPr>
      <w:r>
        <w:rPr>
          <w:rFonts w:eastAsia="黑体"/>
          <w:color w:val="000000"/>
          <w:sz w:val="32"/>
          <w:szCs w:val="32"/>
        </w:rPr>
        <w:fldChar w:fldCharType="begin"/>
      </w:r>
      <w:r>
        <w:rPr>
          <w:rFonts w:eastAsia="黑体"/>
          <w:color w:val="000000"/>
          <w:sz w:val="32"/>
          <w:szCs w:val="32"/>
        </w:rPr>
        <w:instrText xml:space="preserve"> HYPERLINK \l _Toc21881 </w:instrText>
      </w:r>
      <w:r>
        <w:rPr>
          <w:rFonts w:eastAsia="黑体"/>
          <w:color w:val="000000"/>
          <w:sz w:val="32"/>
          <w:szCs w:val="32"/>
        </w:rPr>
        <w:fldChar w:fldCharType="separate"/>
      </w:r>
      <w:r>
        <w:rPr>
          <w:rFonts w:eastAsia="黑体"/>
          <w:color w:val="000000"/>
          <w:sz w:val="32"/>
          <w:szCs w:val="32"/>
        </w:rPr>
        <w:t>第二章  投标人须知</w:t>
      </w:r>
      <w:r>
        <w:rPr>
          <w:rFonts w:eastAsia="黑体"/>
          <w:color w:val="000000"/>
          <w:sz w:val="32"/>
          <w:szCs w:val="32"/>
        </w:rPr>
        <w:tab/>
      </w:r>
      <w:r>
        <w:rPr>
          <w:rFonts w:eastAsia="黑体"/>
          <w:color w:val="000000"/>
          <w:sz w:val="32"/>
          <w:szCs w:val="32"/>
        </w:rPr>
        <w:fldChar w:fldCharType="begin"/>
      </w:r>
      <w:r>
        <w:rPr>
          <w:rFonts w:eastAsia="黑体"/>
          <w:color w:val="000000"/>
          <w:sz w:val="32"/>
          <w:szCs w:val="32"/>
        </w:rPr>
        <w:instrText xml:space="preserve"> PAGEREF _Toc21881 \h </w:instrText>
      </w:r>
      <w:r>
        <w:rPr>
          <w:rFonts w:eastAsia="黑体"/>
          <w:color w:val="000000"/>
          <w:sz w:val="32"/>
          <w:szCs w:val="32"/>
        </w:rPr>
        <w:fldChar w:fldCharType="separate"/>
      </w:r>
      <w:r>
        <w:rPr>
          <w:rFonts w:eastAsia="黑体"/>
          <w:color w:val="000000"/>
          <w:sz w:val="32"/>
          <w:szCs w:val="32"/>
        </w:rPr>
        <w:t>7</w:t>
      </w:r>
      <w:r>
        <w:rPr>
          <w:rFonts w:eastAsia="黑体"/>
          <w:color w:val="000000"/>
          <w:sz w:val="32"/>
          <w:szCs w:val="32"/>
        </w:rPr>
        <w:fldChar w:fldCharType="end"/>
      </w:r>
      <w:r>
        <w:rPr>
          <w:rFonts w:eastAsia="黑体"/>
          <w:color w:val="000000"/>
          <w:sz w:val="32"/>
          <w:szCs w:val="32"/>
        </w:rPr>
        <w:fldChar w:fldCharType="end"/>
      </w:r>
    </w:p>
    <w:p>
      <w:pPr>
        <w:pStyle w:val="142"/>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_Toc12455 </w:instrText>
      </w:r>
      <w:r>
        <w:rPr>
          <w:rFonts w:eastAsia="仿宋"/>
          <w:color w:val="000000"/>
          <w:sz w:val="28"/>
          <w:szCs w:val="28"/>
        </w:rPr>
        <w:fldChar w:fldCharType="separate"/>
      </w:r>
      <w:r>
        <w:rPr>
          <w:rFonts w:eastAsia="仿宋"/>
          <w:b/>
          <w:bCs/>
          <w:color w:val="000000"/>
          <w:sz w:val="28"/>
          <w:szCs w:val="28"/>
        </w:rPr>
        <w:t>投标人须知前附表</w:t>
      </w:r>
      <w:r>
        <w:rPr>
          <w:rFonts w:eastAsia="仿宋"/>
          <w:b/>
          <w:bCs/>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_Toc12455 \h </w:instrText>
      </w:r>
      <w:r>
        <w:rPr>
          <w:rFonts w:eastAsia="仿宋"/>
          <w:color w:val="000000"/>
          <w:sz w:val="28"/>
          <w:szCs w:val="28"/>
        </w:rPr>
        <w:fldChar w:fldCharType="separate"/>
      </w:r>
      <w:r>
        <w:rPr>
          <w:rFonts w:eastAsia="仿宋"/>
          <w:color w:val="000000"/>
          <w:sz w:val="28"/>
          <w:szCs w:val="28"/>
        </w:rPr>
        <w:t>7</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_Toc2717 </w:instrText>
      </w:r>
      <w:r>
        <w:rPr>
          <w:rFonts w:eastAsia="仿宋"/>
          <w:color w:val="000000"/>
          <w:sz w:val="28"/>
          <w:szCs w:val="28"/>
        </w:rPr>
        <w:fldChar w:fldCharType="separate"/>
      </w:r>
      <w:r>
        <w:rPr>
          <w:rFonts w:eastAsia="仿宋"/>
          <w:color w:val="000000"/>
          <w:sz w:val="28"/>
          <w:szCs w:val="28"/>
        </w:rPr>
        <w:t>1．总则</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_Toc2717 \h </w:instrText>
      </w:r>
      <w:r>
        <w:rPr>
          <w:rFonts w:eastAsia="仿宋"/>
          <w:color w:val="000000"/>
          <w:sz w:val="28"/>
          <w:szCs w:val="28"/>
        </w:rPr>
        <w:fldChar w:fldCharType="separate"/>
      </w:r>
      <w:r>
        <w:rPr>
          <w:rFonts w:eastAsia="仿宋"/>
          <w:color w:val="000000"/>
          <w:sz w:val="28"/>
          <w:szCs w:val="28"/>
        </w:rPr>
        <w:t>19</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_Toc24938 </w:instrText>
      </w:r>
      <w:r>
        <w:rPr>
          <w:rFonts w:eastAsia="仿宋"/>
          <w:color w:val="000000"/>
          <w:sz w:val="28"/>
          <w:szCs w:val="28"/>
        </w:rPr>
        <w:fldChar w:fldCharType="separate"/>
      </w:r>
      <w:r>
        <w:rPr>
          <w:rFonts w:eastAsia="仿宋"/>
          <w:color w:val="000000"/>
          <w:sz w:val="28"/>
          <w:szCs w:val="28"/>
        </w:rPr>
        <w:t>2．招标文件</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_Toc24938 \h </w:instrText>
      </w:r>
      <w:r>
        <w:rPr>
          <w:rFonts w:eastAsia="仿宋"/>
          <w:color w:val="000000"/>
          <w:sz w:val="28"/>
          <w:szCs w:val="28"/>
        </w:rPr>
        <w:fldChar w:fldCharType="separate"/>
      </w:r>
      <w:r>
        <w:rPr>
          <w:rFonts w:eastAsia="仿宋"/>
          <w:color w:val="000000"/>
          <w:sz w:val="28"/>
          <w:szCs w:val="28"/>
        </w:rPr>
        <w:t>23</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_Toc31076 </w:instrText>
      </w:r>
      <w:r>
        <w:rPr>
          <w:rFonts w:eastAsia="仿宋"/>
          <w:color w:val="000000"/>
          <w:sz w:val="28"/>
          <w:szCs w:val="28"/>
        </w:rPr>
        <w:fldChar w:fldCharType="separate"/>
      </w:r>
      <w:r>
        <w:rPr>
          <w:rFonts w:eastAsia="仿宋"/>
          <w:color w:val="000000"/>
          <w:sz w:val="28"/>
          <w:szCs w:val="28"/>
        </w:rPr>
        <w:t>3．投标文件</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_Toc31076 \h </w:instrText>
      </w:r>
      <w:r>
        <w:rPr>
          <w:rFonts w:eastAsia="仿宋"/>
          <w:color w:val="000000"/>
          <w:sz w:val="28"/>
          <w:szCs w:val="28"/>
        </w:rPr>
        <w:fldChar w:fldCharType="separate"/>
      </w:r>
      <w:r>
        <w:rPr>
          <w:rFonts w:eastAsia="仿宋"/>
          <w:color w:val="000000"/>
          <w:sz w:val="28"/>
          <w:szCs w:val="28"/>
        </w:rPr>
        <w:t>24</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_Toc15621 </w:instrText>
      </w:r>
      <w:r>
        <w:rPr>
          <w:rFonts w:eastAsia="仿宋"/>
          <w:color w:val="000000"/>
          <w:sz w:val="28"/>
          <w:szCs w:val="28"/>
        </w:rPr>
        <w:fldChar w:fldCharType="separate"/>
      </w:r>
      <w:r>
        <w:rPr>
          <w:rFonts w:eastAsia="仿宋"/>
          <w:color w:val="000000"/>
          <w:sz w:val="28"/>
          <w:szCs w:val="28"/>
        </w:rPr>
        <w:t>4．投标</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_Toc15621 \h </w:instrText>
      </w:r>
      <w:r>
        <w:rPr>
          <w:rFonts w:eastAsia="仿宋"/>
          <w:color w:val="000000"/>
          <w:sz w:val="28"/>
          <w:szCs w:val="28"/>
        </w:rPr>
        <w:fldChar w:fldCharType="separate"/>
      </w:r>
      <w:r>
        <w:rPr>
          <w:rFonts w:eastAsia="仿宋"/>
          <w:color w:val="000000"/>
          <w:sz w:val="28"/>
          <w:szCs w:val="28"/>
        </w:rPr>
        <w:t>28</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_Toc28005 </w:instrText>
      </w:r>
      <w:r>
        <w:rPr>
          <w:rFonts w:eastAsia="仿宋"/>
          <w:color w:val="000000"/>
          <w:sz w:val="28"/>
          <w:szCs w:val="28"/>
        </w:rPr>
        <w:fldChar w:fldCharType="separate"/>
      </w:r>
      <w:r>
        <w:rPr>
          <w:rFonts w:eastAsia="仿宋"/>
          <w:color w:val="000000"/>
          <w:sz w:val="28"/>
          <w:szCs w:val="28"/>
        </w:rPr>
        <w:t>5．开标</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_Toc28005 \h </w:instrText>
      </w:r>
      <w:r>
        <w:rPr>
          <w:rFonts w:eastAsia="仿宋"/>
          <w:color w:val="000000"/>
          <w:sz w:val="28"/>
          <w:szCs w:val="28"/>
        </w:rPr>
        <w:fldChar w:fldCharType="separate"/>
      </w:r>
      <w:r>
        <w:rPr>
          <w:rFonts w:eastAsia="仿宋"/>
          <w:color w:val="000000"/>
          <w:sz w:val="28"/>
          <w:szCs w:val="28"/>
        </w:rPr>
        <w:t>29</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_Toc20652 </w:instrText>
      </w:r>
      <w:r>
        <w:rPr>
          <w:rFonts w:eastAsia="仿宋"/>
          <w:color w:val="000000"/>
          <w:sz w:val="28"/>
          <w:szCs w:val="28"/>
        </w:rPr>
        <w:fldChar w:fldCharType="separate"/>
      </w:r>
      <w:r>
        <w:rPr>
          <w:rFonts w:eastAsia="仿宋"/>
          <w:color w:val="000000"/>
          <w:sz w:val="28"/>
          <w:szCs w:val="28"/>
        </w:rPr>
        <w:t>6．评标</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_Toc20652 \h </w:instrText>
      </w:r>
      <w:r>
        <w:rPr>
          <w:rFonts w:eastAsia="仿宋"/>
          <w:color w:val="000000"/>
          <w:sz w:val="28"/>
          <w:szCs w:val="28"/>
        </w:rPr>
        <w:fldChar w:fldCharType="separate"/>
      </w:r>
      <w:r>
        <w:rPr>
          <w:rFonts w:eastAsia="仿宋"/>
          <w:color w:val="000000"/>
          <w:sz w:val="28"/>
          <w:szCs w:val="28"/>
        </w:rPr>
        <w:t>29</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_Toc22297 </w:instrText>
      </w:r>
      <w:r>
        <w:rPr>
          <w:rFonts w:eastAsia="仿宋"/>
          <w:color w:val="000000"/>
          <w:sz w:val="28"/>
          <w:szCs w:val="28"/>
        </w:rPr>
        <w:fldChar w:fldCharType="separate"/>
      </w:r>
      <w:r>
        <w:rPr>
          <w:rFonts w:eastAsia="仿宋"/>
          <w:color w:val="000000"/>
          <w:sz w:val="28"/>
          <w:szCs w:val="28"/>
        </w:rPr>
        <w:t>7．合同授予</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_Toc22297 \h </w:instrText>
      </w:r>
      <w:r>
        <w:rPr>
          <w:rFonts w:eastAsia="仿宋"/>
          <w:color w:val="000000"/>
          <w:sz w:val="28"/>
          <w:szCs w:val="28"/>
        </w:rPr>
        <w:fldChar w:fldCharType="separate"/>
      </w:r>
      <w:r>
        <w:rPr>
          <w:rFonts w:eastAsia="仿宋"/>
          <w:color w:val="000000"/>
          <w:sz w:val="28"/>
          <w:szCs w:val="28"/>
        </w:rPr>
        <w:t>30</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_Toc19130 </w:instrText>
      </w:r>
      <w:r>
        <w:rPr>
          <w:rFonts w:eastAsia="仿宋"/>
          <w:color w:val="000000"/>
          <w:sz w:val="28"/>
          <w:szCs w:val="28"/>
        </w:rPr>
        <w:fldChar w:fldCharType="separate"/>
      </w:r>
      <w:r>
        <w:rPr>
          <w:rFonts w:eastAsia="仿宋"/>
          <w:color w:val="000000"/>
          <w:sz w:val="28"/>
          <w:szCs w:val="28"/>
        </w:rPr>
        <w:t>8．重新招标和不再招标</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_Toc19130 \h </w:instrText>
      </w:r>
      <w:r>
        <w:rPr>
          <w:rFonts w:eastAsia="仿宋"/>
          <w:color w:val="000000"/>
          <w:sz w:val="28"/>
          <w:szCs w:val="28"/>
        </w:rPr>
        <w:fldChar w:fldCharType="separate"/>
      </w:r>
      <w:r>
        <w:rPr>
          <w:rFonts w:eastAsia="仿宋"/>
          <w:color w:val="000000"/>
          <w:sz w:val="28"/>
          <w:szCs w:val="28"/>
        </w:rPr>
        <w:t>32</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sectPr>
          <w:footerReference r:id="rId10" w:type="default"/>
          <w:pgSz w:w="11906" w:h="16838"/>
          <w:pgMar w:top="1701" w:right="1361" w:bottom="1701" w:left="1474" w:header="1021" w:footer="1021" w:gutter="0"/>
          <w:pgNumType w:start="1"/>
          <w:cols w:space="720" w:num="1"/>
          <w:docGrid w:linePitch="312" w:charSpace="0"/>
        </w:sectPr>
      </w:pP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_Toc21513 </w:instrText>
      </w:r>
      <w:r>
        <w:rPr>
          <w:rFonts w:eastAsia="仿宋"/>
          <w:color w:val="000000"/>
          <w:sz w:val="28"/>
          <w:szCs w:val="28"/>
        </w:rPr>
        <w:fldChar w:fldCharType="separate"/>
      </w:r>
      <w:r>
        <w:rPr>
          <w:rFonts w:eastAsia="仿宋"/>
          <w:color w:val="000000"/>
          <w:sz w:val="28"/>
          <w:szCs w:val="28"/>
        </w:rPr>
        <w:t>9．纪律和监督</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_Toc21513 \h </w:instrText>
      </w:r>
      <w:r>
        <w:rPr>
          <w:rFonts w:eastAsia="仿宋"/>
          <w:color w:val="000000"/>
          <w:sz w:val="28"/>
          <w:szCs w:val="28"/>
        </w:rPr>
        <w:fldChar w:fldCharType="separate"/>
      </w:r>
      <w:r>
        <w:rPr>
          <w:rFonts w:eastAsia="仿宋"/>
          <w:color w:val="000000"/>
          <w:sz w:val="28"/>
          <w:szCs w:val="28"/>
        </w:rPr>
        <w:t>32</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_Toc24754 </w:instrText>
      </w:r>
      <w:r>
        <w:rPr>
          <w:rFonts w:eastAsia="仿宋"/>
          <w:color w:val="000000"/>
          <w:sz w:val="28"/>
          <w:szCs w:val="28"/>
        </w:rPr>
        <w:fldChar w:fldCharType="separate"/>
      </w:r>
      <w:r>
        <w:rPr>
          <w:rFonts w:eastAsia="仿宋"/>
          <w:color w:val="000000"/>
          <w:sz w:val="28"/>
          <w:szCs w:val="28"/>
        </w:rPr>
        <w:t>10．需要补充的其它内容</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_Toc24754 \h </w:instrText>
      </w:r>
      <w:r>
        <w:rPr>
          <w:rFonts w:eastAsia="仿宋"/>
          <w:color w:val="000000"/>
          <w:sz w:val="28"/>
          <w:szCs w:val="28"/>
        </w:rPr>
        <w:fldChar w:fldCharType="separate"/>
      </w:r>
      <w:r>
        <w:rPr>
          <w:rFonts w:eastAsia="仿宋"/>
          <w:color w:val="000000"/>
          <w:sz w:val="28"/>
          <w:szCs w:val="28"/>
        </w:rPr>
        <w:t>34</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2" w:firstLineChars="200"/>
        <w:jc w:val="both"/>
        <w:rPr>
          <w:rFonts w:eastAsia="仿宋"/>
          <w:b/>
          <w:bCs/>
          <w:color w:val="000000"/>
          <w:sz w:val="28"/>
          <w:szCs w:val="28"/>
        </w:rPr>
      </w:pPr>
      <w:r>
        <w:rPr>
          <w:rFonts w:eastAsia="仿宋"/>
          <w:b/>
          <w:bCs/>
          <w:color w:val="000000"/>
          <w:sz w:val="28"/>
          <w:szCs w:val="28"/>
        </w:rPr>
        <w:fldChar w:fldCharType="begin"/>
      </w:r>
      <w:r>
        <w:rPr>
          <w:rFonts w:eastAsia="仿宋"/>
          <w:b/>
          <w:bCs/>
          <w:color w:val="000000"/>
          <w:sz w:val="28"/>
          <w:szCs w:val="28"/>
        </w:rPr>
        <w:instrText xml:space="preserve"> HYPERLINK \l _Toc361 </w:instrText>
      </w:r>
      <w:r>
        <w:rPr>
          <w:rFonts w:eastAsia="仿宋"/>
          <w:b/>
          <w:bCs/>
          <w:color w:val="000000"/>
          <w:sz w:val="28"/>
          <w:szCs w:val="28"/>
        </w:rPr>
        <w:fldChar w:fldCharType="separate"/>
      </w:r>
      <w:r>
        <w:rPr>
          <w:rFonts w:eastAsia="仿宋"/>
          <w:b/>
          <w:bCs/>
          <w:color w:val="000000"/>
          <w:sz w:val="28"/>
          <w:szCs w:val="28"/>
        </w:rPr>
        <w:t>附件</w:t>
      </w:r>
      <w:r>
        <w:rPr>
          <w:rFonts w:hint="eastAsia" w:eastAsia="仿宋"/>
          <w:b/>
          <w:bCs/>
          <w:color w:val="000000"/>
          <w:sz w:val="28"/>
          <w:szCs w:val="28"/>
        </w:rPr>
        <w:t>1</w:t>
      </w:r>
      <w:r>
        <w:rPr>
          <w:rFonts w:eastAsia="仿宋"/>
          <w:b/>
          <w:bCs/>
          <w:color w:val="000000"/>
          <w:sz w:val="28"/>
          <w:szCs w:val="28"/>
        </w:rPr>
        <w:tab/>
      </w:r>
      <w:r>
        <w:rPr>
          <w:rFonts w:eastAsia="仿宋"/>
          <w:b/>
          <w:bCs/>
          <w:color w:val="000000"/>
          <w:sz w:val="28"/>
          <w:szCs w:val="28"/>
        </w:rPr>
        <w:fldChar w:fldCharType="begin"/>
      </w:r>
      <w:r>
        <w:rPr>
          <w:rFonts w:eastAsia="仿宋"/>
          <w:b/>
          <w:bCs/>
          <w:color w:val="000000"/>
          <w:sz w:val="28"/>
          <w:szCs w:val="28"/>
        </w:rPr>
        <w:instrText xml:space="preserve"> PAGEREF _Toc361 \h </w:instrText>
      </w:r>
      <w:r>
        <w:rPr>
          <w:rFonts w:eastAsia="仿宋"/>
          <w:b/>
          <w:bCs/>
          <w:color w:val="000000"/>
          <w:sz w:val="28"/>
          <w:szCs w:val="28"/>
        </w:rPr>
        <w:fldChar w:fldCharType="separate"/>
      </w:r>
      <w:r>
        <w:rPr>
          <w:rFonts w:eastAsia="仿宋"/>
          <w:b/>
          <w:bCs/>
          <w:color w:val="000000"/>
          <w:sz w:val="28"/>
          <w:szCs w:val="28"/>
        </w:rPr>
        <w:t>37</w:t>
      </w:r>
      <w:r>
        <w:rPr>
          <w:rFonts w:eastAsia="仿宋"/>
          <w:b/>
          <w:bCs/>
          <w:color w:val="000000"/>
          <w:sz w:val="28"/>
          <w:szCs w:val="28"/>
        </w:rPr>
        <w:fldChar w:fldCharType="end"/>
      </w:r>
      <w:r>
        <w:rPr>
          <w:rFonts w:eastAsia="仿宋"/>
          <w:b/>
          <w:bCs/>
          <w:color w:val="000000"/>
          <w:sz w:val="28"/>
          <w:szCs w:val="28"/>
        </w:rPr>
        <w:fldChar w:fldCharType="end"/>
      </w:r>
    </w:p>
    <w:p>
      <w:pPr>
        <w:pStyle w:val="143"/>
        <w:tabs>
          <w:tab w:val="right" w:leader="dot" w:pos="9070"/>
        </w:tabs>
        <w:spacing w:line="360" w:lineRule="auto"/>
        <w:ind w:left="0" w:leftChars="0" w:firstLine="562" w:firstLineChars="200"/>
        <w:jc w:val="both"/>
        <w:rPr>
          <w:rFonts w:eastAsia="仿宋"/>
          <w:b/>
          <w:bCs/>
          <w:color w:val="000000"/>
          <w:sz w:val="28"/>
          <w:szCs w:val="28"/>
        </w:rPr>
      </w:pPr>
      <w:r>
        <w:rPr>
          <w:rFonts w:eastAsia="仿宋"/>
          <w:b/>
          <w:bCs/>
          <w:color w:val="000000"/>
          <w:sz w:val="28"/>
          <w:szCs w:val="28"/>
        </w:rPr>
        <w:fldChar w:fldCharType="begin"/>
      </w:r>
      <w:r>
        <w:rPr>
          <w:rFonts w:eastAsia="仿宋"/>
          <w:b/>
          <w:bCs/>
          <w:color w:val="000000"/>
          <w:sz w:val="28"/>
          <w:szCs w:val="28"/>
        </w:rPr>
        <w:instrText xml:space="preserve"> HYPERLINK \l _Toc18915 </w:instrText>
      </w:r>
      <w:r>
        <w:rPr>
          <w:rFonts w:eastAsia="仿宋"/>
          <w:b/>
          <w:bCs/>
          <w:color w:val="000000"/>
          <w:sz w:val="28"/>
          <w:szCs w:val="28"/>
        </w:rPr>
        <w:fldChar w:fldCharType="separate"/>
      </w:r>
      <w:r>
        <w:rPr>
          <w:rFonts w:eastAsia="仿宋"/>
          <w:b/>
          <w:bCs/>
          <w:color w:val="000000"/>
          <w:sz w:val="28"/>
          <w:szCs w:val="28"/>
        </w:rPr>
        <w:t>附件</w:t>
      </w:r>
      <w:r>
        <w:rPr>
          <w:rFonts w:hint="eastAsia" w:eastAsia="仿宋"/>
          <w:b/>
          <w:bCs/>
          <w:color w:val="000000"/>
          <w:sz w:val="28"/>
          <w:szCs w:val="28"/>
        </w:rPr>
        <w:t>2</w:t>
      </w:r>
      <w:r>
        <w:rPr>
          <w:rFonts w:eastAsia="仿宋"/>
          <w:b/>
          <w:bCs/>
          <w:color w:val="000000"/>
          <w:sz w:val="28"/>
          <w:szCs w:val="28"/>
        </w:rPr>
        <w:tab/>
      </w:r>
      <w:r>
        <w:rPr>
          <w:rFonts w:eastAsia="仿宋"/>
          <w:b/>
          <w:bCs/>
          <w:color w:val="000000"/>
          <w:sz w:val="28"/>
          <w:szCs w:val="28"/>
        </w:rPr>
        <w:fldChar w:fldCharType="begin"/>
      </w:r>
      <w:r>
        <w:rPr>
          <w:rFonts w:eastAsia="仿宋"/>
          <w:b/>
          <w:bCs/>
          <w:color w:val="000000"/>
          <w:sz w:val="28"/>
          <w:szCs w:val="28"/>
        </w:rPr>
        <w:instrText xml:space="preserve"> PAGEREF _Toc18915 \h </w:instrText>
      </w:r>
      <w:r>
        <w:rPr>
          <w:rFonts w:eastAsia="仿宋"/>
          <w:b/>
          <w:bCs/>
          <w:color w:val="000000"/>
          <w:sz w:val="28"/>
          <w:szCs w:val="28"/>
        </w:rPr>
        <w:fldChar w:fldCharType="separate"/>
      </w:r>
      <w:r>
        <w:rPr>
          <w:rFonts w:eastAsia="仿宋"/>
          <w:b/>
          <w:bCs/>
          <w:color w:val="000000"/>
          <w:sz w:val="28"/>
          <w:szCs w:val="28"/>
        </w:rPr>
        <w:t>38</w:t>
      </w:r>
      <w:r>
        <w:rPr>
          <w:rFonts w:eastAsia="仿宋"/>
          <w:b/>
          <w:bCs/>
          <w:color w:val="000000"/>
          <w:sz w:val="28"/>
          <w:szCs w:val="28"/>
        </w:rPr>
        <w:fldChar w:fldCharType="end"/>
      </w:r>
      <w:r>
        <w:rPr>
          <w:rFonts w:eastAsia="仿宋"/>
          <w:b/>
          <w:bCs/>
          <w:color w:val="000000"/>
          <w:sz w:val="28"/>
          <w:szCs w:val="28"/>
        </w:rPr>
        <w:fldChar w:fldCharType="end"/>
      </w:r>
    </w:p>
    <w:p>
      <w:pPr>
        <w:pStyle w:val="143"/>
        <w:tabs>
          <w:tab w:val="right" w:leader="dot" w:pos="9070"/>
        </w:tabs>
        <w:spacing w:line="360" w:lineRule="auto"/>
        <w:ind w:left="0" w:leftChars="0" w:firstLine="562" w:firstLineChars="200"/>
        <w:jc w:val="both"/>
        <w:rPr>
          <w:rFonts w:eastAsia="仿宋"/>
          <w:b/>
          <w:bCs/>
          <w:color w:val="000000"/>
          <w:sz w:val="28"/>
          <w:szCs w:val="28"/>
        </w:rPr>
      </w:pPr>
      <w:r>
        <w:rPr>
          <w:rFonts w:eastAsia="仿宋"/>
          <w:b/>
          <w:bCs/>
          <w:color w:val="000000"/>
          <w:sz w:val="28"/>
          <w:szCs w:val="28"/>
        </w:rPr>
        <w:fldChar w:fldCharType="begin"/>
      </w:r>
      <w:r>
        <w:rPr>
          <w:rFonts w:eastAsia="仿宋"/>
          <w:b/>
          <w:bCs/>
          <w:color w:val="000000"/>
          <w:sz w:val="28"/>
          <w:szCs w:val="28"/>
        </w:rPr>
        <w:instrText xml:space="preserve"> HYPERLINK \l _Toc13444 </w:instrText>
      </w:r>
      <w:r>
        <w:rPr>
          <w:rFonts w:eastAsia="仿宋"/>
          <w:b/>
          <w:bCs/>
          <w:color w:val="000000"/>
          <w:sz w:val="28"/>
          <w:szCs w:val="28"/>
        </w:rPr>
        <w:fldChar w:fldCharType="separate"/>
      </w:r>
      <w:r>
        <w:rPr>
          <w:rFonts w:eastAsia="仿宋"/>
          <w:b/>
          <w:bCs/>
          <w:color w:val="000000"/>
          <w:sz w:val="28"/>
          <w:szCs w:val="28"/>
        </w:rPr>
        <w:t>附件</w:t>
      </w:r>
      <w:r>
        <w:rPr>
          <w:rFonts w:hint="eastAsia" w:eastAsia="仿宋"/>
          <w:b/>
          <w:bCs/>
          <w:color w:val="000000"/>
          <w:sz w:val="28"/>
          <w:szCs w:val="28"/>
        </w:rPr>
        <w:t>3</w:t>
      </w:r>
      <w:r>
        <w:rPr>
          <w:rFonts w:eastAsia="仿宋"/>
          <w:b/>
          <w:bCs/>
          <w:color w:val="000000"/>
          <w:sz w:val="28"/>
          <w:szCs w:val="28"/>
        </w:rPr>
        <w:tab/>
      </w:r>
      <w:r>
        <w:rPr>
          <w:rFonts w:eastAsia="仿宋"/>
          <w:b/>
          <w:bCs/>
          <w:color w:val="000000"/>
          <w:sz w:val="28"/>
          <w:szCs w:val="28"/>
        </w:rPr>
        <w:fldChar w:fldCharType="begin"/>
      </w:r>
      <w:r>
        <w:rPr>
          <w:rFonts w:eastAsia="仿宋"/>
          <w:b/>
          <w:bCs/>
          <w:color w:val="000000"/>
          <w:sz w:val="28"/>
          <w:szCs w:val="28"/>
        </w:rPr>
        <w:instrText xml:space="preserve"> PAGEREF _Toc13444 \h </w:instrText>
      </w:r>
      <w:r>
        <w:rPr>
          <w:rFonts w:eastAsia="仿宋"/>
          <w:b/>
          <w:bCs/>
          <w:color w:val="000000"/>
          <w:sz w:val="28"/>
          <w:szCs w:val="28"/>
        </w:rPr>
        <w:fldChar w:fldCharType="separate"/>
      </w:r>
      <w:r>
        <w:rPr>
          <w:rFonts w:eastAsia="仿宋"/>
          <w:b/>
          <w:bCs/>
          <w:color w:val="000000"/>
          <w:sz w:val="28"/>
          <w:szCs w:val="28"/>
        </w:rPr>
        <w:t>39</w:t>
      </w:r>
      <w:r>
        <w:rPr>
          <w:rFonts w:eastAsia="仿宋"/>
          <w:b/>
          <w:bCs/>
          <w:color w:val="000000"/>
          <w:sz w:val="28"/>
          <w:szCs w:val="28"/>
        </w:rPr>
        <w:fldChar w:fldCharType="end"/>
      </w:r>
      <w:r>
        <w:rPr>
          <w:rFonts w:eastAsia="仿宋"/>
          <w:b/>
          <w:bCs/>
          <w:color w:val="000000"/>
          <w:sz w:val="28"/>
          <w:szCs w:val="28"/>
        </w:rPr>
        <w:fldChar w:fldCharType="end"/>
      </w:r>
    </w:p>
    <w:p>
      <w:pPr>
        <w:pStyle w:val="143"/>
        <w:tabs>
          <w:tab w:val="right" w:leader="dot" w:pos="9070"/>
        </w:tabs>
        <w:spacing w:line="360" w:lineRule="auto"/>
        <w:ind w:left="0" w:leftChars="0" w:firstLine="562" w:firstLineChars="200"/>
        <w:jc w:val="both"/>
        <w:rPr>
          <w:rFonts w:eastAsia="仿宋"/>
          <w:b/>
          <w:bCs/>
          <w:color w:val="000000"/>
          <w:sz w:val="28"/>
          <w:szCs w:val="28"/>
        </w:rPr>
      </w:pPr>
      <w:r>
        <w:rPr>
          <w:rFonts w:eastAsia="仿宋"/>
          <w:b/>
          <w:bCs/>
          <w:color w:val="000000"/>
          <w:sz w:val="28"/>
          <w:szCs w:val="28"/>
        </w:rPr>
        <w:fldChar w:fldCharType="begin"/>
      </w:r>
      <w:r>
        <w:rPr>
          <w:rFonts w:eastAsia="仿宋"/>
          <w:b/>
          <w:bCs/>
          <w:color w:val="000000"/>
          <w:sz w:val="28"/>
          <w:szCs w:val="28"/>
        </w:rPr>
        <w:instrText xml:space="preserve"> HYPERLINK \l _Toc7332 </w:instrText>
      </w:r>
      <w:r>
        <w:rPr>
          <w:rFonts w:eastAsia="仿宋"/>
          <w:b/>
          <w:bCs/>
          <w:color w:val="000000"/>
          <w:sz w:val="28"/>
          <w:szCs w:val="28"/>
        </w:rPr>
        <w:fldChar w:fldCharType="separate"/>
      </w:r>
      <w:r>
        <w:rPr>
          <w:rFonts w:eastAsia="仿宋"/>
          <w:b/>
          <w:bCs/>
          <w:color w:val="000000"/>
          <w:sz w:val="28"/>
          <w:szCs w:val="28"/>
        </w:rPr>
        <w:t>附件</w:t>
      </w:r>
      <w:r>
        <w:rPr>
          <w:rFonts w:hint="eastAsia" w:eastAsia="仿宋"/>
          <w:b/>
          <w:bCs/>
          <w:color w:val="000000"/>
          <w:sz w:val="28"/>
          <w:szCs w:val="28"/>
        </w:rPr>
        <w:t>4</w:t>
      </w:r>
      <w:r>
        <w:rPr>
          <w:rFonts w:eastAsia="仿宋"/>
          <w:b/>
          <w:bCs/>
          <w:color w:val="000000"/>
          <w:sz w:val="28"/>
          <w:szCs w:val="28"/>
        </w:rPr>
        <w:tab/>
      </w:r>
      <w:r>
        <w:rPr>
          <w:rFonts w:eastAsia="仿宋"/>
          <w:b/>
          <w:bCs/>
          <w:color w:val="000000"/>
          <w:sz w:val="28"/>
          <w:szCs w:val="28"/>
        </w:rPr>
        <w:fldChar w:fldCharType="begin"/>
      </w:r>
      <w:r>
        <w:rPr>
          <w:rFonts w:eastAsia="仿宋"/>
          <w:b/>
          <w:bCs/>
          <w:color w:val="000000"/>
          <w:sz w:val="28"/>
          <w:szCs w:val="28"/>
        </w:rPr>
        <w:instrText xml:space="preserve"> PAGEREF _Toc7332 \h </w:instrText>
      </w:r>
      <w:r>
        <w:rPr>
          <w:rFonts w:eastAsia="仿宋"/>
          <w:b/>
          <w:bCs/>
          <w:color w:val="000000"/>
          <w:sz w:val="28"/>
          <w:szCs w:val="28"/>
        </w:rPr>
        <w:fldChar w:fldCharType="separate"/>
      </w:r>
      <w:r>
        <w:rPr>
          <w:rFonts w:eastAsia="仿宋"/>
          <w:b/>
          <w:bCs/>
          <w:color w:val="000000"/>
          <w:sz w:val="28"/>
          <w:szCs w:val="28"/>
        </w:rPr>
        <w:t>40</w:t>
      </w:r>
      <w:r>
        <w:rPr>
          <w:rFonts w:eastAsia="仿宋"/>
          <w:b/>
          <w:bCs/>
          <w:color w:val="000000"/>
          <w:sz w:val="28"/>
          <w:szCs w:val="28"/>
        </w:rPr>
        <w:fldChar w:fldCharType="end"/>
      </w:r>
      <w:r>
        <w:rPr>
          <w:rFonts w:eastAsia="仿宋"/>
          <w:b/>
          <w:bCs/>
          <w:color w:val="000000"/>
          <w:sz w:val="28"/>
          <w:szCs w:val="28"/>
        </w:rPr>
        <w:fldChar w:fldCharType="end"/>
      </w:r>
    </w:p>
    <w:p>
      <w:pPr>
        <w:pStyle w:val="143"/>
        <w:tabs>
          <w:tab w:val="right" w:leader="dot" w:pos="9070"/>
        </w:tabs>
        <w:spacing w:line="360" w:lineRule="auto"/>
        <w:ind w:left="0" w:leftChars="0" w:firstLine="562" w:firstLineChars="200"/>
        <w:jc w:val="both"/>
        <w:rPr>
          <w:rFonts w:eastAsia="仿宋"/>
          <w:b/>
          <w:bCs/>
          <w:color w:val="000000"/>
          <w:sz w:val="28"/>
          <w:szCs w:val="28"/>
        </w:rPr>
      </w:pPr>
      <w:r>
        <w:rPr>
          <w:rFonts w:eastAsia="仿宋"/>
          <w:b/>
          <w:bCs/>
          <w:color w:val="000000"/>
          <w:sz w:val="28"/>
          <w:szCs w:val="28"/>
        </w:rPr>
        <w:fldChar w:fldCharType="begin"/>
      </w:r>
      <w:r>
        <w:rPr>
          <w:rFonts w:eastAsia="仿宋"/>
          <w:b/>
          <w:bCs/>
          <w:color w:val="000000"/>
          <w:sz w:val="28"/>
          <w:szCs w:val="28"/>
        </w:rPr>
        <w:instrText xml:space="preserve"> HYPERLINK \l _Toc20396 </w:instrText>
      </w:r>
      <w:r>
        <w:rPr>
          <w:rFonts w:eastAsia="仿宋"/>
          <w:b/>
          <w:bCs/>
          <w:color w:val="000000"/>
          <w:sz w:val="28"/>
          <w:szCs w:val="28"/>
        </w:rPr>
        <w:fldChar w:fldCharType="separate"/>
      </w:r>
      <w:r>
        <w:rPr>
          <w:rFonts w:eastAsia="仿宋"/>
          <w:b/>
          <w:bCs/>
          <w:color w:val="000000"/>
          <w:sz w:val="28"/>
          <w:szCs w:val="28"/>
        </w:rPr>
        <w:t>附件</w:t>
      </w:r>
      <w:r>
        <w:rPr>
          <w:rFonts w:hint="eastAsia" w:eastAsia="仿宋"/>
          <w:b/>
          <w:bCs/>
          <w:color w:val="000000"/>
          <w:sz w:val="28"/>
          <w:szCs w:val="28"/>
        </w:rPr>
        <w:t>5</w:t>
      </w:r>
      <w:r>
        <w:rPr>
          <w:rFonts w:eastAsia="仿宋"/>
          <w:b/>
          <w:bCs/>
          <w:color w:val="000000"/>
          <w:sz w:val="28"/>
          <w:szCs w:val="28"/>
        </w:rPr>
        <w:tab/>
      </w:r>
      <w:r>
        <w:rPr>
          <w:rFonts w:eastAsia="仿宋"/>
          <w:b/>
          <w:bCs/>
          <w:color w:val="000000"/>
          <w:sz w:val="28"/>
          <w:szCs w:val="28"/>
        </w:rPr>
        <w:fldChar w:fldCharType="begin"/>
      </w:r>
      <w:r>
        <w:rPr>
          <w:rFonts w:eastAsia="仿宋"/>
          <w:b/>
          <w:bCs/>
          <w:color w:val="000000"/>
          <w:sz w:val="28"/>
          <w:szCs w:val="28"/>
        </w:rPr>
        <w:instrText xml:space="preserve"> PAGEREF _Toc20396 \h </w:instrText>
      </w:r>
      <w:r>
        <w:rPr>
          <w:rFonts w:eastAsia="仿宋"/>
          <w:b/>
          <w:bCs/>
          <w:color w:val="000000"/>
          <w:sz w:val="28"/>
          <w:szCs w:val="28"/>
        </w:rPr>
        <w:fldChar w:fldCharType="separate"/>
      </w:r>
      <w:r>
        <w:rPr>
          <w:rFonts w:eastAsia="仿宋"/>
          <w:b/>
          <w:bCs/>
          <w:color w:val="000000"/>
          <w:sz w:val="28"/>
          <w:szCs w:val="28"/>
        </w:rPr>
        <w:t>41</w:t>
      </w:r>
      <w:r>
        <w:rPr>
          <w:rFonts w:eastAsia="仿宋"/>
          <w:b/>
          <w:bCs/>
          <w:color w:val="000000"/>
          <w:sz w:val="28"/>
          <w:szCs w:val="28"/>
        </w:rPr>
        <w:fldChar w:fldCharType="end"/>
      </w:r>
      <w:r>
        <w:rPr>
          <w:rFonts w:eastAsia="仿宋"/>
          <w:b/>
          <w:bCs/>
          <w:color w:val="000000"/>
          <w:sz w:val="28"/>
          <w:szCs w:val="28"/>
        </w:rPr>
        <w:fldChar w:fldCharType="end"/>
      </w:r>
    </w:p>
    <w:p>
      <w:pPr>
        <w:pStyle w:val="143"/>
        <w:tabs>
          <w:tab w:val="right" w:leader="dot" w:pos="9070"/>
        </w:tabs>
        <w:spacing w:line="360" w:lineRule="auto"/>
        <w:ind w:left="0" w:leftChars="0" w:firstLine="562" w:firstLineChars="200"/>
        <w:jc w:val="both"/>
        <w:rPr>
          <w:rFonts w:eastAsia="仿宋"/>
          <w:b/>
          <w:bCs/>
          <w:color w:val="000000"/>
          <w:sz w:val="28"/>
          <w:szCs w:val="28"/>
        </w:rPr>
      </w:pPr>
      <w:r>
        <w:rPr>
          <w:rFonts w:eastAsia="仿宋"/>
          <w:b/>
          <w:bCs/>
          <w:color w:val="000000"/>
          <w:sz w:val="28"/>
          <w:szCs w:val="28"/>
        </w:rPr>
        <w:fldChar w:fldCharType="begin"/>
      </w:r>
      <w:r>
        <w:rPr>
          <w:rFonts w:eastAsia="仿宋"/>
          <w:b/>
          <w:bCs/>
          <w:color w:val="000000"/>
          <w:sz w:val="28"/>
          <w:szCs w:val="28"/>
        </w:rPr>
        <w:instrText xml:space="preserve"> HYPERLINK \l _Toc2567 </w:instrText>
      </w:r>
      <w:r>
        <w:rPr>
          <w:rFonts w:eastAsia="仿宋"/>
          <w:b/>
          <w:bCs/>
          <w:color w:val="000000"/>
          <w:sz w:val="28"/>
          <w:szCs w:val="28"/>
        </w:rPr>
        <w:fldChar w:fldCharType="separate"/>
      </w:r>
      <w:r>
        <w:rPr>
          <w:rFonts w:eastAsia="仿宋"/>
          <w:b/>
          <w:bCs/>
          <w:color w:val="000000"/>
          <w:sz w:val="28"/>
          <w:szCs w:val="28"/>
        </w:rPr>
        <w:t>附件</w:t>
      </w:r>
      <w:r>
        <w:rPr>
          <w:rFonts w:hint="eastAsia" w:eastAsia="仿宋"/>
          <w:b/>
          <w:bCs/>
          <w:color w:val="000000"/>
          <w:sz w:val="28"/>
          <w:szCs w:val="28"/>
        </w:rPr>
        <w:t>6</w:t>
      </w:r>
      <w:r>
        <w:rPr>
          <w:rFonts w:eastAsia="仿宋"/>
          <w:b/>
          <w:bCs/>
          <w:color w:val="000000"/>
          <w:sz w:val="28"/>
          <w:szCs w:val="28"/>
        </w:rPr>
        <w:tab/>
      </w:r>
      <w:r>
        <w:rPr>
          <w:rFonts w:eastAsia="仿宋"/>
          <w:b/>
          <w:bCs/>
          <w:color w:val="000000"/>
          <w:sz w:val="28"/>
          <w:szCs w:val="28"/>
        </w:rPr>
        <w:fldChar w:fldCharType="begin"/>
      </w:r>
      <w:r>
        <w:rPr>
          <w:rFonts w:eastAsia="仿宋"/>
          <w:b/>
          <w:bCs/>
          <w:color w:val="000000"/>
          <w:sz w:val="28"/>
          <w:szCs w:val="28"/>
        </w:rPr>
        <w:instrText xml:space="preserve"> PAGEREF _Toc2567 \h </w:instrText>
      </w:r>
      <w:r>
        <w:rPr>
          <w:rFonts w:eastAsia="仿宋"/>
          <w:b/>
          <w:bCs/>
          <w:color w:val="000000"/>
          <w:sz w:val="28"/>
          <w:szCs w:val="28"/>
        </w:rPr>
        <w:fldChar w:fldCharType="separate"/>
      </w:r>
      <w:r>
        <w:rPr>
          <w:rFonts w:eastAsia="仿宋"/>
          <w:b/>
          <w:bCs/>
          <w:color w:val="000000"/>
          <w:sz w:val="28"/>
          <w:szCs w:val="28"/>
        </w:rPr>
        <w:t>42</w:t>
      </w:r>
      <w:r>
        <w:rPr>
          <w:rFonts w:eastAsia="仿宋"/>
          <w:b/>
          <w:bCs/>
          <w:color w:val="000000"/>
          <w:sz w:val="28"/>
          <w:szCs w:val="28"/>
        </w:rPr>
        <w:fldChar w:fldCharType="end"/>
      </w:r>
      <w:r>
        <w:rPr>
          <w:rFonts w:eastAsia="仿宋"/>
          <w:b/>
          <w:bCs/>
          <w:color w:val="000000"/>
          <w:sz w:val="28"/>
          <w:szCs w:val="28"/>
        </w:rPr>
        <w:fldChar w:fldCharType="end"/>
      </w:r>
    </w:p>
    <w:p>
      <w:pPr>
        <w:pStyle w:val="143"/>
        <w:tabs>
          <w:tab w:val="right" w:leader="dot" w:pos="9070"/>
        </w:tabs>
        <w:spacing w:line="360" w:lineRule="auto"/>
        <w:ind w:left="0" w:leftChars="0" w:firstLine="562" w:firstLineChars="200"/>
        <w:jc w:val="both"/>
        <w:rPr>
          <w:rFonts w:eastAsia="仿宋"/>
          <w:color w:val="000000"/>
          <w:sz w:val="28"/>
          <w:szCs w:val="28"/>
        </w:rPr>
      </w:pPr>
      <w:r>
        <w:rPr>
          <w:rFonts w:eastAsia="仿宋"/>
          <w:b/>
          <w:bCs/>
          <w:color w:val="000000"/>
          <w:sz w:val="28"/>
          <w:szCs w:val="28"/>
        </w:rPr>
        <w:fldChar w:fldCharType="begin"/>
      </w:r>
      <w:r>
        <w:rPr>
          <w:rFonts w:eastAsia="仿宋"/>
          <w:b/>
          <w:bCs/>
          <w:color w:val="000000"/>
          <w:sz w:val="28"/>
          <w:szCs w:val="28"/>
        </w:rPr>
        <w:instrText xml:space="preserve"> HYPERLINK \l _Toc24461 </w:instrText>
      </w:r>
      <w:r>
        <w:rPr>
          <w:rFonts w:eastAsia="仿宋"/>
          <w:b/>
          <w:bCs/>
          <w:color w:val="000000"/>
          <w:sz w:val="28"/>
          <w:szCs w:val="28"/>
        </w:rPr>
        <w:fldChar w:fldCharType="separate"/>
      </w:r>
      <w:r>
        <w:rPr>
          <w:rFonts w:eastAsia="仿宋"/>
          <w:b/>
          <w:bCs/>
          <w:color w:val="000000"/>
          <w:sz w:val="28"/>
          <w:szCs w:val="28"/>
        </w:rPr>
        <w:t>附件</w:t>
      </w:r>
      <w:r>
        <w:rPr>
          <w:rFonts w:hint="eastAsia" w:eastAsia="仿宋"/>
          <w:b/>
          <w:bCs/>
          <w:color w:val="000000"/>
          <w:sz w:val="28"/>
          <w:szCs w:val="28"/>
        </w:rPr>
        <w:t>7</w:t>
      </w:r>
      <w:r>
        <w:rPr>
          <w:rFonts w:eastAsia="仿宋"/>
          <w:b/>
          <w:bCs/>
          <w:color w:val="000000"/>
          <w:sz w:val="28"/>
          <w:szCs w:val="28"/>
        </w:rPr>
        <w:tab/>
      </w:r>
      <w:r>
        <w:rPr>
          <w:rFonts w:eastAsia="仿宋"/>
          <w:b/>
          <w:bCs/>
          <w:color w:val="000000"/>
          <w:sz w:val="28"/>
          <w:szCs w:val="28"/>
        </w:rPr>
        <w:fldChar w:fldCharType="begin"/>
      </w:r>
      <w:r>
        <w:rPr>
          <w:rFonts w:eastAsia="仿宋"/>
          <w:b/>
          <w:bCs/>
          <w:color w:val="000000"/>
          <w:sz w:val="28"/>
          <w:szCs w:val="28"/>
        </w:rPr>
        <w:instrText xml:space="preserve"> PAGEREF _Toc24461 \h </w:instrText>
      </w:r>
      <w:r>
        <w:rPr>
          <w:rFonts w:eastAsia="仿宋"/>
          <w:b/>
          <w:bCs/>
          <w:color w:val="000000"/>
          <w:sz w:val="28"/>
          <w:szCs w:val="28"/>
        </w:rPr>
        <w:fldChar w:fldCharType="separate"/>
      </w:r>
      <w:r>
        <w:rPr>
          <w:rFonts w:eastAsia="仿宋"/>
          <w:b/>
          <w:bCs/>
          <w:color w:val="000000"/>
          <w:sz w:val="28"/>
          <w:szCs w:val="28"/>
        </w:rPr>
        <w:t>43</w:t>
      </w:r>
      <w:r>
        <w:rPr>
          <w:rFonts w:eastAsia="仿宋"/>
          <w:b/>
          <w:bCs/>
          <w:color w:val="000000"/>
          <w:sz w:val="28"/>
          <w:szCs w:val="28"/>
        </w:rPr>
        <w:fldChar w:fldCharType="end"/>
      </w:r>
      <w:r>
        <w:rPr>
          <w:rFonts w:eastAsia="仿宋"/>
          <w:b/>
          <w:bCs/>
          <w:color w:val="000000"/>
          <w:sz w:val="28"/>
          <w:szCs w:val="28"/>
        </w:rPr>
        <w:fldChar w:fldCharType="end"/>
      </w:r>
    </w:p>
    <w:p>
      <w:pPr>
        <w:pStyle w:val="161"/>
        <w:tabs>
          <w:tab w:val="right" w:leader="dot" w:pos="9070"/>
        </w:tabs>
        <w:spacing w:line="360" w:lineRule="auto"/>
        <w:ind w:firstLine="320" w:firstLineChars="100"/>
        <w:jc w:val="both"/>
        <w:rPr>
          <w:rFonts w:eastAsia="黑体"/>
          <w:color w:val="000000"/>
          <w:sz w:val="32"/>
          <w:szCs w:val="32"/>
        </w:rPr>
      </w:pPr>
      <w:r>
        <w:rPr>
          <w:rFonts w:eastAsia="黑体"/>
          <w:color w:val="000000"/>
          <w:sz w:val="32"/>
          <w:szCs w:val="32"/>
        </w:rPr>
        <w:fldChar w:fldCharType="begin"/>
      </w:r>
      <w:r>
        <w:rPr>
          <w:rFonts w:eastAsia="黑体"/>
          <w:color w:val="000000"/>
          <w:sz w:val="32"/>
          <w:szCs w:val="32"/>
        </w:rPr>
        <w:instrText xml:space="preserve"> HYPERLINK \l _Toc5224 </w:instrText>
      </w:r>
      <w:r>
        <w:rPr>
          <w:rFonts w:eastAsia="黑体"/>
          <w:color w:val="000000"/>
          <w:sz w:val="32"/>
          <w:szCs w:val="32"/>
        </w:rPr>
        <w:fldChar w:fldCharType="separate"/>
      </w:r>
      <w:r>
        <w:rPr>
          <w:rFonts w:eastAsia="黑体"/>
          <w:color w:val="000000"/>
          <w:sz w:val="32"/>
          <w:szCs w:val="32"/>
        </w:rPr>
        <w:t>第三章 评标办法（综合评估法I）</w:t>
      </w:r>
      <w:r>
        <w:rPr>
          <w:rFonts w:eastAsia="黑体"/>
          <w:color w:val="000000"/>
          <w:sz w:val="32"/>
          <w:szCs w:val="32"/>
        </w:rPr>
        <w:tab/>
      </w:r>
      <w:r>
        <w:rPr>
          <w:rFonts w:eastAsia="黑体"/>
          <w:color w:val="000000"/>
          <w:sz w:val="32"/>
          <w:szCs w:val="32"/>
        </w:rPr>
        <w:fldChar w:fldCharType="begin"/>
      </w:r>
      <w:r>
        <w:rPr>
          <w:rFonts w:eastAsia="黑体"/>
          <w:color w:val="000000"/>
          <w:sz w:val="32"/>
          <w:szCs w:val="32"/>
        </w:rPr>
        <w:instrText xml:space="preserve"> PAGEREF _Toc5224 \h </w:instrText>
      </w:r>
      <w:r>
        <w:rPr>
          <w:rFonts w:eastAsia="黑体"/>
          <w:color w:val="000000"/>
          <w:sz w:val="32"/>
          <w:szCs w:val="32"/>
        </w:rPr>
        <w:fldChar w:fldCharType="separate"/>
      </w:r>
      <w:r>
        <w:rPr>
          <w:rFonts w:eastAsia="黑体"/>
          <w:color w:val="000000"/>
          <w:sz w:val="32"/>
          <w:szCs w:val="32"/>
        </w:rPr>
        <w:t>44</w:t>
      </w:r>
      <w:r>
        <w:rPr>
          <w:rFonts w:eastAsia="黑体"/>
          <w:color w:val="000000"/>
          <w:sz w:val="32"/>
          <w:szCs w:val="32"/>
        </w:rPr>
        <w:fldChar w:fldCharType="end"/>
      </w:r>
      <w:r>
        <w:rPr>
          <w:rFonts w:eastAsia="黑体"/>
          <w:color w:val="000000"/>
          <w:sz w:val="32"/>
          <w:szCs w:val="32"/>
        </w:rPr>
        <w:fldChar w:fldCharType="end"/>
      </w:r>
    </w:p>
    <w:p>
      <w:pPr>
        <w:pStyle w:val="142"/>
        <w:tabs>
          <w:tab w:val="right" w:leader="dot" w:pos="9070"/>
        </w:tabs>
        <w:spacing w:line="360" w:lineRule="auto"/>
        <w:ind w:left="0" w:leftChars="0" w:firstLine="562" w:firstLineChars="200"/>
        <w:jc w:val="both"/>
        <w:rPr>
          <w:rFonts w:eastAsia="仿宋"/>
          <w:color w:val="000000"/>
          <w:sz w:val="28"/>
          <w:szCs w:val="28"/>
        </w:rPr>
      </w:pPr>
      <w:r>
        <w:rPr>
          <w:rFonts w:eastAsia="仿宋"/>
          <w:b/>
          <w:bCs/>
          <w:color w:val="000000"/>
          <w:sz w:val="28"/>
          <w:szCs w:val="28"/>
        </w:rPr>
        <w:fldChar w:fldCharType="begin"/>
      </w:r>
      <w:r>
        <w:rPr>
          <w:rFonts w:eastAsia="仿宋"/>
          <w:b/>
          <w:bCs/>
          <w:color w:val="000000"/>
          <w:sz w:val="28"/>
          <w:szCs w:val="28"/>
        </w:rPr>
        <w:instrText xml:space="preserve"> HYPERLINK \l _Toc19462 </w:instrText>
      </w:r>
      <w:r>
        <w:rPr>
          <w:rFonts w:eastAsia="仿宋"/>
          <w:b/>
          <w:bCs/>
          <w:color w:val="000000"/>
          <w:sz w:val="28"/>
          <w:szCs w:val="28"/>
        </w:rPr>
        <w:fldChar w:fldCharType="separate"/>
      </w:r>
      <w:r>
        <w:rPr>
          <w:rFonts w:eastAsia="仿宋"/>
          <w:b/>
          <w:bCs/>
          <w:color w:val="000000"/>
          <w:sz w:val="28"/>
          <w:szCs w:val="28"/>
        </w:rPr>
        <w:t>评标办法前附表</w:t>
      </w:r>
      <w:r>
        <w:rPr>
          <w:rFonts w:eastAsia="仿宋"/>
          <w:b/>
          <w:bCs/>
          <w:color w:val="000000"/>
          <w:sz w:val="28"/>
          <w:szCs w:val="28"/>
        </w:rPr>
        <w:tab/>
      </w:r>
      <w:r>
        <w:rPr>
          <w:rFonts w:eastAsia="仿宋"/>
          <w:b/>
          <w:bCs/>
          <w:color w:val="000000"/>
          <w:sz w:val="28"/>
          <w:szCs w:val="28"/>
        </w:rPr>
        <w:fldChar w:fldCharType="begin"/>
      </w:r>
      <w:r>
        <w:rPr>
          <w:rFonts w:eastAsia="仿宋"/>
          <w:b/>
          <w:bCs/>
          <w:color w:val="000000"/>
          <w:sz w:val="28"/>
          <w:szCs w:val="28"/>
        </w:rPr>
        <w:instrText xml:space="preserve"> PAGEREF _Toc19462 \h </w:instrText>
      </w:r>
      <w:r>
        <w:rPr>
          <w:rFonts w:eastAsia="仿宋"/>
          <w:b/>
          <w:bCs/>
          <w:color w:val="000000"/>
          <w:sz w:val="28"/>
          <w:szCs w:val="28"/>
        </w:rPr>
        <w:fldChar w:fldCharType="separate"/>
      </w:r>
      <w:r>
        <w:rPr>
          <w:rFonts w:eastAsia="仿宋"/>
          <w:b/>
          <w:bCs/>
          <w:color w:val="000000"/>
          <w:sz w:val="28"/>
          <w:szCs w:val="28"/>
        </w:rPr>
        <w:t>44</w:t>
      </w:r>
      <w:r>
        <w:rPr>
          <w:rFonts w:eastAsia="仿宋"/>
          <w:b/>
          <w:bCs/>
          <w:color w:val="000000"/>
          <w:sz w:val="28"/>
          <w:szCs w:val="28"/>
        </w:rPr>
        <w:fldChar w:fldCharType="end"/>
      </w:r>
      <w:r>
        <w:rPr>
          <w:rFonts w:eastAsia="仿宋"/>
          <w:b/>
          <w:bCs/>
          <w:color w:val="000000"/>
          <w:sz w:val="28"/>
          <w:szCs w:val="28"/>
        </w:rPr>
        <w:fldChar w:fldCharType="end"/>
      </w:r>
    </w:p>
    <w:p>
      <w:pPr>
        <w:pStyle w:val="161"/>
        <w:tabs>
          <w:tab w:val="right" w:leader="dot" w:pos="9070"/>
        </w:tabs>
        <w:spacing w:line="360" w:lineRule="auto"/>
        <w:ind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_Toc23938 </w:instrText>
      </w:r>
      <w:r>
        <w:rPr>
          <w:rFonts w:eastAsia="仿宋"/>
          <w:color w:val="000000"/>
          <w:sz w:val="28"/>
          <w:szCs w:val="28"/>
        </w:rPr>
        <w:fldChar w:fldCharType="separate"/>
      </w:r>
      <w:r>
        <w:rPr>
          <w:rFonts w:eastAsia="仿宋"/>
          <w:bCs/>
          <w:color w:val="000000"/>
          <w:sz w:val="28"/>
          <w:szCs w:val="28"/>
        </w:rPr>
        <w:t>1．评标方法</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_Toc23938 \h </w:instrText>
      </w:r>
      <w:r>
        <w:rPr>
          <w:rFonts w:eastAsia="仿宋"/>
          <w:color w:val="000000"/>
          <w:sz w:val="28"/>
          <w:szCs w:val="28"/>
        </w:rPr>
        <w:fldChar w:fldCharType="separate"/>
      </w:r>
      <w:r>
        <w:rPr>
          <w:rFonts w:eastAsia="仿宋"/>
          <w:color w:val="000000"/>
          <w:sz w:val="28"/>
          <w:szCs w:val="28"/>
        </w:rPr>
        <w:t>47</w:t>
      </w:r>
      <w:r>
        <w:rPr>
          <w:rFonts w:eastAsia="仿宋"/>
          <w:color w:val="000000"/>
          <w:sz w:val="28"/>
          <w:szCs w:val="28"/>
        </w:rPr>
        <w:fldChar w:fldCharType="end"/>
      </w:r>
      <w:r>
        <w:rPr>
          <w:rFonts w:eastAsia="仿宋"/>
          <w:color w:val="000000"/>
          <w:sz w:val="28"/>
          <w:szCs w:val="28"/>
        </w:rPr>
        <w:fldChar w:fldCharType="end"/>
      </w:r>
    </w:p>
    <w:p>
      <w:pPr>
        <w:pStyle w:val="161"/>
        <w:tabs>
          <w:tab w:val="right" w:leader="dot" w:pos="9070"/>
        </w:tabs>
        <w:spacing w:line="360" w:lineRule="auto"/>
        <w:ind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_Toc16213 </w:instrText>
      </w:r>
      <w:r>
        <w:rPr>
          <w:rFonts w:eastAsia="仿宋"/>
          <w:color w:val="000000"/>
          <w:sz w:val="28"/>
          <w:szCs w:val="28"/>
        </w:rPr>
        <w:fldChar w:fldCharType="separate"/>
      </w:r>
      <w:r>
        <w:rPr>
          <w:rFonts w:eastAsia="仿宋"/>
          <w:bCs/>
          <w:color w:val="000000"/>
          <w:sz w:val="28"/>
          <w:szCs w:val="28"/>
        </w:rPr>
        <w:t>2．评审标准</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_Toc16213 \h </w:instrText>
      </w:r>
      <w:r>
        <w:rPr>
          <w:rFonts w:eastAsia="仿宋"/>
          <w:color w:val="000000"/>
          <w:sz w:val="28"/>
          <w:szCs w:val="28"/>
        </w:rPr>
        <w:fldChar w:fldCharType="separate"/>
      </w:r>
      <w:r>
        <w:rPr>
          <w:rFonts w:eastAsia="仿宋"/>
          <w:color w:val="000000"/>
          <w:sz w:val="28"/>
          <w:szCs w:val="28"/>
        </w:rPr>
        <w:t>47</w:t>
      </w:r>
      <w:r>
        <w:rPr>
          <w:rFonts w:eastAsia="仿宋"/>
          <w:color w:val="000000"/>
          <w:sz w:val="28"/>
          <w:szCs w:val="28"/>
        </w:rPr>
        <w:fldChar w:fldCharType="end"/>
      </w:r>
      <w:r>
        <w:rPr>
          <w:rFonts w:eastAsia="仿宋"/>
          <w:color w:val="000000"/>
          <w:sz w:val="28"/>
          <w:szCs w:val="28"/>
        </w:rPr>
        <w:fldChar w:fldCharType="end"/>
      </w:r>
    </w:p>
    <w:p>
      <w:pPr>
        <w:pStyle w:val="161"/>
        <w:tabs>
          <w:tab w:val="right" w:leader="dot" w:pos="9070"/>
        </w:tabs>
        <w:spacing w:line="360" w:lineRule="auto"/>
        <w:ind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_Toc23034 </w:instrText>
      </w:r>
      <w:r>
        <w:rPr>
          <w:rFonts w:eastAsia="仿宋"/>
          <w:color w:val="000000"/>
          <w:sz w:val="28"/>
          <w:szCs w:val="28"/>
        </w:rPr>
        <w:fldChar w:fldCharType="separate"/>
      </w:r>
      <w:r>
        <w:rPr>
          <w:rFonts w:eastAsia="仿宋"/>
          <w:bCs/>
          <w:color w:val="000000"/>
          <w:sz w:val="28"/>
          <w:szCs w:val="28"/>
        </w:rPr>
        <w:t>3．评标程序</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_Toc23034 \h </w:instrText>
      </w:r>
      <w:r>
        <w:rPr>
          <w:rFonts w:eastAsia="仿宋"/>
          <w:color w:val="000000"/>
          <w:sz w:val="28"/>
          <w:szCs w:val="28"/>
        </w:rPr>
        <w:fldChar w:fldCharType="separate"/>
      </w:r>
      <w:r>
        <w:rPr>
          <w:rFonts w:eastAsia="仿宋"/>
          <w:color w:val="000000"/>
          <w:sz w:val="28"/>
          <w:szCs w:val="28"/>
        </w:rPr>
        <w:t>49</w:t>
      </w:r>
      <w:r>
        <w:rPr>
          <w:rFonts w:eastAsia="仿宋"/>
          <w:color w:val="000000"/>
          <w:sz w:val="28"/>
          <w:szCs w:val="28"/>
        </w:rPr>
        <w:fldChar w:fldCharType="end"/>
      </w:r>
      <w:r>
        <w:rPr>
          <w:rFonts w:eastAsia="仿宋"/>
          <w:color w:val="000000"/>
          <w:sz w:val="28"/>
          <w:szCs w:val="28"/>
        </w:rPr>
        <w:fldChar w:fldCharType="end"/>
      </w:r>
    </w:p>
    <w:p>
      <w:pPr>
        <w:pStyle w:val="161"/>
        <w:tabs>
          <w:tab w:val="right" w:leader="dot" w:pos="9070"/>
        </w:tabs>
        <w:spacing w:line="360" w:lineRule="auto"/>
        <w:ind w:firstLine="320" w:firstLineChars="100"/>
        <w:jc w:val="both"/>
        <w:rPr>
          <w:rFonts w:eastAsia="仿宋"/>
          <w:color w:val="000000"/>
          <w:sz w:val="28"/>
          <w:szCs w:val="28"/>
        </w:rPr>
      </w:pPr>
      <w:r>
        <w:rPr>
          <w:rFonts w:eastAsia="黑体"/>
          <w:color w:val="000000"/>
          <w:sz w:val="32"/>
          <w:szCs w:val="32"/>
        </w:rPr>
        <w:fldChar w:fldCharType="begin"/>
      </w:r>
      <w:r>
        <w:rPr>
          <w:rFonts w:eastAsia="黑体"/>
          <w:color w:val="000000"/>
          <w:sz w:val="32"/>
          <w:szCs w:val="32"/>
        </w:rPr>
        <w:instrText xml:space="preserve"> HYPERLINK \l _Toc30814 </w:instrText>
      </w:r>
      <w:r>
        <w:rPr>
          <w:rFonts w:eastAsia="黑体"/>
          <w:color w:val="000000"/>
          <w:sz w:val="32"/>
          <w:szCs w:val="32"/>
        </w:rPr>
        <w:fldChar w:fldCharType="separate"/>
      </w:r>
      <w:r>
        <w:rPr>
          <w:rFonts w:eastAsia="黑体"/>
          <w:color w:val="000000"/>
          <w:sz w:val="32"/>
          <w:szCs w:val="32"/>
        </w:rPr>
        <w:t>第三章  评标办法（综合评估法II）</w:t>
      </w:r>
      <w:r>
        <w:rPr>
          <w:rFonts w:eastAsia="黑体"/>
          <w:color w:val="000000"/>
          <w:sz w:val="32"/>
          <w:szCs w:val="32"/>
        </w:rPr>
        <w:tab/>
      </w:r>
      <w:r>
        <w:rPr>
          <w:rFonts w:eastAsia="黑体"/>
          <w:color w:val="000000"/>
          <w:sz w:val="32"/>
          <w:szCs w:val="32"/>
        </w:rPr>
        <w:fldChar w:fldCharType="begin"/>
      </w:r>
      <w:r>
        <w:rPr>
          <w:rFonts w:eastAsia="黑体"/>
          <w:color w:val="000000"/>
          <w:sz w:val="32"/>
          <w:szCs w:val="32"/>
        </w:rPr>
        <w:instrText xml:space="preserve"> PAGEREF _Toc30814 \h </w:instrText>
      </w:r>
      <w:r>
        <w:rPr>
          <w:rFonts w:eastAsia="黑体"/>
          <w:color w:val="000000"/>
          <w:sz w:val="32"/>
          <w:szCs w:val="32"/>
        </w:rPr>
        <w:fldChar w:fldCharType="separate"/>
      </w:r>
      <w:r>
        <w:rPr>
          <w:rFonts w:eastAsia="黑体"/>
          <w:color w:val="000000"/>
          <w:sz w:val="32"/>
          <w:szCs w:val="32"/>
        </w:rPr>
        <w:t>80</w:t>
      </w:r>
      <w:r>
        <w:rPr>
          <w:rFonts w:eastAsia="黑体"/>
          <w:color w:val="000000"/>
          <w:sz w:val="32"/>
          <w:szCs w:val="32"/>
        </w:rPr>
        <w:fldChar w:fldCharType="end"/>
      </w:r>
      <w:r>
        <w:rPr>
          <w:rFonts w:eastAsia="黑体"/>
          <w:color w:val="000000"/>
          <w:sz w:val="32"/>
          <w:szCs w:val="32"/>
        </w:rPr>
        <w:fldChar w:fldCharType="end"/>
      </w:r>
    </w:p>
    <w:p>
      <w:pPr>
        <w:pStyle w:val="142"/>
        <w:tabs>
          <w:tab w:val="right" w:leader="dot" w:pos="9070"/>
        </w:tabs>
        <w:spacing w:line="360" w:lineRule="auto"/>
        <w:ind w:left="0" w:leftChars="0" w:firstLine="562" w:firstLineChars="200"/>
        <w:jc w:val="both"/>
        <w:rPr>
          <w:rFonts w:eastAsia="仿宋"/>
          <w:color w:val="000000"/>
          <w:sz w:val="28"/>
          <w:szCs w:val="28"/>
        </w:rPr>
      </w:pPr>
      <w:r>
        <w:rPr>
          <w:rFonts w:eastAsia="仿宋"/>
          <w:b/>
          <w:bCs/>
          <w:color w:val="000000"/>
          <w:sz w:val="28"/>
          <w:szCs w:val="28"/>
        </w:rPr>
        <w:fldChar w:fldCharType="begin"/>
      </w:r>
      <w:r>
        <w:rPr>
          <w:rFonts w:eastAsia="仿宋"/>
          <w:b/>
          <w:bCs/>
          <w:color w:val="000000"/>
          <w:sz w:val="28"/>
          <w:szCs w:val="28"/>
        </w:rPr>
        <w:instrText xml:space="preserve"> HYPERLINK \l _Toc13858 </w:instrText>
      </w:r>
      <w:r>
        <w:rPr>
          <w:rFonts w:eastAsia="仿宋"/>
          <w:b/>
          <w:bCs/>
          <w:color w:val="000000"/>
          <w:sz w:val="28"/>
          <w:szCs w:val="28"/>
        </w:rPr>
        <w:fldChar w:fldCharType="separate"/>
      </w:r>
      <w:r>
        <w:rPr>
          <w:rFonts w:eastAsia="仿宋"/>
          <w:b/>
          <w:bCs/>
          <w:color w:val="000000"/>
          <w:sz w:val="28"/>
          <w:szCs w:val="28"/>
        </w:rPr>
        <w:t>评标办法前附表</w:t>
      </w:r>
      <w:r>
        <w:rPr>
          <w:rFonts w:eastAsia="仿宋"/>
          <w:b/>
          <w:bCs/>
          <w:color w:val="000000"/>
          <w:sz w:val="28"/>
          <w:szCs w:val="28"/>
        </w:rPr>
        <w:tab/>
      </w:r>
      <w:r>
        <w:rPr>
          <w:rFonts w:eastAsia="仿宋"/>
          <w:b/>
          <w:bCs/>
          <w:color w:val="000000"/>
          <w:sz w:val="28"/>
          <w:szCs w:val="28"/>
        </w:rPr>
        <w:fldChar w:fldCharType="begin"/>
      </w:r>
      <w:r>
        <w:rPr>
          <w:rFonts w:eastAsia="仿宋"/>
          <w:b/>
          <w:bCs/>
          <w:color w:val="000000"/>
          <w:sz w:val="28"/>
          <w:szCs w:val="28"/>
        </w:rPr>
        <w:instrText xml:space="preserve"> PAGEREF _Toc13858 \h </w:instrText>
      </w:r>
      <w:r>
        <w:rPr>
          <w:rFonts w:eastAsia="仿宋"/>
          <w:b/>
          <w:bCs/>
          <w:color w:val="000000"/>
          <w:sz w:val="28"/>
          <w:szCs w:val="28"/>
        </w:rPr>
        <w:fldChar w:fldCharType="separate"/>
      </w:r>
      <w:r>
        <w:rPr>
          <w:rFonts w:eastAsia="仿宋"/>
          <w:b/>
          <w:bCs/>
          <w:color w:val="000000"/>
          <w:sz w:val="28"/>
          <w:szCs w:val="28"/>
        </w:rPr>
        <w:t>80</w:t>
      </w:r>
      <w:r>
        <w:rPr>
          <w:rFonts w:eastAsia="仿宋"/>
          <w:b/>
          <w:bCs/>
          <w:color w:val="000000"/>
          <w:sz w:val="28"/>
          <w:szCs w:val="28"/>
        </w:rPr>
        <w:fldChar w:fldCharType="end"/>
      </w:r>
      <w:r>
        <w:rPr>
          <w:rFonts w:eastAsia="仿宋"/>
          <w:b/>
          <w:bCs/>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_Toc9767 </w:instrText>
      </w:r>
      <w:r>
        <w:rPr>
          <w:rFonts w:eastAsia="仿宋"/>
          <w:color w:val="000000"/>
          <w:sz w:val="28"/>
          <w:szCs w:val="28"/>
        </w:rPr>
        <w:fldChar w:fldCharType="separate"/>
      </w:r>
      <w:r>
        <w:rPr>
          <w:rFonts w:eastAsia="仿宋"/>
          <w:color w:val="000000"/>
          <w:sz w:val="28"/>
          <w:szCs w:val="28"/>
        </w:rPr>
        <w:t>1．评标方法</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_Toc9767 \h </w:instrText>
      </w:r>
      <w:r>
        <w:rPr>
          <w:rFonts w:eastAsia="仿宋"/>
          <w:color w:val="000000"/>
          <w:sz w:val="28"/>
          <w:szCs w:val="28"/>
        </w:rPr>
        <w:fldChar w:fldCharType="separate"/>
      </w:r>
      <w:r>
        <w:rPr>
          <w:rFonts w:eastAsia="仿宋"/>
          <w:color w:val="000000"/>
          <w:sz w:val="28"/>
          <w:szCs w:val="28"/>
        </w:rPr>
        <w:t>83</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_Toc10068 </w:instrText>
      </w:r>
      <w:r>
        <w:rPr>
          <w:rFonts w:eastAsia="仿宋"/>
          <w:color w:val="000000"/>
          <w:sz w:val="28"/>
          <w:szCs w:val="28"/>
        </w:rPr>
        <w:fldChar w:fldCharType="separate"/>
      </w:r>
      <w:r>
        <w:rPr>
          <w:rFonts w:eastAsia="仿宋"/>
          <w:color w:val="000000"/>
          <w:sz w:val="28"/>
          <w:szCs w:val="28"/>
        </w:rPr>
        <w:t>2．评审标准</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_Toc10068 \h </w:instrText>
      </w:r>
      <w:r>
        <w:rPr>
          <w:rFonts w:eastAsia="仿宋"/>
          <w:color w:val="000000"/>
          <w:sz w:val="28"/>
          <w:szCs w:val="28"/>
        </w:rPr>
        <w:fldChar w:fldCharType="separate"/>
      </w:r>
      <w:r>
        <w:rPr>
          <w:rFonts w:eastAsia="仿宋"/>
          <w:color w:val="000000"/>
          <w:sz w:val="28"/>
          <w:szCs w:val="28"/>
        </w:rPr>
        <w:t>83</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_Toc2189 </w:instrText>
      </w:r>
      <w:r>
        <w:rPr>
          <w:rFonts w:eastAsia="仿宋"/>
          <w:color w:val="000000"/>
          <w:sz w:val="28"/>
          <w:szCs w:val="28"/>
        </w:rPr>
        <w:fldChar w:fldCharType="separate"/>
      </w:r>
      <w:r>
        <w:rPr>
          <w:rFonts w:eastAsia="仿宋"/>
          <w:color w:val="000000"/>
          <w:sz w:val="28"/>
          <w:szCs w:val="28"/>
        </w:rPr>
        <w:t>3．评标程序</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_Toc2189 \h </w:instrText>
      </w:r>
      <w:r>
        <w:rPr>
          <w:rFonts w:eastAsia="仿宋"/>
          <w:color w:val="000000"/>
          <w:sz w:val="28"/>
          <w:szCs w:val="28"/>
        </w:rPr>
        <w:fldChar w:fldCharType="separate"/>
      </w:r>
      <w:r>
        <w:rPr>
          <w:rFonts w:eastAsia="仿宋"/>
          <w:color w:val="000000"/>
          <w:sz w:val="28"/>
          <w:szCs w:val="28"/>
        </w:rPr>
        <w:t>86</w:t>
      </w:r>
      <w:r>
        <w:rPr>
          <w:rFonts w:eastAsia="仿宋"/>
          <w:color w:val="000000"/>
          <w:sz w:val="28"/>
          <w:szCs w:val="28"/>
        </w:rPr>
        <w:fldChar w:fldCharType="end"/>
      </w:r>
      <w:r>
        <w:rPr>
          <w:rFonts w:eastAsia="仿宋"/>
          <w:color w:val="000000"/>
          <w:sz w:val="28"/>
          <w:szCs w:val="28"/>
        </w:rPr>
        <w:fldChar w:fldCharType="end"/>
      </w:r>
    </w:p>
    <w:p>
      <w:pPr>
        <w:pStyle w:val="161"/>
        <w:tabs>
          <w:tab w:val="right" w:leader="dot" w:pos="9070"/>
        </w:tabs>
        <w:spacing w:line="360" w:lineRule="auto"/>
        <w:ind w:firstLine="320" w:firstLineChars="100"/>
        <w:jc w:val="both"/>
        <w:rPr>
          <w:rFonts w:eastAsia="黑体"/>
          <w:color w:val="000000"/>
          <w:sz w:val="32"/>
          <w:szCs w:val="32"/>
        </w:rPr>
      </w:pPr>
      <w:r>
        <w:rPr>
          <w:rFonts w:eastAsia="黑体"/>
          <w:color w:val="000000"/>
          <w:sz w:val="32"/>
          <w:szCs w:val="32"/>
        </w:rPr>
        <w:fldChar w:fldCharType="begin"/>
      </w:r>
      <w:r>
        <w:rPr>
          <w:rFonts w:eastAsia="黑体"/>
          <w:color w:val="000000"/>
          <w:sz w:val="32"/>
          <w:szCs w:val="32"/>
        </w:rPr>
        <w:instrText xml:space="preserve"> HYPERLINK \l _Toc27992 </w:instrText>
      </w:r>
      <w:r>
        <w:rPr>
          <w:rFonts w:eastAsia="黑体"/>
          <w:color w:val="000000"/>
          <w:sz w:val="32"/>
          <w:szCs w:val="32"/>
        </w:rPr>
        <w:fldChar w:fldCharType="separate"/>
      </w:r>
      <w:r>
        <w:rPr>
          <w:rFonts w:eastAsia="黑体"/>
          <w:color w:val="000000"/>
          <w:sz w:val="32"/>
          <w:szCs w:val="32"/>
        </w:rPr>
        <w:t>第三章 评标办法（经评审的最低投标价法）</w:t>
      </w:r>
      <w:r>
        <w:rPr>
          <w:rFonts w:eastAsia="黑体"/>
          <w:color w:val="000000"/>
          <w:sz w:val="32"/>
          <w:szCs w:val="32"/>
        </w:rPr>
        <w:tab/>
      </w:r>
      <w:r>
        <w:rPr>
          <w:rFonts w:eastAsia="黑体"/>
          <w:color w:val="000000"/>
          <w:sz w:val="32"/>
          <w:szCs w:val="32"/>
        </w:rPr>
        <w:fldChar w:fldCharType="begin"/>
      </w:r>
      <w:r>
        <w:rPr>
          <w:rFonts w:eastAsia="黑体"/>
          <w:color w:val="000000"/>
          <w:sz w:val="32"/>
          <w:szCs w:val="32"/>
        </w:rPr>
        <w:instrText xml:space="preserve"> PAGEREF _Toc27992 \h </w:instrText>
      </w:r>
      <w:r>
        <w:rPr>
          <w:rFonts w:eastAsia="黑体"/>
          <w:color w:val="000000"/>
          <w:sz w:val="32"/>
          <w:szCs w:val="32"/>
        </w:rPr>
        <w:fldChar w:fldCharType="separate"/>
      </w:r>
      <w:r>
        <w:rPr>
          <w:rFonts w:eastAsia="黑体"/>
          <w:color w:val="000000"/>
          <w:sz w:val="32"/>
          <w:szCs w:val="32"/>
        </w:rPr>
        <w:t>119</w:t>
      </w:r>
      <w:r>
        <w:rPr>
          <w:rFonts w:eastAsia="黑体"/>
          <w:color w:val="000000"/>
          <w:sz w:val="32"/>
          <w:szCs w:val="32"/>
        </w:rPr>
        <w:fldChar w:fldCharType="end"/>
      </w:r>
      <w:r>
        <w:rPr>
          <w:rFonts w:eastAsia="黑体"/>
          <w:color w:val="000000"/>
          <w:sz w:val="32"/>
          <w:szCs w:val="32"/>
        </w:rPr>
        <w:fldChar w:fldCharType="end"/>
      </w:r>
    </w:p>
    <w:p>
      <w:pPr>
        <w:pStyle w:val="142"/>
        <w:tabs>
          <w:tab w:val="right" w:leader="dot" w:pos="9070"/>
        </w:tabs>
        <w:spacing w:line="360" w:lineRule="auto"/>
        <w:ind w:left="0" w:leftChars="0" w:firstLine="562" w:firstLineChars="200"/>
        <w:jc w:val="both"/>
        <w:rPr>
          <w:rFonts w:eastAsia="仿宋"/>
          <w:color w:val="000000"/>
          <w:sz w:val="28"/>
          <w:szCs w:val="28"/>
        </w:rPr>
      </w:pPr>
      <w:r>
        <w:rPr>
          <w:rFonts w:eastAsia="仿宋"/>
          <w:b/>
          <w:bCs/>
          <w:color w:val="000000"/>
          <w:sz w:val="28"/>
          <w:szCs w:val="28"/>
        </w:rPr>
        <w:fldChar w:fldCharType="begin"/>
      </w:r>
      <w:r>
        <w:rPr>
          <w:rFonts w:eastAsia="仿宋"/>
          <w:b/>
          <w:bCs/>
          <w:color w:val="000000"/>
          <w:sz w:val="28"/>
          <w:szCs w:val="28"/>
        </w:rPr>
        <w:instrText xml:space="preserve"> HYPERLINK \l _Toc16770 </w:instrText>
      </w:r>
      <w:r>
        <w:rPr>
          <w:rFonts w:eastAsia="仿宋"/>
          <w:b/>
          <w:bCs/>
          <w:color w:val="000000"/>
          <w:sz w:val="28"/>
          <w:szCs w:val="28"/>
        </w:rPr>
        <w:fldChar w:fldCharType="separate"/>
      </w:r>
      <w:r>
        <w:rPr>
          <w:rFonts w:eastAsia="仿宋"/>
          <w:b/>
          <w:bCs/>
          <w:color w:val="000000"/>
          <w:sz w:val="28"/>
          <w:szCs w:val="28"/>
        </w:rPr>
        <w:t>评标办法前附表</w:t>
      </w:r>
      <w:r>
        <w:rPr>
          <w:rFonts w:eastAsia="仿宋"/>
          <w:b/>
          <w:bCs/>
          <w:color w:val="000000"/>
          <w:sz w:val="28"/>
          <w:szCs w:val="28"/>
        </w:rPr>
        <w:tab/>
      </w:r>
      <w:r>
        <w:rPr>
          <w:rFonts w:eastAsia="仿宋"/>
          <w:b/>
          <w:bCs/>
          <w:color w:val="000000"/>
          <w:sz w:val="28"/>
          <w:szCs w:val="28"/>
        </w:rPr>
        <w:fldChar w:fldCharType="begin"/>
      </w:r>
      <w:r>
        <w:rPr>
          <w:rFonts w:eastAsia="仿宋"/>
          <w:b/>
          <w:bCs/>
          <w:color w:val="000000"/>
          <w:sz w:val="28"/>
          <w:szCs w:val="28"/>
        </w:rPr>
        <w:instrText xml:space="preserve"> PAGEREF _Toc16770 \h </w:instrText>
      </w:r>
      <w:r>
        <w:rPr>
          <w:rFonts w:eastAsia="仿宋"/>
          <w:b/>
          <w:bCs/>
          <w:color w:val="000000"/>
          <w:sz w:val="28"/>
          <w:szCs w:val="28"/>
        </w:rPr>
        <w:fldChar w:fldCharType="separate"/>
      </w:r>
      <w:r>
        <w:rPr>
          <w:rFonts w:eastAsia="仿宋"/>
          <w:b/>
          <w:bCs/>
          <w:color w:val="000000"/>
          <w:sz w:val="28"/>
          <w:szCs w:val="28"/>
        </w:rPr>
        <w:t>119</w:t>
      </w:r>
      <w:r>
        <w:rPr>
          <w:rFonts w:eastAsia="仿宋"/>
          <w:b/>
          <w:bCs/>
          <w:color w:val="000000"/>
          <w:sz w:val="28"/>
          <w:szCs w:val="28"/>
        </w:rPr>
        <w:fldChar w:fldCharType="end"/>
      </w:r>
      <w:r>
        <w:rPr>
          <w:rFonts w:eastAsia="仿宋"/>
          <w:b/>
          <w:bCs/>
          <w:color w:val="000000"/>
          <w:sz w:val="28"/>
          <w:szCs w:val="28"/>
        </w:rPr>
        <w:fldChar w:fldCharType="end"/>
      </w:r>
    </w:p>
    <w:p>
      <w:pPr>
        <w:pStyle w:val="161"/>
        <w:tabs>
          <w:tab w:val="right" w:leader="dot" w:pos="9070"/>
        </w:tabs>
        <w:spacing w:line="360" w:lineRule="auto"/>
        <w:ind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_Toc20114 </w:instrText>
      </w:r>
      <w:r>
        <w:rPr>
          <w:rFonts w:eastAsia="仿宋"/>
          <w:color w:val="000000"/>
          <w:sz w:val="28"/>
          <w:szCs w:val="28"/>
        </w:rPr>
        <w:fldChar w:fldCharType="separate"/>
      </w:r>
      <w:r>
        <w:rPr>
          <w:rFonts w:eastAsia="仿宋"/>
          <w:bCs/>
          <w:color w:val="000000"/>
          <w:sz w:val="28"/>
          <w:szCs w:val="28"/>
        </w:rPr>
        <w:t>1．评标方法</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_Toc20114 \h </w:instrText>
      </w:r>
      <w:r>
        <w:rPr>
          <w:rFonts w:eastAsia="仿宋"/>
          <w:color w:val="000000"/>
          <w:sz w:val="28"/>
          <w:szCs w:val="28"/>
        </w:rPr>
        <w:fldChar w:fldCharType="separate"/>
      </w:r>
      <w:r>
        <w:rPr>
          <w:rFonts w:eastAsia="仿宋"/>
          <w:color w:val="000000"/>
          <w:sz w:val="28"/>
          <w:szCs w:val="28"/>
        </w:rPr>
        <w:t>122</w:t>
      </w:r>
      <w:r>
        <w:rPr>
          <w:rFonts w:eastAsia="仿宋"/>
          <w:color w:val="000000"/>
          <w:sz w:val="28"/>
          <w:szCs w:val="28"/>
        </w:rPr>
        <w:fldChar w:fldCharType="end"/>
      </w:r>
      <w:r>
        <w:rPr>
          <w:rFonts w:eastAsia="仿宋"/>
          <w:color w:val="000000"/>
          <w:sz w:val="28"/>
          <w:szCs w:val="28"/>
        </w:rPr>
        <w:fldChar w:fldCharType="end"/>
      </w:r>
    </w:p>
    <w:p>
      <w:pPr>
        <w:pStyle w:val="161"/>
        <w:tabs>
          <w:tab w:val="right" w:leader="dot" w:pos="9070"/>
        </w:tabs>
        <w:spacing w:line="360" w:lineRule="auto"/>
        <w:ind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_Toc2642 </w:instrText>
      </w:r>
      <w:r>
        <w:rPr>
          <w:rFonts w:eastAsia="仿宋"/>
          <w:color w:val="000000"/>
          <w:sz w:val="28"/>
          <w:szCs w:val="28"/>
        </w:rPr>
        <w:fldChar w:fldCharType="separate"/>
      </w:r>
      <w:r>
        <w:rPr>
          <w:rFonts w:eastAsia="仿宋"/>
          <w:bCs/>
          <w:color w:val="000000"/>
          <w:sz w:val="28"/>
          <w:szCs w:val="28"/>
        </w:rPr>
        <w:t>2．评审标准</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_Toc2642 \h </w:instrText>
      </w:r>
      <w:r>
        <w:rPr>
          <w:rFonts w:eastAsia="仿宋"/>
          <w:color w:val="000000"/>
          <w:sz w:val="28"/>
          <w:szCs w:val="28"/>
        </w:rPr>
        <w:fldChar w:fldCharType="separate"/>
      </w:r>
      <w:r>
        <w:rPr>
          <w:rFonts w:eastAsia="仿宋"/>
          <w:color w:val="000000"/>
          <w:sz w:val="28"/>
          <w:szCs w:val="28"/>
        </w:rPr>
        <w:t>122</w:t>
      </w:r>
      <w:r>
        <w:rPr>
          <w:rFonts w:eastAsia="仿宋"/>
          <w:color w:val="000000"/>
          <w:sz w:val="28"/>
          <w:szCs w:val="28"/>
        </w:rPr>
        <w:fldChar w:fldCharType="end"/>
      </w:r>
      <w:r>
        <w:rPr>
          <w:rFonts w:eastAsia="仿宋"/>
          <w:color w:val="000000"/>
          <w:sz w:val="28"/>
          <w:szCs w:val="28"/>
        </w:rPr>
        <w:fldChar w:fldCharType="end"/>
      </w:r>
    </w:p>
    <w:p>
      <w:pPr>
        <w:pStyle w:val="161"/>
        <w:tabs>
          <w:tab w:val="right" w:leader="dot" w:pos="9070"/>
        </w:tabs>
        <w:spacing w:line="360" w:lineRule="auto"/>
        <w:ind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_Toc8584 </w:instrText>
      </w:r>
      <w:r>
        <w:rPr>
          <w:rFonts w:eastAsia="仿宋"/>
          <w:color w:val="000000"/>
          <w:sz w:val="28"/>
          <w:szCs w:val="28"/>
        </w:rPr>
        <w:fldChar w:fldCharType="separate"/>
      </w:r>
      <w:r>
        <w:rPr>
          <w:rFonts w:eastAsia="仿宋"/>
          <w:bCs/>
          <w:color w:val="000000"/>
          <w:sz w:val="28"/>
          <w:szCs w:val="28"/>
        </w:rPr>
        <w:t>3．评标程序</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_Toc8584 \h </w:instrText>
      </w:r>
      <w:r>
        <w:rPr>
          <w:rFonts w:eastAsia="仿宋"/>
          <w:color w:val="000000"/>
          <w:sz w:val="28"/>
          <w:szCs w:val="28"/>
        </w:rPr>
        <w:fldChar w:fldCharType="separate"/>
      </w:r>
      <w:r>
        <w:rPr>
          <w:rFonts w:eastAsia="仿宋"/>
          <w:color w:val="000000"/>
          <w:sz w:val="28"/>
          <w:szCs w:val="28"/>
        </w:rPr>
        <w:t>124</w:t>
      </w:r>
      <w:r>
        <w:rPr>
          <w:rFonts w:eastAsia="仿宋"/>
          <w:color w:val="000000"/>
          <w:sz w:val="28"/>
          <w:szCs w:val="28"/>
        </w:rPr>
        <w:fldChar w:fldCharType="end"/>
      </w:r>
      <w:r>
        <w:rPr>
          <w:rFonts w:eastAsia="仿宋"/>
          <w:color w:val="000000"/>
          <w:sz w:val="28"/>
          <w:szCs w:val="28"/>
        </w:rPr>
        <w:fldChar w:fldCharType="end"/>
      </w:r>
    </w:p>
    <w:p>
      <w:pPr>
        <w:pStyle w:val="161"/>
        <w:tabs>
          <w:tab w:val="right" w:leader="dot" w:pos="9070"/>
        </w:tabs>
        <w:spacing w:line="360" w:lineRule="auto"/>
        <w:ind w:firstLine="320" w:firstLineChars="100"/>
        <w:jc w:val="both"/>
        <w:rPr>
          <w:rFonts w:eastAsia="黑体"/>
          <w:color w:val="000000"/>
          <w:sz w:val="32"/>
          <w:szCs w:val="32"/>
        </w:rPr>
        <w:sectPr>
          <w:footerReference r:id="rId11" w:type="default"/>
          <w:pgSz w:w="11906" w:h="16838"/>
          <w:pgMar w:top="1701" w:right="1418" w:bottom="1701" w:left="1418" w:header="1021" w:footer="1418" w:gutter="0"/>
          <w:pgNumType w:start="1"/>
          <w:cols w:space="720" w:num="1"/>
          <w:docGrid w:linePitch="312" w:charSpace="0"/>
        </w:sectPr>
      </w:pPr>
    </w:p>
    <w:p>
      <w:pPr>
        <w:pStyle w:val="161"/>
        <w:tabs>
          <w:tab w:val="right" w:leader="dot" w:pos="9070"/>
        </w:tabs>
        <w:spacing w:line="360" w:lineRule="auto"/>
        <w:ind w:firstLine="320" w:firstLineChars="100"/>
        <w:jc w:val="both"/>
        <w:rPr>
          <w:rFonts w:eastAsia="仿宋"/>
          <w:color w:val="000000"/>
          <w:sz w:val="28"/>
          <w:szCs w:val="28"/>
        </w:rPr>
      </w:pPr>
      <w:r>
        <w:rPr>
          <w:rFonts w:eastAsia="黑体"/>
          <w:color w:val="000000"/>
          <w:sz w:val="32"/>
          <w:szCs w:val="32"/>
        </w:rPr>
        <w:fldChar w:fldCharType="begin"/>
      </w:r>
      <w:r>
        <w:rPr>
          <w:rFonts w:eastAsia="黑体"/>
          <w:color w:val="000000"/>
          <w:sz w:val="32"/>
          <w:szCs w:val="32"/>
        </w:rPr>
        <w:instrText xml:space="preserve"> HYPERLINK \l _Toc19732 </w:instrText>
      </w:r>
      <w:r>
        <w:rPr>
          <w:rFonts w:eastAsia="黑体"/>
          <w:color w:val="000000"/>
          <w:sz w:val="32"/>
          <w:szCs w:val="32"/>
        </w:rPr>
        <w:fldChar w:fldCharType="separate"/>
      </w:r>
      <w:r>
        <w:rPr>
          <w:rFonts w:eastAsia="黑体"/>
          <w:color w:val="000000"/>
          <w:sz w:val="32"/>
          <w:szCs w:val="32"/>
        </w:rPr>
        <w:t>第四章  合同条款及格式</w:t>
      </w:r>
      <w:r>
        <w:rPr>
          <w:rFonts w:eastAsia="黑体"/>
          <w:color w:val="000000"/>
          <w:sz w:val="32"/>
          <w:szCs w:val="32"/>
        </w:rPr>
        <w:tab/>
      </w:r>
      <w:r>
        <w:rPr>
          <w:rFonts w:eastAsia="黑体"/>
          <w:color w:val="000000"/>
          <w:sz w:val="32"/>
          <w:szCs w:val="32"/>
        </w:rPr>
        <w:fldChar w:fldCharType="begin"/>
      </w:r>
      <w:r>
        <w:rPr>
          <w:rFonts w:eastAsia="黑体"/>
          <w:color w:val="000000"/>
          <w:sz w:val="32"/>
          <w:szCs w:val="32"/>
        </w:rPr>
        <w:instrText xml:space="preserve"> PAGEREF _Toc19732 \h </w:instrText>
      </w:r>
      <w:r>
        <w:rPr>
          <w:rFonts w:eastAsia="黑体"/>
          <w:color w:val="000000"/>
          <w:sz w:val="32"/>
          <w:szCs w:val="32"/>
        </w:rPr>
        <w:fldChar w:fldCharType="separate"/>
      </w:r>
      <w:r>
        <w:rPr>
          <w:rFonts w:eastAsia="黑体"/>
          <w:color w:val="000000"/>
          <w:sz w:val="32"/>
          <w:szCs w:val="32"/>
        </w:rPr>
        <w:t>154</w:t>
      </w:r>
      <w:r>
        <w:rPr>
          <w:rFonts w:eastAsia="黑体"/>
          <w:color w:val="000000"/>
          <w:sz w:val="32"/>
          <w:szCs w:val="32"/>
        </w:rPr>
        <w:fldChar w:fldCharType="end"/>
      </w:r>
      <w:r>
        <w:rPr>
          <w:rFonts w:eastAsia="黑体"/>
          <w:color w:val="000000"/>
          <w:sz w:val="32"/>
          <w:szCs w:val="32"/>
        </w:rPr>
        <w:fldChar w:fldCharType="end"/>
      </w:r>
    </w:p>
    <w:p>
      <w:pPr>
        <w:pStyle w:val="142"/>
        <w:tabs>
          <w:tab w:val="right" w:leader="dot" w:pos="9070"/>
        </w:tabs>
        <w:spacing w:line="360" w:lineRule="auto"/>
        <w:ind w:left="0" w:leftChars="0" w:firstLine="562" w:firstLineChars="200"/>
        <w:jc w:val="both"/>
        <w:rPr>
          <w:rFonts w:eastAsia="仿宋"/>
          <w:color w:val="000000"/>
          <w:sz w:val="28"/>
          <w:szCs w:val="28"/>
        </w:rPr>
      </w:pPr>
      <w:r>
        <w:rPr>
          <w:rFonts w:eastAsia="仿宋"/>
          <w:b/>
          <w:bCs/>
          <w:color w:val="000000"/>
          <w:sz w:val="28"/>
          <w:szCs w:val="28"/>
        </w:rPr>
        <w:fldChar w:fldCharType="begin"/>
      </w:r>
      <w:r>
        <w:rPr>
          <w:rFonts w:eastAsia="仿宋"/>
          <w:b/>
          <w:bCs/>
          <w:color w:val="000000"/>
          <w:sz w:val="28"/>
          <w:szCs w:val="28"/>
        </w:rPr>
        <w:instrText xml:space="preserve"> HYPERLINK \l _Toc24996 </w:instrText>
      </w:r>
      <w:r>
        <w:rPr>
          <w:rFonts w:eastAsia="仿宋"/>
          <w:b/>
          <w:bCs/>
          <w:color w:val="000000"/>
          <w:sz w:val="28"/>
          <w:szCs w:val="28"/>
        </w:rPr>
        <w:fldChar w:fldCharType="separate"/>
      </w:r>
      <w:r>
        <w:rPr>
          <w:rFonts w:eastAsia="仿宋"/>
          <w:b/>
          <w:bCs/>
          <w:color w:val="000000"/>
          <w:sz w:val="28"/>
          <w:szCs w:val="28"/>
        </w:rPr>
        <w:t>第1节  通用合同条款</w:t>
      </w:r>
      <w:r>
        <w:rPr>
          <w:rFonts w:eastAsia="仿宋"/>
          <w:b/>
          <w:bCs/>
          <w:color w:val="000000"/>
          <w:sz w:val="28"/>
          <w:szCs w:val="28"/>
        </w:rPr>
        <w:tab/>
      </w:r>
      <w:r>
        <w:rPr>
          <w:rFonts w:eastAsia="仿宋"/>
          <w:b/>
          <w:bCs/>
          <w:color w:val="000000"/>
          <w:sz w:val="28"/>
          <w:szCs w:val="28"/>
        </w:rPr>
        <w:fldChar w:fldCharType="begin"/>
      </w:r>
      <w:r>
        <w:rPr>
          <w:rFonts w:eastAsia="仿宋"/>
          <w:b/>
          <w:bCs/>
          <w:color w:val="000000"/>
          <w:sz w:val="28"/>
          <w:szCs w:val="28"/>
        </w:rPr>
        <w:instrText xml:space="preserve"> PAGEREF _Toc24996 \h </w:instrText>
      </w:r>
      <w:r>
        <w:rPr>
          <w:rFonts w:eastAsia="仿宋"/>
          <w:b/>
          <w:bCs/>
          <w:color w:val="000000"/>
          <w:sz w:val="28"/>
          <w:szCs w:val="28"/>
        </w:rPr>
        <w:fldChar w:fldCharType="separate"/>
      </w:r>
      <w:r>
        <w:rPr>
          <w:rFonts w:eastAsia="仿宋"/>
          <w:b/>
          <w:bCs/>
          <w:color w:val="000000"/>
          <w:sz w:val="28"/>
          <w:szCs w:val="28"/>
        </w:rPr>
        <w:t>154</w:t>
      </w:r>
      <w:r>
        <w:rPr>
          <w:rFonts w:eastAsia="仿宋"/>
          <w:b/>
          <w:bCs/>
          <w:color w:val="000000"/>
          <w:sz w:val="28"/>
          <w:szCs w:val="28"/>
        </w:rPr>
        <w:fldChar w:fldCharType="end"/>
      </w:r>
      <w:r>
        <w:rPr>
          <w:rFonts w:eastAsia="仿宋"/>
          <w:b/>
          <w:bCs/>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_Toc14006 </w:instrText>
      </w:r>
      <w:r>
        <w:rPr>
          <w:rFonts w:eastAsia="仿宋"/>
          <w:color w:val="000000"/>
          <w:sz w:val="28"/>
          <w:szCs w:val="28"/>
        </w:rPr>
        <w:fldChar w:fldCharType="separate"/>
      </w:r>
      <w:r>
        <w:rPr>
          <w:rFonts w:eastAsia="仿宋"/>
          <w:color w:val="000000"/>
          <w:sz w:val="28"/>
          <w:szCs w:val="28"/>
        </w:rPr>
        <w:t>1．一般约定</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_Toc14006 \h </w:instrText>
      </w:r>
      <w:r>
        <w:rPr>
          <w:rFonts w:eastAsia="仿宋"/>
          <w:color w:val="000000"/>
          <w:sz w:val="28"/>
          <w:szCs w:val="28"/>
        </w:rPr>
        <w:fldChar w:fldCharType="separate"/>
      </w:r>
      <w:r>
        <w:rPr>
          <w:rFonts w:eastAsia="仿宋"/>
          <w:color w:val="000000"/>
          <w:sz w:val="28"/>
          <w:szCs w:val="28"/>
        </w:rPr>
        <w:t>154</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_Toc3179 </w:instrText>
      </w:r>
      <w:r>
        <w:rPr>
          <w:rFonts w:eastAsia="仿宋"/>
          <w:color w:val="000000"/>
          <w:sz w:val="28"/>
          <w:szCs w:val="28"/>
        </w:rPr>
        <w:fldChar w:fldCharType="separate"/>
      </w:r>
      <w:r>
        <w:rPr>
          <w:rFonts w:eastAsia="仿宋"/>
          <w:color w:val="000000"/>
          <w:sz w:val="28"/>
          <w:szCs w:val="28"/>
        </w:rPr>
        <w:t>2．发包人义务</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_Toc3179 \h </w:instrText>
      </w:r>
      <w:r>
        <w:rPr>
          <w:rFonts w:eastAsia="仿宋"/>
          <w:color w:val="000000"/>
          <w:sz w:val="28"/>
          <w:szCs w:val="28"/>
        </w:rPr>
        <w:fldChar w:fldCharType="separate"/>
      </w:r>
      <w:r>
        <w:rPr>
          <w:rFonts w:eastAsia="仿宋"/>
          <w:color w:val="000000"/>
          <w:sz w:val="28"/>
          <w:szCs w:val="28"/>
        </w:rPr>
        <w:t>160</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_Toc9467 </w:instrText>
      </w:r>
      <w:r>
        <w:rPr>
          <w:rFonts w:eastAsia="仿宋"/>
          <w:color w:val="000000"/>
          <w:sz w:val="28"/>
          <w:szCs w:val="28"/>
        </w:rPr>
        <w:fldChar w:fldCharType="separate"/>
      </w:r>
      <w:r>
        <w:rPr>
          <w:rFonts w:eastAsia="仿宋"/>
          <w:color w:val="000000"/>
          <w:sz w:val="28"/>
          <w:szCs w:val="28"/>
        </w:rPr>
        <w:t>3．监理人</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_Toc9467 \h </w:instrText>
      </w:r>
      <w:r>
        <w:rPr>
          <w:rFonts w:eastAsia="仿宋"/>
          <w:color w:val="000000"/>
          <w:sz w:val="28"/>
          <w:szCs w:val="28"/>
        </w:rPr>
        <w:fldChar w:fldCharType="separate"/>
      </w:r>
      <w:r>
        <w:rPr>
          <w:rFonts w:eastAsia="仿宋"/>
          <w:color w:val="000000"/>
          <w:sz w:val="28"/>
          <w:szCs w:val="28"/>
        </w:rPr>
        <w:t>161</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_Toc1267 </w:instrText>
      </w:r>
      <w:r>
        <w:rPr>
          <w:rFonts w:eastAsia="仿宋"/>
          <w:color w:val="000000"/>
          <w:sz w:val="28"/>
          <w:szCs w:val="28"/>
        </w:rPr>
        <w:fldChar w:fldCharType="separate"/>
      </w:r>
      <w:r>
        <w:rPr>
          <w:rFonts w:eastAsia="仿宋"/>
          <w:color w:val="000000"/>
          <w:sz w:val="28"/>
          <w:szCs w:val="28"/>
        </w:rPr>
        <w:t>4．承包人</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_Toc1267 \h </w:instrText>
      </w:r>
      <w:r>
        <w:rPr>
          <w:rFonts w:eastAsia="仿宋"/>
          <w:color w:val="000000"/>
          <w:sz w:val="28"/>
          <w:szCs w:val="28"/>
        </w:rPr>
        <w:fldChar w:fldCharType="separate"/>
      </w:r>
      <w:r>
        <w:rPr>
          <w:rFonts w:eastAsia="仿宋"/>
          <w:color w:val="000000"/>
          <w:sz w:val="28"/>
          <w:szCs w:val="28"/>
        </w:rPr>
        <w:t>163</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_Toc17416 </w:instrText>
      </w:r>
      <w:r>
        <w:rPr>
          <w:rFonts w:eastAsia="仿宋"/>
          <w:color w:val="000000"/>
          <w:sz w:val="28"/>
          <w:szCs w:val="28"/>
        </w:rPr>
        <w:fldChar w:fldCharType="separate"/>
      </w:r>
      <w:r>
        <w:rPr>
          <w:rFonts w:eastAsia="仿宋"/>
          <w:color w:val="000000"/>
          <w:sz w:val="28"/>
          <w:szCs w:val="28"/>
        </w:rPr>
        <w:t>5．材料和工程设备</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_Toc17416 \h </w:instrText>
      </w:r>
      <w:r>
        <w:rPr>
          <w:rFonts w:eastAsia="仿宋"/>
          <w:color w:val="000000"/>
          <w:sz w:val="28"/>
          <w:szCs w:val="28"/>
        </w:rPr>
        <w:fldChar w:fldCharType="separate"/>
      </w:r>
      <w:r>
        <w:rPr>
          <w:rFonts w:eastAsia="仿宋"/>
          <w:color w:val="000000"/>
          <w:sz w:val="28"/>
          <w:szCs w:val="28"/>
        </w:rPr>
        <w:t>168</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_Toc5633 </w:instrText>
      </w:r>
      <w:r>
        <w:rPr>
          <w:rFonts w:eastAsia="仿宋"/>
          <w:color w:val="000000"/>
          <w:sz w:val="28"/>
          <w:szCs w:val="28"/>
        </w:rPr>
        <w:fldChar w:fldCharType="separate"/>
      </w:r>
      <w:r>
        <w:rPr>
          <w:rFonts w:eastAsia="仿宋"/>
          <w:color w:val="000000"/>
          <w:sz w:val="28"/>
          <w:szCs w:val="28"/>
        </w:rPr>
        <w:t>6．施工设备和临时设施</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_Toc5633 \h </w:instrText>
      </w:r>
      <w:r>
        <w:rPr>
          <w:rFonts w:eastAsia="仿宋"/>
          <w:color w:val="000000"/>
          <w:sz w:val="28"/>
          <w:szCs w:val="28"/>
        </w:rPr>
        <w:fldChar w:fldCharType="separate"/>
      </w:r>
      <w:r>
        <w:rPr>
          <w:rFonts w:eastAsia="仿宋"/>
          <w:color w:val="000000"/>
          <w:sz w:val="28"/>
          <w:szCs w:val="28"/>
        </w:rPr>
        <w:t>170</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_Toc11740 </w:instrText>
      </w:r>
      <w:r>
        <w:rPr>
          <w:rFonts w:eastAsia="仿宋"/>
          <w:color w:val="000000"/>
          <w:sz w:val="28"/>
          <w:szCs w:val="28"/>
        </w:rPr>
        <w:fldChar w:fldCharType="separate"/>
      </w:r>
      <w:r>
        <w:rPr>
          <w:rFonts w:eastAsia="仿宋"/>
          <w:color w:val="000000"/>
          <w:sz w:val="28"/>
          <w:szCs w:val="28"/>
        </w:rPr>
        <w:t>7．交通运输</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_Toc11740 \h </w:instrText>
      </w:r>
      <w:r>
        <w:rPr>
          <w:rFonts w:eastAsia="仿宋"/>
          <w:color w:val="000000"/>
          <w:sz w:val="28"/>
          <w:szCs w:val="28"/>
        </w:rPr>
        <w:fldChar w:fldCharType="separate"/>
      </w:r>
      <w:r>
        <w:rPr>
          <w:rFonts w:eastAsia="仿宋"/>
          <w:color w:val="000000"/>
          <w:sz w:val="28"/>
          <w:szCs w:val="28"/>
        </w:rPr>
        <w:t>171</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_Toc19108 </w:instrText>
      </w:r>
      <w:r>
        <w:rPr>
          <w:rFonts w:eastAsia="仿宋"/>
          <w:color w:val="000000"/>
          <w:sz w:val="28"/>
          <w:szCs w:val="28"/>
        </w:rPr>
        <w:fldChar w:fldCharType="separate"/>
      </w:r>
      <w:r>
        <w:rPr>
          <w:rFonts w:eastAsia="仿宋"/>
          <w:color w:val="000000"/>
          <w:sz w:val="28"/>
          <w:szCs w:val="28"/>
        </w:rPr>
        <w:t>8．测量放线</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_Toc19108 \h </w:instrText>
      </w:r>
      <w:r>
        <w:rPr>
          <w:rFonts w:eastAsia="仿宋"/>
          <w:color w:val="000000"/>
          <w:sz w:val="28"/>
          <w:szCs w:val="28"/>
        </w:rPr>
        <w:fldChar w:fldCharType="separate"/>
      </w:r>
      <w:r>
        <w:rPr>
          <w:rFonts w:eastAsia="仿宋"/>
          <w:color w:val="000000"/>
          <w:sz w:val="28"/>
          <w:szCs w:val="28"/>
        </w:rPr>
        <w:t>172</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_Toc24113 </w:instrText>
      </w:r>
      <w:r>
        <w:rPr>
          <w:rFonts w:eastAsia="仿宋"/>
          <w:color w:val="000000"/>
          <w:sz w:val="28"/>
          <w:szCs w:val="28"/>
        </w:rPr>
        <w:fldChar w:fldCharType="separate"/>
      </w:r>
      <w:r>
        <w:rPr>
          <w:rFonts w:eastAsia="仿宋"/>
          <w:color w:val="000000"/>
          <w:sz w:val="28"/>
          <w:szCs w:val="28"/>
        </w:rPr>
        <w:t>9．施工安全、治安保卫和环境保护</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_Toc24113 \h </w:instrText>
      </w:r>
      <w:r>
        <w:rPr>
          <w:rFonts w:eastAsia="仿宋"/>
          <w:color w:val="000000"/>
          <w:sz w:val="28"/>
          <w:szCs w:val="28"/>
        </w:rPr>
        <w:fldChar w:fldCharType="separate"/>
      </w:r>
      <w:r>
        <w:rPr>
          <w:rFonts w:eastAsia="仿宋"/>
          <w:color w:val="000000"/>
          <w:sz w:val="28"/>
          <w:szCs w:val="28"/>
        </w:rPr>
        <w:t>173</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_Toc24845 </w:instrText>
      </w:r>
      <w:r>
        <w:rPr>
          <w:rFonts w:eastAsia="仿宋"/>
          <w:color w:val="000000"/>
          <w:sz w:val="28"/>
          <w:szCs w:val="28"/>
        </w:rPr>
        <w:fldChar w:fldCharType="separate"/>
      </w:r>
      <w:r>
        <w:rPr>
          <w:rFonts w:eastAsia="仿宋"/>
          <w:color w:val="000000"/>
          <w:sz w:val="28"/>
          <w:szCs w:val="28"/>
        </w:rPr>
        <w:t>10．进度计划</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_Toc24845 \h </w:instrText>
      </w:r>
      <w:r>
        <w:rPr>
          <w:rFonts w:eastAsia="仿宋"/>
          <w:color w:val="000000"/>
          <w:sz w:val="28"/>
          <w:szCs w:val="28"/>
        </w:rPr>
        <w:fldChar w:fldCharType="separate"/>
      </w:r>
      <w:r>
        <w:rPr>
          <w:rFonts w:eastAsia="仿宋"/>
          <w:color w:val="000000"/>
          <w:sz w:val="28"/>
          <w:szCs w:val="28"/>
        </w:rPr>
        <w:t>177</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_Toc28262 </w:instrText>
      </w:r>
      <w:r>
        <w:rPr>
          <w:rFonts w:eastAsia="仿宋"/>
          <w:color w:val="000000"/>
          <w:sz w:val="28"/>
          <w:szCs w:val="28"/>
        </w:rPr>
        <w:fldChar w:fldCharType="separate"/>
      </w:r>
      <w:r>
        <w:rPr>
          <w:rFonts w:eastAsia="仿宋"/>
          <w:color w:val="000000"/>
          <w:sz w:val="28"/>
          <w:szCs w:val="28"/>
        </w:rPr>
        <w:t>11．开工和竣工</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_Toc28262 \h </w:instrText>
      </w:r>
      <w:r>
        <w:rPr>
          <w:rFonts w:eastAsia="仿宋"/>
          <w:color w:val="000000"/>
          <w:sz w:val="28"/>
          <w:szCs w:val="28"/>
        </w:rPr>
        <w:fldChar w:fldCharType="separate"/>
      </w:r>
      <w:r>
        <w:rPr>
          <w:rFonts w:eastAsia="仿宋"/>
          <w:color w:val="000000"/>
          <w:sz w:val="28"/>
          <w:szCs w:val="28"/>
        </w:rPr>
        <w:t>178</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_Toc22849 </w:instrText>
      </w:r>
      <w:r>
        <w:rPr>
          <w:rFonts w:eastAsia="仿宋"/>
          <w:color w:val="000000"/>
          <w:sz w:val="28"/>
          <w:szCs w:val="28"/>
        </w:rPr>
        <w:fldChar w:fldCharType="separate"/>
      </w:r>
      <w:r>
        <w:rPr>
          <w:rFonts w:eastAsia="仿宋"/>
          <w:color w:val="000000"/>
          <w:sz w:val="28"/>
          <w:szCs w:val="28"/>
        </w:rPr>
        <w:t>12．暂停施工</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_Toc22849 \h </w:instrText>
      </w:r>
      <w:r>
        <w:rPr>
          <w:rFonts w:eastAsia="仿宋"/>
          <w:color w:val="000000"/>
          <w:sz w:val="28"/>
          <w:szCs w:val="28"/>
        </w:rPr>
        <w:fldChar w:fldCharType="separate"/>
      </w:r>
      <w:r>
        <w:rPr>
          <w:rFonts w:eastAsia="仿宋"/>
          <w:color w:val="000000"/>
          <w:sz w:val="28"/>
          <w:szCs w:val="28"/>
        </w:rPr>
        <w:t>181</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_Toc8682 </w:instrText>
      </w:r>
      <w:r>
        <w:rPr>
          <w:rFonts w:eastAsia="仿宋"/>
          <w:color w:val="000000"/>
          <w:sz w:val="28"/>
          <w:szCs w:val="28"/>
        </w:rPr>
        <w:fldChar w:fldCharType="separate"/>
      </w:r>
      <w:r>
        <w:rPr>
          <w:rFonts w:eastAsia="仿宋"/>
          <w:color w:val="000000"/>
          <w:sz w:val="28"/>
          <w:szCs w:val="28"/>
        </w:rPr>
        <w:t>13．工程质量</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_Toc8682 \h </w:instrText>
      </w:r>
      <w:r>
        <w:rPr>
          <w:rFonts w:eastAsia="仿宋"/>
          <w:color w:val="000000"/>
          <w:sz w:val="28"/>
          <w:szCs w:val="28"/>
        </w:rPr>
        <w:fldChar w:fldCharType="separate"/>
      </w:r>
      <w:r>
        <w:rPr>
          <w:rFonts w:eastAsia="仿宋"/>
          <w:color w:val="000000"/>
          <w:sz w:val="28"/>
          <w:szCs w:val="28"/>
        </w:rPr>
        <w:t>182</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_Toc9844 </w:instrText>
      </w:r>
      <w:r>
        <w:rPr>
          <w:rFonts w:eastAsia="仿宋"/>
          <w:color w:val="000000"/>
          <w:sz w:val="28"/>
          <w:szCs w:val="28"/>
        </w:rPr>
        <w:fldChar w:fldCharType="separate"/>
      </w:r>
      <w:r>
        <w:rPr>
          <w:rFonts w:eastAsia="仿宋"/>
          <w:color w:val="000000"/>
          <w:sz w:val="28"/>
          <w:szCs w:val="28"/>
        </w:rPr>
        <w:t>14．试验和检验</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_Toc9844 \h </w:instrText>
      </w:r>
      <w:r>
        <w:rPr>
          <w:rFonts w:eastAsia="仿宋"/>
          <w:color w:val="000000"/>
          <w:sz w:val="28"/>
          <w:szCs w:val="28"/>
        </w:rPr>
        <w:fldChar w:fldCharType="separate"/>
      </w:r>
      <w:r>
        <w:rPr>
          <w:rFonts w:eastAsia="仿宋"/>
          <w:color w:val="000000"/>
          <w:sz w:val="28"/>
          <w:szCs w:val="28"/>
        </w:rPr>
        <w:t>185</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_Toc20150 </w:instrText>
      </w:r>
      <w:r>
        <w:rPr>
          <w:rFonts w:eastAsia="仿宋"/>
          <w:color w:val="000000"/>
          <w:sz w:val="28"/>
          <w:szCs w:val="28"/>
        </w:rPr>
        <w:fldChar w:fldCharType="separate"/>
      </w:r>
      <w:r>
        <w:rPr>
          <w:rFonts w:eastAsia="仿宋"/>
          <w:color w:val="000000"/>
          <w:sz w:val="28"/>
          <w:szCs w:val="28"/>
        </w:rPr>
        <w:t>15．变更</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_Toc20150 \h </w:instrText>
      </w:r>
      <w:r>
        <w:rPr>
          <w:rFonts w:eastAsia="仿宋"/>
          <w:color w:val="000000"/>
          <w:sz w:val="28"/>
          <w:szCs w:val="28"/>
        </w:rPr>
        <w:fldChar w:fldCharType="separate"/>
      </w:r>
      <w:r>
        <w:rPr>
          <w:rFonts w:eastAsia="仿宋"/>
          <w:color w:val="000000"/>
          <w:sz w:val="28"/>
          <w:szCs w:val="28"/>
        </w:rPr>
        <w:t>187</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_Toc2 </w:instrText>
      </w:r>
      <w:r>
        <w:rPr>
          <w:rFonts w:eastAsia="仿宋"/>
          <w:color w:val="000000"/>
          <w:sz w:val="28"/>
          <w:szCs w:val="28"/>
        </w:rPr>
        <w:fldChar w:fldCharType="separate"/>
      </w:r>
      <w:r>
        <w:rPr>
          <w:rFonts w:eastAsia="仿宋"/>
          <w:color w:val="000000"/>
          <w:sz w:val="28"/>
          <w:szCs w:val="28"/>
        </w:rPr>
        <w:t>16．价格调整</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_Toc2 \h </w:instrText>
      </w:r>
      <w:r>
        <w:rPr>
          <w:rFonts w:eastAsia="仿宋"/>
          <w:color w:val="000000"/>
          <w:sz w:val="28"/>
          <w:szCs w:val="28"/>
        </w:rPr>
        <w:fldChar w:fldCharType="separate"/>
      </w:r>
      <w:r>
        <w:rPr>
          <w:rFonts w:eastAsia="仿宋"/>
          <w:color w:val="000000"/>
          <w:sz w:val="28"/>
          <w:szCs w:val="28"/>
        </w:rPr>
        <w:t>191</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_Toc19158 </w:instrText>
      </w:r>
      <w:r>
        <w:rPr>
          <w:rFonts w:eastAsia="仿宋"/>
          <w:color w:val="000000"/>
          <w:sz w:val="28"/>
          <w:szCs w:val="28"/>
        </w:rPr>
        <w:fldChar w:fldCharType="separate"/>
      </w:r>
      <w:r>
        <w:rPr>
          <w:rFonts w:eastAsia="仿宋"/>
          <w:color w:val="000000"/>
          <w:sz w:val="28"/>
          <w:szCs w:val="28"/>
        </w:rPr>
        <w:t>17．计量与支付</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_Toc19158 \h </w:instrText>
      </w:r>
      <w:r>
        <w:rPr>
          <w:rFonts w:eastAsia="仿宋"/>
          <w:color w:val="000000"/>
          <w:sz w:val="28"/>
          <w:szCs w:val="28"/>
        </w:rPr>
        <w:fldChar w:fldCharType="separate"/>
      </w:r>
      <w:r>
        <w:rPr>
          <w:rFonts w:eastAsia="仿宋"/>
          <w:color w:val="000000"/>
          <w:sz w:val="28"/>
          <w:szCs w:val="28"/>
        </w:rPr>
        <w:t>193</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_Toc30562 </w:instrText>
      </w:r>
      <w:r>
        <w:rPr>
          <w:rFonts w:eastAsia="仿宋"/>
          <w:color w:val="000000"/>
          <w:sz w:val="28"/>
          <w:szCs w:val="28"/>
        </w:rPr>
        <w:fldChar w:fldCharType="separate"/>
      </w:r>
      <w:r>
        <w:rPr>
          <w:rFonts w:eastAsia="仿宋"/>
          <w:color w:val="000000"/>
          <w:sz w:val="28"/>
          <w:szCs w:val="28"/>
        </w:rPr>
        <w:t>18．竣工验收（验收）</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_Toc30562 \h </w:instrText>
      </w:r>
      <w:r>
        <w:rPr>
          <w:rFonts w:eastAsia="仿宋"/>
          <w:color w:val="000000"/>
          <w:sz w:val="28"/>
          <w:szCs w:val="28"/>
        </w:rPr>
        <w:fldChar w:fldCharType="separate"/>
      </w:r>
      <w:r>
        <w:rPr>
          <w:rFonts w:eastAsia="仿宋"/>
          <w:color w:val="000000"/>
          <w:sz w:val="28"/>
          <w:szCs w:val="28"/>
        </w:rPr>
        <w:t>198</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_Toc3867 </w:instrText>
      </w:r>
      <w:r>
        <w:rPr>
          <w:rFonts w:eastAsia="仿宋"/>
          <w:color w:val="000000"/>
          <w:sz w:val="28"/>
          <w:szCs w:val="28"/>
        </w:rPr>
        <w:fldChar w:fldCharType="separate"/>
      </w:r>
      <w:r>
        <w:rPr>
          <w:rFonts w:eastAsia="仿宋"/>
          <w:color w:val="000000"/>
          <w:sz w:val="28"/>
          <w:szCs w:val="28"/>
        </w:rPr>
        <w:t>19．缺陷责任与保修责任</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_Toc3867 \h </w:instrText>
      </w:r>
      <w:r>
        <w:rPr>
          <w:rFonts w:eastAsia="仿宋"/>
          <w:color w:val="000000"/>
          <w:sz w:val="28"/>
          <w:szCs w:val="28"/>
        </w:rPr>
        <w:fldChar w:fldCharType="separate"/>
      </w:r>
      <w:r>
        <w:rPr>
          <w:rFonts w:eastAsia="仿宋"/>
          <w:color w:val="000000"/>
          <w:sz w:val="28"/>
          <w:szCs w:val="28"/>
        </w:rPr>
        <w:t>202</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_Toc25225 </w:instrText>
      </w:r>
      <w:r>
        <w:rPr>
          <w:rFonts w:eastAsia="仿宋"/>
          <w:color w:val="000000"/>
          <w:sz w:val="28"/>
          <w:szCs w:val="28"/>
        </w:rPr>
        <w:fldChar w:fldCharType="separate"/>
      </w:r>
      <w:r>
        <w:rPr>
          <w:rFonts w:eastAsia="仿宋"/>
          <w:color w:val="000000"/>
          <w:sz w:val="28"/>
          <w:szCs w:val="28"/>
        </w:rPr>
        <w:t>20．保险</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_Toc25225 \h </w:instrText>
      </w:r>
      <w:r>
        <w:rPr>
          <w:rFonts w:eastAsia="仿宋"/>
          <w:color w:val="000000"/>
          <w:sz w:val="28"/>
          <w:szCs w:val="28"/>
        </w:rPr>
        <w:fldChar w:fldCharType="separate"/>
      </w:r>
      <w:r>
        <w:rPr>
          <w:rFonts w:eastAsia="仿宋"/>
          <w:color w:val="000000"/>
          <w:sz w:val="28"/>
          <w:szCs w:val="28"/>
        </w:rPr>
        <w:t>204</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_Toc98 </w:instrText>
      </w:r>
      <w:r>
        <w:rPr>
          <w:rFonts w:eastAsia="仿宋"/>
          <w:color w:val="000000"/>
          <w:sz w:val="28"/>
          <w:szCs w:val="28"/>
        </w:rPr>
        <w:fldChar w:fldCharType="separate"/>
      </w:r>
      <w:r>
        <w:rPr>
          <w:rFonts w:eastAsia="仿宋"/>
          <w:color w:val="000000"/>
          <w:sz w:val="28"/>
          <w:szCs w:val="28"/>
        </w:rPr>
        <w:t>21．不可抗力</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_Toc98 \h </w:instrText>
      </w:r>
      <w:r>
        <w:rPr>
          <w:rFonts w:eastAsia="仿宋"/>
          <w:color w:val="000000"/>
          <w:sz w:val="28"/>
          <w:szCs w:val="28"/>
        </w:rPr>
        <w:fldChar w:fldCharType="separate"/>
      </w:r>
      <w:r>
        <w:rPr>
          <w:rFonts w:eastAsia="仿宋"/>
          <w:color w:val="000000"/>
          <w:sz w:val="28"/>
          <w:szCs w:val="28"/>
        </w:rPr>
        <w:t>206</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_Toc26265 </w:instrText>
      </w:r>
      <w:r>
        <w:rPr>
          <w:rFonts w:eastAsia="仿宋"/>
          <w:color w:val="000000"/>
          <w:sz w:val="28"/>
          <w:szCs w:val="28"/>
        </w:rPr>
        <w:fldChar w:fldCharType="separate"/>
      </w:r>
      <w:r>
        <w:rPr>
          <w:rFonts w:eastAsia="仿宋"/>
          <w:color w:val="000000"/>
          <w:sz w:val="28"/>
          <w:szCs w:val="28"/>
        </w:rPr>
        <w:t>22．违约</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_Toc26265 \h </w:instrText>
      </w:r>
      <w:r>
        <w:rPr>
          <w:rFonts w:eastAsia="仿宋"/>
          <w:color w:val="000000"/>
          <w:sz w:val="28"/>
          <w:szCs w:val="28"/>
        </w:rPr>
        <w:fldChar w:fldCharType="separate"/>
      </w:r>
      <w:r>
        <w:rPr>
          <w:rFonts w:eastAsia="仿宋"/>
          <w:color w:val="000000"/>
          <w:sz w:val="28"/>
          <w:szCs w:val="28"/>
        </w:rPr>
        <w:t>207</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sectPr>
          <w:footerReference r:id="rId12" w:type="default"/>
          <w:pgSz w:w="11906" w:h="16838"/>
          <w:pgMar w:top="1701" w:right="1418" w:bottom="1701" w:left="1418" w:header="1021" w:footer="1418" w:gutter="0"/>
          <w:pgNumType w:start="1"/>
          <w:cols w:space="720" w:num="1"/>
          <w:docGrid w:linePitch="312" w:charSpace="0"/>
        </w:sectPr>
      </w:pP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_Toc7196 </w:instrText>
      </w:r>
      <w:r>
        <w:rPr>
          <w:rFonts w:eastAsia="仿宋"/>
          <w:color w:val="000000"/>
          <w:sz w:val="28"/>
          <w:szCs w:val="28"/>
        </w:rPr>
        <w:fldChar w:fldCharType="separate"/>
      </w:r>
      <w:r>
        <w:rPr>
          <w:rFonts w:eastAsia="仿宋"/>
          <w:color w:val="000000"/>
          <w:sz w:val="28"/>
          <w:szCs w:val="28"/>
        </w:rPr>
        <w:t>23．索赔</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_Toc7196 \h </w:instrText>
      </w:r>
      <w:r>
        <w:rPr>
          <w:rFonts w:eastAsia="仿宋"/>
          <w:color w:val="000000"/>
          <w:sz w:val="28"/>
          <w:szCs w:val="28"/>
        </w:rPr>
        <w:fldChar w:fldCharType="separate"/>
      </w:r>
      <w:r>
        <w:rPr>
          <w:rFonts w:eastAsia="仿宋"/>
          <w:color w:val="000000"/>
          <w:sz w:val="28"/>
          <w:szCs w:val="28"/>
        </w:rPr>
        <w:t>211</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_Toc3279 </w:instrText>
      </w:r>
      <w:r>
        <w:rPr>
          <w:rFonts w:eastAsia="仿宋"/>
          <w:color w:val="000000"/>
          <w:sz w:val="28"/>
          <w:szCs w:val="28"/>
        </w:rPr>
        <w:fldChar w:fldCharType="separate"/>
      </w:r>
      <w:r>
        <w:rPr>
          <w:rFonts w:eastAsia="仿宋"/>
          <w:color w:val="000000"/>
          <w:sz w:val="28"/>
          <w:szCs w:val="28"/>
        </w:rPr>
        <w:t>24．争议的解决</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_Toc3279 \h </w:instrText>
      </w:r>
      <w:r>
        <w:rPr>
          <w:rFonts w:eastAsia="仿宋"/>
          <w:color w:val="000000"/>
          <w:sz w:val="28"/>
          <w:szCs w:val="28"/>
        </w:rPr>
        <w:fldChar w:fldCharType="separate"/>
      </w:r>
      <w:r>
        <w:rPr>
          <w:rFonts w:eastAsia="仿宋"/>
          <w:color w:val="000000"/>
          <w:sz w:val="28"/>
          <w:szCs w:val="28"/>
        </w:rPr>
        <w:t>213</w:t>
      </w:r>
      <w:r>
        <w:rPr>
          <w:rFonts w:eastAsia="仿宋"/>
          <w:color w:val="000000"/>
          <w:sz w:val="28"/>
          <w:szCs w:val="28"/>
        </w:rPr>
        <w:fldChar w:fldCharType="end"/>
      </w:r>
      <w:r>
        <w:rPr>
          <w:rFonts w:eastAsia="仿宋"/>
          <w:color w:val="000000"/>
          <w:sz w:val="28"/>
          <w:szCs w:val="28"/>
        </w:rPr>
        <w:fldChar w:fldCharType="end"/>
      </w:r>
    </w:p>
    <w:p>
      <w:pPr>
        <w:pStyle w:val="142"/>
        <w:tabs>
          <w:tab w:val="right" w:leader="dot" w:pos="9070"/>
        </w:tabs>
        <w:spacing w:line="360" w:lineRule="auto"/>
        <w:ind w:left="0" w:leftChars="0" w:firstLine="562" w:firstLineChars="200"/>
        <w:jc w:val="both"/>
        <w:rPr>
          <w:rFonts w:eastAsia="仿宋"/>
          <w:color w:val="000000"/>
          <w:sz w:val="28"/>
          <w:szCs w:val="28"/>
        </w:rPr>
      </w:pPr>
      <w:r>
        <w:rPr>
          <w:rFonts w:eastAsia="仿宋"/>
          <w:b/>
          <w:bCs/>
          <w:color w:val="000000"/>
          <w:sz w:val="28"/>
          <w:szCs w:val="28"/>
        </w:rPr>
        <w:fldChar w:fldCharType="begin"/>
      </w:r>
      <w:r>
        <w:rPr>
          <w:rFonts w:eastAsia="仿宋"/>
          <w:b/>
          <w:bCs/>
          <w:color w:val="000000"/>
          <w:sz w:val="28"/>
          <w:szCs w:val="28"/>
        </w:rPr>
        <w:instrText xml:space="preserve"> HYPERLINK \l _Toc27121 </w:instrText>
      </w:r>
      <w:r>
        <w:rPr>
          <w:rFonts w:eastAsia="仿宋"/>
          <w:b/>
          <w:bCs/>
          <w:color w:val="000000"/>
          <w:sz w:val="28"/>
          <w:szCs w:val="28"/>
        </w:rPr>
        <w:fldChar w:fldCharType="separate"/>
      </w:r>
      <w:r>
        <w:rPr>
          <w:rFonts w:eastAsia="仿宋"/>
          <w:b/>
          <w:bCs/>
          <w:color w:val="000000"/>
          <w:sz w:val="28"/>
          <w:szCs w:val="28"/>
        </w:rPr>
        <w:t>第2节  专用合同条款</w:t>
      </w:r>
      <w:r>
        <w:rPr>
          <w:rFonts w:eastAsia="仿宋"/>
          <w:b/>
          <w:bCs/>
          <w:color w:val="000000"/>
          <w:sz w:val="28"/>
          <w:szCs w:val="28"/>
        </w:rPr>
        <w:tab/>
      </w:r>
      <w:r>
        <w:rPr>
          <w:rFonts w:eastAsia="仿宋"/>
          <w:b/>
          <w:bCs/>
          <w:color w:val="000000"/>
          <w:sz w:val="28"/>
          <w:szCs w:val="28"/>
        </w:rPr>
        <w:fldChar w:fldCharType="begin"/>
      </w:r>
      <w:r>
        <w:rPr>
          <w:rFonts w:eastAsia="仿宋"/>
          <w:b/>
          <w:bCs/>
          <w:color w:val="000000"/>
          <w:sz w:val="28"/>
          <w:szCs w:val="28"/>
        </w:rPr>
        <w:instrText xml:space="preserve"> PAGEREF _Toc27121 \h </w:instrText>
      </w:r>
      <w:r>
        <w:rPr>
          <w:rFonts w:eastAsia="仿宋"/>
          <w:b/>
          <w:bCs/>
          <w:color w:val="000000"/>
          <w:sz w:val="28"/>
          <w:szCs w:val="28"/>
        </w:rPr>
        <w:fldChar w:fldCharType="separate"/>
      </w:r>
      <w:r>
        <w:rPr>
          <w:rFonts w:eastAsia="仿宋"/>
          <w:b/>
          <w:bCs/>
          <w:color w:val="000000"/>
          <w:sz w:val="28"/>
          <w:szCs w:val="28"/>
        </w:rPr>
        <w:t>214</w:t>
      </w:r>
      <w:r>
        <w:rPr>
          <w:rFonts w:eastAsia="仿宋"/>
          <w:b/>
          <w:bCs/>
          <w:color w:val="000000"/>
          <w:sz w:val="28"/>
          <w:szCs w:val="28"/>
        </w:rPr>
        <w:fldChar w:fldCharType="end"/>
      </w:r>
      <w:r>
        <w:rPr>
          <w:rFonts w:eastAsia="仿宋"/>
          <w:b/>
          <w:bCs/>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_Toc23561 </w:instrText>
      </w:r>
      <w:r>
        <w:rPr>
          <w:rFonts w:eastAsia="仿宋"/>
          <w:color w:val="000000"/>
          <w:sz w:val="28"/>
          <w:szCs w:val="28"/>
        </w:rPr>
        <w:fldChar w:fldCharType="separate"/>
      </w:r>
      <w:r>
        <w:rPr>
          <w:rFonts w:eastAsia="仿宋"/>
          <w:color w:val="000000"/>
          <w:sz w:val="28"/>
          <w:szCs w:val="28"/>
        </w:rPr>
        <w:t>1．一般约定</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_Toc23561 \h </w:instrText>
      </w:r>
      <w:r>
        <w:rPr>
          <w:rFonts w:eastAsia="仿宋"/>
          <w:color w:val="000000"/>
          <w:sz w:val="28"/>
          <w:szCs w:val="28"/>
        </w:rPr>
        <w:fldChar w:fldCharType="separate"/>
      </w:r>
      <w:r>
        <w:rPr>
          <w:rFonts w:eastAsia="仿宋"/>
          <w:color w:val="000000"/>
          <w:sz w:val="28"/>
          <w:szCs w:val="28"/>
        </w:rPr>
        <w:t>214</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_Toc25532 </w:instrText>
      </w:r>
      <w:r>
        <w:rPr>
          <w:rFonts w:eastAsia="仿宋"/>
          <w:color w:val="000000"/>
          <w:sz w:val="28"/>
          <w:szCs w:val="28"/>
        </w:rPr>
        <w:fldChar w:fldCharType="separate"/>
      </w:r>
      <w:r>
        <w:rPr>
          <w:rFonts w:eastAsia="仿宋"/>
          <w:color w:val="000000"/>
          <w:sz w:val="28"/>
          <w:szCs w:val="28"/>
        </w:rPr>
        <w:t>2．发包人义务</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_Toc25532 \h </w:instrText>
      </w:r>
      <w:r>
        <w:rPr>
          <w:rFonts w:eastAsia="仿宋"/>
          <w:color w:val="000000"/>
          <w:sz w:val="28"/>
          <w:szCs w:val="28"/>
        </w:rPr>
        <w:fldChar w:fldCharType="separate"/>
      </w:r>
      <w:r>
        <w:rPr>
          <w:rFonts w:eastAsia="仿宋"/>
          <w:color w:val="000000"/>
          <w:sz w:val="28"/>
          <w:szCs w:val="28"/>
        </w:rPr>
        <w:t>215</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_Toc863 </w:instrText>
      </w:r>
      <w:r>
        <w:rPr>
          <w:rFonts w:eastAsia="仿宋"/>
          <w:color w:val="000000"/>
          <w:sz w:val="28"/>
          <w:szCs w:val="28"/>
        </w:rPr>
        <w:fldChar w:fldCharType="separate"/>
      </w:r>
      <w:r>
        <w:rPr>
          <w:rFonts w:eastAsia="仿宋"/>
          <w:color w:val="000000"/>
          <w:sz w:val="28"/>
          <w:szCs w:val="28"/>
        </w:rPr>
        <w:t>3．监理人</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_Toc863 \h </w:instrText>
      </w:r>
      <w:r>
        <w:rPr>
          <w:rFonts w:eastAsia="仿宋"/>
          <w:color w:val="000000"/>
          <w:sz w:val="28"/>
          <w:szCs w:val="28"/>
        </w:rPr>
        <w:fldChar w:fldCharType="separate"/>
      </w:r>
      <w:r>
        <w:rPr>
          <w:rFonts w:eastAsia="仿宋"/>
          <w:color w:val="000000"/>
          <w:sz w:val="28"/>
          <w:szCs w:val="28"/>
        </w:rPr>
        <w:t>216</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_Toc20022 </w:instrText>
      </w:r>
      <w:r>
        <w:rPr>
          <w:rFonts w:eastAsia="仿宋"/>
          <w:color w:val="000000"/>
          <w:sz w:val="28"/>
          <w:szCs w:val="28"/>
        </w:rPr>
        <w:fldChar w:fldCharType="separate"/>
      </w:r>
      <w:r>
        <w:rPr>
          <w:rFonts w:eastAsia="仿宋"/>
          <w:color w:val="000000"/>
          <w:sz w:val="28"/>
          <w:szCs w:val="28"/>
        </w:rPr>
        <w:t>4．承包人</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_Toc20022 \h </w:instrText>
      </w:r>
      <w:r>
        <w:rPr>
          <w:rFonts w:eastAsia="仿宋"/>
          <w:color w:val="000000"/>
          <w:sz w:val="28"/>
          <w:szCs w:val="28"/>
        </w:rPr>
        <w:fldChar w:fldCharType="separate"/>
      </w:r>
      <w:r>
        <w:rPr>
          <w:rFonts w:eastAsia="仿宋"/>
          <w:color w:val="000000"/>
          <w:sz w:val="28"/>
          <w:szCs w:val="28"/>
        </w:rPr>
        <w:t>217</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_Toc18081 </w:instrText>
      </w:r>
      <w:r>
        <w:rPr>
          <w:rFonts w:eastAsia="仿宋"/>
          <w:color w:val="000000"/>
          <w:sz w:val="28"/>
          <w:szCs w:val="28"/>
        </w:rPr>
        <w:fldChar w:fldCharType="separate"/>
      </w:r>
      <w:r>
        <w:rPr>
          <w:rFonts w:eastAsia="仿宋"/>
          <w:color w:val="000000"/>
          <w:sz w:val="28"/>
          <w:szCs w:val="28"/>
        </w:rPr>
        <w:t>5．材料和工程设备</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_Toc18081 \h </w:instrText>
      </w:r>
      <w:r>
        <w:rPr>
          <w:rFonts w:eastAsia="仿宋"/>
          <w:color w:val="000000"/>
          <w:sz w:val="28"/>
          <w:szCs w:val="28"/>
        </w:rPr>
        <w:fldChar w:fldCharType="separate"/>
      </w:r>
      <w:r>
        <w:rPr>
          <w:rFonts w:eastAsia="仿宋"/>
          <w:color w:val="000000"/>
          <w:sz w:val="28"/>
          <w:szCs w:val="28"/>
        </w:rPr>
        <w:t>221</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_Toc4092 </w:instrText>
      </w:r>
      <w:r>
        <w:rPr>
          <w:rFonts w:eastAsia="仿宋"/>
          <w:color w:val="000000"/>
          <w:sz w:val="28"/>
          <w:szCs w:val="28"/>
        </w:rPr>
        <w:fldChar w:fldCharType="separate"/>
      </w:r>
      <w:r>
        <w:rPr>
          <w:rFonts w:eastAsia="仿宋"/>
          <w:color w:val="000000"/>
          <w:sz w:val="28"/>
          <w:szCs w:val="28"/>
        </w:rPr>
        <w:t>6．施工设备和临时设施</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_Toc4092 \h </w:instrText>
      </w:r>
      <w:r>
        <w:rPr>
          <w:rFonts w:eastAsia="仿宋"/>
          <w:color w:val="000000"/>
          <w:sz w:val="28"/>
          <w:szCs w:val="28"/>
        </w:rPr>
        <w:fldChar w:fldCharType="separate"/>
      </w:r>
      <w:r>
        <w:rPr>
          <w:rFonts w:eastAsia="仿宋"/>
          <w:color w:val="000000"/>
          <w:sz w:val="28"/>
          <w:szCs w:val="28"/>
        </w:rPr>
        <w:t>222</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_Toc9154 </w:instrText>
      </w:r>
      <w:r>
        <w:rPr>
          <w:rFonts w:eastAsia="仿宋"/>
          <w:color w:val="000000"/>
          <w:sz w:val="28"/>
          <w:szCs w:val="28"/>
        </w:rPr>
        <w:fldChar w:fldCharType="separate"/>
      </w:r>
      <w:r>
        <w:rPr>
          <w:rFonts w:eastAsia="仿宋"/>
          <w:color w:val="000000"/>
          <w:sz w:val="28"/>
          <w:szCs w:val="28"/>
        </w:rPr>
        <w:t>7．交通运输</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_Toc9154 \h </w:instrText>
      </w:r>
      <w:r>
        <w:rPr>
          <w:rFonts w:eastAsia="仿宋"/>
          <w:color w:val="000000"/>
          <w:sz w:val="28"/>
          <w:szCs w:val="28"/>
        </w:rPr>
        <w:fldChar w:fldCharType="separate"/>
      </w:r>
      <w:r>
        <w:rPr>
          <w:rFonts w:eastAsia="仿宋"/>
          <w:color w:val="000000"/>
          <w:sz w:val="28"/>
          <w:szCs w:val="28"/>
        </w:rPr>
        <w:t>222</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_Toc16864 </w:instrText>
      </w:r>
      <w:r>
        <w:rPr>
          <w:rFonts w:eastAsia="仿宋"/>
          <w:color w:val="000000"/>
          <w:sz w:val="28"/>
          <w:szCs w:val="28"/>
        </w:rPr>
        <w:fldChar w:fldCharType="separate"/>
      </w:r>
      <w:r>
        <w:rPr>
          <w:rFonts w:eastAsia="仿宋"/>
          <w:color w:val="000000"/>
          <w:sz w:val="28"/>
          <w:szCs w:val="28"/>
        </w:rPr>
        <w:t>8．测量放线</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_Toc16864 \h </w:instrText>
      </w:r>
      <w:r>
        <w:rPr>
          <w:rFonts w:eastAsia="仿宋"/>
          <w:color w:val="000000"/>
          <w:sz w:val="28"/>
          <w:szCs w:val="28"/>
        </w:rPr>
        <w:fldChar w:fldCharType="separate"/>
      </w:r>
      <w:r>
        <w:rPr>
          <w:rFonts w:eastAsia="仿宋"/>
          <w:color w:val="000000"/>
          <w:sz w:val="28"/>
          <w:szCs w:val="28"/>
        </w:rPr>
        <w:t>223</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_Toc8294 </w:instrText>
      </w:r>
      <w:r>
        <w:rPr>
          <w:rFonts w:eastAsia="仿宋"/>
          <w:color w:val="000000"/>
          <w:sz w:val="28"/>
          <w:szCs w:val="28"/>
        </w:rPr>
        <w:fldChar w:fldCharType="separate"/>
      </w:r>
      <w:r>
        <w:rPr>
          <w:rFonts w:eastAsia="仿宋"/>
          <w:color w:val="000000"/>
          <w:sz w:val="28"/>
          <w:szCs w:val="28"/>
        </w:rPr>
        <w:t>9．施工安全、治安保卫和环境保护</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_Toc8294 \h </w:instrText>
      </w:r>
      <w:r>
        <w:rPr>
          <w:rFonts w:eastAsia="仿宋"/>
          <w:color w:val="000000"/>
          <w:sz w:val="28"/>
          <w:szCs w:val="28"/>
        </w:rPr>
        <w:fldChar w:fldCharType="separate"/>
      </w:r>
      <w:r>
        <w:rPr>
          <w:rFonts w:eastAsia="仿宋"/>
          <w:color w:val="000000"/>
          <w:sz w:val="28"/>
          <w:szCs w:val="28"/>
        </w:rPr>
        <w:t>223</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_Toc19106 </w:instrText>
      </w:r>
      <w:r>
        <w:rPr>
          <w:rFonts w:eastAsia="仿宋"/>
          <w:color w:val="000000"/>
          <w:sz w:val="28"/>
          <w:szCs w:val="28"/>
        </w:rPr>
        <w:fldChar w:fldCharType="separate"/>
      </w:r>
      <w:r>
        <w:rPr>
          <w:rFonts w:eastAsia="仿宋"/>
          <w:color w:val="000000"/>
          <w:sz w:val="28"/>
          <w:szCs w:val="28"/>
        </w:rPr>
        <w:t>1</w:t>
      </w:r>
      <w:r>
        <w:rPr>
          <w:rFonts w:hint="eastAsia" w:eastAsia="仿宋"/>
          <w:color w:val="000000"/>
          <w:sz w:val="28"/>
          <w:szCs w:val="28"/>
        </w:rPr>
        <w:t>0</w:t>
      </w:r>
      <w:r>
        <w:rPr>
          <w:rFonts w:eastAsia="仿宋"/>
          <w:color w:val="000000"/>
          <w:sz w:val="28"/>
          <w:szCs w:val="28"/>
        </w:rPr>
        <w:t>．</w:t>
      </w:r>
      <w:r>
        <w:rPr>
          <w:rFonts w:hint="eastAsia" w:eastAsia="仿宋"/>
          <w:color w:val="000000"/>
          <w:sz w:val="28"/>
          <w:szCs w:val="28"/>
        </w:rPr>
        <w:t>进度计划</w:t>
      </w:r>
      <w:r>
        <w:rPr>
          <w:rFonts w:eastAsia="仿宋"/>
          <w:color w:val="000000"/>
          <w:sz w:val="28"/>
          <w:szCs w:val="28"/>
        </w:rPr>
        <w:t>（</w:t>
      </w:r>
      <w:r>
        <w:rPr>
          <w:rFonts w:hint="eastAsia" w:eastAsia="仿宋"/>
          <w:color w:val="000000"/>
          <w:sz w:val="28"/>
          <w:szCs w:val="28"/>
        </w:rPr>
        <w:t>详见投标文件</w:t>
      </w:r>
      <w:r>
        <w:rPr>
          <w:rFonts w:eastAsia="仿宋"/>
          <w:color w:val="000000"/>
          <w:sz w:val="28"/>
          <w:szCs w:val="28"/>
        </w:rPr>
        <w:t>）</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_Toc19106 \h </w:instrText>
      </w:r>
      <w:r>
        <w:rPr>
          <w:rFonts w:eastAsia="仿宋"/>
          <w:color w:val="000000"/>
          <w:sz w:val="28"/>
          <w:szCs w:val="28"/>
        </w:rPr>
        <w:fldChar w:fldCharType="separate"/>
      </w:r>
      <w:r>
        <w:rPr>
          <w:rFonts w:eastAsia="仿宋"/>
          <w:color w:val="000000"/>
          <w:sz w:val="28"/>
          <w:szCs w:val="28"/>
        </w:rPr>
        <w:t>224</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_Toc19106 </w:instrText>
      </w:r>
      <w:r>
        <w:rPr>
          <w:rFonts w:eastAsia="仿宋"/>
          <w:color w:val="000000"/>
          <w:sz w:val="28"/>
          <w:szCs w:val="28"/>
        </w:rPr>
        <w:fldChar w:fldCharType="separate"/>
      </w:r>
      <w:r>
        <w:rPr>
          <w:rFonts w:eastAsia="仿宋"/>
          <w:color w:val="000000"/>
          <w:sz w:val="28"/>
          <w:szCs w:val="28"/>
        </w:rPr>
        <w:t>11．开工和竣工（完工）</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_Toc19106 \h </w:instrText>
      </w:r>
      <w:r>
        <w:rPr>
          <w:rFonts w:eastAsia="仿宋"/>
          <w:color w:val="000000"/>
          <w:sz w:val="28"/>
          <w:szCs w:val="28"/>
        </w:rPr>
        <w:fldChar w:fldCharType="separate"/>
      </w:r>
      <w:r>
        <w:rPr>
          <w:rFonts w:eastAsia="仿宋"/>
          <w:color w:val="000000"/>
          <w:sz w:val="28"/>
          <w:szCs w:val="28"/>
        </w:rPr>
        <w:t>224</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_Toc26938 </w:instrText>
      </w:r>
      <w:r>
        <w:rPr>
          <w:rFonts w:eastAsia="仿宋"/>
          <w:color w:val="000000"/>
          <w:sz w:val="28"/>
          <w:szCs w:val="28"/>
        </w:rPr>
        <w:fldChar w:fldCharType="separate"/>
      </w:r>
      <w:r>
        <w:rPr>
          <w:rFonts w:eastAsia="仿宋"/>
          <w:color w:val="000000"/>
          <w:sz w:val="28"/>
          <w:szCs w:val="28"/>
        </w:rPr>
        <w:t>12．暂停施工</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_Toc26938 \h </w:instrText>
      </w:r>
      <w:r>
        <w:rPr>
          <w:rFonts w:eastAsia="仿宋"/>
          <w:color w:val="000000"/>
          <w:sz w:val="28"/>
          <w:szCs w:val="28"/>
        </w:rPr>
        <w:fldChar w:fldCharType="separate"/>
      </w:r>
      <w:r>
        <w:rPr>
          <w:rFonts w:eastAsia="仿宋"/>
          <w:color w:val="000000"/>
          <w:sz w:val="28"/>
          <w:szCs w:val="28"/>
        </w:rPr>
        <w:t>225</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_Toc10621 </w:instrText>
      </w:r>
      <w:r>
        <w:rPr>
          <w:rFonts w:eastAsia="仿宋"/>
          <w:color w:val="000000"/>
          <w:sz w:val="28"/>
          <w:szCs w:val="28"/>
        </w:rPr>
        <w:fldChar w:fldCharType="separate"/>
      </w:r>
      <w:r>
        <w:rPr>
          <w:rFonts w:eastAsia="仿宋"/>
          <w:color w:val="000000"/>
          <w:sz w:val="28"/>
          <w:szCs w:val="28"/>
        </w:rPr>
        <w:t>13．工程质量</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_Toc10621 \h </w:instrText>
      </w:r>
      <w:r>
        <w:rPr>
          <w:rFonts w:eastAsia="仿宋"/>
          <w:color w:val="000000"/>
          <w:sz w:val="28"/>
          <w:szCs w:val="28"/>
        </w:rPr>
        <w:fldChar w:fldCharType="separate"/>
      </w:r>
      <w:r>
        <w:rPr>
          <w:rFonts w:eastAsia="仿宋"/>
          <w:color w:val="000000"/>
          <w:sz w:val="28"/>
          <w:szCs w:val="28"/>
        </w:rPr>
        <w:t>225</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_Toc30914 </w:instrText>
      </w:r>
      <w:r>
        <w:rPr>
          <w:rFonts w:eastAsia="仿宋"/>
          <w:color w:val="000000"/>
          <w:sz w:val="28"/>
          <w:szCs w:val="28"/>
        </w:rPr>
        <w:fldChar w:fldCharType="separate"/>
      </w:r>
      <w:r>
        <w:rPr>
          <w:rFonts w:eastAsia="仿宋"/>
          <w:color w:val="000000"/>
          <w:sz w:val="28"/>
          <w:szCs w:val="28"/>
        </w:rPr>
        <w:t>14．试验和检验</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_Toc30914 \h </w:instrText>
      </w:r>
      <w:r>
        <w:rPr>
          <w:rFonts w:eastAsia="仿宋"/>
          <w:color w:val="000000"/>
          <w:sz w:val="28"/>
          <w:szCs w:val="28"/>
        </w:rPr>
        <w:fldChar w:fldCharType="separate"/>
      </w:r>
      <w:r>
        <w:rPr>
          <w:rFonts w:eastAsia="仿宋"/>
          <w:color w:val="000000"/>
          <w:sz w:val="28"/>
          <w:szCs w:val="28"/>
        </w:rPr>
        <w:t>225</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_Toc28217 </w:instrText>
      </w:r>
      <w:r>
        <w:rPr>
          <w:rFonts w:eastAsia="仿宋"/>
          <w:color w:val="000000"/>
          <w:sz w:val="28"/>
          <w:szCs w:val="28"/>
        </w:rPr>
        <w:fldChar w:fldCharType="separate"/>
      </w:r>
      <w:r>
        <w:rPr>
          <w:rFonts w:eastAsia="仿宋"/>
          <w:color w:val="000000"/>
          <w:sz w:val="28"/>
          <w:szCs w:val="28"/>
        </w:rPr>
        <w:t>15．变更</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_Toc28217 \h </w:instrText>
      </w:r>
      <w:r>
        <w:rPr>
          <w:rFonts w:eastAsia="仿宋"/>
          <w:color w:val="000000"/>
          <w:sz w:val="28"/>
          <w:szCs w:val="28"/>
        </w:rPr>
        <w:fldChar w:fldCharType="separate"/>
      </w:r>
      <w:r>
        <w:rPr>
          <w:rFonts w:eastAsia="仿宋"/>
          <w:color w:val="000000"/>
          <w:sz w:val="28"/>
          <w:szCs w:val="28"/>
        </w:rPr>
        <w:t>226</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_Toc27059 </w:instrText>
      </w:r>
      <w:r>
        <w:rPr>
          <w:rFonts w:eastAsia="仿宋"/>
          <w:color w:val="000000"/>
          <w:sz w:val="28"/>
          <w:szCs w:val="28"/>
        </w:rPr>
        <w:fldChar w:fldCharType="separate"/>
      </w:r>
      <w:r>
        <w:rPr>
          <w:rFonts w:eastAsia="仿宋"/>
          <w:color w:val="000000"/>
          <w:sz w:val="28"/>
          <w:szCs w:val="28"/>
        </w:rPr>
        <w:t>16．价格调整</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_Toc27059 \h </w:instrText>
      </w:r>
      <w:r>
        <w:rPr>
          <w:rFonts w:eastAsia="仿宋"/>
          <w:color w:val="000000"/>
          <w:sz w:val="28"/>
          <w:szCs w:val="28"/>
        </w:rPr>
        <w:fldChar w:fldCharType="separate"/>
      </w:r>
      <w:r>
        <w:rPr>
          <w:rFonts w:eastAsia="仿宋"/>
          <w:color w:val="000000"/>
          <w:sz w:val="28"/>
          <w:szCs w:val="28"/>
        </w:rPr>
        <w:t>227</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_Toc4760 </w:instrText>
      </w:r>
      <w:r>
        <w:rPr>
          <w:rFonts w:eastAsia="仿宋"/>
          <w:color w:val="000000"/>
          <w:sz w:val="28"/>
          <w:szCs w:val="28"/>
        </w:rPr>
        <w:fldChar w:fldCharType="separate"/>
      </w:r>
      <w:r>
        <w:rPr>
          <w:rFonts w:eastAsia="仿宋"/>
          <w:color w:val="000000"/>
          <w:sz w:val="28"/>
          <w:szCs w:val="28"/>
        </w:rPr>
        <w:t>17．计量与支付</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_Toc4760 \h </w:instrText>
      </w:r>
      <w:r>
        <w:rPr>
          <w:rFonts w:eastAsia="仿宋"/>
          <w:color w:val="000000"/>
          <w:sz w:val="28"/>
          <w:szCs w:val="28"/>
        </w:rPr>
        <w:fldChar w:fldCharType="separate"/>
      </w:r>
      <w:r>
        <w:rPr>
          <w:rFonts w:eastAsia="仿宋"/>
          <w:color w:val="000000"/>
          <w:sz w:val="28"/>
          <w:szCs w:val="28"/>
        </w:rPr>
        <w:t>227</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_Toc31006 </w:instrText>
      </w:r>
      <w:r>
        <w:rPr>
          <w:rFonts w:eastAsia="仿宋"/>
          <w:color w:val="000000"/>
          <w:sz w:val="28"/>
          <w:szCs w:val="28"/>
        </w:rPr>
        <w:fldChar w:fldCharType="separate"/>
      </w:r>
      <w:r>
        <w:rPr>
          <w:rFonts w:eastAsia="仿宋"/>
          <w:color w:val="000000"/>
          <w:sz w:val="28"/>
          <w:szCs w:val="28"/>
        </w:rPr>
        <w:t>18．竣工验收（验收）</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_Toc31006 \h </w:instrText>
      </w:r>
      <w:r>
        <w:rPr>
          <w:rFonts w:eastAsia="仿宋"/>
          <w:color w:val="000000"/>
          <w:sz w:val="28"/>
          <w:szCs w:val="28"/>
        </w:rPr>
        <w:fldChar w:fldCharType="separate"/>
      </w:r>
      <w:r>
        <w:rPr>
          <w:rFonts w:eastAsia="仿宋"/>
          <w:color w:val="000000"/>
          <w:sz w:val="28"/>
          <w:szCs w:val="28"/>
        </w:rPr>
        <w:t>230</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_Toc18521 </w:instrText>
      </w:r>
      <w:r>
        <w:rPr>
          <w:rFonts w:eastAsia="仿宋"/>
          <w:color w:val="000000"/>
          <w:sz w:val="28"/>
          <w:szCs w:val="28"/>
        </w:rPr>
        <w:fldChar w:fldCharType="separate"/>
      </w:r>
      <w:r>
        <w:rPr>
          <w:rFonts w:eastAsia="仿宋"/>
          <w:color w:val="000000"/>
          <w:sz w:val="28"/>
          <w:szCs w:val="28"/>
        </w:rPr>
        <w:t>19．缺陷责任与保修责任</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_Toc18521 \h </w:instrText>
      </w:r>
      <w:r>
        <w:rPr>
          <w:rFonts w:eastAsia="仿宋"/>
          <w:color w:val="000000"/>
          <w:sz w:val="28"/>
          <w:szCs w:val="28"/>
        </w:rPr>
        <w:fldChar w:fldCharType="separate"/>
      </w:r>
      <w:r>
        <w:rPr>
          <w:rFonts w:eastAsia="仿宋"/>
          <w:color w:val="000000"/>
          <w:sz w:val="28"/>
          <w:szCs w:val="28"/>
        </w:rPr>
        <w:t>230</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_Toc7926 </w:instrText>
      </w:r>
      <w:r>
        <w:rPr>
          <w:rFonts w:eastAsia="仿宋"/>
          <w:color w:val="000000"/>
          <w:sz w:val="28"/>
          <w:szCs w:val="28"/>
        </w:rPr>
        <w:fldChar w:fldCharType="separate"/>
      </w:r>
      <w:r>
        <w:rPr>
          <w:rFonts w:eastAsia="仿宋"/>
          <w:color w:val="000000"/>
          <w:sz w:val="28"/>
          <w:szCs w:val="28"/>
        </w:rPr>
        <w:t>20．保险</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_Toc7926 \h </w:instrText>
      </w:r>
      <w:r>
        <w:rPr>
          <w:rFonts w:eastAsia="仿宋"/>
          <w:color w:val="000000"/>
          <w:sz w:val="28"/>
          <w:szCs w:val="28"/>
        </w:rPr>
        <w:fldChar w:fldCharType="separate"/>
      </w:r>
      <w:r>
        <w:rPr>
          <w:rFonts w:eastAsia="仿宋"/>
          <w:color w:val="000000"/>
          <w:sz w:val="28"/>
          <w:szCs w:val="28"/>
        </w:rPr>
        <w:t>231</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_Toc6067 </w:instrText>
      </w:r>
      <w:r>
        <w:rPr>
          <w:rFonts w:eastAsia="仿宋"/>
          <w:color w:val="000000"/>
          <w:sz w:val="28"/>
          <w:szCs w:val="28"/>
        </w:rPr>
        <w:fldChar w:fldCharType="separate"/>
      </w:r>
      <w:r>
        <w:rPr>
          <w:rFonts w:eastAsia="仿宋"/>
          <w:color w:val="000000"/>
          <w:sz w:val="28"/>
          <w:szCs w:val="28"/>
        </w:rPr>
        <w:t>22．违约</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_Toc6067 \h </w:instrText>
      </w:r>
      <w:r>
        <w:rPr>
          <w:rFonts w:eastAsia="仿宋"/>
          <w:color w:val="000000"/>
          <w:sz w:val="28"/>
          <w:szCs w:val="28"/>
        </w:rPr>
        <w:fldChar w:fldCharType="separate"/>
      </w:r>
      <w:r>
        <w:rPr>
          <w:rFonts w:eastAsia="仿宋"/>
          <w:color w:val="000000"/>
          <w:sz w:val="28"/>
          <w:szCs w:val="28"/>
        </w:rPr>
        <w:t>232</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_Toc20776 </w:instrText>
      </w:r>
      <w:r>
        <w:rPr>
          <w:rFonts w:eastAsia="仿宋"/>
          <w:color w:val="000000"/>
          <w:sz w:val="28"/>
          <w:szCs w:val="28"/>
        </w:rPr>
        <w:fldChar w:fldCharType="separate"/>
      </w:r>
      <w:r>
        <w:rPr>
          <w:rFonts w:eastAsia="仿宋"/>
          <w:color w:val="000000"/>
          <w:sz w:val="28"/>
          <w:szCs w:val="28"/>
        </w:rPr>
        <w:t>2</w:t>
      </w:r>
      <w:r>
        <w:rPr>
          <w:rFonts w:hint="eastAsia" w:eastAsia="仿宋"/>
          <w:color w:val="000000"/>
          <w:sz w:val="28"/>
          <w:szCs w:val="28"/>
        </w:rPr>
        <w:t>3</w:t>
      </w:r>
      <w:r>
        <w:rPr>
          <w:rFonts w:eastAsia="仿宋"/>
          <w:color w:val="000000"/>
          <w:sz w:val="28"/>
          <w:szCs w:val="28"/>
        </w:rPr>
        <w:t>．</w:t>
      </w:r>
      <w:r>
        <w:rPr>
          <w:rFonts w:hint="eastAsia" w:eastAsia="仿宋"/>
          <w:color w:val="000000"/>
          <w:sz w:val="28"/>
          <w:szCs w:val="28"/>
        </w:rPr>
        <w:t>索赔</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_Toc20776 \h </w:instrText>
      </w:r>
      <w:r>
        <w:rPr>
          <w:rFonts w:eastAsia="仿宋"/>
          <w:color w:val="000000"/>
          <w:sz w:val="28"/>
          <w:szCs w:val="28"/>
        </w:rPr>
        <w:fldChar w:fldCharType="separate"/>
      </w:r>
      <w:r>
        <w:rPr>
          <w:rFonts w:eastAsia="仿宋"/>
          <w:color w:val="000000"/>
          <w:sz w:val="28"/>
          <w:szCs w:val="28"/>
        </w:rPr>
        <w:t>233</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sectPr>
          <w:footerReference r:id="rId13" w:type="default"/>
          <w:pgSz w:w="11906" w:h="16838"/>
          <w:pgMar w:top="1701" w:right="1361" w:bottom="1701" w:left="1474" w:header="1021" w:footer="1021" w:gutter="0"/>
          <w:pgNumType w:start="1"/>
          <w:cols w:space="720" w:num="1"/>
          <w:docGrid w:linePitch="312" w:charSpace="0"/>
        </w:sectPr>
      </w:pP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_Toc20776 </w:instrText>
      </w:r>
      <w:r>
        <w:rPr>
          <w:rFonts w:eastAsia="仿宋"/>
          <w:color w:val="000000"/>
          <w:sz w:val="28"/>
          <w:szCs w:val="28"/>
        </w:rPr>
        <w:fldChar w:fldCharType="separate"/>
      </w:r>
      <w:r>
        <w:rPr>
          <w:rFonts w:eastAsia="仿宋"/>
          <w:color w:val="000000"/>
          <w:sz w:val="28"/>
          <w:szCs w:val="28"/>
        </w:rPr>
        <w:t>2</w:t>
      </w:r>
      <w:r>
        <w:rPr>
          <w:rFonts w:hint="eastAsia" w:eastAsia="仿宋"/>
          <w:color w:val="000000"/>
          <w:sz w:val="28"/>
          <w:szCs w:val="28"/>
        </w:rPr>
        <w:t>4</w:t>
      </w:r>
      <w:r>
        <w:rPr>
          <w:rFonts w:eastAsia="仿宋"/>
          <w:color w:val="000000"/>
          <w:sz w:val="28"/>
          <w:szCs w:val="28"/>
        </w:rPr>
        <w:t>．</w:t>
      </w:r>
      <w:r>
        <w:rPr>
          <w:rFonts w:hint="eastAsia" w:eastAsia="仿宋"/>
          <w:color w:val="000000"/>
          <w:sz w:val="28"/>
          <w:szCs w:val="28"/>
        </w:rPr>
        <w:t>争议的解决</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_Toc20776 \h </w:instrText>
      </w:r>
      <w:r>
        <w:rPr>
          <w:rFonts w:eastAsia="仿宋"/>
          <w:color w:val="000000"/>
          <w:sz w:val="28"/>
          <w:szCs w:val="28"/>
        </w:rPr>
        <w:fldChar w:fldCharType="separate"/>
      </w:r>
      <w:r>
        <w:rPr>
          <w:rFonts w:eastAsia="仿宋"/>
          <w:color w:val="000000"/>
          <w:sz w:val="28"/>
          <w:szCs w:val="28"/>
        </w:rPr>
        <w:t>233</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_Toc20512 </w:instrText>
      </w:r>
      <w:r>
        <w:rPr>
          <w:rFonts w:eastAsia="仿宋"/>
          <w:color w:val="000000"/>
          <w:sz w:val="28"/>
          <w:szCs w:val="28"/>
        </w:rPr>
        <w:fldChar w:fldCharType="separate"/>
      </w:r>
      <w:r>
        <w:rPr>
          <w:rFonts w:eastAsia="仿宋"/>
          <w:color w:val="000000"/>
          <w:sz w:val="28"/>
          <w:szCs w:val="28"/>
        </w:rPr>
        <w:t>2</w:t>
      </w:r>
      <w:r>
        <w:rPr>
          <w:rFonts w:hint="eastAsia" w:eastAsia="仿宋"/>
          <w:color w:val="000000"/>
          <w:sz w:val="28"/>
          <w:szCs w:val="28"/>
        </w:rPr>
        <w:t>5</w:t>
      </w:r>
      <w:r>
        <w:rPr>
          <w:rFonts w:eastAsia="仿宋"/>
          <w:color w:val="000000"/>
          <w:sz w:val="28"/>
          <w:szCs w:val="28"/>
        </w:rPr>
        <w:t>．补充条款</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_Toc20512 \h </w:instrText>
      </w:r>
      <w:r>
        <w:rPr>
          <w:rFonts w:eastAsia="仿宋"/>
          <w:color w:val="000000"/>
          <w:sz w:val="28"/>
          <w:szCs w:val="28"/>
        </w:rPr>
        <w:fldChar w:fldCharType="separate"/>
      </w:r>
      <w:r>
        <w:rPr>
          <w:rFonts w:eastAsia="仿宋"/>
          <w:color w:val="000000"/>
          <w:sz w:val="28"/>
          <w:szCs w:val="28"/>
        </w:rPr>
        <w:t>234</w:t>
      </w:r>
      <w:r>
        <w:rPr>
          <w:rFonts w:eastAsia="仿宋"/>
          <w:color w:val="000000"/>
          <w:sz w:val="28"/>
          <w:szCs w:val="28"/>
        </w:rPr>
        <w:fldChar w:fldCharType="end"/>
      </w:r>
      <w:r>
        <w:rPr>
          <w:rFonts w:eastAsia="仿宋"/>
          <w:color w:val="000000"/>
          <w:sz w:val="28"/>
          <w:szCs w:val="28"/>
        </w:rPr>
        <w:fldChar w:fldCharType="end"/>
      </w:r>
    </w:p>
    <w:p>
      <w:pPr>
        <w:pStyle w:val="142"/>
        <w:tabs>
          <w:tab w:val="right" w:leader="dot" w:pos="9070"/>
        </w:tabs>
        <w:spacing w:line="360" w:lineRule="auto"/>
        <w:ind w:left="0" w:leftChars="0" w:firstLine="562" w:firstLineChars="200"/>
        <w:jc w:val="both"/>
        <w:rPr>
          <w:rFonts w:eastAsia="仿宋"/>
          <w:color w:val="000000"/>
          <w:sz w:val="28"/>
          <w:szCs w:val="28"/>
        </w:rPr>
      </w:pPr>
      <w:r>
        <w:rPr>
          <w:rFonts w:eastAsia="仿宋"/>
          <w:b/>
          <w:bCs/>
          <w:color w:val="000000"/>
          <w:sz w:val="28"/>
          <w:szCs w:val="28"/>
        </w:rPr>
        <w:fldChar w:fldCharType="begin"/>
      </w:r>
      <w:r>
        <w:rPr>
          <w:rFonts w:eastAsia="仿宋"/>
          <w:b/>
          <w:bCs/>
          <w:color w:val="000000"/>
          <w:sz w:val="28"/>
          <w:szCs w:val="28"/>
        </w:rPr>
        <w:instrText xml:space="preserve"> HYPERLINK \l _Toc17952 </w:instrText>
      </w:r>
      <w:r>
        <w:rPr>
          <w:rFonts w:eastAsia="仿宋"/>
          <w:b/>
          <w:bCs/>
          <w:color w:val="000000"/>
          <w:sz w:val="28"/>
          <w:szCs w:val="28"/>
        </w:rPr>
        <w:fldChar w:fldCharType="separate"/>
      </w:r>
      <w:r>
        <w:rPr>
          <w:rFonts w:eastAsia="仿宋"/>
          <w:b/>
          <w:bCs/>
          <w:color w:val="000000"/>
          <w:sz w:val="28"/>
          <w:szCs w:val="28"/>
        </w:rPr>
        <w:t>第3节  合同附件格式</w:t>
      </w:r>
      <w:r>
        <w:rPr>
          <w:rFonts w:eastAsia="仿宋"/>
          <w:b/>
          <w:bCs/>
          <w:color w:val="000000"/>
          <w:sz w:val="28"/>
          <w:szCs w:val="28"/>
        </w:rPr>
        <w:tab/>
      </w:r>
      <w:r>
        <w:rPr>
          <w:rFonts w:eastAsia="仿宋"/>
          <w:b/>
          <w:bCs/>
          <w:color w:val="000000"/>
          <w:sz w:val="28"/>
          <w:szCs w:val="28"/>
        </w:rPr>
        <w:fldChar w:fldCharType="begin"/>
      </w:r>
      <w:r>
        <w:rPr>
          <w:rFonts w:eastAsia="仿宋"/>
          <w:b/>
          <w:bCs/>
          <w:color w:val="000000"/>
          <w:sz w:val="28"/>
          <w:szCs w:val="28"/>
        </w:rPr>
        <w:instrText xml:space="preserve"> PAGEREF _Toc17952 \h </w:instrText>
      </w:r>
      <w:r>
        <w:rPr>
          <w:rFonts w:eastAsia="仿宋"/>
          <w:b/>
          <w:bCs/>
          <w:color w:val="000000"/>
          <w:sz w:val="28"/>
          <w:szCs w:val="28"/>
        </w:rPr>
        <w:fldChar w:fldCharType="separate"/>
      </w:r>
      <w:r>
        <w:rPr>
          <w:rFonts w:eastAsia="仿宋"/>
          <w:b/>
          <w:bCs/>
          <w:color w:val="000000"/>
          <w:sz w:val="28"/>
          <w:szCs w:val="28"/>
        </w:rPr>
        <w:t>235</w:t>
      </w:r>
      <w:r>
        <w:rPr>
          <w:rFonts w:eastAsia="仿宋"/>
          <w:b/>
          <w:bCs/>
          <w:color w:val="000000"/>
          <w:sz w:val="28"/>
          <w:szCs w:val="28"/>
        </w:rPr>
        <w:fldChar w:fldCharType="end"/>
      </w:r>
      <w:r>
        <w:rPr>
          <w:rFonts w:eastAsia="仿宋"/>
          <w:b/>
          <w:bCs/>
          <w:color w:val="000000"/>
          <w:sz w:val="28"/>
          <w:szCs w:val="28"/>
        </w:rPr>
        <w:fldChar w:fldCharType="end"/>
      </w:r>
    </w:p>
    <w:p>
      <w:pPr>
        <w:pStyle w:val="161"/>
        <w:tabs>
          <w:tab w:val="right" w:leader="dot" w:pos="9070"/>
        </w:tabs>
        <w:spacing w:line="360" w:lineRule="auto"/>
        <w:jc w:val="both"/>
        <w:rPr>
          <w:rFonts w:eastAsia="仿宋"/>
          <w:color w:val="000000"/>
          <w:sz w:val="28"/>
          <w:szCs w:val="28"/>
        </w:rPr>
      </w:pPr>
      <w:r>
        <w:rPr>
          <w:rFonts w:eastAsia="黑体"/>
          <w:color w:val="000000"/>
          <w:sz w:val="32"/>
          <w:szCs w:val="32"/>
        </w:rPr>
        <w:fldChar w:fldCharType="begin"/>
      </w:r>
      <w:r>
        <w:rPr>
          <w:rFonts w:eastAsia="黑体"/>
          <w:color w:val="000000"/>
          <w:sz w:val="32"/>
          <w:szCs w:val="32"/>
        </w:rPr>
        <w:instrText xml:space="preserve"> HYPERLINK \l _Toc27804 </w:instrText>
      </w:r>
      <w:r>
        <w:rPr>
          <w:rFonts w:eastAsia="黑体"/>
          <w:color w:val="000000"/>
          <w:sz w:val="32"/>
          <w:szCs w:val="32"/>
        </w:rPr>
        <w:fldChar w:fldCharType="separate"/>
      </w:r>
      <w:r>
        <w:rPr>
          <w:rFonts w:eastAsia="黑体"/>
          <w:color w:val="000000"/>
          <w:sz w:val="32"/>
          <w:szCs w:val="32"/>
        </w:rPr>
        <w:t>第五章  工程量清单</w:t>
      </w:r>
      <w:r>
        <w:rPr>
          <w:rFonts w:eastAsia="黑体"/>
          <w:color w:val="000000"/>
          <w:sz w:val="32"/>
          <w:szCs w:val="32"/>
        </w:rPr>
        <w:tab/>
      </w:r>
      <w:r>
        <w:rPr>
          <w:rFonts w:eastAsia="黑体"/>
          <w:color w:val="000000"/>
          <w:sz w:val="32"/>
          <w:szCs w:val="32"/>
        </w:rPr>
        <w:fldChar w:fldCharType="begin"/>
      </w:r>
      <w:r>
        <w:rPr>
          <w:rFonts w:eastAsia="黑体"/>
          <w:color w:val="000000"/>
          <w:sz w:val="32"/>
          <w:szCs w:val="32"/>
        </w:rPr>
        <w:instrText xml:space="preserve"> PAGEREF _Toc27804 \h </w:instrText>
      </w:r>
      <w:r>
        <w:rPr>
          <w:rFonts w:eastAsia="黑体"/>
          <w:color w:val="000000"/>
          <w:sz w:val="32"/>
          <w:szCs w:val="32"/>
        </w:rPr>
        <w:fldChar w:fldCharType="separate"/>
      </w:r>
      <w:r>
        <w:rPr>
          <w:rFonts w:eastAsia="黑体"/>
          <w:color w:val="000000"/>
          <w:sz w:val="32"/>
          <w:szCs w:val="32"/>
        </w:rPr>
        <w:t>250</w:t>
      </w:r>
      <w:r>
        <w:rPr>
          <w:rFonts w:eastAsia="黑体"/>
          <w:color w:val="000000"/>
          <w:sz w:val="32"/>
          <w:szCs w:val="32"/>
        </w:rPr>
        <w:fldChar w:fldCharType="end"/>
      </w:r>
      <w:r>
        <w:rPr>
          <w:rFonts w:eastAsia="黑体"/>
          <w:color w:val="000000"/>
          <w:sz w:val="32"/>
          <w:szCs w:val="32"/>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_Toc31777 </w:instrText>
      </w:r>
      <w:r>
        <w:rPr>
          <w:rFonts w:eastAsia="仿宋"/>
          <w:color w:val="000000"/>
          <w:sz w:val="28"/>
          <w:szCs w:val="28"/>
        </w:rPr>
        <w:fldChar w:fldCharType="separate"/>
      </w:r>
      <w:r>
        <w:rPr>
          <w:rFonts w:eastAsia="仿宋"/>
          <w:color w:val="000000"/>
          <w:sz w:val="28"/>
          <w:szCs w:val="28"/>
        </w:rPr>
        <w:t>1．工程量清单说明</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_Toc31777 \h </w:instrText>
      </w:r>
      <w:r>
        <w:rPr>
          <w:rFonts w:eastAsia="仿宋"/>
          <w:color w:val="000000"/>
          <w:sz w:val="28"/>
          <w:szCs w:val="28"/>
        </w:rPr>
        <w:fldChar w:fldCharType="separate"/>
      </w:r>
      <w:r>
        <w:rPr>
          <w:rFonts w:eastAsia="仿宋"/>
          <w:color w:val="000000"/>
          <w:sz w:val="28"/>
          <w:szCs w:val="28"/>
        </w:rPr>
        <w:t>250</w:t>
      </w:r>
      <w:r>
        <w:rPr>
          <w:rFonts w:eastAsia="仿宋"/>
          <w:color w:val="000000"/>
          <w:sz w:val="28"/>
          <w:szCs w:val="28"/>
        </w:rPr>
        <w:fldChar w:fldCharType="end"/>
      </w:r>
      <w:r>
        <w:rPr>
          <w:rFonts w:eastAsia="仿宋"/>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_Toc12114 </w:instrText>
      </w:r>
      <w:r>
        <w:rPr>
          <w:rFonts w:eastAsia="仿宋"/>
          <w:color w:val="000000"/>
          <w:sz w:val="28"/>
          <w:szCs w:val="28"/>
        </w:rPr>
        <w:fldChar w:fldCharType="separate"/>
      </w:r>
      <w:r>
        <w:rPr>
          <w:rFonts w:eastAsia="仿宋"/>
          <w:color w:val="000000"/>
          <w:sz w:val="28"/>
          <w:szCs w:val="28"/>
        </w:rPr>
        <w:t>2．投标报价说明</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_Toc12114 \h </w:instrText>
      </w:r>
      <w:r>
        <w:rPr>
          <w:rFonts w:eastAsia="仿宋"/>
          <w:color w:val="000000"/>
          <w:sz w:val="28"/>
          <w:szCs w:val="28"/>
        </w:rPr>
        <w:fldChar w:fldCharType="separate"/>
      </w:r>
      <w:r>
        <w:rPr>
          <w:rFonts w:eastAsia="仿宋"/>
          <w:color w:val="000000"/>
          <w:sz w:val="28"/>
          <w:szCs w:val="28"/>
        </w:rPr>
        <w:t>250</w:t>
      </w:r>
      <w:r>
        <w:rPr>
          <w:rFonts w:eastAsia="仿宋"/>
          <w:color w:val="000000"/>
          <w:sz w:val="28"/>
          <w:szCs w:val="28"/>
        </w:rPr>
        <w:fldChar w:fldCharType="end"/>
      </w:r>
      <w:r>
        <w:rPr>
          <w:rFonts w:eastAsia="仿宋"/>
          <w:color w:val="000000"/>
          <w:sz w:val="28"/>
          <w:szCs w:val="28"/>
        </w:rPr>
        <w:fldChar w:fldCharType="end"/>
      </w:r>
    </w:p>
    <w:p>
      <w:pPr>
        <w:pStyle w:val="161"/>
        <w:tabs>
          <w:tab w:val="right" w:leader="dot" w:pos="9070"/>
        </w:tabs>
        <w:spacing w:line="360" w:lineRule="auto"/>
        <w:jc w:val="both"/>
        <w:rPr>
          <w:rFonts w:eastAsia="仿宋"/>
          <w:color w:val="000000"/>
          <w:sz w:val="28"/>
          <w:szCs w:val="28"/>
        </w:rPr>
      </w:pPr>
      <w:r>
        <w:rPr>
          <w:rFonts w:eastAsia="黑体"/>
          <w:color w:val="000000"/>
          <w:sz w:val="32"/>
          <w:szCs w:val="32"/>
        </w:rPr>
        <w:fldChar w:fldCharType="begin"/>
      </w:r>
      <w:r>
        <w:rPr>
          <w:rFonts w:eastAsia="黑体"/>
          <w:color w:val="000000"/>
          <w:sz w:val="32"/>
          <w:szCs w:val="32"/>
        </w:rPr>
        <w:instrText xml:space="preserve"> HYPERLINK \l _Toc28784 </w:instrText>
      </w:r>
      <w:r>
        <w:rPr>
          <w:rFonts w:eastAsia="黑体"/>
          <w:color w:val="000000"/>
          <w:sz w:val="32"/>
          <w:szCs w:val="32"/>
        </w:rPr>
        <w:fldChar w:fldCharType="separate"/>
      </w:r>
      <w:r>
        <w:rPr>
          <w:rFonts w:eastAsia="黑体"/>
          <w:color w:val="000000"/>
          <w:sz w:val="32"/>
          <w:szCs w:val="32"/>
        </w:rPr>
        <w:t>第二卷</w:t>
      </w:r>
      <w:r>
        <w:rPr>
          <w:rFonts w:eastAsia="黑体"/>
          <w:color w:val="000000"/>
          <w:sz w:val="32"/>
          <w:szCs w:val="32"/>
        </w:rPr>
        <w:tab/>
      </w:r>
      <w:r>
        <w:rPr>
          <w:rFonts w:eastAsia="黑体"/>
          <w:color w:val="000000"/>
          <w:sz w:val="32"/>
          <w:szCs w:val="32"/>
        </w:rPr>
        <w:fldChar w:fldCharType="begin"/>
      </w:r>
      <w:r>
        <w:rPr>
          <w:rFonts w:eastAsia="黑体"/>
          <w:color w:val="000000"/>
          <w:sz w:val="32"/>
          <w:szCs w:val="32"/>
        </w:rPr>
        <w:instrText xml:space="preserve"> PAGEREF _Toc28784 \h </w:instrText>
      </w:r>
      <w:r>
        <w:rPr>
          <w:rFonts w:eastAsia="黑体"/>
          <w:color w:val="000000"/>
          <w:sz w:val="32"/>
          <w:szCs w:val="32"/>
        </w:rPr>
        <w:fldChar w:fldCharType="separate"/>
      </w:r>
      <w:r>
        <w:rPr>
          <w:rFonts w:eastAsia="黑体"/>
          <w:color w:val="000000"/>
          <w:sz w:val="32"/>
          <w:szCs w:val="32"/>
        </w:rPr>
        <w:t>272</w:t>
      </w:r>
      <w:r>
        <w:rPr>
          <w:rFonts w:eastAsia="黑体"/>
          <w:color w:val="000000"/>
          <w:sz w:val="32"/>
          <w:szCs w:val="32"/>
        </w:rPr>
        <w:fldChar w:fldCharType="end"/>
      </w:r>
      <w:r>
        <w:rPr>
          <w:rFonts w:eastAsia="黑体"/>
          <w:color w:val="000000"/>
          <w:sz w:val="32"/>
          <w:szCs w:val="32"/>
        </w:rPr>
        <w:fldChar w:fldCharType="end"/>
      </w:r>
    </w:p>
    <w:p>
      <w:pPr>
        <w:pStyle w:val="161"/>
        <w:tabs>
          <w:tab w:val="right" w:leader="dot" w:pos="9070"/>
        </w:tabs>
        <w:spacing w:line="360" w:lineRule="auto"/>
        <w:ind w:firstLine="320" w:firstLineChars="100"/>
        <w:jc w:val="both"/>
        <w:rPr>
          <w:rFonts w:eastAsia="仿宋"/>
          <w:color w:val="000000"/>
          <w:sz w:val="28"/>
          <w:szCs w:val="28"/>
        </w:rPr>
      </w:pPr>
      <w:r>
        <w:rPr>
          <w:rFonts w:eastAsia="黑体"/>
          <w:color w:val="000000"/>
          <w:sz w:val="32"/>
          <w:szCs w:val="32"/>
        </w:rPr>
        <w:fldChar w:fldCharType="begin"/>
      </w:r>
      <w:r>
        <w:rPr>
          <w:rFonts w:eastAsia="黑体"/>
          <w:color w:val="000000"/>
          <w:sz w:val="32"/>
          <w:szCs w:val="32"/>
        </w:rPr>
        <w:instrText xml:space="preserve"> HYPERLINK \l _Toc23856 </w:instrText>
      </w:r>
      <w:r>
        <w:rPr>
          <w:rFonts w:eastAsia="黑体"/>
          <w:color w:val="000000"/>
          <w:sz w:val="32"/>
          <w:szCs w:val="32"/>
        </w:rPr>
        <w:fldChar w:fldCharType="separate"/>
      </w:r>
      <w:r>
        <w:rPr>
          <w:rFonts w:eastAsia="黑体"/>
          <w:color w:val="000000"/>
          <w:sz w:val="32"/>
          <w:szCs w:val="32"/>
        </w:rPr>
        <w:t>第六章  图纸（招标图纸）</w:t>
      </w:r>
      <w:r>
        <w:rPr>
          <w:rFonts w:eastAsia="黑体"/>
          <w:color w:val="000000"/>
          <w:sz w:val="32"/>
          <w:szCs w:val="32"/>
        </w:rPr>
        <w:tab/>
      </w:r>
      <w:r>
        <w:rPr>
          <w:rFonts w:eastAsia="黑体"/>
          <w:color w:val="000000"/>
          <w:sz w:val="32"/>
          <w:szCs w:val="32"/>
        </w:rPr>
        <w:fldChar w:fldCharType="begin"/>
      </w:r>
      <w:r>
        <w:rPr>
          <w:rFonts w:eastAsia="黑体"/>
          <w:color w:val="000000"/>
          <w:sz w:val="32"/>
          <w:szCs w:val="32"/>
        </w:rPr>
        <w:instrText xml:space="preserve"> PAGEREF _Toc23856 \h </w:instrText>
      </w:r>
      <w:r>
        <w:rPr>
          <w:rFonts w:eastAsia="黑体"/>
          <w:color w:val="000000"/>
          <w:sz w:val="32"/>
          <w:szCs w:val="32"/>
        </w:rPr>
        <w:fldChar w:fldCharType="separate"/>
      </w:r>
      <w:r>
        <w:rPr>
          <w:rFonts w:eastAsia="黑体"/>
          <w:color w:val="000000"/>
          <w:sz w:val="32"/>
          <w:szCs w:val="32"/>
        </w:rPr>
        <w:t>273</w:t>
      </w:r>
      <w:r>
        <w:rPr>
          <w:rFonts w:eastAsia="黑体"/>
          <w:color w:val="000000"/>
          <w:sz w:val="32"/>
          <w:szCs w:val="32"/>
        </w:rPr>
        <w:fldChar w:fldCharType="end"/>
      </w:r>
      <w:r>
        <w:rPr>
          <w:rFonts w:eastAsia="黑体"/>
          <w:color w:val="000000"/>
          <w:sz w:val="32"/>
          <w:szCs w:val="32"/>
        </w:rPr>
        <w:fldChar w:fldCharType="end"/>
      </w:r>
    </w:p>
    <w:p>
      <w:pPr>
        <w:pStyle w:val="142"/>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_Toc32683 </w:instrText>
      </w:r>
      <w:r>
        <w:rPr>
          <w:rFonts w:eastAsia="仿宋"/>
          <w:color w:val="000000"/>
          <w:sz w:val="28"/>
          <w:szCs w:val="28"/>
        </w:rPr>
        <w:fldChar w:fldCharType="separate"/>
      </w:r>
      <w:r>
        <w:rPr>
          <w:rFonts w:eastAsia="仿宋"/>
          <w:color w:val="000000"/>
          <w:sz w:val="28"/>
          <w:szCs w:val="28"/>
        </w:rPr>
        <w:t>1．招标图纸组成</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_Toc32683 \h </w:instrText>
      </w:r>
      <w:r>
        <w:rPr>
          <w:rFonts w:eastAsia="仿宋"/>
          <w:color w:val="000000"/>
          <w:sz w:val="28"/>
          <w:szCs w:val="28"/>
        </w:rPr>
        <w:fldChar w:fldCharType="separate"/>
      </w:r>
      <w:r>
        <w:rPr>
          <w:rFonts w:eastAsia="仿宋"/>
          <w:color w:val="000000"/>
          <w:sz w:val="28"/>
          <w:szCs w:val="28"/>
        </w:rPr>
        <w:t>273</w:t>
      </w:r>
      <w:r>
        <w:rPr>
          <w:rFonts w:eastAsia="仿宋"/>
          <w:color w:val="000000"/>
          <w:sz w:val="28"/>
          <w:szCs w:val="28"/>
        </w:rPr>
        <w:fldChar w:fldCharType="end"/>
      </w:r>
      <w:r>
        <w:rPr>
          <w:rFonts w:eastAsia="仿宋"/>
          <w:color w:val="000000"/>
          <w:sz w:val="28"/>
          <w:szCs w:val="28"/>
        </w:rPr>
        <w:fldChar w:fldCharType="end"/>
      </w:r>
    </w:p>
    <w:p>
      <w:pPr>
        <w:pStyle w:val="142"/>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_Toc12561 </w:instrText>
      </w:r>
      <w:r>
        <w:rPr>
          <w:rFonts w:eastAsia="仿宋"/>
          <w:color w:val="000000"/>
          <w:sz w:val="28"/>
          <w:szCs w:val="28"/>
        </w:rPr>
        <w:fldChar w:fldCharType="separate"/>
      </w:r>
      <w:r>
        <w:rPr>
          <w:rFonts w:eastAsia="仿宋"/>
          <w:color w:val="000000"/>
          <w:sz w:val="28"/>
          <w:szCs w:val="28"/>
        </w:rPr>
        <w:t>2．招标图纸编绘</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_Toc12561 \h </w:instrText>
      </w:r>
      <w:r>
        <w:rPr>
          <w:rFonts w:eastAsia="仿宋"/>
          <w:color w:val="000000"/>
          <w:sz w:val="28"/>
          <w:szCs w:val="28"/>
        </w:rPr>
        <w:fldChar w:fldCharType="separate"/>
      </w:r>
      <w:r>
        <w:rPr>
          <w:rFonts w:eastAsia="仿宋"/>
          <w:color w:val="000000"/>
          <w:sz w:val="28"/>
          <w:szCs w:val="28"/>
        </w:rPr>
        <w:t>273</w:t>
      </w:r>
      <w:r>
        <w:rPr>
          <w:rFonts w:eastAsia="仿宋"/>
          <w:color w:val="000000"/>
          <w:sz w:val="28"/>
          <w:szCs w:val="28"/>
        </w:rPr>
        <w:fldChar w:fldCharType="end"/>
      </w:r>
      <w:r>
        <w:rPr>
          <w:rFonts w:eastAsia="仿宋"/>
          <w:color w:val="000000"/>
          <w:sz w:val="28"/>
          <w:szCs w:val="28"/>
        </w:rPr>
        <w:fldChar w:fldCharType="end"/>
      </w:r>
    </w:p>
    <w:p>
      <w:pPr>
        <w:pStyle w:val="142"/>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_Toc4496 </w:instrText>
      </w:r>
      <w:r>
        <w:rPr>
          <w:rFonts w:eastAsia="仿宋"/>
          <w:color w:val="000000"/>
          <w:sz w:val="28"/>
          <w:szCs w:val="28"/>
        </w:rPr>
        <w:fldChar w:fldCharType="separate"/>
      </w:r>
      <w:r>
        <w:rPr>
          <w:rFonts w:eastAsia="仿宋"/>
          <w:color w:val="000000"/>
          <w:sz w:val="28"/>
          <w:szCs w:val="28"/>
        </w:rPr>
        <w:t>3．招标图纸目录</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_Toc4496 \h </w:instrText>
      </w:r>
      <w:r>
        <w:rPr>
          <w:rFonts w:eastAsia="仿宋"/>
          <w:color w:val="000000"/>
          <w:sz w:val="28"/>
          <w:szCs w:val="28"/>
        </w:rPr>
        <w:fldChar w:fldCharType="separate"/>
      </w:r>
      <w:r>
        <w:rPr>
          <w:rFonts w:eastAsia="仿宋"/>
          <w:color w:val="000000"/>
          <w:sz w:val="28"/>
          <w:szCs w:val="28"/>
        </w:rPr>
        <w:t>275</w:t>
      </w:r>
      <w:r>
        <w:rPr>
          <w:rFonts w:eastAsia="仿宋"/>
          <w:color w:val="000000"/>
          <w:sz w:val="28"/>
          <w:szCs w:val="28"/>
        </w:rPr>
        <w:fldChar w:fldCharType="end"/>
      </w:r>
      <w:r>
        <w:rPr>
          <w:rFonts w:eastAsia="仿宋"/>
          <w:color w:val="000000"/>
          <w:sz w:val="28"/>
          <w:szCs w:val="28"/>
        </w:rPr>
        <w:fldChar w:fldCharType="end"/>
      </w:r>
    </w:p>
    <w:p>
      <w:pPr>
        <w:pStyle w:val="161"/>
        <w:tabs>
          <w:tab w:val="right" w:leader="dot" w:pos="9070"/>
        </w:tabs>
        <w:spacing w:line="360" w:lineRule="auto"/>
        <w:jc w:val="both"/>
        <w:rPr>
          <w:rFonts w:eastAsia="黑体"/>
          <w:color w:val="000000"/>
          <w:sz w:val="32"/>
          <w:szCs w:val="32"/>
        </w:rPr>
      </w:pPr>
      <w:r>
        <w:rPr>
          <w:rFonts w:eastAsia="黑体"/>
          <w:color w:val="000000"/>
          <w:sz w:val="32"/>
          <w:szCs w:val="32"/>
        </w:rPr>
        <w:fldChar w:fldCharType="begin"/>
      </w:r>
      <w:r>
        <w:rPr>
          <w:rFonts w:eastAsia="黑体"/>
          <w:color w:val="000000"/>
          <w:sz w:val="32"/>
          <w:szCs w:val="32"/>
        </w:rPr>
        <w:instrText xml:space="preserve"> HYPERLINK \l _Toc25710 </w:instrText>
      </w:r>
      <w:r>
        <w:rPr>
          <w:rFonts w:eastAsia="黑体"/>
          <w:color w:val="000000"/>
          <w:sz w:val="32"/>
          <w:szCs w:val="32"/>
        </w:rPr>
        <w:fldChar w:fldCharType="separate"/>
      </w:r>
      <w:r>
        <w:rPr>
          <w:rFonts w:eastAsia="黑体"/>
          <w:color w:val="000000"/>
          <w:sz w:val="32"/>
          <w:szCs w:val="32"/>
        </w:rPr>
        <w:t>第三卷</w:t>
      </w:r>
      <w:r>
        <w:rPr>
          <w:rFonts w:eastAsia="黑体"/>
          <w:color w:val="000000"/>
          <w:sz w:val="32"/>
          <w:szCs w:val="32"/>
        </w:rPr>
        <w:tab/>
      </w:r>
      <w:r>
        <w:rPr>
          <w:rFonts w:eastAsia="黑体"/>
          <w:color w:val="000000"/>
          <w:sz w:val="32"/>
          <w:szCs w:val="32"/>
        </w:rPr>
        <w:fldChar w:fldCharType="begin"/>
      </w:r>
      <w:r>
        <w:rPr>
          <w:rFonts w:eastAsia="黑体"/>
          <w:color w:val="000000"/>
          <w:sz w:val="32"/>
          <w:szCs w:val="32"/>
        </w:rPr>
        <w:instrText xml:space="preserve"> PAGEREF _Toc25710 \h </w:instrText>
      </w:r>
      <w:r>
        <w:rPr>
          <w:rFonts w:eastAsia="黑体"/>
          <w:color w:val="000000"/>
          <w:sz w:val="32"/>
          <w:szCs w:val="32"/>
        </w:rPr>
        <w:fldChar w:fldCharType="separate"/>
      </w:r>
      <w:r>
        <w:rPr>
          <w:rFonts w:eastAsia="黑体"/>
          <w:color w:val="000000"/>
          <w:sz w:val="32"/>
          <w:szCs w:val="32"/>
        </w:rPr>
        <w:t>276</w:t>
      </w:r>
      <w:r>
        <w:rPr>
          <w:rFonts w:eastAsia="黑体"/>
          <w:color w:val="000000"/>
          <w:sz w:val="32"/>
          <w:szCs w:val="32"/>
        </w:rPr>
        <w:fldChar w:fldCharType="end"/>
      </w:r>
      <w:r>
        <w:rPr>
          <w:rFonts w:eastAsia="黑体"/>
          <w:color w:val="000000"/>
          <w:sz w:val="32"/>
          <w:szCs w:val="32"/>
        </w:rPr>
        <w:fldChar w:fldCharType="end"/>
      </w:r>
    </w:p>
    <w:p>
      <w:pPr>
        <w:pStyle w:val="161"/>
        <w:tabs>
          <w:tab w:val="right" w:leader="dot" w:pos="9070"/>
        </w:tabs>
        <w:spacing w:line="360" w:lineRule="auto"/>
        <w:ind w:firstLine="320" w:firstLineChars="100"/>
        <w:jc w:val="both"/>
        <w:rPr>
          <w:rFonts w:eastAsia="仿宋"/>
          <w:color w:val="000000"/>
          <w:sz w:val="28"/>
          <w:szCs w:val="28"/>
        </w:rPr>
      </w:pPr>
      <w:r>
        <w:rPr>
          <w:rFonts w:eastAsia="黑体"/>
          <w:color w:val="000000"/>
          <w:sz w:val="32"/>
          <w:szCs w:val="32"/>
        </w:rPr>
        <w:fldChar w:fldCharType="begin"/>
      </w:r>
      <w:r>
        <w:rPr>
          <w:rFonts w:eastAsia="黑体"/>
          <w:color w:val="000000"/>
          <w:sz w:val="32"/>
          <w:szCs w:val="32"/>
        </w:rPr>
        <w:instrText xml:space="preserve"> HYPERLINK \l _Toc22387 </w:instrText>
      </w:r>
      <w:r>
        <w:rPr>
          <w:rFonts w:eastAsia="黑体"/>
          <w:color w:val="000000"/>
          <w:sz w:val="32"/>
          <w:szCs w:val="32"/>
        </w:rPr>
        <w:fldChar w:fldCharType="separate"/>
      </w:r>
      <w:r>
        <w:rPr>
          <w:rFonts w:eastAsia="黑体"/>
          <w:color w:val="000000"/>
          <w:sz w:val="32"/>
          <w:szCs w:val="32"/>
        </w:rPr>
        <w:t>第七章  技术标准和要求（合同技术条款）</w:t>
      </w:r>
      <w:r>
        <w:rPr>
          <w:rFonts w:eastAsia="黑体"/>
          <w:color w:val="000000"/>
          <w:sz w:val="32"/>
          <w:szCs w:val="32"/>
        </w:rPr>
        <w:tab/>
      </w:r>
      <w:r>
        <w:rPr>
          <w:rFonts w:eastAsia="黑体"/>
          <w:color w:val="000000"/>
          <w:sz w:val="32"/>
          <w:szCs w:val="32"/>
        </w:rPr>
        <w:fldChar w:fldCharType="begin"/>
      </w:r>
      <w:r>
        <w:rPr>
          <w:rFonts w:eastAsia="黑体"/>
          <w:color w:val="000000"/>
          <w:sz w:val="32"/>
          <w:szCs w:val="32"/>
        </w:rPr>
        <w:instrText xml:space="preserve"> PAGEREF _Toc22387 \h </w:instrText>
      </w:r>
      <w:r>
        <w:rPr>
          <w:rFonts w:eastAsia="黑体"/>
          <w:color w:val="000000"/>
          <w:sz w:val="32"/>
          <w:szCs w:val="32"/>
        </w:rPr>
        <w:fldChar w:fldCharType="separate"/>
      </w:r>
      <w:r>
        <w:rPr>
          <w:rFonts w:eastAsia="黑体"/>
          <w:color w:val="000000"/>
          <w:sz w:val="32"/>
          <w:szCs w:val="32"/>
        </w:rPr>
        <w:t>277</w:t>
      </w:r>
      <w:r>
        <w:rPr>
          <w:rFonts w:eastAsia="黑体"/>
          <w:color w:val="000000"/>
          <w:sz w:val="32"/>
          <w:szCs w:val="32"/>
        </w:rPr>
        <w:fldChar w:fldCharType="end"/>
      </w:r>
      <w:r>
        <w:rPr>
          <w:rFonts w:eastAsia="黑体"/>
          <w:color w:val="000000"/>
          <w:sz w:val="32"/>
          <w:szCs w:val="32"/>
        </w:rPr>
        <w:fldChar w:fldCharType="end"/>
      </w:r>
    </w:p>
    <w:p>
      <w:pPr>
        <w:pStyle w:val="142"/>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_Toc8562 </w:instrText>
      </w:r>
      <w:r>
        <w:rPr>
          <w:rFonts w:eastAsia="仿宋"/>
          <w:color w:val="000000"/>
          <w:sz w:val="28"/>
          <w:szCs w:val="28"/>
        </w:rPr>
        <w:fldChar w:fldCharType="separate"/>
      </w:r>
      <w:r>
        <w:rPr>
          <w:rFonts w:eastAsia="仿宋"/>
          <w:color w:val="000000"/>
          <w:sz w:val="28"/>
          <w:szCs w:val="28"/>
        </w:rPr>
        <w:t>1．工程说明</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_Toc8562 \h </w:instrText>
      </w:r>
      <w:r>
        <w:rPr>
          <w:rFonts w:eastAsia="仿宋"/>
          <w:color w:val="000000"/>
          <w:sz w:val="28"/>
          <w:szCs w:val="28"/>
        </w:rPr>
        <w:fldChar w:fldCharType="separate"/>
      </w:r>
      <w:r>
        <w:rPr>
          <w:rFonts w:eastAsia="仿宋"/>
          <w:color w:val="000000"/>
          <w:sz w:val="28"/>
          <w:szCs w:val="28"/>
        </w:rPr>
        <w:t>277</w:t>
      </w:r>
      <w:r>
        <w:rPr>
          <w:rFonts w:eastAsia="仿宋"/>
          <w:color w:val="000000"/>
          <w:sz w:val="28"/>
          <w:szCs w:val="28"/>
        </w:rPr>
        <w:fldChar w:fldCharType="end"/>
      </w:r>
      <w:r>
        <w:rPr>
          <w:rFonts w:eastAsia="仿宋"/>
          <w:color w:val="000000"/>
          <w:sz w:val="28"/>
          <w:szCs w:val="28"/>
        </w:rPr>
        <w:fldChar w:fldCharType="end"/>
      </w:r>
    </w:p>
    <w:p>
      <w:pPr>
        <w:pStyle w:val="142"/>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_Toc23915 </w:instrText>
      </w:r>
      <w:r>
        <w:rPr>
          <w:rFonts w:eastAsia="仿宋"/>
          <w:color w:val="000000"/>
          <w:sz w:val="28"/>
          <w:szCs w:val="28"/>
        </w:rPr>
        <w:fldChar w:fldCharType="separate"/>
      </w:r>
      <w:r>
        <w:rPr>
          <w:rFonts w:eastAsia="仿宋"/>
          <w:color w:val="000000"/>
          <w:sz w:val="28"/>
          <w:szCs w:val="28"/>
        </w:rPr>
        <w:t>2．质量要求</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_Toc23915 \h </w:instrText>
      </w:r>
      <w:r>
        <w:rPr>
          <w:rFonts w:eastAsia="仿宋"/>
          <w:color w:val="000000"/>
          <w:sz w:val="28"/>
          <w:szCs w:val="28"/>
        </w:rPr>
        <w:fldChar w:fldCharType="separate"/>
      </w:r>
      <w:r>
        <w:rPr>
          <w:rFonts w:eastAsia="仿宋"/>
          <w:color w:val="000000"/>
          <w:sz w:val="28"/>
          <w:szCs w:val="28"/>
        </w:rPr>
        <w:t>277</w:t>
      </w:r>
      <w:r>
        <w:rPr>
          <w:rFonts w:eastAsia="仿宋"/>
          <w:color w:val="000000"/>
          <w:sz w:val="28"/>
          <w:szCs w:val="28"/>
        </w:rPr>
        <w:fldChar w:fldCharType="end"/>
      </w:r>
      <w:r>
        <w:rPr>
          <w:rFonts w:eastAsia="仿宋"/>
          <w:color w:val="000000"/>
          <w:sz w:val="28"/>
          <w:szCs w:val="28"/>
        </w:rPr>
        <w:fldChar w:fldCharType="end"/>
      </w:r>
    </w:p>
    <w:p>
      <w:pPr>
        <w:pStyle w:val="142"/>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_Toc29545 </w:instrText>
      </w:r>
      <w:r>
        <w:rPr>
          <w:rFonts w:eastAsia="仿宋"/>
          <w:color w:val="000000"/>
          <w:sz w:val="28"/>
          <w:szCs w:val="28"/>
        </w:rPr>
        <w:fldChar w:fldCharType="separate"/>
      </w:r>
      <w:r>
        <w:rPr>
          <w:rFonts w:eastAsia="仿宋"/>
          <w:color w:val="000000"/>
          <w:sz w:val="28"/>
          <w:szCs w:val="28"/>
        </w:rPr>
        <w:t>3．适用规范和标准</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_Toc29545 \h </w:instrText>
      </w:r>
      <w:r>
        <w:rPr>
          <w:rFonts w:eastAsia="仿宋"/>
          <w:color w:val="000000"/>
          <w:sz w:val="28"/>
          <w:szCs w:val="28"/>
        </w:rPr>
        <w:fldChar w:fldCharType="separate"/>
      </w:r>
      <w:r>
        <w:rPr>
          <w:rFonts w:eastAsia="仿宋"/>
          <w:color w:val="000000"/>
          <w:sz w:val="28"/>
          <w:szCs w:val="28"/>
        </w:rPr>
        <w:t>277</w:t>
      </w:r>
      <w:r>
        <w:rPr>
          <w:rFonts w:eastAsia="仿宋"/>
          <w:color w:val="000000"/>
          <w:sz w:val="28"/>
          <w:szCs w:val="28"/>
        </w:rPr>
        <w:fldChar w:fldCharType="end"/>
      </w:r>
      <w:r>
        <w:rPr>
          <w:rFonts w:eastAsia="仿宋"/>
          <w:color w:val="000000"/>
          <w:sz w:val="28"/>
          <w:szCs w:val="28"/>
        </w:rPr>
        <w:fldChar w:fldCharType="end"/>
      </w:r>
    </w:p>
    <w:p>
      <w:pPr>
        <w:pStyle w:val="142"/>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_Toc5338 </w:instrText>
      </w:r>
      <w:r>
        <w:rPr>
          <w:rFonts w:eastAsia="仿宋"/>
          <w:color w:val="000000"/>
          <w:sz w:val="28"/>
          <w:szCs w:val="28"/>
        </w:rPr>
        <w:fldChar w:fldCharType="separate"/>
      </w:r>
      <w:r>
        <w:rPr>
          <w:rFonts w:hint="eastAsia" w:eastAsia="仿宋"/>
          <w:color w:val="000000"/>
          <w:sz w:val="28"/>
          <w:szCs w:val="28"/>
        </w:rPr>
        <w:t>4</w:t>
      </w:r>
      <w:r>
        <w:rPr>
          <w:rFonts w:eastAsia="仿宋"/>
          <w:color w:val="000000"/>
          <w:sz w:val="28"/>
          <w:szCs w:val="28"/>
        </w:rPr>
        <w:t>．施工工艺的特殊要求</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_Toc5338 \h </w:instrText>
      </w:r>
      <w:r>
        <w:rPr>
          <w:rFonts w:eastAsia="仿宋"/>
          <w:color w:val="000000"/>
          <w:sz w:val="28"/>
          <w:szCs w:val="28"/>
        </w:rPr>
        <w:fldChar w:fldCharType="separate"/>
      </w:r>
      <w:r>
        <w:rPr>
          <w:rFonts w:eastAsia="仿宋"/>
          <w:color w:val="000000"/>
          <w:sz w:val="28"/>
          <w:szCs w:val="28"/>
        </w:rPr>
        <w:t>277</w:t>
      </w:r>
      <w:r>
        <w:rPr>
          <w:rFonts w:eastAsia="仿宋"/>
          <w:color w:val="000000"/>
          <w:sz w:val="28"/>
          <w:szCs w:val="28"/>
        </w:rPr>
        <w:fldChar w:fldCharType="end"/>
      </w:r>
      <w:r>
        <w:rPr>
          <w:rFonts w:eastAsia="仿宋"/>
          <w:color w:val="000000"/>
          <w:sz w:val="28"/>
          <w:szCs w:val="28"/>
        </w:rPr>
        <w:fldChar w:fldCharType="end"/>
      </w:r>
    </w:p>
    <w:p>
      <w:pPr>
        <w:pStyle w:val="161"/>
        <w:tabs>
          <w:tab w:val="right" w:leader="dot" w:pos="9070"/>
        </w:tabs>
        <w:spacing w:line="360" w:lineRule="auto"/>
        <w:jc w:val="both"/>
        <w:rPr>
          <w:rFonts w:eastAsia="仿宋"/>
          <w:color w:val="000000"/>
          <w:sz w:val="28"/>
          <w:szCs w:val="28"/>
        </w:rPr>
      </w:pPr>
      <w:r>
        <w:rPr>
          <w:rFonts w:eastAsia="黑体"/>
          <w:color w:val="000000"/>
          <w:sz w:val="32"/>
          <w:szCs w:val="32"/>
        </w:rPr>
        <w:fldChar w:fldCharType="begin"/>
      </w:r>
      <w:r>
        <w:rPr>
          <w:rFonts w:eastAsia="黑体"/>
          <w:color w:val="000000"/>
          <w:sz w:val="32"/>
          <w:szCs w:val="32"/>
        </w:rPr>
        <w:instrText xml:space="preserve"> HYPERLINK \l _Toc29903 </w:instrText>
      </w:r>
      <w:r>
        <w:rPr>
          <w:rFonts w:eastAsia="黑体"/>
          <w:color w:val="000000"/>
          <w:sz w:val="32"/>
          <w:szCs w:val="32"/>
        </w:rPr>
        <w:fldChar w:fldCharType="separate"/>
      </w:r>
      <w:r>
        <w:rPr>
          <w:rFonts w:eastAsia="黑体"/>
          <w:color w:val="000000"/>
          <w:sz w:val="32"/>
          <w:szCs w:val="32"/>
        </w:rPr>
        <w:t>第四卷</w:t>
      </w:r>
      <w:r>
        <w:rPr>
          <w:rFonts w:eastAsia="黑体"/>
          <w:color w:val="000000"/>
          <w:sz w:val="32"/>
          <w:szCs w:val="32"/>
        </w:rPr>
        <w:tab/>
      </w:r>
      <w:r>
        <w:rPr>
          <w:rFonts w:eastAsia="黑体"/>
          <w:color w:val="000000"/>
          <w:sz w:val="32"/>
          <w:szCs w:val="32"/>
        </w:rPr>
        <w:fldChar w:fldCharType="begin"/>
      </w:r>
      <w:r>
        <w:rPr>
          <w:rFonts w:eastAsia="黑体"/>
          <w:color w:val="000000"/>
          <w:sz w:val="32"/>
          <w:szCs w:val="32"/>
        </w:rPr>
        <w:instrText xml:space="preserve"> PAGEREF _Toc29903 \h </w:instrText>
      </w:r>
      <w:r>
        <w:rPr>
          <w:rFonts w:eastAsia="黑体"/>
          <w:color w:val="000000"/>
          <w:sz w:val="32"/>
          <w:szCs w:val="32"/>
        </w:rPr>
        <w:fldChar w:fldCharType="separate"/>
      </w:r>
      <w:r>
        <w:rPr>
          <w:rFonts w:eastAsia="黑体"/>
          <w:color w:val="000000"/>
          <w:sz w:val="32"/>
          <w:szCs w:val="32"/>
        </w:rPr>
        <w:t>279</w:t>
      </w:r>
      <w:r>
        <w:rPr>
          <w:rFonts w:eastAsia="黑体"/>
          <w:color w:val="000000"/>
          <w:sz w:val="32"/>
          <w:szCs w:val="32"/>
        </w:rPr>
        <w:fldChar w:fldCharType="end"/>
      </w:r>
      <w:r>
        <w:rPr>
          <w:rFonts w:eastAsia="黑体"/>
          <w:color w:val="000000"/>
          <w:sz w:val="32"/>
          <w:szCs w:val="32"/>
        </w:rPr>
        <w:fldChar w:fldCharType="end"/>
      </w:r>
    </w:p>
    <w:p>
      <w:pPr>
        <w:pStyle w:val="161"/>
        <w:tabs>
          <w:tab w:val="right" w:leader="dot" w:pos="9070"/>
        </w:tabs>
        <w:spacing w:line="360" w:lineRule="auto"/>
        <w:ind w:firstLine="320" w:firstLineChars="100"/>
        <w:jc w:val="both"/>
        <w:rPr>
          <w:rFonts w:eastAsia="仿宋"/>
          <w:color w:val="000000"/>
          <w:sz w:val="28"/>
          <w:szCs w:val="28"/>
        </w:rPr>
      </w:pPr>
      <w:r>
        <w:rPr>
          <w:rFonts w:eastAsia="黑体"/>
          <w:color w:val="000000"/>
          <w:sz w:val="32"/>
          <w:szCs w:val="32"/>
        </w:rPr>
        <w:fldChar w:fldCharType="begin"/>
      </w:r>
      <w:r>
        <w:rPr>
          <w:rFonts w:eastAsia="黑体"/>
          <w:color w:val="000000"/>
          <w:sz w:val="32"/>
          <w:szCs w:val="32"/>
        </w:rPr>
        <w:instrText xml:space="preserve"> HYPERLINK \l _Toc24405 </w:instrText>
      </w:r>
      <w:r>
        <w:rPr>
          <w:rFonts w:eastAsia="黑体"/>
          <w:color w:val="000000"/>
          <w:sz w:val="32"/>
          <w:szCs w:val="32"/>
        </w:rPr>
        <w:fldChar w:fldCharType="separate"/>
      </w:r>
      <w:r>
        <w:rPr>
          <w:rFonts w:eastAsia="黑体"/>
          <w:color w:val="000000"/>
          <w:sz w:val="32"/>
          <w:szCs w:val="32"/>
        </w:rPr>
        <w:t>第八章  投标文件格式</w:t>
      </w:r>
      <w:r>
        <w:rPr>
          <w:rFonts w:eastAsia="黑体"/>
          <w:color w:val="000000"/>
          <w:sz w:val="32"/>
          <w:szCs w:val="32"/>
        </w:rPr>
        <w:tab/>
      </w:r>
      <w:r>
        <w:rPr>
          <w:rFonts w:eastAsia="黑体"/>
          <w:color w:val="000000"/>
          <w:sz w:val="32"/>
          <w:szCs w:val="32"/>
        </w:rPr>
        <w:fldChar w:fldCharType="begin"/>
      </w:r>
      <w:r>
        <w:rPr>
          <w:rFonts w:eastAsia="黑体"/>
          <w:color w:val="000000"/>
          <w:sz w:val="32"/>
          <w:szCs w:val="32"/>
        </w:rPr>
        <w:instrText xml:space="preserve"> PAGEREF _Toc24405 \h </w:instrText>
      </w:r>
      <w:r>
        <w:rPr>
          <w:rFonts w:eastAsia="黑体"/>
          <w:color w:val="000000"/>
          <w:sz w:val="32"/>
          <w:szCs w:val="32"/>
        </w:rPr>
        <w:fldChar w:fldCharType="separate"/>
      </w:r>
      <w:r>
        <w:rPr>
          <w:rFonts w:eastAsia="黑体"/>
          <w:color w:val="000000"/>
          <w:sz w:val="32"/>
          <w:szCs w:val="32"/>
        </w:rPr>
        <w:t>280</w:t>
      </w:r>
      <w:r>
        <w:rPr>
          <w:rFonts w:eastAsia="黑体"/>
          <w:color w:val="000000"/>
          <w:sz w:val="32"/>
          <w:szCs w:val="32"/>
        </w:rPr>
        <w:fldChar w:fldCharType="end"/>
      </w:r>
      <w:r>
        <w:rPr>
          <w:rFonts w:eastAsia="黑体"/>
          <w:color w:val="000000"/>
          <w:sz w:val="32"/>
          <w:szCs w:val="32"/>
        </w:rPr>
        <w:fldChar w:fldCharType="end"/>
      </w:r>
    </w:p>
    <w:p>
      <w:pPr>
        <w:pStyle w:val="142"/>
        <w:tabs>
          <w:tab w:val="right" w:leader="dot" w:pos="9070"/>
        </w:tabs>
        <w:spacing w:line="360" w:lineRule="auto"/>
        <w:ind w:left="0" w:leftChars="0" w:firstLine="562" w:firstLineChars="200"/>
        <w:jc w:val="both"/>
        <w:rPr>
          <w:rFonts w:eastAsia="仿宋"/>
          <w:color w:val="000000"/>
          <w:sz w:val="28"/>
          <w:szCs w:val="28"/>
        </w:rPr>
      </w:pPr>
      <w:r>
        <w:rPr>
          <w:rFonts w:eastAsia="仿宋"/>
          <w:b/>
          <w:bCs/>
          <w:color w:val="000000"/>
          <w:sz w:val="28"/>
          <w:szCs w:val="28"/>
        </w:rPr>
        <w:fldChar w:fldCharType="begin"/>
      </w:r>
      <w:r>
        <w:rPr>
          <w:rFonts w:eastAsia="仿宋"/>
          <w:b/>
          <w:bCs/>
          <w:color w:val="000000"/>
          <w:sz w:val="28"/>
          <w:szCs w:val="28"/>
        </w:rPr>
        <w:instrText xml:space="preserve"> HYPERLINK \l _Toc18308 </w:instrText>
      </w:r>
      <w:r>
        <w:rPr>
          <w:rFonts w:eastAsia="仿宋"/>
          <w:b/>
          <w:bCs/>
          <w:color w:val="000000"/>
          <w:sz w:val="28"/>
          <w:szCs w:val="28"/>
        </w:rPr>
        <w:fldChar w:fldCharType="separate"/>
      </w:r>
      <w:r>
        <w:rPr>
          <w:rFonts w:eastAsia="仿宋"/>
          <w:b/>
          <w:bCs/>
          <w:color w:val="000000"/>
          <w:sz w:val="28"/>
          <w:szCs w:val="28"/>
        </w:rPr>
        <w:t>第一部分  商务投标文件格式</w:t>
      </w:r>
      <w:r>
        <w:rPr>
          <w:rFonts w:eastAsia="仿宋"/>
          <w:b/>
          <w:bCs/>
          <w:color w:val="000000"/>
          <w:sz w:val="28"/>
          <w:szCs w:val="28"/>
        </w:rPr>
        <w:tab/>
      </w:r>
      <w:r>
        <w:rPr>
          <w:rFonts w:eastAsia="仿宋"/>
          <w:b/>
          <w:bCs/>
          <w:color w:val="000000"/>
          <w:sz w:val="28"/>
          <w:szCs w:val="28"/>
        </w:rPr>
        <w:fldChar w:fldCharType="begin"/>
      </w:r>
      <w:r>
        <w:rPr>
          <w:rFonts w:eastAsia="仿宋"/>
          <w:b/>
          <w:bCs/>
          <w:color w:val="000000"/>
          <w:sz w:val="28"/>
          <w:szCs w:val="28"/>
        </w:rPr>
        <w:instrText xml:space="preserve"> PAGEREF _Toc18308 \h </w:instrText>
      </w:r>
      <w:r>
        <w:rPr>
          <w:rFonts w:eastAsia="仿宋"/>
          <w:b/>
          <w:bCs/>
          <w:color w:val="000000"/>
          <w:sz w:val="28"/>
          <w:szCs w:val="28"/>
        </w:rPr>
        <w:fldChar w:fldCharType="separate"/>
      </w:r>
      <w:r>
        <w:rPr>
          <w:rFonts w:eastAsia="仿宋"/>
          <w:b/>
          <w:bCs/>
          <w:color w:val="000000"/>
          <w:sz w:val="28"/>
          <w:szCs w:val="28"/>
        </w:rPr>
        <w:t>281</w:t>
      </w:r>
      <w:r>
        <w:rPr>
          <w:rFonts w:eastAsia="仿宋"/>
          <w:b/>
          <w:bCs/>
          <w:color w:val="000000"/>
          <w:sz w:val="28"/>
          <w:szCs w:val="28"/>
        </w:rPr>
        <w:fldChar w:fldCharType="end"/>
      </w:r>
      <w:r>
        <w:rPr>
          <w:rFonts w:eastAsia="仿宋"/>
          <w:b/>
          <w:bCs/>
          <w:color w:val="000000"/>
          <w:sz w:val="28"/>
          <w:szCs w:val="28"/>
        </w:rPr>
        <w:fldChar w:fldCharType="end"/>
      </w:r>
    </w:p>
    <w:p>
      <w:pPr>
        <w:pStyle w:val="143"/>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_Toc740 </w:instrText>
      </w:r>
      <w:r>
        <w:rPr>
          <w:rFonts w:eastAsia="仿宋"/>
          <w:color w:val="000000"/>
          <w:sz w:val="28"/>
          <w:szCs w:val="28"/>
        </w:rPr>
        <w:fldChar w:fldCharType="separate"/>
      </w:r>
      <w:r>
        <w:rPr>
          <w:rFonts w:eastAsia="仿宋"/>
          <w:color w:val="000000"/>
          <w:sz w:val="28"/>
          <w:szCs w:val="28"/>
        </w:rPr>
        <w:t>目    录</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_Toc740 \h </w:instrText>
      </w:r>
      <w:r>
        <w:rPr>
          <w:rFonts w:eastAsia="仿宋"/>
          <w:color w:val="000000"/>
          <w:sz w:val="28"/>
          <w:szCs w:val="28"/>
        </w:rPr>
        <w:fldChar w:fldCharType="separate"/>
      </w:r>
      <w:r>
        <w:rPr>
          <w:rFonts w:eastAsia="仿宋"/>
          <w:color w:val="000000"/>
          <w:sz w:val="28"/>
          <w:szCs w:val="28"/>
        </w:rPr>
        <w:t>282</w:t>
      </w:r>
      <w:r>
        <w:rPr>
          <w:rFonts w:eastAsia="仿宋"/>
          <w:color w:val="000000"/>
          <w:sz w:val="28"/>
          <w:szCs w:val="28"/>
        </w:rPr>
        <w:fldChar w:fldCharType="end"/>
      </w:r>
      <w:r>
        <w:rPr>
          <w:rFonts w:eastAsia="仿宋"/>
          <w:color w:val="000000"/>
          <w:sz w:val="28"/>
          <w:szCs w:val="28"/>
        </w:rPr>
        <w:fldChar w:fldCharType="end"/>
      </w:r>
    </w:p>
    <w:p>
      <w:pPr>
        <w:pStyle w:val="161"/>
        <w:tabs>
          <w:tab w:val="right" w:leader="dot" w:pos="9070"/>
        </w:tabs>
        <w:spacing w:line="360" w:lineRule="auto"/>
        <w:ind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_Toc23438 </w:instrText>
      </w:r>
      <w:r>
        <w:rPr>
          <w:rFonts w:eastAsia="仿宋"/>
          <w:color w:val="000000"/>
          <w:sz w:val="28"/>
          <w:szCs w:val="28"/>
        </w:rPr>
        <w:fldChar w:fldCharType="separate"/>
      </w:r>
      <w:r>
        <w:rPr>
          <w:rFonts w:eastAsia="仿宋"/>
          <w:bCs/>
          <w:color w:val="000000"/>
          <w:sz w:val="28"/>
          <w:szCs w:val="28"/>
        </w:rPr>
        <w:t>一</w:t>
      </w:r>
      <w:r>
        <w:rPr>
          <w:rFonts w:hint="eastAsia" w:eastAsia="仿宋"/>
          <w:color w:val="000000"/>
          <w:sz w:val="28"/>
          <w:szCs w:val="28"/>
        </w:rPr>
        <w:t>、</w:t>
      </w:r>
      <w:r>
        <w:rPr>
          <w:rFonts w:eastAsia="仿宋"/>
          <w:bCs/>
          <w:color w:val="000000"/>
          <w:sz w:val="28"/>
          <w:szCs w:val="28"/>
        </w:rPr>
        <w:t>投标函及投标函附录</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_Toc23438 \h </w:instrText>
      </w:r>
      <w:r>
        <w:rPr>
          <w:rFonts w:eastAsia="仿宋"/>
          <w:color w:val="000000"/>
          <w:sz w:val="28"/>
          <w:szCs w:val="28"/>
        </w:rPr>
        <w:fldChar w:fldCharType="separate"/>
      </w:r>
      <w:r>
        <w:rPr>
          <w:rFonts w:eastAsia="仿宋"/>
          <w:color w:val="000000"/>
          <w:sz w:val="28"/>
          <w:szCs w:val="28"/>
        </w:rPr>
        <w:t>283</w:t>
      </w:r>
      <w:r>
        <w:rPr>
          <w:rFonts w:eastAsia="仿宋"/>
          <w:color w:val="000000"/>
          <w:sz w:val="28"/>
          <w:szCs w:val="28"/>
        </w:rPr>
        <w:fldChar w:fldCharType="end"/>
      </w:r>
      <w:r>
        <w:rPr>
          <w:rFonts w:eastAsia="仿宋"/>
          <w:color w:val="000000"/>
          <w:sz w:val="28"/>
          <w:szCs w:val="28"/>
        </w:rPr>
        <w:fldChar w:fldCharType="end"/>
      </w:r>
    </w:p>
    <w:p>
      <w:pPr>
        <w:pStyle w:val="142"/>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_Toc4442 </w:instrText>
      </w:r>
      <w:r>
        <w:rPr>
          <w:rFonts w:eastAsia="仿宋"/>
          <w:color w:val="000000"/>
          <w:sz w:val="28"/>
          <w:szCs w:val="28"/>
        </w:rPr>
        <w:fldChar w:fldCharType="separate"/>
      </w:r>
      <w:r>
        <w:rPr>
          <w:rFonts w:eastAsia="仿宋"/>
          <w:color w:val="000000"/>
          <w:sz w:val="28"/>
          <w:szCs w:val="28"/>
        </w:rPr>
        <w:t>（一）投标函</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_Toc4442 \h </w:instrText>
      </w:r>
      <w:r>
        <w:rPr>
          <w:rFonts w:eastAsia="仿宋"/>
          <w:color w:val="000000"/>
          <w:sz w:val="28"/>
          <w:szCs w:val="28"/>
        </w:rPr>
        <w:fldChar w:fldCharType="separate"/>
      </w:r>
      <w:r>
        <w:rPr>
          <w:rFonts w:eastAsia="仿宋"/>
          <w:color w:val="000000"/>
          <w:sz w:val="28"/>
          <w:szCs w:val="28"/>
        </w:rPr>
        <w:t>283</w:t>
      </w:r>
      <w:r>
        <w:rPr>
          <w:rFonts w:eastAsia="仿宋"/>
          <w:color w:val="000000"/>
          <w:sz w:val="28"/>
          <w:szCs w:val="28"/>
        </w:rPr>
        <w:fldChar w:fldCharType="end"/>
      </w:r>
      <w:r>
        <w:rPr>
          <w:rFonts w:eastAsia="仿宋"/>
          <w:color w:val="000000"/>
          <w:sz w:val="28"/>
          <w:szCs w:val="28"/>
        </w:rPr>
        <w:fldChar w:fldCharType="end"/>
      </w:r>
    </w:p>
    <w:p>
      <w:pPr>
        <w:pStyle w:val="142"/>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_Toc32479 </w:instrText>
      </w:r>
      <w:r>
        <w:rPr>
          <w:rFonts w:eastAsia="仿宋"/>
          <w:color w:val="000000"/>
          <w:sz w:val="28"/>
          <w:szCs w:val="28"/>
        </w:rPr>
        <w:fldChar w:fldCharType="separate"/>
      </w:r>
      <w:r>
        <w:rPr>
          <w:rFonts w:eastAsia="仿宋"/>
          <w:color w:val="000000"/>
          <w:sz w:val="28"/>
          <w:szCs w:val="28"/>
        </w:rPr>
        <w:t>（二）投标函附录</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_Toc32479 \h </w:instrText>
      </w:r>
      <w:r>
        <w:rPr>
          <w:rFonts w:eastAsia="仿宋"/>
          <w:color w:val="000000"/>
          <w:sz w:val="28"/>
          <w:szCs w:val="28"/>
        </w:rPr>
        <w:fldChar w:fldCharType="separate"/>
      </w:r>
      <w:r>
        <w:rPr>
          <w:rFonts w:eastAsia="仿宋"/>
          <w:color w:val="000000"/>
          <w:sz w:val="28"/>
          <w:szCs w:val="28"/>
        </w:rPr>
        <w:t>286</w:t>
      </w:r>
      <w:r>
        <w:rPr>
          <w:rFonts w:eastAsia="仿宋"/>
          <w:color w:val="000000"/>
          <w:sz w:val="28"/>
          <w:szCs w:val="28"/>
        </w:rPr>
        <w:fldChar w:fldCharType="end"/>
      </w:r>
      <w:r>
        <w:rPr>
          <w:rFonts w:eastAsia="仿宋"/>
          <w:color w:val="000000"/>
          <w:sz w:val="28"/>
          <w:szCs w:val="28"/>
        </w:rPr>
        <w:fldChar w:fldCharType="end"/>
      </w:r>
    </w:p>
    <w:p>
      <w:pPr>
        <w:pStyle w:val="161"/>
        <w:tabs>
          <w:tab w:val="right" w:leader="dot" w:pos="9070"/>
        </w:tabs>
        <w:spacing w:line="360" w:lineRule="auto"/>
        <w:ind w:firstLine="560" w:firstLineChars="200"/>
        <w:jc w:val="both"/>
        <w:rPr>
          <w:rFonts w:eastAsia="仿宋"/>
          <w:color w:val="000000"/>
          <w:sz w:val="28"/>
          <w:szCs w:val="28"/>
        </w:rPr>
        <w:sectPr>
          <w:footerReference r:id="rId14" w:type="default"/>
          <w:pgSz w:w="11906" w:h="16838"/>
          <w:pgMar w:top="1701" w:right="1361" w:bottom="1701" w:left="1474" w:header="1021" w:footer="1021" w:gutter="0"/>
          <w:pgNumType w:start="1"/>
          <w:cols w:space="720" w:num="1"/>
          <w:docGrid w:linePitch="312" w:charSpace="0"/>
        </w:sectPr>
      </w:pPr>
    </w:p>
    <w:p>
      <w:pPr>
        <w:pStyle w:val="161"/>
        <w:tabs>
          <w:tab w:val="right" w:leader="dot" w:pos="9070"/>
        </w:tabs>
        <w:spacing w:line="360" w:lineRule="auto"/>
        <w:ind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_Toc13319 </w:instrText>
      </w:r>
      <w:r>
        <w:rPr>
          <w:rFonts w:eastAsia="仿宋"/>
          <w:color w:val="000000"/>
          <w:sz w:val="28"/>
          <w:szCs w:val="28"/>
        </w:rPr>
        <w:fldChar w:fldCharType="separate"/>
      </w:r>
      <w:r>
        <w:rPr>
          <w:rFonts w:eastAsia="仿宋"/>
          <w:bCs/>
          <w:color w:val="000000"/>
          <w:sz w:val="28"/>
          <w:szCs w:val="28"/>
        </w:rPr>
        <w:t>二</w:t>
      </w:r>
      <w:r>
        <w:rPr>
          <w:rFonts w:hint="eastAsia" w:eastAsia="仿宋"/>
          <w:color w:val="000000"/>
          <w:sz w:val="28"/>
          <w:szCs w:val="28"/>
        </w:rPr>
        <w:t>、</w:t>
      </w:r>
      <w:r>
        <w:rPr>
          <w:rFonts w:eastAsia="仿宋"/>
          <w:bCs/>
          <w:color w:val="000000"/>
          <w:sz w:val="28"/>
          <w:szCs w:val="28"/>
        </w:rPr>
        <w:t>法定代表人身份证明</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_Toc13319 \h </w:instrText>
      </w:r>
      <w:r>
        <w:rPr>
          <w:rFonts w:eastAsia="仿宋"/>
          <w:color w:val="000000"/>
          <w:sz w:val="28"/>
          <w:szCs w:val="28"/>
        </w:rPr>
        <w:fldChar w:fldCharType="separate"/>
      </w:r>
      <w:r>
        <w:rPr>
          <w:rFonts w:eastAsia="仿宋"/>
          <w:color w:val="000000"/>
          <w:sz w:val="28"/>
          <w:szCs w:val="28"/>
        </w:rPr>
        <w:t>287</w:t>
      </w:r>
      <w:r>
        <w:rPr>
          <w:rFonts w:eastAsia="仿宋"/>
          <w:color w:val="000000"/>
          <w:sz w:val="28"/>
          <w:szCs w:val="28"/>
        </w:rPr>
        <w:fldChar w:fldCharType="end"/>
      </w:r>
      <w:r>
        <w:rPr>
          <w:rFonts w:eastAsia="仿宋"/>
          <w:color w:val="000000"/>
          <w:sz w:val="28"/>
          <w:szCs w:val="28"/>
        </w:rPr>
        <w:fldChar w:fldCharType="end"/>
      </w:r>
    </w:p>
    <w:p>
      <w:pPr>
        <w:pStyle w:val="161"/>
        <w:tabs>
          <w:tab w:val="right" w:leader="dot" w:pos="9070"/>
        </w:tabs>
        <w:spacing w:line="360" w:lineRule="auto"/>
        <w:ind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_Toc23573 </w:instrText>
      </w:r>
      <w:r>
        <w:rPr>
          <w:rFonts w:eastAsia="仿宋"/>
          <w:color w:val="000000"/>
          <w:sz w:val="28"/>
          <w:szCs w:val="28"/>
        </w:rPr>
        <w:fldChar w:fldCharType="separate"/>
      </w:r>
      <w:r>
        <w:rPr>
          <w:rFonts w:eastAsia="仿宋"/>
          <w:bCs/>
          <w:color w:val="000000"/>
          <w:sz w:val="28"/>
          <w:szCs w:val="28"/>
        </w:rPr>
        <w:t>三</w:t>
      </w:r>
      <w:r>
        <w:rPr>
          <w:rFonts w:hint="eastAsia" w:eastAsia="仿宋"/>
          <w:color w:val="000000"/>
          <w:sz w:val="28"/>
          <w:szCs w:val="28"/>
        </w:rPr>
        <w:t>、</w:t>
      </w:r>
      <w:r>
        <w:rPr>
          <w:rFonts w:eastAsia="仿宋"/>
          <w:bCs/>
          <w:color w:val="000000"/>
          <w:sz w:val="28"/>
          <w:szCs w:val="28"/>
        </w:rPr>
        <w:t>授权委托书（委托代理人）</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_Toc23573 \h </w:instrText>
      </w:r>
      <w:r>
        <w:rPr>
          <w:rFonts w:eastAsia="仿宋"/>
          <w:color w:val="000000"/>
          <w:sz w:val="28"/>
          <w:szCs w:val="28"/>
        </w:rPr>
        <w:fldChar w:fldCharType="separate"/>
      </w:r>
      <w:r>
        <w:rPr>
          <w:rFonts w:eastAsia="仿宋"/>
          <w:color w:val="000000"/>
          <w:sz w:val="28"/>
          <w:szCs w:val="28"/>
        </w:rPr>
        <w:t>288</w:t>
      </w:r>
      <w:r>
        <w:rPr>
          <w:rFonts w:eastAsia="仿宋"/>
          <w:color w:val="000000"/>
          <w:sz w:val="28"/>
          <w:szCs w:val="28"/>
        </w:rPr>
        <w:fldChar w:fldCharType="end"/>
      </w:r>
      <w:r>
        <w:rPr>
          <w:rFonts w:eastAsia="仿宋"/>
          <w:color w:val="000000"/>
          <w:sz w:val="28"/>
          <w:szCs w:val="28"/>
        </w:rPr>
        <w:fldChar w:fldCharType="end"/>
      </w:r>
    </w:p>
    <w:p>
      <w:pPr>
        <w:pStyle w:val="161"/>
        <w:tabs>
          <w:tab w:val="right" w:leader="dot" w:pos="9070"/>
        </w:tabs>
        <w:spacing w:line="360" w:lineRule="auto"/>
        <w:ind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_Toc2888 </w:instrText>
      </w:r>
      <w:r>
        <w:rPr>
          <w:rFonts w:eastAsia="仿宋"/>
          <w:color w:val="000000"/>
          <w:sz w:val="28"/>
          <w:szCs w:val="28"/>
        </w:rPr>
        <w:fldChar w:fldCharType="separate"/>
      </w:r>
      <w:r>
        <w:rPr>
          <w:rFonts w:eastAsia="仿宋"/>
          <w:bCs/>
          <w:color w:val="000000"/>
          <w:sz w:val="28"/>
          <w:szCs w:val="28"/>
        </w:rPr>
        <w:t>三</w:t>
      </w:r>
      <w:r>
        <w:rPr>
          <w:rFonts w:hint="eastAsia" w:eastAsia="仿宋"/>
          <w:color w:val="000000"/>
          <w:sz w:val="28"/>
          <w:szCs w:val="28"/>
        </w:rPr>
        <w:t>、</w:t>
      </w:r>
      <w:r>
        <w:rPr>
          <w:rFonts w:eastAsia="仿宋"/>
          <w:bCs/>
          <w:color w:val="000000"/>
          <w:sz w:val="28"/>
          <w:szCs w:val="28"/>
        </w:rPr>
        <w:t>授权委托书（投标联系人）</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_Toc2888 \h </w:instrText>
      </w:r>
      <w:r>
        <w:rPr>
          <w:rFonts w:eastAsia="仿宋"/>
          <w:color w:val="000000"/>
          <w:sz w:val="28"/>
          <w:szCs w:val="28"/>
        </w:rPr>
        <w:fldChar w:fldCharType="separate"/>
      </w:r>
      <w:r>
        <w:rPr>
          <w:rFonts w:eastAsia="仿宋"/>
          <w:color w:val="000000"/>
          <w:sz w:val="28"/>
          <w:szCs w:val="28"/>
        </w:rPr>
        <w:t>289</w:t>
      </w:r>
      <w:r>
        <w:rPr>
          <w:rFonts w:eastAsia="仿宋"/>
          <w:color w:val="000000"/>
          <w:sz w:val="28"/>
          <w:szCs w:val="28"/>
        </w:rPr>
        <w:fldChar w:fldCharType="end"/>
      </w:r>
      <w:r>
        <w:rPr>
          <w:rFonts w:eastAsia="仿宋"/>
          <w:color w:val="000000"/>
          <w:sz w:val="28"/>
          <w:szCs w:val="28"/>
        </w:rPr>
        <w:fldChar w:fldCharType="end"/>
      </w:r>
    </w:p>
    <w:p>
      <w:pPr>
        <w:pStyle w:val="161"/>
        <w:tabs>
          <w:tab w:val="right" w:leader="dot" w:pos="9070"/>
        </w:tabs>
        <w:spacing w:line="360" w:lineRule="auto"/>
        <w:ind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_Toc19916 </w:instrText>
      </w:r>
      <w:r>
        <w:rPr>
          <w:rFonts w:eastAsia="仿宋"/>
          <w:color w:val="000000"/>
          <w:sz w:val="28"/>
          <w:szCs w:val="28"/>
        </w:rPr>
        <w:fldChar w:fldCharType="separate"/>
      </w:r>
      <w:r>
        <w:rPr>
          <w:rFonts w:eastAsia="仿宋"/>
          <w:bCs/>
          <w:color w:val="000000"/>
          <w:sz w:val="28"/>
          <w:szCs w:val="28"/>
        </w:rPr>
        <w:t>四</w:t>
      </w:r>
      <w:r>
        <w:rPr>
          <w:rFonts w:hint="eastAsia" w:eastAsia="仿宋"/>
          <w:color w:val="000000"/>
          <w:sz w:val="28"/>
          <w:szCs w:val="28"/>
        </w:rPr>
        <w:t>、</w:t>
      </w:r>
      <w:r>
        <w:rPr>
          <w:rFonts w:eastAsia="仿宋"/>
          <w:bCs/>
          <w:color w:val="000000"/>
          <w:sz w:val="28"/>
          <w:szCs w:val="28"/>
        </w:rPr>
        <w:t>联合体协议书（如有）</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_Toc19916 \h </w:instrText>
      </w:r>
      <w:r>
        <w:rPr>
          <w:rFonts w:eastAsia="仿宋"/>
          <w:color w:val="000000"/>
          <w:sz w:val="28"/>
          <w:szCs w:val="28"/>
        </w:rPr>
        <w:fldChar w:fldCharType="separate"/>
      </w:r>
      <w:r>
        <w:rPr>
          <w:rFonts w:eastAsia="仿宋"/>
          <w:color w:val="000000"/>
          <w:sz w:val="28"/>
          <w:szCs w:val="28"/>
        </w:rPr>
        <w:t>290</w:t>
      </w:r>
      <w:r>
        <w:rPr>
          <w:rFonts w:eastAsia="仿宋"/>
          <w:color w:val="000000"/>
          <w:sz w:val="28"/>
          <w:szCs w:val="28"/>
        </w:rPr>
        <w:fldChar w:fldCharType="end"/>
      </w:r>
      <w:r>
        <w:rPr>
          <w:rFonts w:eastAsia="仿宋"/>
          <w:color w:val="000000"/>
          <w:sz w:val="28"/>
          <w:szCs w:val="28"/>
        </w:rPr>
        <w:fldChar w:fldCharType="end"/>
      </w:r>
    </w:p>
    <w:p>
      <w:pPr>
        <w:pStyle w:val="161"/>
        <w:tabs>
          <w:tab w:val="right" w:leader="dot" w:pos="9070"/>
        </w:tabs>
        <w:spacing w:line="360" w:lineRule="auto"/>
        <w:ind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_Toc857 </w:instrText>
      </w:r>
      <w:r>
        <w:rPr>
          <w:rFonts w:eastAsia="仿宋"/>
          <w:color w:val="000000"/>
          <w:sz w:val="28"/>
          <w:szCs w:val="28"/>
        </w:rPr>
        <w:fldChar w:fldCharType="separate"/>
      </w:r>
      <w:r>
        <w:rPr>
          <w:rFonts w:eastAsia="仿宋"/>
          <w:bCs/>
          <w:color w:val="000000"/>
          <w:sz w:val="28"/>
          <w:szCs w:val="28"/>
        </w:rPr>
        <w:t>五</w:t>
      </w:r>
      <w:r>
        <w:rPr>
          <w:rFonts w:hint="eastAsia" w:eastAsia="仿宋"/>
          <w:color w:val="000000"/>
          <w:sz w:val="28"/>
          <w:szCs w:val="28"/>
        </w:rPr>
        <w:t>、</w:t>
      </w:r>
      <w:r>
        <w:rPr>
          <w:rFonts w:eastAsia="仿宋"/>
          <w:bCs/>
          <w:color w:val="000000"/>
          <w:sz w:val="28"/>
          <w:szCs w:val="28"/>
        </w:rPr>
        <w:t>投标担保</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_Toc857 \h </w:instrText>
      </w:r>
      <w:r>
        <w:rPr>
          <w:rFonts w:eastAsia="仿宋"/>
          <w:color w:val="000000"/>
          <w:sz w:val="28"/>
          <w:szCs w:val="28"/>
        </w:rPr>
        <w:fldChar w:fldCharType="separate"/>
      </w:r>
      <w:r>
        <w:rPr>
          <w:rFonts w:eastAsia="仿宋"/>
          <w:color w:val="000000"/>
          <w:sz w:val="28"/>
          <w:szCs w:val="28"/>
        </w:rPr>
        <w:t>293</w:t>
      </w:r>
      <w:r>
        <w:rPr>
          <w:rFonts w:eastAsia="仿宋"/>
          <w:color w:val="000000"/>
          <w:sz w:val="28"/>
          <w:szCs w:val="28"/>
        </w:rPr>
        <w:fldChar w:fldCharType="end"/>
      </w:r>
      <w:r>
        <w:rPr>
          <w:rFonts w:eastAsia="仿宋"/>
          <w:color w:val="000000"/>
          <w:sz w:val="28"/>
          <w:szCs w:val="28"/>
        </w:rPr>
        <w:fldChar w:fldCharType="end"/>
      </w:r>
    </w:p>
    <w:p>
      <w:pPr>
        <w:pStyle w:val="161"/>
        <w:tabs>
          <w:tab w:val="right" w:leader="dot" w:pos="9070"/>
        </w:tabs>
        <w:spacing w:line="360" w:lineRule="auto"/>
        <w:ind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_Toc25363 </w:instrText>
      </w:r>
      <w:r>
        <w:rPr>
          <w:rFonts w:eastAsia="仿宋"/>
          <w:color w:val="000000"/>
          <w:sz w:val="28"/>
          <w:szCs w:val="28"/>
        </w:rPr>
        <w:fldChar w:fldCharType="separate"/>
      </w:r>
      <w:r>
        <w:rPr>
          <w:rFonts w:eastAsia="仿宋"/>
          <w:bCs/>
          <w:color w:val="000000"/>
          <w:sz w:val="28"/>
          <w:szCs w:val="28"/>
        </w:rPr>
        <w:t>六</w:t>
      </w:r>
      <w:r>
        <w:rPr>
          <w:rFonts w:hint="eastAsia" w:eastAsia="仿宋"/>
          <w:color w:val="000000"/>
          <w:sz w:val="28"/>
          <w:szCs w:val="28"/>
        </w:rPr>
        <w:t>、</w:t>
      </w:r>
      <w:r>
        <w:rPr>
          <w:rFonts w:eastAsia="仿宋"/>
          <w:bCs/>
          <w:color w:val="000000"/>
          <w:sz w:val="28"/>
          <w:szCs w:val="28"/>
        </w:rPr>
        <w:t>工程结算款支付账户</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_Toc25363 \h </w:instrText>
      </w:r>
      <w:r>
        <w:rPr>
          <w:rFonts w:eastAsia="仿宋"/>
          <w:color w:val="000000"/>
          <w:sz w:val="28"/>
          <w:szCs w:val="28"/>
        </w:rPr>
        <w:fldChar w:fldCharType="separate"/>
      </w:r>
      <w:r>
        <w:rPr>
          <w:rFonts w:eastAsia="仿宋"/>
          <w:color w:val="000000"/>
          <w:sz w:val="28"/>
          <w:szCs w:val="28"/>
        </w:rPr>
        <w:t>299</w:t>
      </w:r>
      <w:r>
        <w:rPr>
          <w:rFonts w:eastAsia="仿宋"/>
          <w:color w:val="000000"/>
          <w:sz w:val="28"/>
          <w:szCs w:val="28"/>
        </w:rPr>
        <w:fldChar w:fldCharType="end"/>
      </w:r>
      <w:r>
        <w:rPr>
          <w:rFonts w:eastAsia="仿宋"/>
          <w:color w:val="000000"/>
          <w:sz w:val="28"/>
          <w:szCs w:val="28"/>
        </w:rPr>
        <w:fldChar w:fldCharType="end"/>
      </w:r>
    </w:p>
    <w:p>
      <w:pPr>
        <w:pStyle w:val="161"/>
        <w:tabs>
          <w:tab w:val="right" w:leader="dot" w:pos="9070"/>
        </w:tabs>
        <w:spacing w:line="360" w:lineRule="auto"/>
        <w:ind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_Toc7090 </w:instrText>
      </w:r>
      <w:r>
        <w:rPr>
          <w:rFonts w:eastAsia="仿宋"/>
          <w:color w:val="000000"/>
          <w:sz w:val="28"/>
          <w:szCs w:val="28"/>
        </w:rPr>
        <w:fldChar w:fldCharType="separate"/>
      </w:r>
      <w:r>
        <w:rPr>
          <w:rFonts w:eastAsia="仿宋"/>
          <w:bCs/>
          <w:color w:val="000000"/>
          <w:sz w:val="28"/>
          <w:szCs w:val="28"/>
        </w:rPr>
        <w:t>七</w:t>
      </w:r>
      <w:r>
        <w:rPr>
          <w:rFonts w:hint="eastAsia" w:eastAsia="仿宋"/>
          <w:color w:val="000000"/>
          <w:sz w:val="28"/>
          <w:szCs w:val="28"/>
        </w:rPr>
        <w:t>、</w:t>
      </w:r>
      <w:r>
        <w:rPr>
          <w:rFonts w:eastAsia="仿宋"/>
          <w:bCs/>
          <w:color w:val="000000"/>
          <w:sz w:val="28"/>
          <w:szCs w:val="28"/>
        </w:rPr>
        <w:t>已标价工程量清单</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_Toc7090 \h </w:instrText>
      </w:r>
      <w:r>
        <w:rPr>
          <w:rFonts w:eastAsia="仿宋"/>
          <w:color w:val="000000"/>
          <w:sz w:val="28"/>
          <w:szCs w:val="28"/>
        </w:rPr>
        <w:fldChar w:fldCharType="separate"/>
      </w:r>
      <w:r>
        <w:rPr>
          <w:rFonts w:eastAsia="仿宋"/>
          <w:color w:val="000000"/>
          <w:sz w:val="28"/>
          <w:szCs w:val="28"/>
        </w:rPr>
        <w:t>300</w:t>
      </w:r>
      <w:r>
        <w:rPr>
          <w:rFonts w:eastAsia="仿宋"/>
          <w:color w:val="000000"/>
          <w:sz w:val="28"/>
          <w:szCs w:val="28"/>
        </w:rPr>
        <w:fldChar w:fldCharType="end"/>
      </w:r>
      <w:r>
        <w:rPr>
          <w:rFonts w:eastAsia="仿宋"/>
          <w:color w:val="000000"/>
          <w:sz w:val="28"/>
          <w:szCs w:val="28"/>
        </w:rPr>
        <w:fldChar w:fldCharType="end"/>
      </w:r>
    </w:p>
    <w:p>
      <w:pPr>
        <w:pStyle w:val="161"/>
        <w:tabs>
          <w:tab w:val="right" w:leader="dot" w:pos="9070"/>
        </w:tabs>
        <w:spacing w:line="360" w:lineRule="auto"/>
        <w:ind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_Toc8098 </w:instrText>
      </w:r>
      <w:r>
        <w:rPr>
          <w:rFonts w:eastAsia="仿宋"/>
          <w:color w:val="000000"/>
          <w:sz w:val="28"/>
          <w:szCs w:val="28"/>
        </w:rPr>
        <w:fldChar w:fldCharType="separate"/>
      </w:r>
      <w:r>
        <w:rPr>
          <w:rFonts w:eastAsia="仿宋"/>
          <w:bCs/>
          <w:color w:val="000000"/>
          <w:sz w:val="28"/>
          <w:szCs w:val="28"/>
        </w:rPr>
        <w:t>八</w:t>
      </w:r>
      <w:r>
        <w:rPr>
          <w:rFonts w:hint="eastAsia" w:eastAsia="仿宋"/>
          <w:color w:val="000000"/>
          <w:sz w:val="28"/>
          <w:szCs w:val="28"/>
        </w:rPr>
        <w:t>、</w:t>
      </w:r>
      <w:r>
        <w:rPr>
          <w:rFonts w:eastAsia="仿宋"/>
          <w:bCs/>
          <w:color w:val="000000"/>
          <w:sz w:val="28"/>
          <w:szCs w:val="28"/>
        </w:rPr>
        <w:t>项目管理机构</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_Toc8098 \h </w:instrText>
      </w:r>
      <w:r>
        <w:rPr>
          <w:rFonts w:eastAsia="仿宋"/>
          <w:color w:val="000000"/>
          <w:sz w:val="28"/>
          <w:szCs w:val="28"/>
        </w:rPr>
        <w:fldChar w:fldCharType="separate"/>
      </w:r>
      <w:r>
        <w:rPr>
          <w:rFonts w:eastAsia="仿宋"/>
          <w:color w:val="000000"/>
          <w:sz w:val="28"/>
          <w:szCs w:val="28"/>
        </w:rPr>
        <w:t>301</w:t>
      </w:r>
      <w:r>
        <w:rPr>
          <w:rFonts w:eastAsia="仿宋"/>
          <w:color w:val="000000"/>
          <w:sz w:val="28"/>
          <w:szCs w:val="28"/>
        </w:rPr>
        <w:fldChar w:fldCharType="end"/>
      </w:r>
      <w:r>
        <w:rPr>
          <w:rFonts w:eastAsia="仿宋"/>
          <w:color w:val="000000"/>
          <w:sz w:val="28"/>
          <w:szCs w:val="28"/>
        </w:rPr>
        <w:fldChar w:fldCharType="end"/>
      </w:r>
    </w:p>
    <w:p>
      <w:pPr>
        <w:pStyle w:val="161"/>
        <w:tabs>
          <w:tab w:val="right" w:leader="dot" w:pos="9070"/>
        </w:tabs>
        <w:spacing w:line="360" w:lineRule="auto"/>
        <w:ind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_Toc10969 </w:instrText>
      </w:r>
      <w:r>
        <w:rPr>
          <w:rFonts w:eastAsia="仿宋"/>
          <w:color w:val="000000"/>
          <w:sz w:val="28"/>
          <w:szCs w:val="28"/>
        </w:rPr>
        <w:fldChar w:fldCharType="separate"/>
      </w:r>
      <w:r>
        <w:rPr>
          <w:rFonts w:eastAsia="仿宋"/>
          <w:bCs/>
          <w:color w:val="000000"/>
          <w:sz w:val="28"/>
          <w:szCs w:val="28"/>
        </w:rPr>
        <w:t>九</w:t>
      </w:r>
      <w:r>
        <w:rPr>
          <w:rFonts w:hint="eastAsia" w:eastAsia="仿宋"/>
          <w:color w:val="000000"/>
          <w:sz w:val="28"/>
          <w:szCs w:val="28"/>
        </w:rPr>
        <w:t>、</w:t>
      </w:r>
      <w:r>
        <w:rPr>
          <w:rFonts w:hint="eastAsia" w:eastAsia="仿宋"/>
          <w:bCs/>
          <w:color w:val="000000"/>
          <w:sz w:val="28"/>
          <w:szCs w:val="28"/>
        </w:rPr>
        <w:t>企业资信及履约能力（业绩及信用）自评表</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_Toc10969 \h </w:instrText>
      </w:r>
      <w:r>
        <w:rPr>
          <w:rFonts w:eastAsia="仿宋"/>
          <w:color w:val="000000"/>
          <w:sz w:val="28"/>
          <w:szCs w:val="28"/>
        </w:rPr>
        <w:fldChar w:fldCharType="separate"/>
      </w:r>
      <w:r>
        <w:rPr>
          <w:rFonts w:eastAsia="仿宋"/>
          <w:color w:val="000000"/>
          <w:sz w:val="28"/>
          <w:szCs w:val="28"/>
        </w:rPr>
        <w:t>305</w:t>
      </w:r>
      <w:r>
        <w:rPr>
          <w:rFonts w:eastAsia="仿宋"/>
          <w:color w:val="000000"/>
          <w:sz w:val="28"/>
          <w:szCs w:val="28"/>
        </w:rPr>
        <w:fldChar w:fldCharType="end"/>
      </w:r>
      <w:r>
        <w:rPr>
          <w:rFonts w:eastAsia="仿宋"/>
          <w:color w:val="000000"/>
          <w:sz w:val="28"/>
          <w:szCs w:val="28"/>
        </w:rPr>
        <w:fldChar w:fldCharType="end"/>
      </w:r>
    </w:p>
    <w:p>
      <w:pPr>
        <w:pStyle w:val="161"/>
        <w:tabs>
          <w:tab w:val="right" w:leader="dot" w:pos="9070"/>
        </w:tabs>
        <w:spacing w:line="360" w:lineRule="auto"/>
        <w:ind w:firstLine="560" w:firstLineChars="200"/>
        <w:jc w:val="both"/>
        <w:rPr>
          <w:rFonts w:hint="eastAsia" w:eastAsia="仿宋"/>
          <w:sz w:val="28"/>
          <w:szCs w:val="28"/>
        </w:rPr>
      </w:pPr>
      <w:r>
        <w:rPr>
          <w:rFonts w:hint="eastAsia" w:eastAsia="仿宋"/>
          <w:sz w:val="28"/>
          <w:szCs w:val="28"/>
        </w:rPr>
        <w:fldChar w:fldCharType="begin"/>
      </w:r>
      <w:r>
        <w:rPr>
          <w:rFonts w:hint="eastAsia" w:eastAsia="仿宋"/>
          <w:sz w:val="28"/>
          <w:szCs w:val="28"/>
        </w:rPr>
        <w:instrText xml:space="preserve"> HYPERLINK \l _Toc21595 </w:instrText>
      </w:r>
      <w:r>
        <w:rPr>
          <w:rFonts w:hint="eastAsia" w:eastAsia="仿宋"/>
          <w:sz w:val="28"/>
          <w:szCs w:val="28"/>
        </w:rPr>
        <w:fldChar w:fldCharType="separate"/>
      </w:r>
      <w:r>
        <w:rPr>
          <w:rFonts w:hint="eastAsia" w:eastAsia="仿宋"/>
          <w:sz w:val="28"/>
          <w:szCs w:val="28"/>
        </w:rPr>
        <w:t>十</w:t>
      </w:r>
      <w:r>
        <w:rPr>
          <w:rFonts w:hint="eastAsia" w:eastAsia="仿宋"/>
          <w:color w:val="000000"/>
          <w:sz w:val="28"/>
          <w:szCs w:val="28"/>
        </w:rPr>
        <w:t>、</w:t>
      </w:r>
      <w:r>
        <w:rPr>
          <w:rFonts w:hint="eastAsia" w:eastAsia="仿宋"/>
          <w:sz w:val="28"/>
          <w:szCs w:val="28"/>
        </w:rPr>
        <w:t>拟分包项目情况表</w:t>
      </w:r>
      <w:r>
        <w:rPr>
          <w:rFonts w:hint="eastAsia" w:eastAsia="仿宋"/>
          <w:sz w:val="28"/>
          <w:szCs w:val="28"/>
        </w:rPr>
        <w:tab/>
      </w:r>
      <w:r>
        <w:rPr>
          <w:rFonts w:hint="eastAsia" w:eastAsia="仿宋"/>
          <w:sz w:val="28"/>
          <w:szCs w:val="28"/>
        </w:rPr>
        <w:fldChar w:fldCharType="end"/>
      </w:r>
      <w:r>
        <w:rPr>
          <w:rFonts w:hint="eastAsia" w:eastAsia="仿宋"/>
          <w:sz w:val="28"/>
          <w:szCs w:val="28"/>
        </w:rPr>
        <w:t>309</w:t>
      </w:r>
    </w:p>
    <w:p>
      <w:pPr>
        <w:pStyle w:val="161"/>
        <w:tabs>
          <w:tab w:val="right" w:leader="dot" w:pos="9070"/>
        </w:tabs>
        <w:spacing w:line="360" w:lineRule="auto"/>
        <w:ind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_Toc8909 </w:instrText>
      </w:r>
      <w:r>
        <w:rPr>
          <w:rFonts w:eastAsia="仿宋"/>
          <w:color w:val="000000"/>
          <w:sz w:val="28"/>
          <w:szCs w:val="28"/>
        </w:rPr>
        <w:fldChar w:fldCharType="separate"/>
      </w:r>
      <w:r>
        <w:rPr>
          <w:rFonts w:eastAsia="仿宋"/>
          <w:bCs/>
          <w:color w:val="000000"/>
          <w:sz w:val="28"/>
          <w:szCs w:val="28"/>
        </w:rPr>
        <w:t>十</w:t>
      </w:r>
      <w:r>
        <w:rPr>
          <w:rFonts w:hint="eastAsia" w:eastAsia="仿宋"/>
          <w:bCs/>
          <w:color w:val="000000"/>
          <w:sz w:val="28"/>
          <w:szCs w:val="28"/>
        </w:rPr>
        <w:t>一</w:t>
      </w:r>
      <w:r>
        <w:rPr>
          <w:rFonts w:hint="eastAsia" w:eastAsia="仿宋"/>
          <w:color w:val="000000"/>
          <w:sz w:val="28"/>
          <w:szCs w:val="28"/>
        </w:rPr>
        <w:t>、</w:t>
      </w:r>
      <w:r>
        <w:rPr>
          <w:rFonts w:eastAsia="仿宋"/>
          <w:bCs/>
          <w:color w:val="000000"/>
          <w:sz w:val="28"/>
          <w:szCs w:val="28"/>
        </w:rPr>
        <w:t>资格审查资料</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_Toc8909 \h </w:instrText>
      </w:r>
      <w:r>
        <w:rPr>
          <w:rFonts w:eastAsia="仿宋"/>
          <w:color w:val="000000"/>
          <w:sz w:val="28"/>
          <w:szCs w:val="28"/>
        </w:rPr>
        <w:fldChar w:fldCharType="separate"/>
      </w:r>
      <w:r>
        <w:rPr>
          <w:rFonts w:eastAsia="仿宋"/>
          <w:color w:val="000000"/>
          <w:sz w:val="28"/>
          <w:szCs w:val="28"/>
        </w:rPr>
        <w:t>307</w:t>
      </w:r>
      <w:r>
        <w:rPr>
          <w:rFonts w:eastAsia="仿宋"/>
          <w:color w:val="000000"/>
          <w:sz w:val="28"/>
          <w:szCs w:val="28"/>
        </w:rPr>
        <w:fldChar w:fldCharType="end"/>
      </w:r>
      <w:r>
        <w:rPr>
          <w:rFonts w:eastAsia="仿宋"/>
          <w:color w:val="000000"/>
          <w:sz w:val="28"/>
          <w:szCs w:val="28"/>
        </w:rPr>
        <w:fldChar w:fldCharType="end"/>
      </w:r>
    </w:p>
    <w:p>
      <w:pPr>
        <w:pStyle w:val="142"/>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_Toc4632 </w:instrText>
      </w:r>
      <w:r>
        <w:rPr>
          <w:rFonts w:eastAsia="仿宋"/>
          <w:color w:val="000000"/>
          <w:sz w:val="28"/>
          <w:szCs w:val="28"/>
        </w:rPr>
        <w:fldChar w:fldCharType="separate"/>
      </w:r>
      <w:r>
        <w:rPr>
          <w:rFonts w:eastAsia="仿宋"/>
          <w:color w:val="000000"/>
          <w:sz w:val="28"/>
          <w:szCs w:val="28"/>
        </w:rPr>
        <w:t>（一）投标人基本情况表</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_Toc4632 \h </w:instrText>
      </w:r>
      <w:r>
        <w:rPr>
          <w:rFonts w:eastAsia="仿宋"/>
          <w:color w:val="000000"/>
          <w:sz w:val="28"/>
          <w:szCs w:val="28"/>
        </w:rPr>
        <w:fldChar w:fldCharType="separate"/>
      </w:r>
      <w:r>
        <w:rPr>
          <w:rFonts w:eastAsia="仿宋"/>
          <w:color w:val="000000"/>
          <w:sz w:val="28"/>
          <w:szCs w:val="28"/>
        </w:rPr>
        <w:t>307</w:t>
      </w:r>
      <w:r>
        <w:rPr>
          <w:rFonts w:eastAsia="仿宋"/>
          <w:color w:val="000000"/>
          <w:sz w:val="28"/>
          <w:szCs w:val="28"/>
        </w:rPr>
        <w:fldChar w:fldCharType="end"/>
      </w:r>
      <w:r>
        <w:rPr>
          <w:rFonts w:eastAsia="仿宋"/>
          <w:color w:val="000000"/>
          <w:sz w:val="28"/>
          <w:szCs w:val="28"/>
        </w:rPr>
        <w:fldChar w:fldCharType="end"/>
      </w:r>
    </w:p>
    <w:p>
      <w:pPr>
        <w:pStyle w:val="142"/>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_Toc4850 </w:instrText>
      </w:r>
      <w:r>
        <w:rPr>
          <w:rFonts w:eastAsia="仿宋"/>
          <w:color w:val="000000"/>
          <w:sz w:val="28"/>
          <w:szCs w:val="28"/>
        </w:rPr>
        <w:fldChar w:fldCharType="separate"/>
      </w:r>
      <w:r>
        <w:rPr>
          <w:rFonts w:eastAsia="仿宋"/>
          <w:color w:val="000000"/>
          <w:sz w:val="28"/>
          <w:szCs w:val="28"/>
        </w:rPr>
        <w:t>（二）近年财务状况表</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_Toc4850 \h </w:instrText>
      </w:r>
      <w:r>
        <w:rPr>
          <w:rFonts w:eastAsia="仿宋"/>
          <w:color w:val="000000"/>
          <w:sz w:val="28"/>
          <w:szCs w:val="28"/>
        </w:rPr>
        <w:fldChar w:fldCharType="separate"/>
      </w:r>
      <w:r>
        <w:rPr>
          <w:rFonts w:eastAsia="仿宋"/>
          <w:color w:val="000000"/>
          <w:sz w:val="28"/>
          <w:szCs w:val="28"/>
        </w:rPr>
        <w:t>308</w:t>
      </w:r>
      <w:r>
        <w:rPr>
          <w:rFonts w:eastAsia="仿宋"/>
          <w:color w:val="000000"/>
          <w:sz w:val="28"/>
          <w:szCs w:val="28"/>
        </w:rPr>
        <w:fldChar w:fldCharType="end"/>
      </w:r>
      <w:r>
        <w:rPr>
          <w:rFonts w:eastAsia="仿宋"/>
          <w:color w:val="000000"/>
          <w:sz w:val="28"/>
          <w:szCs w:val="28"/>
        </w:rPr>
        <w:fldChar w:fldCharType="end"/>
      </w:r>
    </w:p>
    <w:p>
      <w:pPr>
        <w:pStyle w:val="142"/>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_Toc26534 </w:instrText>
      </w:r>
      <w:r>
        <w:rPr>
          <w:rFonts w:eastAsia="仿宋"/>
          <w:color w:val="000000"/>
          <w:sz w:val="28"/>
          <w:szCs w:val="28"/>
        </w:rPr>
        <w:fldChar w:fldCharType="separate"/>
      </w:r>
      <w:r>
        <w:rPr>
          <w:rFonts w:eastAsia="仿宋"/>
          <w:color w:val="000000"/>
          <w:sz w:val="28"/>
          <w:szCs w:val="28"/>
        </w:rPr>
        <w:t>财务状况表</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_Toc26534 \h </w:instrText>
      </w:r>
      <w:r>
        <w:rPr>
          <w:rFonts w:eastAsia="仿宋"/>
          <w:color w:val="000000"/>
          <w:sz w:val="28"/>
          <w:szCs w:val="28"/>
        </w:rPr>
        <w:fldChar w:fldCharType="separate"/>
      </w:r>
      <w:r>
        <w:rPr>
          <w:rFonts w:eastAsia="仿宋"/>
          <w:color w:val="000000"/>
          <w:sz w:val="28"/>
          <w:szCs w:val="28"/>
        </w:rPr>
        <w:t>308</w:t>
      </w:r>
      <w:r>
        <w:rPr>
          <w:rFonts w:eastAsia="仿宋"/>
          <w:color w:val="000000"/>
          <w:sz w:val="28"/>
          <w:szCs w:val="28"/>
        </w:rPr>
        <w:fldChar w:fldCharType="end"/>
      </w:r>
      <w:r>
        <w:rPr>
          <w:rFonts w:eastAsia="仿宋"/>
          <w:color w:val="000000"/>
          <w:sz w:val="28"/>
          <w:szCs w:val="28"/>
        </w:rPr>
        <w:fldChar w:fldCharType="end"/>
      </w:r>
    </w:p>
    <w:p>
      <w:pPr>
        <w:pStyle w:val="142"/>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_Toc22899 </w:instrText>
      </w:r>
      <w:r>
        <w:rPr>
          <w:rFonts w:eastAsia="仿宋"/>
          <w:color w:val="000000"/>
          <w:sz w:val="28"/>
          <w:szCs w:val="28"/>
        </w:rPr>
        <w:fldChar w:fldCharType="separate"/>
      </w:r>
      <w:r>
        <w:rPr>
          <w:rFonts w:eastAsia="仿宋"/>
          <w:color w:val="000000"/>
          <w:sz w:val="28"/>
          <w:szCs w:val="28"/>
        </w:rPr>
        <w:t>（三）近年完成的类似项目情况表</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_Toc22899 \h </w:instrText>
      </w:r>
      <w:r>
        <w:rPr>
          <w:rFonts w:eastAsia="仿宋"/>
          <w:color w:val="000000"/>
          <w:sz w:val="28"/>
          <w:szCs w:val="28"/>
        </w:rPr>
        <w:fldChar w:fldCharType="separate"/>
      </w:r>
      <w:r>
        <w:rPr>
          <w:rFonts w:eastAsia="仿宋"/>
          <w:color w:val="000000"/>
          <w:sz w:val="28"/>
          <w:szCs w:val="28"/>
        </w:rPr>
        <w:t>309</w:t>
      </w:r>
      <w:r>
        <w:rPr>
          <w:rFonts w:eastAsia="仿宋"/>
          <w:color w:val="000000"/>
          <w:sz w:val="28"/>
          <w:szCs w:val="28"/>
        </w:rPr>
        <w:fldChar w:fldCharType="end"/>
      </w:r>
      <w:r>
        <w:rPr>
          <w:rFonts w:eastAsia="仿宋"/>
          <w:color w:val="000000"/>
          <w:sz w:val="28"/>
          <w:szCs w:val="28"/>
        </w:rPr>
        <w:fldChar w:fldCharType="end"/>
      </w:r>
    </w:p>
    <w:p>
      <w:pPr>
        <w:pStyle w:val="142"/>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_Toc4923 </w:instrText>
      </w:r>
      <w:r>
        <w:rPr>
          <w:rFonts w:eastAsia="仿宋"/>
          <w:color w:val="000000"/>
          <w:sz w:val="28"/>
          <w:szCs w:val="28"/>
        </w:rPr>
        <w:fldChar w:fldCharType="separate"/>
      </w:r>
      <w:r>
        <w:rPr>
          <w:rFonts w:eastAsia="仿宋"/>
          <w:color w:val="000000"/>
          <w:sz w:val="28"/>
          <w:szCs w:val="28"/>
        </w:rPr>
        <w:t>（四）正在施工的和新承接的项目情况表</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_Toc4923 \h </w:instrText>
      </w:r>
      <w:r>
        <w:rPr>
          <w:rFonts w:eastAsia="仿宋"/>
          <w:color w:val="000000"/>
          <w:sz w:val="28"/>
          <w:szCs w:val="28"/>
        </w:rPr>
        <w:fldChar w:fldCharType="separate"/>
      </w:r>
      <w:r>
        <w:rPr>
          <w:rFonts w:eastAsia="仿宋"/>
          <w:color w:val="000000"/>
          <w:sz w:val="28"/>
          <w:szCs w:val="28"/>
        </w:rPr>
        <w:t>310</w:t>
      </w:r>
      <w:r>
        <w:rPr>
          <w:rFonts w:eastAsia="仿宋"/>
          <w:color w:val="000000"/>
          <w:sz w:val="28"/>
          <w:szCs w:val="28"/>
        </w:rPr>
        <w:fldChar w:fldCharType="end"/>
      </w:r>
      <w:r>
        <w:rPr>
          <w:rFonts w:eastAsia="仿宋"/>
          <w:color w:val="000000"/>
          <w:sz w:val="28"/>
          <w:szCs w:val="28"/>
        </w:rPr>
        <w:fldChar w:fldCharType="end"/>
      </w:r>
    </w:p>
    <w:p>
      <w:pPr>
        <w:pStyle w:val="142"/>
        <w:tabs>
          <w:tab w:val="right" w:leader="dot" w:pos="9070"/>
        </w:tabs>
        <w:spacing w:line="360" w:lineRule="auto"/>
        <w:ind w:left="0" w:leftChars="0"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_Toc23430 </w:instrText>
      </w:r>
      <w:r>
        <w:rPr>
          <w:rFonts w:eastAsia="仿宋"/>
          <w:color w:val="000000"/>
          <w:sz w:val="28"/>
          <w:szCs w:val="28"/>
        </w:rPr>
        <w:fldChar w:fldCharType="separate"/>
      </w:r>
      <w:r>
        <w:rPr>
          <w:rFonts w:eastAsia="仿宋"/>
          <w:color w:val="000000"/>
          <w:sz w:val="28"/>
          <w:szCs w:val="28"/>
        </w:rPr>
        <w:t>（五）近年发生的诉讼及仲裁情况表</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_Toc23430 \h </w:instrText>
      </w:r>
      <w:r>
        <w:rPr>
          <w:rFonts w:eastAsia="仿宋"/>
          <w:color w:val="000000"/>
          <w:sz w:val="28"/>
          <w:szCs w:val="28"/>
        </w:rPr>
        <w:fldChar w:fldCharType="separate"/>
      </w:r>
      <w:r>
        <w:rPr>
          <w:rFonts w:eastAsia="仿宋"/>
          <w:color w:val="000000"/>
          <w:sz w:val="28"/>
          <w:szCs w:val="28"/>
        </w:rPr>
        <w:t>311</w:t>
      </w:r>
      <w:r>
        <w:rPr>
          <w:rFonts w:eastAsia="仿宋"/>
          <w:color w:val="000000"/>
          <w:sz w:val="28"/>
          <w:szCs w:val="28"/>
        </w:rPr>
        <w:fldChar w:fldCharType="end"/>
      </w:r>
      <w:r>
        <w:rPr>
          <w:rFonts w:eastAsia="仿宋"/>
          <w:color w:val="000000"/>
          <w:sz w:val="28"/>
          <w:szCs w:val="28"/>
        </w:rPr>
        <w:fldChar w:fldCharType="end"/>
      </w:r>
    </w:p>
    <w:p>
      <w:pPr>
        <w:pStyle w:val="161"/>
        <w:tabs>
          <w:tab w:val="right" w:leader="dot" w:pos="9070"/>
        </w:tabs>
        <w:spacing w:line="360" w:lineRule="auto"/>
        <w:ind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_Toc30765 </w:instrText>
      </w:r>
      <w:r>
        <w:rPr>
          <w:rFonts w:eastAsia="仿宋"/>
          <w:color w:val="000000"/>
          <w:sz w:val="28"/>
          <w:szCs w:val="28"/>
        </w:rPr>
        <w:fldChar w:fldCharType="separate"/>
      </w:r>
      <w:r>
        <w:rPr>
          <w:rFonts w:eastAsia="仿宋"/>
          <w:bCs/>
          <w:color w:val="000000"/>
          <w:sz w:val="28"/>
          <w:szCs w:val="28"/>
        </w:rPr>
        <w:t>十</w:t>
      </w:r>
      <w:r>
        <w:rPr>
          <w:rFonts w:hint="eastAsia" w:eastAsia="仿宋"/>
          <w:bCs/>
          <w:color w:val="000000"/>
          <w:sz w:val="28"/>
          <w:szCs w:val="28"/>
        </w:rPr>
        <w:t>二</w:t>
      </w:r>
      <w:r>
        <w:rPr>
          <w:rFonts w:hint="eastAsia" w:eastAsia="仿宋"/>
          <w:color w:val="000000"/>
          <w:sz w:val="28"/>
          <w:szCs w:val="28"/>
        </w:rPr>
        <w:t>、</w:t>
      </w:r>
      <w:r>
        <w:rPr>
          <w:rFonts w:eastAsia="仿宋"/>
          <w:bCs/>
          <w:color w:val="000000"/>
          <w:sz w:val="28"/>
          <w:szCs w:val="28"/>
        </w:rPr>
        <w:t>原件的扫描件</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_Toc30765 \h </w:instrText>
      </w:r>
      <w:r>
        <w:rPr>
          <w:rFonts w:eastAsia="仿宋"/>
          <w:color w:val="000000"/>
          <w:sz w:val="28"/>
          <w:szCs w:val="28"/>
        </w:rPr>
        <w:fldChar w:fldCharType="separate"/>
      </w:r>
      <w:r>
        <w:rPr>
          <w:rFonts w:eastAsia="仿宋"/>
          <w:color w:val="000000"/>
          <w:sz w:val="28"/>
          <w:szCs w:val="28"/>
        </w:rPr>
        <w:t>312</w:t>
      </w:r>
      <w:r>
        <w:rPr>
          <w:rFonts w:eastAsia="仿宋"/>
          <w:color w:val="000000"/>
          <w:sz w:val="28"/>
          <w:szCs w:val="28"/>
        </w:rPr>
        <w:fldChar w:fldCharType="end"/>
      </w:r>
      <w:r>
        <w:rPr>
          <w:rFonts w:eastAsia="仿宋"/>
          <w:color w:val="000000"/>
          <w:sz w:val="28"/>
          <w:szCs w:val="28"/>
        </w:rPr>
        <w:fldChar w:fldCharType="end"/>
      </w:r>
    </w:p>
    <w:p>
      <w:pPr>
        <w:pStyle w:val="161"/>
        <w:tabs>
          <w:tab w:val="right" w:leader="dot" w:pos="9070"/>
        </w:tabs>
        <w:spacing w:line="360" w:lineRule="auto"/>
        <w:ind w:firstLine="560" w:firstLineChars="200"/>
        <w:jc w:val="both"/>
        <w:rPr>
          <w:rFonts w:eastAsia="仿宋"/>
          <w:color w:val="000000"/>
          <w:sz w:val="28"/>
          <w:szCs w:val="28"/>
        </w:rPr>
      </w:pPr>
      <w:r>
        <w:rPr>
          <w:rFonts w:eastAsia="仿宋"/>
          <w:color w:val="000000"/>
          <w:sz w:val="28"/>
          <w:szCs w:val="28"/>
        </w:rPr>
        <w:fldChar w:fldCharType="begin"/>
      </w:r>
      <w:r>
        <w:rPr>
          <w:rFonts w:eastAsia="仿宋"/>
          <w:color w:val="000000"/>
          <w:sz w:val="28"/>
          <w:szCs w:val="28"/>
        </w:rPr>
        <w:instrText xml:space="preserve"> HYPERLINK \l _Toc32339 </w:instrText>
      </w:r>
      <w:r>
        <w:rPr>
          <w:rFonts w:eastAsia="仿宋"/>
          <w:color w:val="000000"/>
          <w:sz w:val="28"/>
          <w:szCs w:val="28"/>
        </w:rPr>
        <w:fldChar w:fldCharType="separate"/>
      </w:r>
      <w:r>
        <w:rPr>
          <w:rFonts w:eastAsia="仿宋"/>
          <w:bCs/>
          <w:color w:val="000000"/>
          <w:sz w:val="28"/>
          <w:szCs w:val="28"/>
        </w:rPr>
        <w:t>十</w:t>
      </w:r>
      <w:r>
        <w:rPr>
          <w:rFonts w:hint="eastAsia" w:eastAsia="仿宋"/>
          <w:bCs/>
          <w:color w:val="000000"/>
          <w:sz w:val="28"/>
          <w:szCs w:val="28"/>
        </w:rPr>
        <w:t>三</w:t>
      </w:r>
      <w:r>
        <w:rPr>
          <w:rFonts w:hint="eastAsia" w:eastAsia="仿宋"/>
          <w:color w:val="000000"/>
          <w:sz w:val="28"/>
          <w:szCs w:val="28"/>
        </w:rPr>
        <w:t>、</w:t>
      </w:r>
      <w:r>
        <w:rPr>
          <w:rFonts w:eastAsia="仿宋"/>
          <w:bCs/>
          <w:color w:val="000000"/>
          <w:sz w:val="28"/>
          <w:szCs w:val="28"/>
        </w:rPr>
        <w:t>其它材料</w:t>
      </w:r>
      <w:r>
        <w:rPr>
          <w:rFonts w:eastAsia="仿宋"/>
          <w:color w:val="000000"/>
          <w:sz w:val="28"/>
          <w:szCs w:val="28"/>
        </w:rPr>
        <w:tab/>
      </w:r>
      <w:r>
        <w:rPr>
          <w:rFonts w:eastAsia="仿宋"/>
          <w:color w:val="000000"/>
          <w:sz w:val="28"/>
          <w:szCs w:val="28"/>
        </w:rPr>
        <w:fldChar w:fldCharType="begin"/>
      </w:r>
      <w:r>
        <w:rPr>
          <w:rFonts w:eastAsia="仿宋"/>
          <w:color w:val="000000"/>
          <w:sz w:val="28"/>
          <w:szCs w:val="28"/>
        </w:rPr>
        <w:instrText xml:space="preserve"> PAGEREF _Toc32339 \h </w:instrText>
      </w:r>
      <w:r>
        <w:rPr>
          <w:rFonts w:eastAsia="仿宋"/>
          <w:color w:val="000000"/>
          <w:sz w:val="28"/>
          <w:szCs w:val="28"/>
        </w:rPr>
        <w:fldChar w:fldCharType="separate"/>
      </w:r>
      <w:r>
        <w:rPr>
          <w:rFonts w:eastAsia="仿宋"/>
          <w:color w:val="000000"/>
          <w:sz w:val="28"/>
          <w:szCs w:val="28"/>
        </w:rPr>
        <w:t>314</w:t>
      </w:r>
      <w:r>
        <w:rPr>
          <w:rFonts w:eastAsia="仿宋"/>
          <w:color w:val="000000"/>
          <w:sz w:val="28"/>
          <w:szCs w:val="28"/>
        </w:rPr>
        <w:fldChar w:fldCharType="end"/>
      </w:r>
      <w:r>
        <w:rPr>
          <w:rFonts w:eastAsia="仿宋"/>
          <w:color w:val="000000"/>
          <w:sz w:val="28"/>
          <w:szCs w:val="28"/>
        </w:rPr>
        <w:fldChar w:fldCharType="end"/>
      </w:r>
    </w:p>
    <w:p>
      <w:pPr>
        <w:pStyle w:val="142"/>
        <w:tabs>
          <w:tab w:val="right" w:leader="dot" w:pos="9070"/>
        </w:tabs>
        <w:spacing w:line="360" w:lineRule="auto"/>
        <w:ind w:left="0" w:leftChars="0" w:firstLine="562" w:firstLineChars="200"/>
        <w:jc w:val="both"/>
        <w:rPr>
          <w:rFonts w:hint="eastAsia"/>
          <w:color w:val="000000"/>
        </w:rPr>
      </w:pPr>
      <w:r>
        <w:rPr>
          <w:rFonts w:eastAsia="仿宋"/>
          <w:b/>
          <w:bCs/>
          <w:color w:val="000000"/>
          <w:sz w:val="28"/>
          <w:szCs w:val="28"/>
        </w:rPr>
        <w:fldChar w:fldCharType="begin"/>
      </w:r>
      <w:r>
        <w:rPr>
          <w:rFonts w:eastAsia="仿宋"/>
          <w:b/>
          <w:bCs/>
          <w:color w:val="000000"/>
          <w:sz w:val="28"/>
          <w:szCs w:val="28"/>
        </w:rPr>
        <w:instrText xml:space="preserve"> HYPERLINK \l _Toc24962 </w:instrText>
      </w:r>
      <w:r>
        <w:rPr>
          <w:rFonts w:eastAsia="仿宋"/>
          <w:b/>
          <w:bCs/>
          <w:color w:val="000000"/>
          <w:sz w:val="28"/>
          <w:szCs w:val="28"/>
        </w:rPr>
        <w:fldChar w:fldCharType="separate"/>
      </w:r>
      <w:r>
        <w:rPr>
          <w:rFonts w:eastAsia="仿宋"/>
          <w:b/>
          <w:bCs/>
          <w:color w:val="000000"/>
          <w:sz w:val="28"/>
          <w:szCs w:val="28"/>
        </w:rPr>
        <w:t>第二部分  技术投标文件格式</w:t>
      </w:r>
      <w:r>
        <w:rPr>
          <w:rFonts w:eastAsia="仿宋"/>
          <w:b/>
          <w:bCs/>
          <w:color w:val="000000"/>
          <w:sz w:val="28"/>
          <w:szCs w:val="28"/>
        </w:rPr>
        <w:tab/>
      </w:r>
      <w:r>
        <w:rPr>
          <w:rFonts w:eastAsia="仿宋"/>
          <w:b/>
          <w:bCs/>
          <w:color w:val="000000"/>
          <w:sz w:val="28"/>
          <w:szCs w:val="28"/>
        </w:rPr>
        <w:fldChar w:fldCharType="begin"/>
      </w:r>
      <w:r>
        <w:rPr>
          <w:rFonts w:eastAsia="仿宋"/>
          <w:b/>
          <w:bCs/>
          <w:color w:val="000000"/>
          <w:sz w:val="28"/>
          <w:szCs w:val="28"/>
        </w:rPr>
        <w:instrText xml:space="preserve"> PAGEREF _Toc24962 \h </w:instrText>
      </w:r>
      <w:r>
        <w:rPr>
          <w:rFonts w:eastAsia="仿宋"/>
          <w:b/>
          <w:bCs/>
          <w:color w:val="000000"/>
          <w:sz w:val="28"/>
          <w:szCs w:val="28"/>
        </w:rPr>
        <w:fldChar w:fldCharType="separate"/>
      </w:r>
      <w:r>
        <w:rPr>
          <w:rFonts w:eastAsia="仿宋"/>
          <w:b/>
          <w:bCs/>
          <w:color w:val="000000"/>
          <w:sz w:val="28"/>
          <w:szCs w:val="28"/>
        </w:rPr>
        <w:t>319</w:t>
      </w:r>
      <w:r>
        <w:rPr>
          <w:rFonts w:eastAsia="仿宋"/>
          <w:b/>
          <w:bCs/>
          <w:color w:val="000000"/>
          <w:sz w:val="28"/>
          <w:szCs w:val="28"/>
        </w:rPr>
        <w:fldChar w:fldCharType="end"/>
      </w:r>
      <w:r>
        <w:rPr>
          <w:rFonts w:eastAsia="仿宋"/>
          <w:b/>
          <w:bCs/>
          <w:color w:val="000000"/>
          <w:sz w:val="28"/>
          <w:szCs w:val="28"/>
        </w:rPr>
        <w:fldChar w:fldCharType="end"/>
      </w:r>
      <w:r>
        <w:rPr>
          <w:rFonts w:eastAsia="仿宋"/>
          <w:color w:val="000000"/>
          <w:sz w:val="28"/>
          <w:szCs w:val="28"/>
        </w:rPr>
        <w:fldChar w:fldCharType="end"/>
      </w:r>
      <w:bookmarkEnd w:id="9"/>
      <w:bookmarkEnd w:id="10"/>
      <w:bookmarkStart w:id="11" w:name="_Toc222029462"/>
      <w:bookmarkStart w:id="12" w:name="_Toc229305322"/>
      <w:bookmarkStart w:id="13" w:name="_Toc222033813"/>
      <w:bookmarkStart w:id="14" w:name="_Toc168476028"/>
      <w:bookmarkStart w:id="15" w:name="_Toc168475625"/>
      <w:bookmarkStart w:id="16" w:name="_Toc221949920"/>
      <w:bookmarkStart w:id="17" w:name="_Toc144974479"/>
      <w:bookmarkStart w:id="18" w:name="_Toc387753531"/>
      <w:bookmarkStart w:id="19" w:name="_Toc222030964"/>
      <w:bookmarkStart w:id="20" w:name="_Toc222032631"/>
    </w:p>
    <w:p>
      <w:pPr>
        <w:pStyle w:val="2"/>
        <w:rPr>
          <w:rFonts w:hint="eastAsia"/>
          <w:color w:val="000000"/>
        </w:rPr>
      </w:pPr>
    </w:p>
    <w:p>
      <w:pPr>
        <w:pStyle w:val="2"/>
        <w:rPr>
          <w:rFonts w:hint="eastAsia"/>
          <w:color w:val="000000"/>
        </w:rPr>
      </w:pPr>
    </w:p>
    <w:p>
      <w:pPr>
        <w:pStyle w:val="2"/>
        <w:rPr>
          <w:rFonts w:hint="eastAsia"/>
          <w:color w:val="000000"/>
        </w:rPr>
      </w:pPr>
    </w:p>
    <w:p>
      <w:pPr>
        <w:pStyle w:val="2"/>
        <w:rPr>
          <w:rFonts w:hint="eastAsia"/>
          <w:color w:val="000000"/>
        </w:rPr>
      </w:pPr>
    </w:p>
    <w:p>
      <w:pPr>
        <w:pStyle w:val="2"/>
        <w:rPr>
          <w:rFonts w:hint="eastAsia"/>
          <w:color w:val="000000"/>
        </w:rPr>
      </w:pPr>
    </w:p>
    <w:p>
      <w:pPr>
        <w:pStyle w:val="2"/>
        <w:rPr>
          <w:rFonts w:hint="eastAsia"/>
          <w:color w:val="000000"/>
        </w:rPr>
      </w:pPr>
    </w:p>
    <w:p>
      <w:pPr>
        <w:pStyle w:val="2"/>
        <w:rPr>
          <w:rFonts w:hint="eastAsia"/>
          <w:color w:val="000000"/>
        </w:rPr>
      </w:pPr>
    </w:p>
    <w:p>
      <w:pPr>
        <w:pStyle w:val="2"/>
        <w:rPr>
          <w:rFonts w:hint="eastAsia"/>
          <w:color w:val="000000"/>
        </w:rPr>
        <w:sectPr>
          <w:footerReference r:id="rId15" w:type="default"/>
          <w:pgSz w:w="11906" w:h="16838"/>
          <w:pgMar w:top="1701" w:right="1361" w:bottom="1701" w:left="1474" w:header="1021" w:footer="1021" w:gutter="0"/>
          <w:pgNumType w:start="1"/>
          <w:cols w:space="720" w:num="1"/>
          <w:docGrid w:linePitch="312" w:charSpace="0"/>
        </w:sectPr>
      </w:pPr>
    </w:p>
    <w:p>
      <w:pPr>
        <w:pStyle w:val="2"/>
        <w:rPr>
          <w:rFonts w:hint="eastAsia"/>
          <w:color w:val="000000"/>
        </w:rPr>
      </w:pPr>
    </w:p>
    <w:p>
      <w:pPr>
        <w:pStyle w:val="2"/>
        <w:rPr>
          <w:rFonts w:hint="eastAsia"/>
          <w:color w:val="000000"/>
        </w:rPr>
      </w:pPr>
    </w:p>
    <w:p>
      <w:pPr>
        <w:pStyle w:val="2"/>
        <w:rPr>
          <w:rFonts w:hint="eastAsia"/>
          <w:color w:val="000000"/>
        </w:rPr>
      </w:pPr>
    </w:p>
    <w:p>
      <w:pPr>
        <w:rPr>
          <w:rFonts w:hint="eastAsia"/>
          <w:color w:val="000000"/>
        </w:rPr>
      </w:pPr>
    </w:p>
    <w:p>
      <w:pPr>
        <w:rPr>
          <w:rFonts w:hint="eastAsia"/>
          <w:color w:val="000000"/>
        </w:rPr>
      </w:pPr>
    </w:p>
    <w:p>
      <w:pPr>
        <w:rPr>
          <w:rFonts w:hint="eastAsia"/>
          <w:color w:val="000000"/>
        </w:rPr>
      </w:pPr>
    </w:p>
    <w:p>
      <w:pPr>
        <w:pStyle w:val="2"/>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jc w:val="center"/>
        <w:outlineLvl w:val="0"/>
        <w:rPr>
          <w:rFonts w:eastAsia="隶书"/>
          <w:b/>
          <w:bCs/>
          <w:color w:val="000000"/>
          <w:spacing w:val="40"/>
          <w:sz w:val="90"/>
          <w:szCs w:val="90"/>
        </w:rPr>
      </w:pPr>
      <w:bookmarkStart w:id="21" w:name="_Toc51091829"/>
      <w:bookmarkStart w:id="22" w:name="_Toc25170"/>
      <w:bookmarkStart w:id="23" w:name="_Toc27581"/>
      <w:r>
        <w:rPr>
          <w:rFonts w:eastAsia="隶书"/>
          <w:b/>
          <w:bCs/>
          <w:color w:val="000000"/>
          <w:spacing w:val="40"/>
          <w:sz w:val="90"/>
          <w:szCs w:val="90"/>
        </w:rPr>
        <w:t>第一卷</w:t>
      </w:r>
      <w:bookmarkEnd w:id="21"/>
      <w:bookmarkEnd w:id="22"/>
      <w:bookmarkEnd w:id="23"/>
    </w:p>
    <w:p>
      <w:pPr>
        <w:rPr>
          <w:color w:val="000000"/>
        </w:rPr>
      </w:pPr>
    </w:p>
    <w:p>
      <w:pPr>
        <w:pStyle w:val="2"/>
        <w:rPr>
          <w:color w:val="000000"/>
        </w:rPr>
      </w:pPr>
    </w:p>
    <w:p>
      <w:pPr>
        <w:pStyle w:val="2"/>
        <w:rPr>
          <w:color w:val="000000"/>
        </w:rPr>
      </w:pPr>
    </w:p>
    <w:p>
      <w:pPr>
        <w:pStyle w:val="2"/>
        <w:rPr>
          <w:color w:val="000000"/>
        </w:rPr>
      </w:pPr>
    </w:p>
    <w:p>
      <w:pPr>
        <w:pStyle w:val="2"/>
        <w:rPr>
          <w:color w:val="000000"/>
        </w:rPr>
      </w:pPr>
    </w:p>
    <w:p>
      <w:pPr>
        <w:pStyle w:val="2"/>
        <w:rPr>
          <w:color w:val="000000"/>
        </w:rPr>
      </w:pPr>
    </w:p>
    <w:p>
      <w:pPr>
        <w:pStyle w:val="2"/>
        <w:rPr>
          <w:color w:val="000000"/>
        </w:rPr>
      </w:pPr>
    </w:p>
    <w:p>
      <w:pPr>
        <w:pStyle w:val="2"/>
        <w:rPr>
          <w:color w:val="000000"/>
        </w:rPr>
      </w:pPr>
    </w:p>
    <w:p>
      <w:pPr>
        <w:pStyle w:val="2"/>
        <w:rPr>
          <w:color w:val="000000"/>
        </w:rPr>
      </w:pPr>
    </w:p>
    <w:p>
      <w:pPr>
        <w:pStyle w:val="2"/>
        <w:rPr>
          <w:color w:val="000000"/>
        </w:rPr>
      </w:pPr>
    </w:p>
    <w:p>
      <w:pPr>
        <w:pStyle w:val="2"/>
        <w:rPr>
          <w:color w:val="000000"/>
        </w:rPr>
      </w:pPr>
    </w:p>
    <w:p>
      <w:pPr>
        <w:pStyle w:val="2"/>
        <w:rPr>
          <w:color w:val="000000"/>
        </w:rPr>
      </w:pPr>
    </w:p>
    <w:p>
      <w:pPr>
        <w:pStyle w:val="2"/>
        <w:rPr>
          <w:color w:val="000000"/>
        </w:rPr>
      </w:pPr>
    </w:p>
    <w:p>
      <w:pPr>
        <w:pStyle w:val="2"/>
        <w:rPr>
          <w:color w:val="000000"/>
        </w:rPr>
      </w:pPr>
    </w:p>
    <w:p>
      <w:pPr>
        <w:pStyle w:val="2"/>
        <w:rPr>
          <w:color w:val="000000"/>
        </w:rPr>
      </w:pPr>
    </w:p>
    <w:p>
      <w:pPr>
        <w:pStyle w:val="2"/>
        <w:rPr>
          <w:color w:val="000000"/>
        </w:rPr>
      </w:pPr>
    </w:p>
    <w:p>
      <w:pPr>
        <w:pStyle w:val="2"/>
        <w:rPr>
          <w:color w:val="000000"/>
        </w:rPr>
      </w:pPr>
    </w:p>
    <w:p>
      <w:pPr>
        <w:pStyle w:val="2"/>
        <w:rPr>
          <w:color w:val="000000"/>
        </w:rPr>
      </w:pPr>
    </w:p>
    <w:p>
      <w:pPr>
        <w:pStyle w:val="2"/>
        <w:rPr>
          <w:color w:val="000000"/>
        </w:rPr>
      </w:pPr>
    </w:p>
    <w:p>
      <w:pPr>
        <w:pStyle w:val="2"/>
        <w:rPr>
          <w:color w:val="000000"/>
        </w:rPr>
      </w:pPr>
    </w:p>
    <w:p>
      <w:pPr>
        <w:pStyle w:val="2"/>
        <w:rPr>
          <w:color w:val="000000"/>
        </w:rPr>
      </w:pPr>
    </w:p>
    <w:p>
      <w:pPr>
        <w:pStyle w:val="2"/>
        <w:rPr>
          <w:color w:val="000000"/>
        </w:rPr>
      </w:pPr>
    </w:p>
    <w:p>
      <w:pPr>
        <w:pStyle w:val="2"/>
        <w:rPr>
          <w:color w:val="000000"/>
        </w:rPr>
      </w:pPr>
    </w:p>
    <w:p>
      <w:pPr>
        <w:pStyle w:val="2"/>
        <w:rPr>
          <w:color w:val="000000"/>
        </w:rPr>
      </w:pPr>
    </w:p>
    <w:p>
      <w:pPr>
        <w:pStyle w:val="2"/>
        <w:rPr>
          <w:color w:val="000000"/>
        </w:rPr>
        <w:sectPr>
          <w:footerReference r:id="rId16" w:type="default"/>
          <w:pgSz w:w="11906" w:h="16838"/>
          <w:pgMar w:top="1701" w:right="1361" w:bottom="1701" w:left="1474" w:header="1021" w:footer="1021" w:gutter="0"/>
          <w:pgNumType w:start="1"/>
          <w:cols w:space="720" w:num="1"/>
          <w:docGrid w:linePitch="312" w:charSpace="0"/>
        </w:sectPr>
      </w:pPr>
    </w:p>
    <w:p>
      <w:pPr>
        <w:pStyle w:val="2"/>
        <w:rPr>
          <w:color w:val="000000"/>
        </w:rPr>
      </w:pPr>
    </w:p>
    <w:bookmarkEnd w:id="0"/>
    <w:bookmarkEnd w:id="1"/>
    <w:bookmarkEnd w:id="2"/>
    <w:bookmarkEnd w:id="3"/>
    <w:bookmarkEnd w:id="4"/>
    <w:bookmarkEnd w:id="5"/>
    <w:bookmarkEnd w:id="6"/>
    <w:bookmarkEnd w:id="7"/>
    <w:bookmarkEnd w:id="8"/>
    <w:bookmarkEnd w:id="11"/>
    <w:bookmarkEnd w:id="12"/>
    <w:bookmarkEnd w:id="13"/>
    <w:bookmarkEnd w:id="14"/>
    <w:bookmarkEnd w:id="15"/>
    <w:bookmarkEnd w:id="16"/>
    <w:bookmarkEnd w:id="17"/>
    <w:bookmarkEnd w:id="18"/>
    <w:bookmarkEnd w:id="19"/>
    <w:bookmarkEnd w:id="20"/>
    <w:p>
      <w:pPr>
        <w:pStyle w:val="3"/>
        <w:keepNext w:val="0"/>
        <w:keepLines w:val="0"/>
        <w:adjustRightInd w:val="0"/>
        <w:snapToGrid w:val="0"/>
        <w:spacing w:before="0" w:after="0" w:line="490" w:lineRule="exact"/>
        <w:rPr>
          <w:rFonts w:hint="eastAsia" w:ascii="方正小标宋简体" w:eastAsia="方正小标宋简体"/>
          <w:b w:val="0"/>
          <w:color w:val="000000"/>
          <w:sz w:val="36"/>
          <w:szCs w:val="32"/>
        </w:rPr>
      </w:pPr>
      <w:bookmarkStart w:id="24" w:name="_Toc4433"/>
      <w:bookmarkStart w:id="25" w:name="_Toc269742683"/>
      <w:bookmarkStart w:id="26" w:name="_Toc5439"/>
      <w:bookmarkStart w:id="27" w:name="_Toc51091830"/>
      <w:bookmarkStart w:id="28" w:name="_Toc259698582"/>
      <w:bookmarkStart w:id="29" w:name="_Toc144974497"/>
      <w:bookmarkStart w:id="30" w:name="_Toc168476047"/>
      <w:bookmarkStart w:id="31" w:name="_Toc221950083"/>
      <w:bookmarkStart w:id="32" w:name="_Toc168475644"/>
      <w:r>
        <w:rPr>
          <w:rFonts w:hint="eastAsia" w:ascii="方正小标宋简体" w:eastAsia="方正小标宋简体"/>
          <w:b w:val="0"/>
          <w:color w:val="000000"/>
          <w:sz w:val="36"/>
          <w:szCs w:val="32"/>
        </w:rPr>
        <w:t>第一章  招标公告</w:t>
      </w:r>
      <w:bookmarkEnd w:id="24"/>
      <w:bookmarkEnd w:id="25"/>
      <w:bookmarkEnd w:id="26"/>
      <w:bookmarkEnd w:id="27"/>
      <w:bookmarkEnd w:id="28"/>
    </w:p>
    <w:p>
      <w:pPr>
        <w:spacing w:line="490" w:lineRule="exact"/>
        <w:jc w:val="center"/>
        <w:rPr>
          <w:rFonts w:eastAsia="方正小标宋_GBK"/>
          <w:color w:val="000000"/>
          <w:sz w:val="40"/>
          <w:szCs w:val="32"/>
        </w:rPr>
      </w:pPr>
    </w:p>
    <w:p>
      <w:pPr>
        <w:snapToGrid w:val="0"/>
        <w:spacing w:line="490" w:lineRule="exact"/>
        <w:ind w:firstLine="560" w:firstLineChars="200"/>
        <w:rPr>
          <w:rFonts w:eastAsia="仿宋_GB2312"/>
          <w:b/>
          <w:bCs/>
          <w:color w:val="000000"/>
          <w:spacing w:val="21"/>
          <w:kern w:val="0"/>
          <w:sz w:val="28"/>
          <w:szCs w:val="32"/>
        </w:rPr>
      </w:pPr>
      <w:r>
        <w:rPr>
          <w:rFonts w:eastAsia="仿宋_GB2312"/>
          <w:color w:val="000000"/>
          <w:sz w:val="28"/>
          <w:szCs w:val="32"/>
          <w:u w:val="single"/>
        </w:rPr>
        <w:t xml:space="preserve">         </w:t>
      </w:r>
      <w:r>
        <w:rPr>
          <w:rFonts w:eastAsia="仿宋_GB2312"/>
          <w:color w:val="000000"/>
          <w:sz w:val="28"/>
          <w:szCs w:val="32"/>
        </w:rPr>
        <w:t>（项目名称）</w:t>
      </w:r>
      <w:r>
        <w:rPr>
          <w:rFonts w:eastAsia="仿宋_GB2312"/>
          <w:color w:val="000000"/>
          <w:sz w:val="28"/>
          <w:szCs w:val="32"/>
          <w:u w:val="single"/>
        </w:rPr>
        <w:t xml:space="preserve">        </w:t>
      </w:r>
      <w:r>
        <w:rPr>
          <w:rFonts w:eastAsia="仿宋_GB2312"/>
          <w:color w:val="000000"/>
          <w:sz w:val="28"/>
          <w:szCs w:val="32"/>
        </w:rPr>
        <w:t>（标段名称）</w:t>
      </w:r>
      <w:r>
        <w:rPr>
          <w:rFonts w:hint="eastAsia" w:eastAsia="仿宋_GB2312"/>
          <w:color w:val="000000"/>
          <w:sz w:val="28"/>
          <w:szCs w:val="32"/>
        </w:rPr>
        <w:t>农田建设</w:t>
      </w:r>
      <w:r>
        <w:rPr>
          <w:rFonts w:eastAsia="仿宋_GB2312"/>
          <w:color w:val="000000"/>
          <w:sz w:val="28"/>
          <w:szCs w:val="32"/>
        </w:rPr>
        <w:t>施工招标公告</w:t>
      </w:r>
    </w:p>
    <w:p>
      <w:pPr>
        <w:spacing w:line="490" w:lineRule="exact"/>
        <w:ind w:firstLine="560" w:firstLineChars="200"/>
        <w:rPr>
          <w:rFonts w:eastAsia="仿宋_GB2312"/>
          <w:color w:val="000000"/>
          <w:sz w:val="28"/>
          <w:szCs w:val="32"/>
        </w:rPr>
      </w:pPr>
    </w:p>
    <w:p>
      <w:pPr>
        <w:pStyle w:val="106"/>
        <w:autoSpaceDE/>
        <w:autoSpaceDN/>
        <w:snapToGrid w:val="0"/>
        <w:spacing w:line="490" w:lineRule="exact"/>
        <w:ind w:firstLine="562" w:firstLineChars="200"/>
        <w:jc w:val="both"/>
        <w:outlineLvl w:val="1"/>
        <w:rPr>
          <w:rFonts w:ascii="Times New Roman" w:hAnsi="Times New Roman" w:eastAsia="仿宋_GB2312" w:cs="Times New Roman"/>
          <w:b/>
          <w:kern w:val="2"/>
          <w:sz w:val="28"/>
          <w:szCs w:val="32"/>
        </w:rPr>
      </w:pPr>
      <w:bookmarkStart w:id="33" w:name="_Toc25704"/>
      <w:bookmarkStart w:id="34" w:name="_Toc933"/>
      <w:r>
        <w:rPr>
          <w:rFonts w:ascii="Times New Roman" w:hAnsi="Times New Roman" w:eastAsia="仿宋_GB2312" w:cs="Times New Roman"/>
          <w:b/>
          <w:kern w:val="2"/>
          <w:sz w:val="28"/>
          <w:szCs w:val="32"/>
        </w:rPr>
        <w:t>1</w:t>
      </w:r>
      <w:r>
        <w:rPr>
          <w:rFonts w:ascii="Times New Roman" w:hAnsi="Times New Roman" w:eastAsia="仿宋" w:cs="Times New Roman"/>
          <w:sz w:val="28"/>
          <w:szCs w:val="28"/>
        </w:rPr>
        <w:t>．</w:t>
      </w:r>
      <w:r>
        <w:rPr>
          <w:rFonts w:ascii="Times New Roman" w:hAnsi="Times New Roman" w:eastAsia="仿宋_GB2312" w:cs="Times New Roman"/>
          <w:b/>
          <w:kern w:val="2"/>
          <w:sz w:val="28"/>
          <w:szCs w:val="32"/>
        </w:rPr>
        <w:t>招标条件</w:t>
      </w:r>
      <w:bookmarkEnd w:id="33"/>
      <w:bookmarkEnd w:id="34"/>
    </w:p>
    <w:p>
      <w:pPr>
        <w:spacing w:line="490" w:lineRule="exact"/>
        <w:ind w:firstLine="560" w:firstLineChars="200"/>
        <w:rPr>
          <w:rFonts w:eastAsia="仿宋_GB2312"/>
          <w:color w:val="000000"/>
          <w:sz w:val="28"/>
          <w:szCs w:val="32"/>
        </w:rPr>
      </w:pPr>
      <w:r>
        <w:rPr>
          <w:rFonts w:eastAsia="仿宋_GB2312"/>
          <w:color w:val="000000"/>
          <w:sz w:val="28"/>
          <w:szCs w:val="32"/>
        </w:rPr>
        <w:t>本招标项目</w:t>
      </w:r>
      <w:r>
        <w:rPr>
          <w:rFonts w:eastAsia="仿宋_GB2312"/>
          <w:color w:val="000000"/>
          <w:sz w:val="28"/>
          <w:szCs w:val="32"/>
          <w:u w:val="single"/>
        </w:rPr>
        <w:t xml:space="preserve">         </w:t>
      </w:r>
      <w:r>
        <w:rPr>
          <w:rFonts w:eastAsia="仿宋_GB2312"/>
          <w:color w:val="000000"/>
          <w:sz w:val="28"/>
          <w:szCs w:val="32"/>
        </w:rPr>
        <w:t>（项目名称）已由</w:t>
      </w:r>
      <w:r>
        <w:rPr>
          <w:rFonts w:eastAsia="仿宋_GB2312"/>
          <w:color w:val="000000"/>
          <w:sz w:val="28"/>
          <w:szCs w:val="32"/>
          <w:u w:val="single"/>
        </w:rPr>
        <w:t xml:space="preserve">             </w:t>
      </w:r>
      <w:r>
        <w:rPr>
          <w:rFonts w:eastAsia="仿宋_GB2312"/>
          <w:color w:val="000000"/>
          <w:sz w:val="28"/>
          <w:szCs w:val="32"/>
        </w:rPr>
        <w:t>（项目审批，核准或备案机关名称）以</w:t>
      </w:r>
      <w:r>
        <w:rPr>
          <w:rFonts w:eastAsia="仿宋_GB2312"/>
          <w:color w:val="000000"/>
          <w:sz w:val="28"/>
          <w:szCs w:val="32"/>
          <w:u w:val="single"/>
        </w:rPr>
        <w:t xml:space="preserve">             </w:t>
      </w:r>
      <w:r>
        <w:rPr>
          <w:rFonts w:eastAsia="仿宋_GB2312"/>
          <w:color w:val="000000"/>
          <w:sz w:val="28"/>
          <w:szCs w:val="32"/>
        </w:rPr>
        <w:t>（批文名称及编号）批准建设，项目业主为</w:t>
      </w:r>
      <w:r>
        <w:rPr>
          <w:rFonts w:eastAsia="仿宋_GB2312"/>
          <w:color w:val="000000"/>
          <w:sz w:val="28"/>
          <w:szCs w:val="32"/>
          <w:u w:val="single"/>
        </w:rPr>
        <w:t xml:space="preserve">               </w:t>
      </w:r>
      <w:r>
        <w:rPr>
          <w:rFonts w:eastAsia="仿宋_GB2312"/>
          <w:color w:val="000000"/>
          <w:sz w:val="28"/>
          <w:szCs w:val="32"/>
        </w:rPr>
        <w:t>，建设资金来自</w:t>
      </w:r>
      <w:r>
        <w:rPr>
          <w:rFonts w:eastAsia="仿宋_GB2312"/>
          <w:color w:val="000000"/>
          <w:sz w:val="28"/>
          <w:szCs w:val="32"/>
          <w:u w:val="single"/>
        </w:rPr>
        <w:t xml:space="preserve">           </w:t>
      </w:r>
      <w:r>
        <w:rPr>
          <w:rFonts w:eastAsia="仿宋_GB2312"/>
          <w:color w:val="000000"/>
          <w:sz w:val="28"/>
          <w:szCs w:val="32"/>
        </w:rPr>
        <w:t>（资金来源），招标人为</w:t>
      </w:r>
      <w:r>
        <w:rPr>
          <w:rFonts w:eastAsia="仿宋_GB2312"/>
          <w:color w:val="000000"/>
          <w:sz w:val="28"/>
          <w:szCs w:val="32"/>
          <w:u w:val="single"/>
        </w:rPr>
        <w:t xml:space="preserve">          </w:t>
      </w:r>
      <w:r>
        <w:rPr>
          <w:rFonts w:eastAsia="仿宋_GB2312"/>
          <w:color w:val="000000"/>
          <w:sz w:val="28"/>
          <w:szCs w:val="32"/>
        </w:rPr>
        <w:t>，招标代理机构为</w:t>
      </w:r>
      <w:r>
        <w:rPr>
          <w:rFonts w:eastAsia="仿宋_GB2312"/>
          <w:color w:val="000000"/>
          <w:sz w:val="28"/>
          <w:szCs w:val="32"/>
          <w:u w:val="single"/>
        </w:rPr>
        <w:t xml:space="preserve">          </w:t>
      </w:r>
      <w:r>
        <w:rPr>
          <w:rFonts w:eastAsia="仿宋_GB2312"/>
          <w:color w:val="000000"/>
          <w:sz w:val="28"/>
          <w:szCs w:val="32"/>
        </w:rPr>
        <w:t>。项目已具备招标条件，现对该项目施工进行公开招标。</w:t>
      </w:r>
    </w:p>
    <w:p>
      <w:pPr>
        <w:pStyle w:val="106"/>
        <w:autoSpaceDE/>
        <w:autoSpaceDN/>
        <w:snapToGrid w:val="0"/>
        <w:spacing w:line="490" w:lineRule="exact"/>
        <w:ind w:firstLine="562" w:firstLineChars="200"/>
        <w:jc w:val="both"/>
        <w:outlineLvl w:val="1"/>
        <w:rPr>
          <w:rFonts w:ascii="Times New Roman" w:hAnsi="Times New Roman" w:eastAsia="仿宋_GB2312" w:cs="Times New Roman"/>
          <w:b/>
          <w:kern w:val="2"/>
          <w:sz w:val="28"/>
          <w:szCs w:val="32"/>
        </w:rPr>
      </w:pPr>
      <w:bookmarkStart w:id="35" w:name="_Toc17425"/>
      <w:bookmarkStart w:id="36" w:name="_Toc4963"/>
      <w:r>
        <w:rPr>
          <w:rFonts w:ascii="Times New Roman" w:hAnsi="Times New Roman" w:eastAsia="仿宋_GB2312" w:cs="Times New Roman"/>
          <w:b/>
          <w:kern w:val="2"/>
          <w:sz w:val="28"/>
          <w:szCs w:val="32"/>
        </w:rPr>
        <w:t>2</w:t>
      </w:r>
      <w:r>
        <w:rPr>
          <w:rFonts w:ascii="Times New Roman" w:hAnsi="Times New Roman" w:eastAsia="仿宋" w:cs="Times New Roman"/>
          <w:sz w:val="28"/>
          <w:szCs w:val="28"/>
        </w:rPr>
        <w:t>．</w:t>
      </w:r>
      <w:r>
        <w:rPr>
          <w:rFonts w:ascii="Times New Roman" w:hAnsi="Times New Roman" w:eastAsia="仿宋_GB2312" w:cs="Times New Roman"/>
          <w:b/>
          <w:kern w:val="2"/>
          <w:sz w:val="28"/>
          <w:szCs w:val="32"/>
        </w:rPr>
        <w:t>项目概况与招标范围</w:t>
      </w:r>
      <w:bookmarkEnd w:id="35"/>
      <w:bookmarkEnd w:id="36"/>
    </w:p>
    <w:p>
      <w:pPr>
        <w:pStyle w:val="40"/>
        <w:snapToGrid w:val="0"/>
        <w:spacing w:before="0" w:beforeAutospacing="0" w:after="0" w:afterAutospacing="0" w:line="490" w:lineRule="exact"/>
        <w:ind w:firstLine="562" w:firstLineChars="200"/>
        <w:rPr>
          <w:rFonts w:ascii="Times New Roman" w:hAnsi="Times New Roman" w:eastAsia="仿宋_GB2312" w:cs="Times New Roman"/>
          <w:color w:val="000000"/>
          <w:sz w:val="28"/>
          <w:szCs w:val="32"/>
        </w:rPr>
      </w:pPr>
      <w:r>
        <w:rPr>
          <w:rFonts w:ascii="Times New Roman" w:hAnsi="Times New Roman" w:eastAsia="仿宋_GB2312" w:cs="Times New Roman"/>
          <w:b/>
          <w:color w:val="000000"/>
          <w:sz w:val="28"/>
          <w:szCs w:val="32"/>
        </w:rPr>
        <w:t>2.1</w:t>
      </w:r>
      <w:r>
        <w:rPr>
          <w:rFonts w:ascii="Times New Roman" w:hAnsi="Times New Roman" w:eastAsia="仿宋_GB2312" w:cs="Times New Roman"/>
          <w:color w:val="000000"/>
          <w:sz w:val="28"/>
          <w:szCs w:val="32"/>
        </w:rPr>
        <w:t xml:space="preserve"> 项目名称：</w:t>
      </w:r>
      <w:r>
        <w:rPr>
          <w:rFonts w:ascii="Times New Roman" w:hAnsi="Times New Roman" w:eastAsia="仿宋_GB2312" w:cs="Times New Roman"/>
          <w:color w:val="000000"/>
          <w:sz w:val="28"/>
          <w:szCs w:val="32"/>
          <w:u w:val="single"/>
        </w:rPr>
        <w:t xml:space="preserve">                             </w:t>
      </w:r>
      <w:r>
        <w:rPr>
          <w:rFonts w:ascii="Times New Roman" w:hAnsi="Times New Roman" w:eastAsia="仿宋_GB2312" w:cs="Times New Roman"/>
          <w:color w:val="000000"/>
          <w:sz w:val="28"/>
          <w:szCs w:val="32"/>
        </w:rPr>
        <w:t>。</w:t>
      </w:r>
    </w:p>
    <w:p>
      <w:pPr>
        <w:pStyle w:val="40"/>
        <w:snapToGrid w:val="0"/>
        <w:spacing w:before="0" w:beforeAutospacing="0" w:after="0" w:afterAutospacing="0" w:line="490" w:lineRule="exact"/>
        <w:ind w:firstLine="562" w:firstLineChars="200"/>
        <w:rPr>
          <w:rFonts w:ascii="Times New Roman" w:hAnsi="Times New Roman" w:eastAsia="仿宋_GB2312" w:cs="Times New Roman"/>
          <w:color w:val="000000"/>
          <w:sz w:val="28"/>
          <w:szCs w:val="32"/>
        </w:rPr>
      </w:pPr>
      <w:r>
        <w:rPr>
          <w:rFonts w:ascii="Times New Roman" w:hAnsi="Times New Roman" w:eastAsia="仿宋_GB2312" w:cs="Times New Roman"/>
          <w:b/>
          <w:color w:val="000000"/>
          <w:sz w:val="28"/>
          <w:szCs w:val="32"/>
        </w:rPr>
        <w:t xml:space="preserve">2.2 </w:t>
      </w:r>
      <w:r>
        <w:rPr>
          <w:rFonts w:ascii="Times New Roman" w:hAnsi="Times New Roman" w:eastAsia="仿宋_GB2312" w:cs="Times New Roman"/>
          <w:color w:val="000000"/>
          <w:sz w:val="28"/>
          <w:szCs w:val="32"/>
        </w:rPr>
        <w:t>建设地点：</w:t>
      </w:r>
      <w:r>
        <w:rPr>
          <w:rFonts w:ascii="Times New Roman" w:hAnsi="Times New Roman" w:eastAsia="仿宋_GB2312" w:cs="Times New Roman"/>
          <w:color w:val="000000"/>
          <w:sz w:val="28"/>
          <w:szCs w:val="32"/>
          <w:u w:val="single"/>
        </w:rPr>
        <w:t xml:space="preserve">                             </w:t>
      </w:r>
      <w:r>
        <w:rPr>
          <w:rFonts w:ascii="Times New Roman" w:hAnsi="Times New Roman" w:eastAsia="仿宋_GB2312" w:cs="Times New Roman"/>
          <w:color w:val="000000"/>
          <w:sz w:val="28"/>
          <w:szCs w:val="32"/>
        </w:rPr>
        <w:t>。</w:t>
      </w:r>
    </w:p>
    <w:p>
      <w:pPr>
        <w:pStyle w:val="40"/>
        <w:snapToGrid w:val="0"/>
        <w:spacing w:before="0" w:beforeAutospacing="0" w:after="0" w:afterAutospacing="0" w:line="490" w:lineRule="exact"/>
        <w:ind w:firstLine="562" w:firstLineChars="200"/>
        <w:rPr>
          <w:rFonts w:ascii="Times New Roman" w:hAnsi="Times New Roman" w:eastAsia="仿宋_GB2312" w:cs="Times New Roman"/>
          <w:color w:val="000000"/>
          <w:sz w:val="28"/>
          <w:szCs w:val="32"/>
        </w:rPr>
      </w:pPr>
      <w:r>
        <w:rPr>
          <w:rFonts w:ascii="Times New Roman" w:hAnsi="Times New Roman" w:eastAsia="仿宋_GB2312" w:cs="Times New Roman"/>
          <w:b/>
          <w:color w:val="000000"/>
          <w:sz w:val="28"/>
          <w:szCs w:val="32"/>
        </w:rPr>
        <w:t xml:space="preserve">2.3 </w:t>
      </w:r>
      <w:r>
        <w:rPr>
          <w:rFonts w:ascii="Times New Roman" w:hAnsi="Times New Roman" w:eastAsia="仿宋_GB2312" w:cs="Times New Roman"/>
          <w:color w:val="000000"/>
          <w:sz w:val="28"/>
          <w:szCs w:val="32"/>
        </w:rPr>
        <w:t>建设规模（项目工程等别、建筑物级别、项目特性、总投资额、总工期等）：</w:t>
      </w:r>
      <w:r>
        <w:rPr>
          <w:rFonts w:ascii="Times New Roman" w:hAnsi="Times New Roman" w:eastAsia="仿宋_GB2312" w:cs="Times New Roman"/>
          <w:color w:val="000000"/>
          <w:sz w:val="28"/>
          <w:szCs w:val="32"/>
          <w:u w:val="single"/>
        </w:rPr>
        <w:t xml:space="preserve">        </w:t>
      </w:r>
      <w:r>
        <w:rPr>
          <w:rFonts w:ascii="Times New Roman" w:hAnsi="Times New Roman" w:eastAsia="仿宋_GB2312" w:cs="Times New Roman"/>
          <w:color w:val="000000"/>
          <w:sz w:val="28"/>
          <w:szCs w:val="32"/>
        </w:rPr>
        <w:t>。</w:t>
      </w:r>
    </w:p>
    <w:p>
      <w:pPr>
        <w:pStyle w:val="40"/>
        <w:snapToGrid w:val="0"/>
        <w:spacing w:before="0" w:beforeAutospacing="0" w:after="0" w:afterAutospacing="0" w:line="490" w:lineRule="exact"/>
        <w:ind w:firstLine="562" w:firstLineChars="200"/>
        <w:rPr>
          <w:rFonts w:ascii="Times New Roman" w:hAnsi="Times New Roman" w:eastAsia="仿宋_GB2312" w:cs="Times New Roman"/>
          <w:color w:val="000000"/>
          <w:sz w:val="28"/>
          <w:szCs w:val="32"/>
        </w:rPr>
      </w:pPr>
      <w:r>
        <w:rPr>
          <w:rFonts w:ascii="Times New Roman" w:hAnsi="Times New Roman" w:eastAsia="仿宋_GB2312" w:cs="Times New Roman"/>
          <w:b/>
          <w:color w:val="000000"/>
          <w:sz w:val="28"/>
          <w:szCs w:val="32"/>
        </w:rPr>
        <w:t xml:space="preserve">2.4 </w:t>
      </w:r>
      <w:r>
        <w:rPr>
          <w:rFonts w:ascii="Times New Roman" w:hAnsi="Times New Roman" w:eastAsia="仿宋_GB2312" w:cs="Times New Roman"/>
          <w:color w:val="000000"/>
          <w:sz w:val="28"/>
          <w:szCs w:val="32"/>
        </w:rPr>
        <w:t>招标范围、标段划分及相应计划工期：</w:t>
      </w:r>
      <w:r>
        <w:rPr>
          <w:rFonts w:ascii="Times New Roman" w:hAnsi="Times New Roman" w:eastAsia="仿宋_GB2312" w:cs="Times New Roman"/>
          <w:color w:val="000000"/>
          <w:sz w:val="28"/>
          <w:szCs w:val="32"/>
          <w:u w:val="single"/>
        </w:rPr>
        <w:t xml:space="preserve">             </w:t>
      </w:r>
      <w:r>
        <w:rPr>
          <w:rFonts w:ascii="Times New Roman" w:hAnsi="Times New Roman" w:eastAsia="仿宋_GB2312" w:cs="Times New Roman"/>
          <w:color w:val="000000"/>
          <w:sz w:val="28"/>
          <w:szCs w:val="32"/>
        </w:rPr>
        <w:t>。</w:t>
      </w:r>
    </w:p>
    <w:p>
      <w:pPr>
        <w:pStyle w:val="40"/>
        <w:snapToGrid w:val="0"/>
        <w:spacing w:before="0" w:beforeAutospacing="0" w:after="0" w:afterAutospacing="0" w:line="490" w:lineRule="exact"/>
        <w:ind w:firstLine="562" w:firstLineChars="200"/>
        <w:rPr>
          <w:rFonts w:ascii="Times New Roman" w:hAnsi="Times New Roman" w:eastAsia="仿宋_GB2312" w:cs="Times New Roman"/>
          <w:color w:val="000000"/>
          <w:sz w:val="28"/>
          <w:szCs w:val="32"/>
        </w:rPr>
      </w:pPr>
      <w:r>
        <w:rPr>
          <w:rFonts w:ascii="Times New Roman" w:hAnsi="Times New Roman" w:eastAsia="仿宋_GB2312" w:cs="Times New Roman"/>
          <w:b/>
          <w:color w:val="000000"/>
          <w:sz w:val="28"/>
          <w:szCs w:val="32"/>
        </w:rPr>
        <w:t>2.5</w:t>
      </w:r>
      <w:r>
        <w:rPr>
          <w:rFonts w:ascii="Times New Roman" w:hAnsi="Times New Roman" w:eastAsia="仿宋_GB2312" w:cs="Times New Roman"/>
          <w:color w:val="000000"/>
          <w:sz w:val="28"/>
          <w:szCs w:val="32"/>
        </w:rPr>
        <w:t xml:space="preserve"> 质量要求：</w:t>
      </w:r>
      <w:r>
        <w:rPr>
          <w:rFonts w:ascii="Times New Roman" w:hAnsi="Times New Roman" w:eastAsia="仿宋_GB2312" w:cs="Times New Roman"/>
          <w:color w:val="000000"/>
          <w:sz w:val="28"/>
          <w:szCs w:val="32"/>
          <w:u w:val="single"/>
        </w:rPr>
        <w:t xml:space="preserve">             </w:t>
      </w:r>
      <w:r>
        <w:rPr>
          <w:rFonts w:ascii="Times New Roman" w:hAnsi="Times New Roman" w:eastAsia="仿宋_GB2312" w:cs="Times New Roman"/>
          <w:color w:val="000000"/>
          <w:sz w:val="28"/>
          <w:szCs w:val="32"/>
        </w:rPr>
        <w:t>。</w:t>
      </w:r>
    </w:p>
    <w:p>
      <w:pPr>
        <w:pStyle w:val="40"/>
        <w:snapToGrid w:val="0"/>
        <w:spacing w:before="0" w:beforeAutospacing="0" w:after="0" w:afterAutospacing="0" w:line="490" w:lineRule="exact"/>
        <w:ind w:firstLine="562" w:firstLineChars="200"/>
        <w:rPr>
          <w:rFonts w:ascii="Times New Roman" w:hAnsi="Times New Roman" w:eastAsia="仿宋_GB2312" w:cs="Times New Roman"/>
          <w:color w:val="000000"/>
          <w:sz w:val="28"/>
          <w:szCs w:val="32"/>
        </w:rPr>
      </w:pPr>
      <w:r>
        <w:rPr>
          <w:rFonts w:ascii="Times New Roman" w:hAnsi="Times New Roman" w:eastAsia="仿宋_GB2312" w:cs="Times New Roman"/>
          <w:b/>
          <w:color w:val="000000"/>
          <w:sz w:val="28"/>
          <w:szCs w:val="32"/>
        </w:rPr>
        <w:t>2.6</w:t>
      </w:r>
      <w:r>
        <w:rPr>
          <w:rFonts w:ascii="Times New Roman" w:hAnsi="Times New Roman" w:eastAsia="仿宋_GB2312" w:cs="Times New Roman"/>
          <w:color w:val="000000"/>
          <w:sz w:val="28"/>
          <w:szCs w:val="32"/>
        </w:rPr>
        <w:t xml:space="preserve"> </w:t>
      </w:r>
      <w:r>
        <w:rPr>
          <w:rFonts w:hint="eastAsia" w:ascii="Times New Roman" w:hAnsi="Times New Roman" w:eastAsia="仿宋_GB2312" w:cs="Times New Roman"/>
          <w:b/>
          <w:color w:val="000000"/>
          <w:sz w:val="28"/>
          <w:szCs w:val="32"/>
        </w:rPr>
        <w:t>投标人可以就本招标项目上述标段中的</w:t>
      </w:r>
      <w:r>
        <w:rPr>
          <w:rFonts w:hint="eastAsia" w:ascii="Times New Roman" w:hAnsi="Times New Roman" w:eastAsia="仿宋_GB2312" w:cs="Times New Roman"/>
          <w:bCs/>
          <w:color w:val="000000"/>
          <w:sz w:val="28"/>
          <w:szCs w:val="32"/>
          <w:u w:val="single"/>
        </w:rPr>
        <w:t xml:space="preserve">  </w:t>
      </w:r>
      <w:r>
        <w:rPr>
          <w:rFonts w:hint="eastAsia" w:ascii="Times New Roman" w:hAnsi="Times New Roman" w:eastAsia="仿宋_GB2312" w:cs="Times New Roman"/>
          <w:b/>
          <w:color w:val="000000"/>
          <w:sz w:val="28"/>
          <w:szCs w:val="32"/>
          <w:u w:val="single"/>
        </w:rPr>
        <w:t>具体数量</w:t>
      </w:r>
      <w:r>
        <w:rPr>
          <w:rFonts w:hint="eastAsia" w:ascii="Times New Roman" w:hAnsi="Times New Roman" w:eastAsia="仿宋_GB2312" w:cs="Times New Roman"/>
          <w:bCs/>
          <w:color w:val="000000"/>
          <w:sz w:val="28"/>
          <w:szCs w:val="32"/>
          <w:u w:val="single"/>
        </w:rPr>
        <w:t xml:space="preserve"> </w:t>
      </w:r>
      <w:r>
        <w:rPr>
          <w:rFonts w:hint="eastAsia" w:ascii="Times New Roman" w:hAnsi="Times New Roman" w:eastAsia="仿宋_GB2312" w:cs="Times New Roman"/>
          <w:b/>
          <w:color w:val="000000"/>
          <w:sz w:val="28"/>
          <w:szCs w:val="32"/>
        </w:rPr>
        <w:t>个标段投标，但最多允许中标</w:t>
      </w:r>
      <w:r>
        <w:rPr>
          <w:rFonts w:hint="eastAsia" w:ascii="Times New Roman" w:hAnsi="Times New Roman" w:eastAsia="仿宋_GB2312" w:cs="Times New Roman"/>
          <w:bCs/>
          <w:color w:val="000000"/>
          <w:sz w:val="28"/>
          <w:szCs w:val="32"/>
        </w:rPr>
        <w:t>1</w:t>
      </w:r>
      <w:r>
        <w:rPr>
          <w:rFonts w:hint="eastAsia" w:ascii="Times New Roman" w:hAnsi="Times New Roman" w:eastAsia="仿宋_GB2312" w:cs="Times New Roman"/>
          <w:b/>
          <w:color w:val="000000"/>
          <w:sz w:val="28"/>
          <w:szCs w:val="32"/>
        </w:rPr>
        <w:t>个标段（适用于分标段的招标项目）。</w:t>
      </w:r>
    </w:p>
    <w:p>
      <w:pPr>
        <w:pStyle w:val="40"/>
        <w:snapToGrid w:val="0"/>
        <w:spacing w:before="0" w:beforeAutospacing="0" w:after="0" w:afterAutospacing="0" w:line="490" w:lineRule="exact"/>
        <w:ind w:firstLine="562" w:firstLineChars="200"/>
        <w:rPr>
          <w:rFonts w:ascii="Times New Roman" w:hAnsi="Times New Roman" w:eastAsia="仿宋_GB2312" w:cs="Times New Roman"/>
          <w:color w:val="000000"/>
          <w:sz w:val="28"/>
          <w:szCs w:val="32"/>
        </w:rPr>
      </w:pPr>
      <w:r>
        <w:rPr>
          <w:rFonts w:hint="eastAsia" w:ascii="Times New Roman" w:hAnsi="Times New Roman" w:eastAsia="仿宋_GB2312" w:cs="Times New Roman"/>
          <w:b/>
          <w:color w:val="000000"/>
          <w:sz w:val="28"/>
          <w:szCs w:val="32"/>
        </w:rPr>
        <w:t>2.7</w:t>
      </w:r>
      <w:r>
        <w:rPr>
          <w:rFonts w:ascii="Times New Roman" w:hAnsi="Times New Roman" w:eastAsia="仿宋_GB2312" w:cs="Times New Roman"/>
          <w:color w:val="000000"/>
          <w:sz w:val="28"/>
          <w:szCs w:val="32"/>
        </w:rPr>
        <w:t>其他要求：</w:t>
      </w:r>
      <w:r>
        <w:rPr>
          <w:rFonts w:ascii="Times New Roman" w:hAnsi="Times New Roman" w:eastAsia="仿宋_GB2312" w:cs="Times New Roman"/>
          <w:color w:val="000000"/>
          <w:sz w:val="28"/>
          <w:szCs w:val="32"/>
          <w:u w:val="single"/>
        </w:rPr>
        <w:t xml:space="preserve">             </w:t>
      </w:r>
      <w:r>
        <w:rPr>
          <w:rFonts w:ascii="Times New Roman" w:hAnsi="Times New Roman" w:eastAsia="仿宋_GB2312" w:cs="Times New Roman"/>
          <w:color w:val="000000"/>
          <w:sz w:val="28"/>
          <w:szCs w:val="32"/>
        </w:rPr>
        <w:t>。</w:t>
      </w:r>
    </w:p>
    <w:p>
      <w:pPr>
        <w:pStyle w:val="106"/>
        <w:autoSpaceDE/>
        <w:autoSpaceDN/>
        <w:snapToGrid w:val="0"/>
        <w:spacing w:line="490" w:lineRule="exact"/>
        <w:ind w:firstLine="562" w:firstLineChars="200"/>
        <w:jc w:val="both"/>
        <w:outlineLvl w:val="1"/>
        <w:rPr>
          <w:rFonts w:ascii="Times New Roman" w:hAnsi="Times New Roman" w:eastAsia="仿宋_GB2312" w:cs="Times New Roman"/>
          <w:b/>
          <w:kern w:val="2"/>
          <w:sz w:val="28"/>
          <w:szCs w:val="32"/>
        </w:rPr>
      </w:pPr>
      <w:bookmarkStart w:id="37" w:name="_Toc27927"/>
      <w:bookmarkStart w:id="38" w:name="_Toc16870"/>
      <w:r>
        <w:rPr>
          <w:rFonts w:ascii="Times New Roman" w:hAnsi="Times New Roman" w:eastAsia="仿宋_GB2312" w:cs="Times New Roman"/>
          <w:b/>
          <w:kern w:val="2"/>
          <w:sz w:val="28"/>
          <w:szCs w:val="32"/>
        </w:rPr>
        <w:t>3</w:t>
      </w:r>
      <w:r>
        <w:rPr>
          <w:rFonts w:ascii="Times New Roman" w:hAnsi="Times New Roman" w:eastAsia="仿宋" w:cs="Times New Roman"/>
          <w:sz w:val="28"/>
          <w:szCs w:val="28"/>
        </w:rPr>
        <w:t>．</w:t>
      </w:r>
      <w:r>
        <w:rPr>
          <w:rFonts w:ascii="Times New Roman" w:hAnsi="Times New Roman" w:eastAsia="仿宋_GB2312" w:cs="Times New Roman"/>
          <w:b/>
          <w:kern w:val="2"/>
          <w:sz w:val="28"/>
          <w:szCs w:val="32"/>
        </w:rPr>
        <w:t>投标人资格要求</w:t>
      </w:r>
      <w:bookmarkEnd w:id="37"/>
      <w:bookmarkEnd w:id="38"/>
    </w:p>
    <w:p>
      <w:pPr>
        <w:pStyle w:val="40"/>
        <w:snapToGrid w:val="0"/>
        <w:spacing w:before="0" w:beforeAutospacing="0" w:after="0" w:afterAutospacing="0" w:line="490" w:lineRule="exact"/>
        <w:ind w:firstLine="562" w:firstLineChars="200"/>
        <w:rPr>
          <w:rFonts w:ascii="Times New Roman" w:hAnsi="Times New Roman" w:eastAsia="仿宋_GB2312" w:cs="Times New Roman"/>
          <w:color w:val="000000"/>
          <w:sz w:val="28"/>
          <w:szCs w:val="32"/>
        </w:rPr>
      </w:pPr>
      <w:r>
        <w:rPr>
          <w:rFonts w:ascii="Times New Roman" w:hAnsi="Times New Roman" w:eastAsia="仿宋_GB2312" w:cs="Times New Roman"/>
          <w:b/>
          <w:color w:val="000000"/>
          <w:sz w:val="28"/>
          <w:szCs w:val="32"/>
        </w:rPr>
        <w:t>3.1</w:t>
      </w:r>
      <w:r>
        <w:rPr>
          <w:rFonts w:ascii="Times New Roman" w:hAnsi="Times New Roman" w:eastAsia="仿宋_GB2312" w:cs="Times New Roman"/>
          <w:color w:val="000000"/>
          <w:sz w:val="28"/>
          <w:szCs w:val="32"/>
        </w:rPr>
        <w:t xml:space="preserve"> 本次招标要求投标人具有独立的法人资格，持有效的营业执照；</w:t>
      </w:r>
    </w:p>
    <w:p>
      <w:pPr>
        <w:pStyle w:val="40"/>
        <w:snapToGrid w:val="0"/>
        <w:spacing w:before="0" w:beforeAutospacing="0" w:after="0" w:afterAutospacing="0" w:line="490" w:lineRule="exact"/>
        <w:ind w:firstLine="562" w:firstLineChars="200"/>
        <w:rPr>
          <w:rFonts w:ascii="Times New Roman" w:hAnsi="Times New Roman" w:eastAsia="仿宋_GB2312" w:cs="Times New Roman"/>
          <w:color w:val="000000"/>
          <w:sz w:val="28"/>
          <w:szCs w:val="32"/>
        </w:rPr>
      </w:pPr>
      <w:r>
        <w:rPr>
          <w:rFonts w:ascii="Times New Roman" w:hAnsi="Times New Roman" w:eastAsia="仿宋_GB2312" w:cs="Times New Roman"/>
          <w:b/>
          <w:color w:val="000000"/>
          <w:sz w:val="28"/>
          <w:szCs w:val="32"/>
        </w:rPr>
        <w:t>3.2</w:t>
      </w:r>
      <w:r>
        <w:rPr>
          <w:rFonts w:ascii="Times New Roman" w:hAnsi="Times New Roman" w:eastAsia="仿宋_GB2312" w:cs="Times New Roman"/>
          <w:color w:val="000000"/>
          <w:sz w:val="28"/>
          <w:szCs w:val="32"/>
        </w:rPr>
        <w:t xml:space="preserve"> 投标人必须是在“全国建筑市场监管公共服务平台”或“湖南省智慧住建云”</w:t>
      </w:r>
      <w:r>
        <w:rPr>
          <w:rFonts w:hint="eastAsia" w:ascii="Times New Roman" w:hAnsi="Times New Roman" w:eastAsia="仿宋_GB2312" w:cs="Times New Roman"/>
          <w:color w:val="000000"/>
          <w:sz w:val="28"/>
          <w:szCs w:val="32"/>
        </w:rPr>
        <w:t>或</w:t>
      </w:r>
      <w:r>
        <w:rPr>
          <w:rFonts w:ascii="Times New Roman" w:hAnsi="Times New Roman" w:eastAsia="仿宋_GB2312" w:cs="Times New Roman"/>
          <w:color w:val="000000"/>
          <w:sz w:val="28"/>
          <w:szCs w:val="32"/>
        </w:rPr>
        <w:t>“水利部水利建设市场监管平台”</w:t>
      </w:r>
      <w:r>
        <w:rPr>
          <w:rFonts w:hint="eastAsia" w:ascii="Times New Roman" w:hAnsi="Times New Roman" w:eastAsia="仿宋_GB2312" w:cs="Times New Roman"/>
          <w:color w:val="000000"/>
          <w:sz w:val="28"/>
          <w:szCs w:val="32"/>
        </w:rPr>
        <w:t>或</w:t>
      </w:r>
      <w:r>
        <w:rPr>
          <w:rFonts w:ascii="Times New Roman" w:hAnsi="Times New Roman" w:eastAsia="仿宋_GB2312" w:cs="Times New Roman"/>
          <w:color w:val="000000"/>
          <w:sz w:val="28"/>
          <w:szCs w:val="32"/>
        </w:rPr>
        <w:t>“湖南省水利建设市场综合监管系统”</w:t>
      </w:r>
      <w:r>
        <w:rPr>
          <w:rFonts w:hint="eastAsia" w:ascii="Times New Roman" w:hAnsi="Times New Roman" w:eastAsia="仿宋_GB2312" w:cs="Times New Roman"/>
          <w:color w:val="000000"/>
          <w:sz w:val="28"/>
          <w:szCs w:val="32"/>
        </w:rPr>
        <w:t>建立信用档案的市场主体单位。</w:t>
      </w:r>
    </w:p>
    <w:p>
      <w:pPr>
        <w:pStyle w:val="40"/>
        <w:snapToGrid w:val="0"/>
        <w:spacing w:before="0" w:beforeAutospacing="0" w:after="0" w:afterAutospacing="0" w:line="490" w:lineRule="exact"/>
        <w:ind w:firstLine="562" w:firstLineChars="200"/>
        <w:rPr>
          <w:rFonts w:ascii="Times New Roman" w:hAnsi="Times New Roman" w:eastAsia="仿宋_GB2312" w:cs="Times New Roman"/>
          <w:color w:val="000000"/>
          <w:sz w:val="28"/>
          <w:szCs w:val="32"/>
        </w:rPr>
      </w:pPr>
      <w:r>
        <w:rPr>
          <w:rFonts w:ascii="Times New Roman" w:hAnsi="Times New Roman" w:eastAsia="仿宋_GB2312" w:cs="Times New Roman"/>
          <w:b/>
          <w:color w:val="000000"/>
          <w:sz w:val="28"/>
          <w:szCs w:val="32"/>
        </w:rPr>
        <w:t>3.3</w:t>
      </w:r>
      <w:r>
        <w:rPr>
          <w:rFonts w:hint="eastAsia" w:ascii="Times New Roman" w:hAnsi="Times New Roman" w:eastAsia="仿宋_GB2312" w:cs="Times New Roman"/>
          <w:b/>
          <w:color w:val="000000"/>
          <w:sz w:val="28"/>
          <w:szCs w:val="32"/>
        </w:rPr>
        <w:t xml:space="preserve"> </w:t>
      </w:r>
      <w:r>
        <w:rPr>
          <w:rFonts w:hint="eastAsia" w:ascii="Times New Roman" w:hAnsi="Times New Roman" w:eastAsia="仿宋_GB2312" w:cs="Times New Roman"/>
          <w:bCs/>
          <w:color w:val="000000"/>
          <w:sz w:val="28"/>
          <w:szCs w:val="32"/>
        </w:rPr>
        <w:sym w:font="Wingdings" w:char="00A8"/>
      </w:r>
      <w:r>
        <w:rPr>
          <w:rFonts w:hint="eastAsia" w:ascii="Times New Roman" w:hAnsi="Times New Roman" w:eastAsia="仿宋_GB2312" w:cs="Times New Roman"/>
          <w:b/>
          <w:color w:val="000000"/>
          <w:sz w:val="28"/>
          <w:szCs w:val="32"/>
        </w:rPr>
        <w:t xml:space="preserve">（A） </w:t>
      </w:r>
      <w:r>
        <w:rPr>
          <w:rFonts w:hint="eastAsia" w:ascii="Times New Roman" w:hAnsi="Times New Roman" w:eastAsia="仿宋_GB2312" w:cs="Times New Roman"/>
          <w:bCs/>
          <w:color w:val="000000"/>
          <w:sz w:val="28"/>
          <w:szCs w:val="32"/>
        </w:rPr>
        <w:t>投标人必须具备</w:t>
      </w:r>
      <w:r>
        <w:rPr>
          <w:rFonts w:ascii="Times New Roman" w:hAnsi="Times New Roman" w:eastAsia="仿宋_GB2312" w:cs="Times New Roman"/>
          <w:b/>
          <w:bCs/>
          <w:color w:val="000000"/>
          <w:sz w:val="28"/>
          <w:szCs w:val="32"/>
          <w:u w:val="single"/>
        </w:rPr>
        <w:t>建筑工程施工总承包叁级</w:t>
      </w:r>
      <w:r>
        <w:rPr>
          <w:rFonts w:ascii="Times New Roman" w:hAnsi="Times New Roman" w:eastAsia="仿宋_GB2312" w:cs="Times New Roman"/>
          <w:b/>
          <w:bCs/>
          <w:color w:val="000000"/>
          <w:sz w:val="28"/>
          <w:szCs w:val="32"/>
        </w:rPr>
        <w:t>或</w:t>
      </w:r>
      <w:r>
        <w:rPr>
          <w:rFonts w:ascii="Times New Roman" w:hAnsi="Times New Roman" w:eastAsia="仿宋_GB2312" w:cs="Times New Roman"/>
          <w:b/>
          <w:bCs/>
          <w:color w:val="000000"/>
          <w:sz w:val="28"/>
          <w:szCs w:val="32"/>
          <w:u w:val="single"/>
        </w:rPr>
        <w:t>市政公用工程施工总承包叁级</w:t>
      </w:r>
      <w:r>
        <w:rPr>
          <w:rFonts w:ascii="Times New Roman" w:hAnsi="Times New Roman" w:eastAsia="仿宋_GB2312" w:cs="Times New Roman"/>
          <w:b/>
          <w:bCs/>
          <w:color w:val="000000"/>
          <w:sz w:val="28"/>
          <w:szCs w:val="32"/>
        </w:rPr>
        <w:t>或</w:t>
      </w:r>
      <w:r>
        <w:rPr>
          <w:rFonts w:ascii="Times New Roman" w:hAnsi="Times New Roman" w:eastAsia="仿宋_GB2312" w:cs="Times New Roman"/>
          <w:b/>
          <w:bCs/>
          <w:color w:val="000000"/>
          <w:sz w:val="28"/>
          <w:szCs w:val="32"/>
          <w:u w:val="single"/>
        </w:rPr>
        <w:t>水利水电工程施工总承包叁级</w:t>
      </w:r>
      <w:r>
        <w:rPr>
          <w:rFonts w:ascii="Times New Roman" w:hAnsi="Times New Roman" w:eastAsia="仿宋_GB2312" w:cs="Times New Roman"/>
          <w:color w:val="000000"/>
          <w:sz w:val="28"/>
          <w:szCs w:val="32"/>
        </w:rPr>
        <w:t>及以上资质；安全生产许可证处于有效期内；并在人员、设备、资金等方面具有承担本项目施工的能力。</w:t>
      </w:r>
    </w:p>
    <w:p>
      <w:pPr>
        <w:pStyle w:val="40"/>
        <w:snapToGrid w:val="0"/>
        <w:spacing w:before="0" w:beforeAutospacing="0" w:after="0" w:afterAutospacing="0" w:line="490" w:lineRule="exact"/>
        <w:ind w:firstLine="562" w:firstLineChars="200"/>
        <w:rPr>
          <w:rFonts w:ascii="Times New Roman" w:hAnsi="Times New Roman" w:eastAsia="仿宋_GB2312" w:cs="Times New Roman"/>
          <w:color w:val="000000"/>
          <w:sz w:val="28"/>
          <w:szCs w:val="32"/>
        </w:rPr>
      </w:pPr>
      <w:r>
        <w:rPr>
          <w:rFonts w:ascii="Times New Roman" w:hAnsi="Times New Roman" w:eastAsia="仿宋_GB2312" w:cs="Times New Roman"/>
          <w:b/>
          <w:color w:val="000000"/>
          <w:sz w:val="28"/>
          <w:szCs w:val="32"/>
        </w:rPr>
        <w:t>3.3</w:t>
      </w:r>
      <w:r>
        <w:rPr>
          <w:rFonts w:hint="eastAsia" w:ascii="Times New Roman" w:hAnsi="Times New Roman" w:eastAsia="仿宋_GB2312" w:cs="Times New Roman"/>
          <w:b/>
          <w:color w:val="000000"/>
          <w:sz w:val="28"/>
          <w:szCs w:val="32"/>
        </w:rPr>
        <w:t xml:space="preserve"> </w:t>
      </w:r>
      <w:r>
        <w:rPr>
          <w:rFonts w:hint="eastAsia" w:ascii="Times New Roman" w:hAnsi="Times New Roman" w:eastAsia="仿宋_GB2312" w:cs="Times New Roman"/>
          <w:bCs/>
          <w:color w:val="000000"/>
          <w:sz w:val="28"/>
          <w:szCs w:val="32"/>
        </w:rPr>
        <w:sym w:font="Wingdings" w:char="00A8"/>
      </w:r>
      <w:r>
        <w:rPr>
          <w:rFonts w:hint="eastAsia" w:ascii="Times New Roman" w:hAnsi="Times New Roman" w:eastAsia="仿宋_GB2312" w:cs="Times New Roman"/>
          <w:b/>
          <w:color w:val="000000"/>
          <w:sz w:val="28"/>
          <w:szCs w:val="32"/>
        </w:rPr>
        <w:t xml:space="preserve">（B） </w:t>
      </w:r>
      <w:r>
        <w:rPr>
          <w:rFonts w:hint="eastAsia" w:ascii="Times New Roman" w:hAnsi="Times New Roman" w:eastAsia="仿宋_GB2312" w:cs="Times New Roman"/>
          <w:bCs/>
          <w:color w:val="000000"/>
          <w:sz w:val="28"/>
          <w:szCs w:val="32"/>
        </w:rPr>
        <w:t>投标人必须具备</w:t>
      </w:r>
      <w:r>
        <w:rPr>
          <w:rFonts w:ascii="Times New Roman" w:hAnsi="Times New Roman" w:eastAsia="仿宋_GB2312" w:cs="Times New Roman"/>
          <w:b/>
          <w:bCs/>
          <w:color w:val="000000"/>
          <w:sz w:val="28"/>
          <w:szCs w:val="32"/>
          <w:u w:val="single"/>
        </w:rPr>
        <w:t>水利水电工程施工总承包叁级</w:t>
      </w:r>
      <w:r>
        <w:rPr>
          <w:rFonts w:ascii="Times New Roman" w:hAnsi="Times New Roman" w:eastAsia="仿宋_GB2312" w:cs="Times New Roman"/>
          <w:color w:val="000000"/>
          <w:sz w:val="28"/>
          <w:szCs w:val="32"/>
        </w:rPr>
        <w:t>及以上资质；安全生产许可证处于有效期内；并在人员、设备、资金等方面具有承担本项目施工的能力。</w:t>
      </w:r>
    </w:p>
    <w:p>
      <w:pPr>
        <w:spacing w:line="490" w:lineRule="exact"/>
        <w:ind w:firstLine="562" w:firstLineChars="200"/>
        <w:rPr>
          <w:rFonts w:eastAsia="仿宋_GB2312"/>
          <w:color w:val="000000"/>
          <w:sz w:val="28"/>
          <w:szCs w:val="32"/>
        </w:rPr>
      </w:pPr>
      <w:r>
        <w:rPr>
          <w:rFonts w:eastAsia="仿宋_GB2312"/>
          <w:b/>
          <w:color w:val="000000"/>
          <w:sz w:val="28"/>
          <w:szCs w:val="32"/>
        </w:rPr>
        <w:t>3.4</w:t>
      </w:r>
      <w:r>
        <w:rPr>
          <w:rFonts w:hint="eastAsia" w:eastAsia="仿宋_GB2312"/>
          <w:b/>
          <w:color w:val="000000"/>
          <w:sz w:val="28"/>
          <w:szCs w:val="32"/>
        </w:rPr>
        <w:t xml:space="preserve"> </w:t>
      </w:r>
      <w:r>
        <w:rPr>
          <w:rFonts w:eastAsia="仿宋_GB2312"/>
          <w:color w:val="000000"/>
          <w:sz w:val="28"/>
          <w:szCs w:val="32"/>
        </w:rPr>
        <w:t>本项目对投标人类似工程业绩不作资格要求。</w:t>
      </w:r>
    </w:p>
    <w:p>
      <w:pPr>
        <w:pStyle w:val="187"/>
        <w:autoSpaceDE/>
        <w:autoSpaceDN/>
        <w:snapToGrid w:val="0"/>
        <w:spacing w:after="0" w:line="490" w:lineRule="exact"/>
        <w:ind w:firstLine="562" w:firstLineChars="200"/>
        <w:jc w:val="both"/>
        <w:rPr>
          <w:rFonts w:ascii="Times New Roman" w:eastAsia="仿宋_GB2312" w:cs="Times New Roman"/>
          <w:color w:val="000000"/>
          <w:kern w:val="2"/>
          <w:sz w:val="28"/>
          <w:szCs w:val="32"/>
        </w:rPr>
      </w:pPr>
      <w:r>
        <w:rPr>
          <w:rFonts w:ascii="Times New Roman" w:eastAsia="仿宋_GB2312" w:cs="Times New Roman"/>
          <w:b/>
          <w:color w:val="000000"/>
          <w:kern w:val="2"/>
          <w:sz w:val="28"/>
          <w:szCs w:val="32"/>
        </w:rPr>
        <w:t>3.</w:t>
      </w:r>
      <w:r>
        <w:rPr>
          <w:rFonts w:hint="eastAsia" w:ascii="Times New Roman" w:eastAsia="仿宋_GB2312" w:cs="Times New Roman"/>
          <w:b/>
          <w:color w:val="000000"/>
          <w:kern w:val="2"/>
          <w:sz w:val="28"/>
          <w:szCs w:val="32"/>
        </w:rPr>
        <w:t>5</w:t>
      </w:r>
      <w:r>
        <w:rPr>
          <w:rFonts w:ascii="Times New Roman" w:eastAsia="仿宋_GB2312" w:cs="Times New Roman"/>
          <w:color w:val="000000"/>
          <w:kern w:val="2"/>
          <w:sz w:val="28"/>
          <w:szCs w:val="32"/>
        </w:rPr>
        <w:t xml:space="preserve"> </w:t>
      </w:r>
      <w:r>
        <w:rPr>
          <w:rFonts w:hint="eastAsia" w:ascii="Times New Roman" w:eastAsia="仿宋_GB2312" w:cs="Times New Roman"/>
          <w:bCs/>
          <w:color w:val="000000"/>
          <w:sz w:val="28"/>
          <w:szCs w:val="32"/>
        </w:rPr>
        <w:sym w:font="Wingdings" w:char="00A8"/>
      </w:r>
      <w:r>
        <w:rPr>
          <w:rFonts w:hint="eastAsia" w:ascii="Times New Roman" w:eastAsia="仿宋_GB2312" w:cs="Times New Roman"/>
          <w:color w:val="000000"/>
          <w:kern w:val="2"/>
          <w:sz w:val="28"/>
          <w:szCs w:val="32"/>
        </w:rPr>
        <w:t>（A）</w:t>
      </w:r>
      <w:r>
        <w:rPr>
          <w:rFonts w:ascii="Times New Roman" w:eastAsia="仿宋_GB2312" w:cs="Times New Roman"/>
          <w:color w:val="000000"/>
          <w:kern w:val="2"/>
          <w:sz w:val="28"/>
          <w:szCs w:val="32"/>
        </w:rPr>
        <w:t>拟任项目负责人必须是注册在本投标单位的</w:t>
      </w:r>
      <w:r>
        <w:rPr>
          <w:rFonts w:ascii="Times New Roman" w:eastAsia="仿宋_GB2312" w:cs="Times New Roman"/>
          <w:b/>
          <w:bCs/>
          <w:color w:val="000000"/>
          <w:kern w:val="2"/>
          <w:sz w:val="28"/>
          <w:szCs w:val="32"/>
          <w:u w:val="single"/>
        </w:rPr>
        <w:t>建筑工程</w:t>
      </w:r>
      <w:r>
        <w:rPr>
          <w:rFonts w:ascii="Times New Roman" w:eastAsia="仿宋_GB2312" w:cs="Times New Roman"/>
          <w:color w:val="000000"/>
          <w:kern w:val="2"/>
          <w:sz w:val="28"/>
          <w:szCs w:val="32"/>
          <w:u w:val="single"/>
        </w:rPr>
        <w:t>或</w:t>
      </w:r>
      <w:r>
        <w:rPr>
          <w:rFonts w:hint="eastAsia" w:ascii="Times New Roman" w:eastAsia="仿宋_GB2312" w:cs="Times New Roman"/>
          <w:b/>
          <w:bCs/>
          <w:color w:val="000000"/>
          <w:kern w:val="2"/>
          <w:sz w:val="28"/>
          <w:szCs w:val="32"/>
          <w:u w:val="single"/>
        </w:rPr>
        <w:t>市政公用工程</w:t>
      </w:r>
      <w:r>
        <w:rPr>
          <w:rFonts w:ascii="Times New Roman" w:eastAsia="仿宋_GB2312" w:cs="Times New Roman"/>
          <w:color w:val="000000"/>
          <w:kern w:val="2"/>
          <w:sz w:val="28"/>
          <w:szCs w:val="32"/>
          <w:u w:val="single"/>
        </w:rPr>
        <w:t>或</w:t>
      </w:r>
      <w:r>
        <w:rPr>
          <w:rFonts w:ascii="Times New Roman" w:eastAsia="仿宋_GB2312" w:cs="Times New Roman"/>
          <w:b/>
          <w:bCs/>
          <w:color w:val="000000"/>
          <w:kern w:val="2"/>
          <w:sz w:val="28"/>
          <w:szCs w:val="32"/>
          <w:u w:val="single"/>
        </w:rPr>
        <w:t>水利水电工程贰级及以上</w:t>
      </w:r>
      <w:r>
        <w:rPr>
          <w:rFonts w:ascii="Times New Roman" w:eastAsia="仿宋_GB2312" w:cs="Times New Roman"/>
          <w:color w:val="000000"/>
          <w:kern w:val="2"/>
          <w:sz w:val="28"/>
          <w:szCs w:val="32"/>
        </w:rPr>
        <w:t>建造师，具有</w:t>
      </w:r>
      <w:r>
        <w:rPr>
          <w:rFonts w:ascii="Times New Roman" w:eastAsia="仿宋_GB2312" w:cs="Times New Roman"/>
          <w:color w:val="000000"/>
          <w:kern w:val="2"/>
          <w:sz w:val="28"/>
          <w:szCs w:val="32"/>
          <w:u w:val="single"/>
        </w:rPr>
        <w:t>建设或水行政主管部门</w:t>
      </w:r>
      <w:r>
        <w:rPr>
          <w:rFonts w:ascii="Times New Roman" w:eastAsia="仿宋_GB2312" w:cs="Times New Roman"/>
          <w:color w:val="000000"/>
          <w:kern w:val="2"/>
          <w:sz w:val="28"/>
          <w:szCs w:val="32"/>
        </w:rPr>
        <w:t>颁发或核发的B类安全生产考核合格证书，且为独立投标人（或联合体牵头人）</w:t>
      </w:r>
      <w:r>
        <w:rPr>
          <w:rFonts w:hint="eastAsia" w:ascii="Times New Roman" w:eastAsia="仿宋_GB2312" w:cs="Times New Roman"/>
          <w:color w:val="000000"/>
          <w:kern w:val="2"/>
          <w:sz w:val="28"/>
          <w:szCs w:val="32"/>
        </w:rPr>
        <w:t>在职员工</w:t>
      </w:r>
      <w:r>
        <w:rPr>
          <w:rFonts w:ascii="Times New Roman" w:eastAsia="仿宋_GB2312" w:cs="Times New Roman"/>
          <w:color w:val="000000"/>
          <w:kern w:val="2"/>
          <w:sz w:val="28"/>
          <w:szCs w:val="32"/>
        </w:rPr>
        <w:t>，无在建项目（同一施工项目负责人不能同时在两个及以上的工程项目上担任施工项目负责人；无在建项目指至本项目投标截止期，无在建未完工项目或已中标（以网上发布中标侯选人公示为准）未开工项目，以及符合《注册建造师执业管理办法（试行）》第九条规定的其他情形）。（适用各类</w:t>
      </w:r>
      <w:r>
        <w:rPr>
          <w:rFonts w:hint="eastAsia" w:ascii="Times New Roman" w:eastAsia="仿宋_GB2312" w:cs="Times New Roman"/>
          <w:color w:val="000000"/>
          <w:kern w:val="2"/>
          <w:sz w:val="28"/>
          <w:szCs w:val="32"/>
        </w:rPr>
        <w:t>农田建设项目、工程</w:t>
      </w:r>
      <w:r>
        <w:rPr>
          <w:rFonts w:ascii="Times New Roman" w:eastAsia="仿宋_GB2312" w:cs="Times New Roman"/>
          <w:color w:val="000000"/>
          <w:kern w:val="2"/>
          <w:sz w:val="28"/>
          <w:szCs w:val="32"/>
        </w:rPr>
        <w:t>项目）</w:t>
      </w:r>
    </w:p>
    <w:p>
      <w:pPr>
        <w:pStyle w:val="187"/>
        <w:autoSpaceDE/>
        <w:autoSpaceDN/>
        <w:snapToGrid w:val="0"/>
        <w:spacing w:after="0" w:line="490" w:lineRule="exact"/>
        <w:ind w:firstLine="562" w:firstLineChars="200"/>
        <w:jc w:val="both"/>
        <w:rPr>
          <w:rFonts w:ascii="Times New Roman" w:eastAsia="仿宋_GB2312" w:cs="Times New Roman"/>
          <w:color w:val="000000"/>
          <w:kern w:val="2"/>
          <w:sz w:val="28"/>
          <w:szCs w:val="32"/>
        </w:rPr>
      </w:pPr>
      <w:r>
        <w:rPr>
          <w:rFonts w:ascii="Times New Roman" w:eastAsia="仿宋_GB2312" w:cs="Times New Roman"/>
          <w:b/>
          <w:color w:val="000000"/>
          <w:kern w:val="2"/>
          <w:sz w:val="28"/>
          <w:szCs w:val="32"/>
        </w:rPr>
        <w:t>3.</w:t>
      </w:r>
      <w:r>
        <w:rPr>
          <w:rFonts w:hint="eastAsia" w:ascii="Times New Roman" w:eastAsia="仿宋_GB2312" w:cs="Times New Roman"/>
          <w:b/>
          <w:color w:val="000000"/>
          <w:kern w:val="2"/>
          <w:sz w:val="28"/>
          <w:szCs w:val="32"/>
        </w:rPr>
        <w:t>5</w:t>
      </w:r>
      <w:r>
        <w:rPr>
          <w:rFonts w:ascii="Times New Roman" w:eastAsia="仿宋_GB2312" w:cs="Times New Roman"/>
          <w:color w:val="000000"/>
          <w:kern w:val="2"/>
          <w:sz w:val="28"/>
          <w:szCs w:val="32"/>
        </w:rPr>
        <w:t xml:space="preserve"> </w:t>
      </w:r>
      <w:r>
        <w:rPr>
          <w:rFonts w:hint="eastAsia" w:ascii="Times New Roman" w:eastAsia="仿宋_GB2312" w:cs="Times New Roman"/>
          <w:bCs/>
          <w:color w:val="000000"/>
          <w:sz w:val="28"/>
          <w:szCs w:val="32"/>
        </w:rPr>
        <w:sym w:font="Wingdings" w:char="00A8"/>
      </w:r>
      <w:r>
        <w:rPr>
          <w:rFonts w:hint="eastAsia" w:ascii="Times New Roman" w:eastAsia="仿宋_GB2312" w:cs="Times New Roman"/>
          <w:color w:val="000000"/>
          <w:kern w:val="2"/>
          <w:sz w:val="28"/>
          <w:szCs w:val="32"/>
        </w:rPr>
        <w:t>（B）</w:t>
      </w:r>
      <w:r>
        <w:rPr>
          <w:rFonts w:ascii="Times New Roman" w:eastAsia="仿宋_GB2312" w:cs="Times New Roman"/>
          <w:color w:val="000000"/>
          <w:kern w:val="2"/>
          <w:sz w:val="28"/>
          <w:szCs w:val="32"/>
        </w:rPr>
        <w:t>拟任项目负责人必须是注册在本投标单位的</w:t>
      </w:r>
      <w:r>
        <w:rPr>
          <w:rFonts w:ascii="Times New Roman" w:eastAsia="仿宋_GB2312" w:cs="Times New Roman"/>
          <w:b/>
          <w:bCs/>
          <w:color w:val="000000"/>
          <w:kern w:val="2"/>
          <w:sz w:val="28"/>
          <w:szCs w:val="32"/>
          <w:u w:val="single"/>
        </w:rPr>
        <w:t>水利水电工程贰级及以上</w:t>
      </w:r>
      <w:r>
        <w:rPr>
          <w:rFonts w:ascii="Times New Roman" w:eastAsia="仿宋_GB2312" w:cs="Times New Roman"/>
          <w:color w:val="000000"/>
          <w:kern w:val="2"/>
          <w:sz w:val="28"/>
          <w:szCs w:val="32"/>
        </w:rPr>
        <w:t>建造师，具有</w:t>
      </w:r>
      <w:r>
        <w:rPr>
          <w:rFonts w:ascii="Times New Roman" w:eastAsia="仿宋_GB2312" w:cs="Times New Roman"/>
          <w:color w:val="000000"/>
          <w:kern w:val="2"/>
          <w:sz w:val="28"/>
          <w:szCs w:val="32"/>
          <w:u w:val="single"/>
        </w:rPr>
        <w:t>水行政主管部门</w:t>
      </w:r>
      <w:r>
        <w:rPr>
          <w:rFonts w:ascii="Times New Roman" w:eastAsia="仿宋_GB2312" w:cs="Times New Roman"/>
          <w:color w:val="000000"/>
          <w:kern w:val="2"/>
          <w:sz w:val="28"/>
          <w:szCs w:val="32"/>
        </w:rPr>
        <w:t>颁发或核发的B类安全生产考核合格证书，且为独立投标人（或联合体牵头人）</w:t>
      </w:r>
      <w:r>
        <w:rPr>
          <w:rFonts w:hint="eastAsia" w:ascii="Times New Roman" w:eastAsia="仿宋_GB2312" w:cs="Times New Roman"/>
          <w:color w:val="000000"/>
          <w:kern w:val="2"/>
          <w:sz w:val="28"/>
          <w:szCs w:val="32"/>
        </w:rPr>
        <w:t>在职员工</w:t>
      </w:r>
      <w:r>
        <w:rPr>
          <w:rFonts w:ascii="Times New Roman" w:eastAsia="仿宋_GB2312" w:cs="Times New Roman"/>
          <w:color w:val="000000"/>
          <w:kern w:val="2"/>
          <w:sz w:val="28"/>
          <w:szCs w:val="32"/>
        </w:rPr>
        <w:t>，无在建项目（同一施工项目负责人不能同时在两个及以上的工程项目上担任施工项目负责人；无在建项目指至本项目投标截止期，无在建未完工项目或已中标（以网上发布中标侯选人公示为准）未开工项目，以及符合《注册建造师执业管理办法（试行）》第九条规定的其他情形）。（适用各类</w:t>
      </w:r>
      <w:r>
        <w:rPr>
          <w:rFonts w:hint="eastAsia" w:ascii="Times New Roman" w:eastAsia="仿宋_GB2312" w:cs="Times New Roman"/>
          <w:color w:val="000000"/>
          <w:kern w:val="2"/>
          <w:sz w:val="28"/>
          <w:szCs w:val="32"/>
        </w:rPr>
        <w:t>农田建设项目、工程</w:t>
      </w:r>
      <w:r>
        <w:rPr>
          <w:rFonts w:ascii="Times New Roman" w:eastAsia="仿宋_GB2312" w:cs="Times New Roman"/>
          <w:color w:val="000000"/>
          <w:kern w:val="2"/>
          <w:sz w:val="28"/>
          <w:szCs w:val="32"/>
        </w:rPr>
        <w:t>项目）</w:t>
      </w:r>
    </w:p>
    <w:p>
      <w:pPr>
        <w:pStyle w:val="187"/>
        <w:autoSpaceDE/>
        <w:autoSpaceDN/>
        <w:snapToGrid w:val="0"/>
        <w:spacing w:after="0" w:line="490" w:lineRule="exact"/>
        <w:ind w:firstLine="562" w:firstLineChars="200"/>
        <w:jc w:val="both"/>
        <w:rPr>
          <w:rFonts w:ascii="Times New Roman" w:eastAsia="仿宋_GB2312" w:cs="Times New Roman"/>
          <w:color w:val="000000"/>
          <w:kern w:val="2"/>
          <w:sz w:val="28"/>
          <w:szCs w:val="32"/>
        </w:rPr>
      </w:pPr>
      <w:r>
        <w:rPr>
          <w:rFonts w:ascii="Times New Roman" w:eastAsia="仿宋_GB2312" w:cs="Times New Roman"/>
          <w:b/>
          <w:color w:val="000000"/>
          <w:kern w:val="2"/>
          <w:sz w:val="28"/>
          <w:szCs w:val="32"/>
        </w:rPr>
        <w:t>3.</w:t>
      </w:r>
      <w:r>
        <w:rPr>
          <w:rFonts w:hint="eastAsia" w:ascii="Times New Roman" w:eastAsia="仿宋_GB2312" w:cs="Times New Roman"/>
          <w:b/>
          <w:color w:val="000000"/>
          <w:kern w:val="2"/>
          <w:sz w:val="28"/>
          <w:szCs w:val="32"/>
        </w:rPr>
        <w:t>6</w:t>
      </w:r>
      <w:r>
        <w:rPr>
          <w:rFonts w:ascii="Times New Roman" w:eastAsia="仿宋_GB2312" w:cs="Times New Roman"/>
          <w:b/>
          <w:color w:val="000000"/>
          <w:kern w:val="2"/>
          <w:sz w:val="28"/>
          <w:szCs w:val="32"/>
        </w:rPr>
        <w:t xml:space="preserve"> </w:t>
      </w:r>
      <w:r>
        <w:rPr>
          <w:rFonts w:hint="eastAsia" w:ascii="Times New Roman" w:eastAsia="仿宋_GB2312" w:cs="Times New Roman"/>
          <w:bCs/>
          <w:color w:val="000000"/>
          <w:sz w:val="28"/>
          <w:szCs w:val="32"/>
        </w:rPr>
        <w:sym w:font="Wingdings" w:char="00A8"/>
      </w:r>
      <w:r>
        <w:rPr>
          <w:rFonts w:hint="eastAsia" w:ascii="Times New Roman" w:eastAsia="仿宋_GB2312" w:cs="Times New Roman"/>
          <w:b/>
          <w:color w:val="000000"/>
          <w:kern w:val="2"/>
          <w:sz w:val="28"/>
          <w:szCs w:val="32"/>
        </w:rPr>
        <w:t>（A）</w:t>
      </w:r>
      <w:r>
        <w:rPr>
          <w:rFonts w:ascii="Times New Roman" w:eastAsia="仿宋_GB2312" w:cs="Times New Roman"/>
          <w:color w:val="000000"/>
          <w:kern w:val="2"/>
          <w:sz w:val="28"/>
          <w:szCs w:val="32"/>
        </w:rPr>
        <w:t>拟任技术负责人具有</w:t>
      </w:r>
      <w:r>
        <w:rPr>
          <w:rFonts w:ascii="Times New Roman" w:eastAsia="仿宋_GB2312" w:cs="Times New Roman"/>
          <w:b/>
          <w:bCs/>
          <w:color w:val="000000"/>
          <w:kern w:val="2"/>
          <w:sz w:val="28"/>
          <w:szCs w:val="32"/>
          <w:u w:val="single"/>
        </w:rPr>
        <w:t>建筑工程或</w:t>
      </w:r>
      <w:r>
        <w:rPr>
          <w:rFonts w:hint="eastAsia" w:ascii="Times New Roman" w:eastAsia="仿宋_GB2312" w:cs="Times New Roman"/>
          <w:b/>
          <w:bCs/>
          <w:color w:val="000000"/>
          <w:kern w:val="2"/>
          <w:sz w:val="28"/>
          <w:szCs w:val="32"/>
          <w:u w:val="single"/>
        </w:rPr>
        <w:t>市政公用工程</w:t>
      </w:r>
      <w:r>
        <w:rPr>
          <w:rFonts w:ascii="Times New Roman" w:eastAsia="仿宋_GB2312" w:cs="Times New Roman"/>
          <w:b/>
          <w:bCs/>
          <w:color w:val="000000"/>
          <w:kern w:val="2"/>
          <w:sz w:val="28"/>
          <w:szCs w:val="32"/>
          <w:u w:val="single"/>
        </w:rPr>
        <w:t>或水利水电工程相关专业中级</w:t>
      </w:r>
      <w:r>
        <w:rPr>
          <w:rFonts w:hint="eastAsia" w:ascii="Times New Roman" w:eastAsia="仿宋_GB2312" w:cs="Times New Roman"/>
          <w:b/>
          <w:bCs/>
          <w:color w:val="000000"/>
          <w:kern w:val="2"/>
          <w:sz w:val="28"/>
          <w:szCs w:val="32"/>
          <w:u w:val="single"/>
        </w:rPr>
        <w:t>及以上</w:t>
      </w:r>
      <w:r>
        <w:rPr>
          <w:rFonts w:ascii="Times New Roman" w:eastAsia="仿宋_GB2312" w:cs="Times New Roman"/>
          <w:color w:val="000000"/>
          <w:kern w:val="2"/>
          <w:sz w:val="28"/>
          <w:szCs w:val="32"/>
        </w:rPr>
        <w:t>技术职称，且为投标单位</w:t>
      </w:r>
      <w:r>
        <w:rPr>
          <w:rFonts w:hint="eastAsia" w:ascii="Times New Roman" w:eastAsia="仿宋_GB2312" w:cs="Times New Roman"/>
          <w:color w:val="000000"/>
          <w:kern w:val="2"/>
          <w:sz w:val="28"/>
          <w:szCs w:val="32"/>
        </w:rPr>
        <w:t>在职员工</w:t>
      </w:r>
      <w:r>
        <w:rPr>
          <w:rFonts w:ascii="Times New Roman" w:eastAsia="仿宋_GB2312" w:cs="Times New Roman"/>
          <w:color w:val="000000"/>
          <w:kern w:val="2"/>
          <w:sz w:val="28"/>
          <w:szCs w:val="32"/>
        </w:rPr>
        <w:t>；</w:t>
      </w:r>
    </w:p>
    <w:p>
      <w:pPr>
        <w:pStyle w:val="187"/>
        <w:autoSpaceDE/>
        <w:autoSpaceDN/>
        <w:snapToGrid w:val="0"/>
        <w:spacing w:after="0" w:line="490" w:lineRule="exact"/>
        <w:ind w:firstLine="562" w:firstLineChars="200"/>
        <w:jc w:val="both"/>
        <w:rPr>
          <w:rFonts w:ascii="Times New Roman" w:eastAsia="仿宋_GB2312" w:cs="Times New Roman"/>
          <w:color w:val="000000"/>
          <w:kern w:val="2"/>
          <w:sz w:val="28"/>
          <w:szCs w:val="32"/>
        </w:rPr>
      </w:pPr>
      <w:r>
        <w:rPr>
          <w:rFonts w:ascii="Times New Roman" w:eastAsia="仿宋_GB2312" w:cs="Times New Roman"/>
          <w:b/>
          <w:color w:val="000000"/>
          <w:kern w:val="2"/>
          <w:sz w:val="28"/>
          <w:szCs w:val="32"/>
        </w:rPr>
        <w:t>3.</w:t>
      </w:r>
      <w:r>
        <w:rPr>
          <w:rFonts w:hint="eastAsia" w:ascii="Times New Roman" w:eastAsia="仿宋_GB2312" w:cs="Times New Roman"/>
          <w:b/>
          <w:color w:val="000000"/>
          <w:kern w:val="2"/>
          <w:sz w:val="28"/>
          <w:szCs w:val="32"/>
        </w:rPr>
        <w:t>6</w:t>
      </w:r>
      <w:r>
        <w:rPr>
          <w:rFonts w:ascii="Times New Roman" w:eastAsia="仿宋_GB2312" w:cs="Times New Roman"/>
          <w:b/>
          <w:color w:val="000000"/>
          <w:kern w:val="2"/>
          <w:sz w:val="28"/>
          <w:szCs w:val="32"/>
        </w:rPr>
        <w:t xml:space="preserve"> </w:t>
      </w:r>
      <w:r>
        <w:rPr>
          <w:rFonts w:hint="eastAsia" w:ascii="Times New Roman" w:eastAsia="仿宋_GB2312" w:cs="Times New Roman"/>
          <w:bCs/>
          <w:color w:val="000000"/>
          <w:sz w:val="28"/>
          <w:szCs w:val="32"/>
        </w:rPr>
        <w:sym w:font="Wingdings" w:char="00A8"/>
      </w:r>
      <w:r>
        <w:rPr>
          <w:rFonts w:hint="eastAsia" w:ascii="Times New Roman" w:eastAsia="仿宋_GB2312" w:cs="Times New Roman"/>
          <w:b/>
          <w:color w:val="000000"/>
          <w:kern w:val="2"/>
          <w:sz w:val="28"/>
          <w:szCs w:val="32"/>
        </w:rPr>
        <w:t>（B）</w:t>
      </w:r>
      <w:r>
        <w:rPr>
          <w:rFonts w:ascii="Times New Roman" w:eastAsia="仿宋_GB2312" w:cs="Times New Roman"/>
          <w:color w:val="000000"/>
          <w:kern w:val="2"/>
          <w:sz w:val="28"/>
          <w:szCs w:val="32"/>
        </w:rPr>
        <w:t>拟任技术负责人具有</w:t>
      </w:r>
      <w:r>
        <w:rPr>
          <w:rFonts w:ascii="Times New Roman" w:eastAsia="仿宋_GB2312" w:cs="Times New Roman"/>
          <w:b/>
          <w:bCs/>
          <w:color w:val="000000"/>
          <w:kern w:val="2"/>
          <w:sz w:val="28"/>
          <w:szCs w:val="32"/>
          <w:u w:val="single"/>
        </w:rPr>
        <w:t>水利水电工程相关专业中级</w:t>
      </w:r>
      <w:r>
        <w:rPr>
          <w:rFonts w:hint="eastAsia" w:ascii="Times New Roman" w:eastAsia="仿宋_GB2312" w:cs="Times New Roman"/>
          <w:b/>
          <w:bCs/>
          <w:color w:val="000000"/>
          <w:kern w:val="2"/>
          <w:sz w:val="28"/>
          <w:szCs w:val="32"/>
          <w:u w:val="single"/>
        </w:rPr>
        <w:t>及以上</w:t>
      </w:r>
      <w:r>
        <w:rPr>
          <w:rFonts w:ascii="Times New Roman" w:eastAsia="仿宋_GB2312" w:cs="Times New Roman"/>
          <w:color w:val="000000"/>
          <w:kern w:val="2"/>
          <w:sz w:val="28"/>
          <w:szCs w:val="32"/>
        </w:rPr>
        <w:t>技术职称，且为投标单位</w:t>
      </w:r>
      <w:r>
        <w:rPr>
          <w:rFonts w:hint="eastAsia" w:ascii="Times New Roman" w:eastAsia="仿宋_GB2312" w:cs="Times New Roman"/>
          <w:color w:val="000000"/>
          <w:kern w:val="2"/>
          <w:sz w:val="28"/>
          <w:szCs w:val="32"/>
        </w:rPr>
        <w:t>在职员工</w:t>
      </w:r>
      <w:r>
        <w:rPr>
          <w:rFonts w:ascii="Times New Roman" w:eastAsia="仿宋_GB2312" w:cs="Times New Roman"/>
          <w:color w:val="000000"/>
          <w:kern w:val="2"/>
          <w:sz w:val="28"/>
          <w:szCs w:val="32"/>
        </w:rPr>
        <w:t>；</w:t>
      </w:r>
      <w:r>
        <w:rPr>
          <w:rFonts w:hint="eastAsia" w:ascii="Times New Roman" w:eastAsia="仿宋_GB2312" w:cs="Times New Roman"/>
          <w:color w:val="000000"/>
          <w:kern w:val="2"/>
          <w:sz w:val="28"/>
          <w:szCs w:val="32"/>
        </w:rPr>
        <w:t xml:space="preserve">                         </w:t>
      </w:r>
    </w:p>
    <w:p>
      <w:pPr>
        <w:pStyle w:val="40"/>
        <w:snapToGrid w:val="0"/>
        <w:spacing w:before="0" w:beforeAutospacing="0" w:after="0" w:afterAutospacing="0" w:line="490" w:lineRule="exact"/>
        <w:ind w:firstLine="562" w:firstLineChars="200"/>
        <w:rPr>
          <w:rFonts w:ascii="Times New Roman" w:hAnsi="Times New Roman" w:eastAsia="仿宋_GB2312" w:cs="Times New Roman"/>
          <w:color w:val="000000"/>
          <w:kern w:val="2"/>
          <w:sz w:val="28"/>
          <w:szCs w:val="32"/>
        </w:rPr>
      </w:pPr>
      <w:r>
        <w:rPr>
          <w:rFonts w:ascii="Times New Roman" w:hAnsi="Times New Roman" w:eastAsia="仿宋_GB2312" w:cs="Times New Roman"/>
          <w:b/>
          <w:color w:val="000000"/>
          <w:sz w:val="28"/>
          <w:szCs w:val="32"/>
        </w:rPr>
        <w:t>3.</w:t>
      </w:r>
      <w:r>
        <w:rPr>
          <w:rFonts w:hint="eastAsia" w:ascii="Times New Roman" w:hAnsi="Times New Roman" w:eastAsia="仿宋_GB2312" w:cs="Times New Roman"/>
          <w:b/>
          <w:color w:val="000000"/>
          <w:sz w:val="28"/>
          <w:szCs w:val="32"/>
        </w:rPr>
        <w:t>7</w:t>
      </w:r>
      <w:r>
        <w:rPr>
          <w:rFonts w:hint="eastAsia" w:ascii="Times New Roman" w:hAnsi="Times New Roman" w:eastAsia="仿宋_GB2312" w:cs="Times New Roman"/>
          <w:bCs/>
          <w:color w:val="000000"/>
          <w:sz w:val="28"/>
          <w:szCs w:val="32"/>
        </w:rPr>
        <w:sym w:font="Wingdings" w:char="00A8"/>
      </w:r>
      <w:r>
        <w:rPr>
          <w:rFonts w:hint="eastAsia" w:ascii="Times New Roman" w:hAnsi="Times New Roman" w:eastAsia="仿宋_GB2312" w:cs="Times New Roman"/>
          <w:b/>
          <w:color w:val="000000"/>
          <w:sz w:val="28"/>
          <w:szCs w:val="32"/>
        </w:rPr>
        <w:t>（A）</w:t>
      </w:r>
      <w:r>
        <w:rPr>
          <w:rFonts w:ascii="Times New Roman" w:hAnsi="Times New Roman" w:eastAsia="仿宋_GB2312" w:cs="Times New Roman"/>
          <w:color w:val="000000"/>
          <w:kern w:val="2"/>
          <w:sz w:val="28"/>
          <w:szCs w:val="32"/>
        </w:rPr>
        <w:t>拟任专职安全员具有建设或水行政主管部门颁发或核发的C类安全生产考核合格证书，且为投标单位</w:t>
      </w:r>
      <w:r>
        <w:rPr>
          <w:rFonts w:hint="eastAsia" w:ascii="Times New Roman" w:hAnsi="Times New Roman" w:eastAsia="仿宋_GB2312" w:cs="Times New Roman"/>
          <w:color w:val="000000"/>
          <w:kern w:val="2"/>
          <w:sz w:val="28"/>
          <w:szCs w:val="32"/>
        </w:rPr>
        <w:t>在职员工</w:t>
      </w:r>
      <w:r>
        <w:rPr>
          <w:rFonts w:ascii="Times New Roman" w:hAnsi="Times New Roman" w:eastAsia="仿宋_GB2312" w:cs="Times New Roman"/>
          <w:color w:val="000000"/>
          <w:kern w:val="2"/>
          <w:sz w:val="28"/>
          <w:szCs w:val="32"/>
        </w:rPr>
        <w:t>；</w:t>
      </w:r>
    </w:p>
    <w:p>
      <w:pPr>
        <w:pStyle w:val="40"/>
        <w:snapToGrid w:val="0"/>
        <w:spacing w:before="0" w:beforeAutospacing="0" w:after="0" w:afterAutospacing="0" w:line="490" w:lineRule="exact"/>
        <w:ind w:firstLine="562" w:firstLineChars="200"/>
        <w:rPr>
          <w:rFonts w:ascii="Times New Roman" w:hAnsi="Times New Roman" w:eastAsia="仿宋_GB2312" w:cs="Times New Roman"/>
          <w:color w:val="000000"/>
          <w:kern w:val="2"/>
          <w:sz w:val="28"/>
          <w:szCs w:val="32"/>
        </w:rPr>
      </w:pPr>
      <w:r>
        <w:rPr>
          <w:rFonts w:ascii="Times New Roman" w:hAnsi="Times New Roman" w:eastAsia="仿宋_GB2312" w:cs="Times New Roman"/>
          <w:b/>
          <w:color w:val="000000"/>
          <w:sz w:val="28"/>
          <w:szCs w:val="32"/>
        </w:rPr>
        <w:t>3.</w:t>
      </w:r>
      <w:r>
        <w:rPr>
          <w:rFonts w:hint="eastAsia" w:ascii="Times New Roman" w:hAnsi="Times New Roman" w:eastAsia="仿宋_GB2312" w:cs="Times New Roman"/>
          <w:b/>
          <w:color w:val="000000"/>
          <w:sz w:val="28"/>
          <w:szCs w:val="32"/>
        </w:rPr>
        <w:t>7</w:t>
      </w:r>
      <w:r>
        <w:rPr>
          <w:rFonts w:hint="eastAsia" w:ascii="Times New Roman" w:hAnsi="Times New Roman" w:eastAsia="仿宋_GB2312" w:cs="Times New Roman"/>
          <w:bCs/>
          <w:color w:val="000000"/>
          <w:sz w:val="28"/>
          <w:szCs w:val="32"/>
        </w:rPr>
        <w:sym w:font="Wingdings" w:char="00A8"/>
      </w:r>
      <w:r>
        <w:rPr>
          <w:rFonts w:hint="eastAsia" w:ascii="Times New Roman" w:hAnsi="Times New Roman" w:eastAsia="仿宋_GB2312" w:cs="Times New Roman"/>
          <w:b/>
          <w:color w:val="000000"/>
          <w:sz w:val="28"/>
          <w:szCs w:val="32"/>
        </w:rPr>
        <w:t>（B）</w:t>
      </w:r>
      <w:r>
        <w:rPr>
          <w:rFonts w:ascii="Times New Roman" w:hAnsi="Times New Roman" w:eastAsia="仿宋_GB2312" w:cs="Times New Roman"/>
          <w:color w:val="000000"/>
          <w:kern w:val="2"/>
          <w:sz w:val="28"/>
          <w:szCs w:val="32"/>
        </w:rPr>
        <w:t>拟任专职安全员具有水行政主管部门颁发或核发的C类安全生产考核合格证书，且为投标单位</w:t>
      </w:r>
      <w:r>
        <w:rPr>
          <w:rFonts w:hint="eastAsia" w:ascii="Times New Roman" w:hAnsi="Times New Roman" w:eastAsia="仿宋_GB2312" w:cs="Times New Roman"/>
          <w:color w:val="000000"/>
          <w:kern w:val="2"/>
          <w:sz w:val="28"/>
          <w:szCs w:val="32"/>
        </w:rPr>
        <w:t>在职员工</w:t>
      </w:r>
      <w:r>
        <w:rPr>
          <w:rFonts w:ascii="Times New Roman" w:hAnsi="Times New Roman" w:eastAsia="仿宋_GB2312" w:cs="Times New Roman"/>
          <w:color w:val="000000"/>
          <w:kern w:val="2"/>
          <w:sz w:val="28"/>
          <w:szCs w:val="32"/>
        </w:rPr>
        <w:t>；</w:t>
      </w:r>
    </w:p>
    <w:p>
      <w:pPr>
        <w:pStyle w:val="40"/>
        <w:snapToGrid w:val="0"/>
        <w:spacing w:before="0" w:beforeAutospacing="0" w:after="0" w:afterAutospacing="0" w:line="490" w:lineRule="exact"/>
        <w:ind w:firstLine="562" w:firstLineChars="200"/>
        <w:rPr>
          <w:rFonts w:ascii="Times New Roman" w:hAnsi="Times New Roman" w:eastAsia="仿宋_GB2312" w:cs="Times New Roman"/>
          <w:color w:val="000000"/>
          <w:sz w:val="28"/>
          <w:szCs w:val="32"/>
        </w:rPr>
      </w:pPr>
      <w:r>
        <w:rPr>
          <w:rFonts w:ascii="Times New Roman" w:hAnsi="Times New Roman" w:eastAsia="仿宋_GB2312" w:cs="Times New Roman"/>
          <w:b/>
          <w:color w:val="000000"/>
          <w:sz w:val="28"/>
          <w:szCs w:val="32"/>
        </w:rPr>
        <w:t>3.</w:t>
      </w:r>
      <w:r>
        <w:rPr>
          <w:rFonts w:hint="eastAsia" w:ascii="Times New Roman" w:hAnsi="Times New Roman" w:eastAsia="仿宋_GB2312" w:cs="Times New Roman"/>
          <w:b/>
          <w:color w:val="000000"/>
          <w:sz w:val="28"/>
          <w:szCs w:val="32"/>
        </w:rPr>
        <w:t>8</w:t>
      </w:r>
      <w:r>
        <w:rPr>
          <w:rFonts w:ascii="Times New Roman" w:hAnsi="Times New Roman" w:eastAsia="仿宋_GB2312" w:cs="Times New Roman"/>
          <w:b/>
          <w:color w:val="000000"/>
          <w:sz w:val="28"/>
          <w:szCs w:val="32"/>
        </w:rPr>
        <w:t xml:space="preserve"> </w:t>
      </w:r>
      <w:r>
        <w:rPr>
          <w:rFonts w:ascii="Times New Roman" w:hAnsi="Times New Roman" w:eastAsia="仿宋_GB2312" w:cs="Times New Roman"/>
          <w:color w:val="000000"/>
          <w:sz w:val="28"/>
          <w:szCs w:val="32"/>
        </w:rPr>
        <w:t>本次招标</w:t>
      </w:r>
      <w:r>
        <w:rPr>
          <w:rFonts w:ascii="Times New Roman" w:hAnsi="Times New Roman" w:eastAsia="仿宋_GB2312" w:cs="Times New Roman"/>
          <w:color w:val="000000"/>
          <w:sz w:val="28"/>
          <w:szCs w:val="32"/>
          <w:u w:val="single"/>
        </w:rPr>
        <w:t xml:space="preserve">          （</w:t>
      </w:r>
      <w:r>
        <w:rPr>
          <w:rFonts w:ascii="Times New Roman" w:hAnsi="Times New Roman" w:eastAsia="仿宋_GB2312" w:cs="Times New Roman"/>
          <w:color w:val="000000"/>
          <w:sz w:val="28"/>
          <w:szCs w:val="32"/>
        </w:rPr>
        <w:t>接受／不接受） 联合体投标。联合体投标的，应满足下列要求：</w:t>
      </w:r>
      <w:r>
        <w:rPr>
          <w:rFonts w:ascii="Times New Roman" w:hAnsi="Times New Roman" w:eastAsia="仿宋_GB2312" w:cs="Times New Roman"/>
          <w:color w:val="000000"/>
          <w:sz w:val="28"/>
          <w:szCs w:val="32"/>
          <w:u w:val="single"/>
        </w:rPr>
        <w:t xml:space="preserve">           </w:t>
      </w:r>
      <w:r>
        <w:rPr>
          <w:rFonts w:ascii="Times New Roman" w:hAnsi="Times New Roman" w:eastAsia="仿宋_GB2312" w:cs="Times New Roman"/>
          <w:color w:val="000000"/>
          <w:sz w:val="28"/>
          <w:szCs w:val="32"/>
        </w:rPr>
        <w:t>；</w:t>
      </w:r>
    </w:p>
    <w:p>
      <w:pPr>
        <w:pStyle w:val="40"/>
        <w:snapToGrid w:val="0"/>
        <w:spacing w:before="0" w:beforeAutospacing="0" w:after="0" w:afterAutospacing="0" w:line="490" w:lineRule="exact"/>
        <w:ind w:firstLine="562" w:firstLineChars="200"/>
        <w:rPr>
          <w:rFonts w:ascii="Times New Roman" w:hAnsi="Times New Roman" w:eastAsia="仿宋_GB2312" w:cs="Times New Roman"/>
          <w:b/>
          <w:color w:val="000000"/>
          <w:sz w:val="28"/>
          <w:szCs w:val="32"/>
        </w:rPr>
      </w:pPr>
      <w:r>
        <w:rPr>
          <w:rFonts w:hint="eastAsia" w:ascii="Times New Roman" w:hAnsi="Times New Roman" w:eastAsia="仿宋_GB2312" w:cs="Times New Roman"/>
          <w:b/>
          <w:color w:val="000000"/>
          <w:sz w:val="28"/>
          <w:szCs w:val="32"/>
        </w:rPr>
        <w:t>3.9</w:t>
      </w:r>
      <w:r>
        <w:rPr>
          <w:rFonts w:ascii="Times New Roman" w:hAnsi="Times New Roman" w:eastAsia="仿宋_GB2312" w:cs="Times New Roman"/>
          <w:b/>
          <w:color w:val="000000"/>
          <w:sz w:val="28"/>
          <w:szCs w:val="32"/>
        </w:rPr>
        <w:t>受到湖南省</w:t>
      </w:r>
      <w:r>
        <w:rPr>
          <w:rFonts w:hint="eastAsia" w:ascii="Times New Roman" w:hAnsi="Times New Roman" w:eastAsia="仿宋_GB2312" w:cs="Times New Roman"/>
          <w:b/>
          <w:color w:val="000000"/>
          <w:sz w:val="28"/>
          <w:szCs w:val="32"/>
        </w:rPr>
        <w:t>内相</w:t>
      </w:r>
      <w:r>
        <w:rPr>
          <w:rFonts w:ascii="Times New Roman" w:hAnsi="Times New Roman" w:eastAsia="仿宋_GB2312" w:cs="Times New Roman"/>
          <w:b/>
          <w:color w:val="000000"/>
          <w:sz w:val="28"/>
          <w:szCs w:val="32"/>
        </w:rPr>
        <w:t>关</w:t>
      </w:r>
      <w:r>
        <w:rPr>
          <w:rFonts w:hint="eastAsia" w:ascii="Times New Roman" w:hAnsi="Times New Roman" w:eastAsia="仿宋_GB2312" w:cs="Times New Roman"/>
          <w:b/>
          <w:color w:val="000000"/>
          <w:sz w:val="28"/>
          <w:szCs w:val="32"/>
        </w:rPr>
        <w:t>行政主管</w:t>
      </w:r>
      <w:r>
        <w:rPr>
          <w:rFonts w:ascii="Times New Roman" w:hAnsi="Times New Roman" w:eastAsia="仿宋_GB2312" w:cs="Times New Roman"/>
          <w:b/>
          <w:color w:val="000000"/>
          <w:sz w:val="28"/>
          <w:szCs w:val="32"/>
        </w:rPr>
        <w:t>部门取消投标资格</w:t>
      </w:r>
      <w:r>
        <w:rPr>
          <w:rFonts w:hint="eastAsia" w:ascii="Times New Roman" w:hAnsi="Times New Roman" w:eastAsia="仿宋_GB2312" w:cs="Times New Roman"/>
          <w:b/>
          <w:color w:val="000000"/>
          <w:sz w:val="28"/>
          <w:szCs w:val="32"/>
        </w:rPr>
        <w:t>及</w:t>
      </w:r>
      <w:r>
        <w:rPr>
          <w:rFonts w:ascii="Times New Roman" w:hAnsi="Times New Roman" w:eastAsia="仿宋_GB2312" w:cs="Times New Roman"/>
          <w:b/>
          <w:color w:val="000000"/>
          <w:sz w:val="28"/>
          <w:szCs w:val="32"/>
        </w:rPr>
        <w:t>以上处罚并在有效期内的从业单位和从业人员，以及被人力资源和社会保障行政</w:t>
      </w:r>
      <w:r>
        <w:rPr>
          <w:rFonts w:hint="eastAsia" w:ascii="Times New Roman" w:hAnsi="Times New Roman" w:eastAsia="仿宋_GB2312" w:cs="Times New Roman"/>
          <w:b/>
          <w:color w:val="000000"/>
          <w:sz w:val="28"/>
          <w:szCs w:val="32"/>
        </w:rPr>
        <w:t>主管</w:t>
      </w:r>
      <w:r>
        <w:rPr>
          <w:rFonts w:ascii="Times New Roman" w:hAnsi="Times New Roman" w:eastAsia="仿宋_GB2312" w:cs="Times New Roman"/>
          <w:b/>
          <w:color w:val="000000"/>
          <w:sz w:val="28"/>
          <w:szCs w:val="32"/>
        </w:rPr>
        <w:t>部门列入拖欠工资“黑名单”并在有效期内的从业单位和从业人员，禁止参与本次投标。</w:t>
      </w:r>
    </w:p>
    <w:p>
      <w:pPr>
        <w:pStyle w:val="40"/>
        <w:snapToGrid w:val="0"/>
        <w:spacing w:before="0" w:beforeAutospacing="0" w:after="0" w:afterAutospacing="0" w:line="490" w:lineRule="exact"/>
        <w:ind w:firstLine="562" w:firstLineChars="200"/>
        <w:rPr>
          <w:rFonts w:ascii="Times New Roman" w:hAnsi="Times New Roman" w:eastAsia="仿宋_GB2312" w:cs="Times New Roman"/>
          <w:color w:val="000000"/>
          <w:sz w:val="28"/>
          <w:szCs w:val="32"/>
        </w:rPr>
      </w:pPr>
      <w:r>
        <w:rPr>
          <w:rFonts w:ascii="Times New Roman" w:hAnsi="Times New Roman" w:eastAsia="仿宋_GB2312" w:cs="Times New Roman"/>
          <w:b/>
          <w:color w:val="000000"/>
          <w:sz w:val="28"/>
          <w:szCs w:val="32"/>
        </w:rPr>
        <w:t>3.1</w:t>
      </w:r>
      <w:r>
        <w:rPr>
          <w:rFonts w:hint="eastAsia" w:ascii="Times New Roman" w:hAnsi="Times New Roman" w:eastAsia="仿宋_GB2312" w:cs="Times New Roman"/>
          <w:b/>
          <w:color w:val="000000"/>
          <w:sz w:val="28"/>
          <w:szCs w:val="32"/>
        </w:rPr>
        <w:t>0</w:t>
      </w:r>
      <w:r>
        <w:rPr>
          <w:rFonts w:hint="eastAsia" w:ascii="Times New Roman" w:hAnsi="Times New Roman" w:eastAsia="仿宋_GB2312" w:cs="Times New Roman"/>
          <w:bCs/>
          <w:color w:val="000000"/>
          <w:sz w:val="28"/>
          <w:szCs w:val="32"/>
        </w:rPr>
        <w:t>其他：</w:t>
      </w:r>
      <w:r>
        <w:rPr>
          <w:rFonts w:hint="eastAsia" w:ascii="Times New Roman" w:hAnsi="Times New Roman" w:eastAsia="仿宋_GB2312" w:cs="Times New Roman"/>
          <w:bCs/>
          <w:color w:val="000000"/>
          <w:sz w:val="28"/>
          <w:szCs w:val="32"/>
          <w:u w:val="single"/>
        </w:rPr>
        <w:t xml:space="preserve">                            </w:t>
      </w:r>
      <w:r>
        <w:rPr>
          <w:rFonts w:hint="eastAsia" w:ascii="Times New Roman" w:hAnsi="Times New Roman" w:eastAsia="仿宋_GB2312" w:cs="Times New Roman"/>
          <w:bCs/>
          <w:color w:val="000000"/>
          <w:sz w:val="28"/>
          <w:szCs w:val="32"/>
        </w:rPr>
        <w:t>。</w:t>
      </w:r>
    </w:p>
    <w:p>
      <w:pPr>
        <w:pStyle w:val="106"/>
        <w:autoSpaceDE/>
        <w:autoSpaceDN/>
        <w:snapToGrid w:val="0"/>
        <w:spacing w:line="490" w:lineRule="exact"/>
        <w:ind w:firstLine="562" w:firstLineChars="200"/>
        <w:jc w:val="both"/>
        <w:outlineLvl w:val="1"/>
        <w:rPr>
          <w:rFonts w:ascii="Times New Roman" w:hAnsi="Times New Roman" w:eastAsia="仿宋_GB2312" w:cs="Times New Roman"/>
          <w:b/>
          <w:kern w:val="2"/>
          <w:sz w:val="28"/>
          <w:szCs w:val="32"/>
        </w:rPr>
      </w:pPr>
      <w:bookmarkStart w:id="39" w:name="_Toc365392733"/>
      <w:bookmarkStart w:id="40" w:name="_Toc19379"/>
      <w:bookmarkStart w:id="41" w:name="_Toc10070"/>
      <w:r>
        <w:rPr>
          <w:rFonts w:ascii="Times New Roman" w:hAnsi="Times New Roman" w:eastAsia="仿宋_GB2312" w:cs="Times New Roman"/>
          <w:b/>
          <w:kern w:val="2"/>
          <w:sz w:val="28"/>
          <w:szCs w:val="32"/>
        </w:rPr>
        <w:t>4</w:t>
      </w:r>
      <w:bookmarkEnd w:id="39"/>
      <w:r>
        <w:rPr>
          <w:rFonts w:ascii="Times New Roman" w:hAnsi="Times New Roman" w:eastAsia="仿宋" w:cs="Times New Roman"/>
          <w:sz w:val="28"/>
          <w:szCs w:val="28"/>
        </w:rPr>
        <w:t>．</w:t>
      </w:r>
      <w:r>
        <w:rPr>
          <w:rFonts w:ascii="Times New Roman" w:hAnsi="Times New Roman" w:eastAsia="仿宋_GB2312" w:cs="Times New Roman"/>
          <w:b/>
          <w:kern w:val="2"/>
          <w:sz w:val="28"/>
          <w:szCs w:val="32"/>
        </w:rPr>
        <w:t>招标文件的获取及修改、澄清答疑发布</w:t>
      </w:r>
      <w:bookmarkEnd w:id="40"/>
      <w:bookmarkEnd w:id="41"/>
    </w:p>
    <w:p>
      <w:pPr>
        <w:pStyle w:val="40"/>
        <w:snapToGrid w:val="0"/>
        <w:spacing w:before="0" w:beforeAutospacing="0" w:after="0" w:afterAutospacing="0" w:line="490" w:lineRule="exact"/>
        <w:ind w:firstLine="562" w:firstLineChars="200"/>
        <w:rPr>
          <w:rFonts w:hint="eastAsia" w:ascii="Times New Roman" w:hAnsi="Times New Roman" w:eastAsia="仿宋_GB2312" w:cs="Times New Roman"/>
          <w:color w:val="000000"/>
          <w:sz w:val="28"/>
          <w:szCs w:val="32"/>
        </w:rPr>
      </w:pPr>
      <w:r>
        <w:rPr>
          <w:rFonts w:ascii="Times New Roman" w:hAnsi="Times New Roman" w:eastAsia="仿宋_GB2312" w:cs="Times New Roman"/>
          <w:b/>
          <w:color w:val="000000"/>
          <w:sz w:val="28"/>
          <w:szCs w:val="32"/>
        </w:rPr>
        <w:t xml:space="preserve">4.1 </w:t>
      </w:r>
      <w:r>
        <w:rPr>
          <w:rFonts w:ascii="Times New Roman" w:hAnsi="Times New Roman" w:eastAsia="仿宋_GB2312" w:cs="Times New Roman"/>
          <w:color w:val="000000"/>
          <w:sz w:val="28"/>
          <w:szCs w:val="32"/>
        </w:rPr>
        <w:t>请有意参加的投标人从</w:t>
      </w:r>
      <w:r>
        <w:rPr>
          <w:rFonts w:ascii="Times New Roman" w:hAnsi="Times New Roman" w:eastAsia="仿宋_GB2312" w:cs="Times New Roman"/>
          <w:color w:val="000000"/>
          <w:sz w:val="28"/>
          <w:szCs w:val="32"/>
          <w:u w:val="single"/>
        </w:rPr>
        <w:t xml:space="preserve">     </w:t>
      </w:r>
      <w:r>
        <w:rPr>
          <w:rFonts w:ascii="Times New Roman" w:hAnsi="Times New Roman" w:eastAsia="仿宋_GB2312" w:cs="Times New Roman"/>
          <w:color w:val="000000"/>
          <w:sz w:val="28"/>
          <w:szCs w:val="32"/>
        </w:rPr>
        <w:t>年</w:t>
      </w:r>
      <w:r>
        <w:rPr>
          <w:rFonts w:ascii="Times New Roman" w:hAnsi="Times New Roman" w:eastAsia="仿宋_GB2312" w:cs="Times New Roman"/>
          <w:color w:val="000000"/>
          <w:sz w:val="28"/>
          <w:szCs w:val="32"/>
          <w:u w:val="single"/>
        </w:rPr>
        <w:t xml:space="preserve">   </w:t>
      </w:r>
      <w:r>
        <w:rPr>
          <w:rFonts w:ascii="Times New Roman" w:hAnsi="Times New Roman" w:eastAsia="仿宋_GB2312" w:cs="Times New Roman"/>
          <w:color w:val="000000"/>
          <w:sz w:val="28"/>
          <w:szCs w:val="32"/>
        </w:rPr>
        <w:t>月</w:t>
      </w:r>
      <w:r>
        <w:rPr>
          <w:rFonts w:ascii="Times New Roman" w:hAnsi="Times New Roman" w:eastAsia="仿宋_GB2312" w:cs="Times New Roman"/>
          <w:color w:val="000000"/>
          <w:sz w:val="28"/>
          <w:szCs w:val="32"/>
          <w:u w:val="single"/>
        </w:rPr>
        <w:t xml:space="preserve">   </w:t>
      </w:r>
      <w:r>
        <w:rPr>
          <w:rFonts w:ascii="Times New Roman" w:hAnsi="Times New Roman" w:eastAsia="仿宋_GB2312" w:cs="Times New Roman"/>
          <w:color w:val="000000"/>
          <w:sz w:val="28"/>
          <w:szCs w:val="32"/>
        </w:rPr>
        <w:t>日～</w:t>
      </w:r>
      <w:r>
        <w:rPr>
          <w:rFonts w:ascii="Times New Roman" w:hAnsi="Times New Roman" w:eastAsia="仿宋_GB2312" w:cs="Times New Roman"/>
          <w:color w:val="000000"/>
          <w:sz w:val="28"/>
          <w:szCs w:val="32"/>
          <w:u w:val="single"/>
        </w:rPr>
        <w:t xml:space="preserve">    </w:t>
      </w:r>
      <w:r>
        <w:rPr>
          <w:rFonts w:ascii="Times New Roman" w:hAnsi="Times New Roman" w:eastAsia="仿宋_GB2312" w:cs="Times New Roman"/>
          <w:color w:val="000000"/>
          <w:sz w:val="28"/>
          <w:szCs w:val="32"/>
        </w:rPr>
        <w:t>年</w:t>
      </w:r>
      <w:r>
        <w:rPr>
          <w:rFonts w:ascii="Times New Roman" w:hAnsi="Times New Roman" w:eastAsia="仿宋_GB2312" w:cs="Times New Roman"/>
          <w:color w:val="000000"/>
          <w:sz w:val="28"/>
          <w:szCs w:val="32"/>
          <w:u w:val="single"/>
        </w:rPr>
        <w:t xml:space="preserve">   </w:t>
      </w:r>
      <w:r>
        <w:rPr>
          <w:rFonts w:ascii="Times New Roman" w:hAnsi="Times New Roman" w:eastAsia="仿宋_GB2312" w:cs="Times New Roman"/>
          <w:color w:val="000000"/>
          <w:sz w:val="28"/>
          <w:szCs w:val="32"/>
        </w:rPr>
        <w:t>月</w:t>
      </w:r>
      <w:r>
        <w:rPr>
          <w:rFonts w:ascii="Times New Roman" w:hAnsi="Times New Roman" w:eastAsia="仿宋_GB2312" w:cs="Times New Roman"/>
          <w:color w:val="000000"/>
          <w:sz w:val="28"/>
          <w:szCs w:val="32"/>
          <w:u w:val="single"/>
        </w:rPr>
        <w:tab/>
      </w:r>
      <w:r>
        <w:rPr>
          <w:rFonts w:ascii="Times New Roman" w:hAnsi="Times New Roman" w:eastAsia="仿宋_GB2312" w:cs="Times New Roman"/>
          <w:color w:val="000000"/>
          <w:sz w:val="28"/>
          <w:szCs w:val="32"/>
          <w:u w:val="single"/>
        </w:rPr>
        <w:t xml:space="preserve"> </w:t>
      </w:r>
      <w:r>
        <w:rPr>
          <w:rFonts w:ascii="Times New Roman" w:hAnsi="Times New Roman" w:eastAsia="仿宋_GB2312" w:cs="Times New Roman"/>
          <w:color w:val="000000"/>
          <w:sz w:val="28"/>
          <w:szCs w:val="32"/>
        </w:rPr>
        <w:t>日</w:t>
      </w:r>
      <w:r>
        <w:rPr>
          <w:rFonts w:ascii="Times New Roman" w:hAnsi="Times New Roman" w:eastAsia="仿宋_GB2312" w:cs="Times New Roman"/>
          <w:color w:val="000000"/>
          <w:sz w:val="28"/>
          <w:szCs w:val="32"/>
          <w:u w:val="single"/>
        </w:rPr>
        <w:t xml:space="preserve">    </w:t>
      </w:r>
      <w:r>
        <w:rPr>
          <w:rFonts w:ascii="Times New Roman" w:hAnsi="Times New Roman" w:eastAsia="仿宋_GB2312" w:cs="Times New Roman"/>
          <w:color w:val="000000"/>
          <w:sz w:val="28"/>
          <w:szCs w:val="32"/>
        </w:rPr>
        <w:t>时止（北京时间）在</w:t>
      </w:r>
      <w:r>
        <w:rPr>
          <w:rFonts w:ascii="Times New Roman" w:hAnsi="Times New Roman" w:eastAsia="仿宋_GB2312" w:cs="Times New Roman"/>
          <w:color w:val="000000"/>
          <w:sz w:val="28"/>
          <w:szCs w:val="32"/>
          <w:u w:val="single"/>
        </w:rPr>
        <w:tab/>
      </w:r>
      <w:r>
        <w:rPr>
          <w:rFonts w:ascii="Times New Roman" w:hAnsi="Times New Roman" w:eastAsia="仿宋_GB2312" w:cs="Times New Roman"/>
          <w:color w:val="000000"/>
          <w:sz w:val="28"/>
          <w:szCs w:val="32"/>
          <w:u w:val="single"/>
        </w:rPr>
        <w:tab/>
      </w:r>
      <w:r>
        <w:rPr>
          <w:rFonts w:ascii="Times New Roman" w:hAnsi="Times New Roman" w:eastAsia="仿宋_GB2312" w:cs="Times New Roman"/>
          <w:color w:val="000000"/>
          <w:sz w:val="28"/>
          <w:szCs w:val="32"/>
          <w:u w:val="single"/>
        </w:rPr>
        <w:tab/>
      </w:r>
      <w:r>
        <w:rPr>
          <w:rFonts w:ascii="Times New Roman" w:hAnsi="Times New Roman" w:eastAsia="仿宋_GB2312" w:cs="Times New Roman"/>
          <w:color w:val="000000"/>
          <w:sz w:val="28"/>
          <w:szCs w:val="32"/>
          <w:u w:val="single"/>
        </w:rPr>
        <w:tab/>
      </w:r>
      <w:r>
        <w:rPr>
          <w:rFonts w:ascii="Times New Roman" w:hAnsi="Times New Roman" w:eastAsia="仿宋_GB2312" w:cs="Times New Roman"/>
          <w:color w:val="000000"/>
          <w:sz w:val="28"/>
          <w:szCs w:val="32"/>
        </w:rPr>
        <w:t>网上下载获取招标文件、图纸及工程量清单</w:t>
      </w:r>
      <w:r>
        <w:rPr>
          <w:rFonts w:hint="eastAsia" w:ascii="Times New Roman" w:hAnsi="Times New Roman" w:eastAsia="仿宋_GB2312" w:cs="Times New Roman"/>
          <w:color w:val="000000"/>
          <w:sz w:val="28"/>
          <w:szCs w:val="32"/>
        </w:rPr>
        <w:t>（</w:t>
      </w:r>
      <w:r>
        <w:rPr>
          <w:rFonts w:ascii="Times New Roman" w:hAnsi="Times New Roman" w:eastAsia="仿宋_GB2312" w:cs="Times New Roman"/>
          <w:color w:val="000000"/>
          <w:sz w:val="28"/>
          <w:szCs w:val="32"/>
        </w:rPr>
        <w:t>通过网络下载</w:t>
      </w:r>
      <w:r>
        <w:rPr>
          <w:rFonts w:hint="eastAsia" w:ascii="Times New Roman" w:hAnsi="Times New Roman" w:eastAsia="仿宋_GB2312" w:cs="Times New Roman"/>
          <w:color w:val="000000"/>
          <w:sz w:val="28"/>
          <w:szCs w:val="32"/>
        </w:rPr>
        <w:t>的</w:t>
      </w:r>
      <w:r>
        <w:rPr>
          <w:rFonts w:ascii="Times New Roman" w:hAnsi="Times New Roman" w:eastAsia="仿宋_GB2312" w:cs="Times New Roman"/>
          <w:color w:val="000000"/>
          <w:sz w:val="28"/>
          <w:szCs w:val="32"/>
        </w:rPr>
        <w:t>招标文件、图纸</w:t>
      </w:r>
      <w:r>
        <w:rPr>
          <w:rFonts w:hint="eastAsia" w:ascii="Times New Roman" w:hAnsi="Times New Roman" w:eastAsia="仿宋_GB2312" w:cs="Times New Roman"/>
          <w:color w:val="000000"/>
          <w:sz w:val="28"/>
          <w:szCs w:val="32"/>
        </w:rPr>
        <w:t>及</w:t>
      </w:r>
      <w:r>
        <w:rPr>
          <w:rFonts w:ascii="Times New Roman" w:hAnsi="Times New Roman" w:eastAsia="仿宋_GB2312" w:cs="Times New Roman"/>
          <w:color w:val="000000"/>
          <w:sz w:val="28"/>
          <w:szCs w:val="32"/>
        </w:rPr>
        <w:t>工程量清单与书面招标文件、图纸及工程量清单具有同等法律效力</w:t>
      </w:r>
      <w:r>
        <w:rPr>
          <w:rFonts w:hint="eastAsia" w:ascii="Times New Roman" w:hAnsi="Times New Roman" w:eastAsia="仿宋_GB2312" w:cs="Times New Roman"/>
          <w:color w:val="000000"/>
          <w:sz w:val="28"/>
          <w:szCs w:val="32"/>
        </w:rPr>
        <w:t>）。</w:t>
      </w:r>
    </w:p>
    <w:p>
      <w:pPr>
        <w:pStyle w:val="40"/>
        <w:snapToGrid w:val="0"/>
        <w:spacing w:before="0" w:beforeAutospacing="0" w:after="0" w:afterAutospacing="0" w:line="490" w:lineRule="exact"/>
        <w:ind w:firstLine="562" w:firstLineChars="200"/>
        <w:rPr>
          <w:rFonts w:ascii="Times New Roman" w:hAnsi="Times New Roman" w:eastAsia="仿宋_GB2312" w:cs="Times New Roman"/>
          <w:color w:val="000000"/>
          <w:sz w:val="28"/>
          <w:szCs w:val="32"/>
        </w:rPr>
      </w:pPr>
      <w:r>
        <w:rPr>
          <w:rFonts w:ascii="Times New Roman" w:hAnsi="Times New Roman" w:eastAsia="仿宋_GB2312" w:cs="Times New Roman"/>
          <w:b/>
          <w:color w:val="000000"/>
          <w:sz w:val="28"/>
          <w:szCs w:val="32"/>
        </w:rPr>
        <w:t xml:space="preserve">4.2 </w:t>
      </w:r>
      <w:r>
        <w:rPr>
          <w:rFonts w:ascii="Times New Roman" w:hAnsi="Times New Roman" w:eastAsia="仿宋_GB2312" w:cs="Times New Roman"/>
          <w:color w:val="000000"/>
          <w:sz w:val="28"/>
          <w:szCs w:val="32"/>
        </w:rPr>
        <w:t>投标人须先在</w:t>
      </w:r>
      <w:r>
        <w:rPr>
          <w:rFonts w:hint="eastAsia" w:ascii="Times New Roman" w:hAnsi="Times New Roman" w:eastAsia="仿宋_GB2312" w:cs="Times New Roman"/>
          <w:color w:val="000000"/>
          <w:sz w:val="28"/>
          <w:szCs w:val="32"/>
          <w:u w:val="single"/>
        </w:rPr>
        <w:t xml:space="preserve">                          </w:t>
      </w:r>
      <w:r>
        <w:rPr>
          <w:rFonts w:ascii="Times New Roman" w:hAnsi="Times New Roman" w:eastAsia="仿宋_GB2312" w:cs="Times New Roman"/>
          <w:color w:val="000000"/>
          <w:sz w:val="28"/>
          <w:szCs w:val="32"/>
        </w:rPr>
        <w:t>平台（网址：</w:t>
      </w:r>
      <w:r>
        <w:rPr>
          <w:rFonts w:ascii="Times New Roman" w:hAnsi="Times New Roman" w:eastAsia="仿宋_GB2312" w:cs="Times New Roman"/>
          <w:color w:val="000000"/>
          <w:sz w:val="28"/>
          <w:szCs w:val="32"/>
          <w:u w:val="single"/>
        </w:rPr>
        <w:t xml:space="preserve">      </w:t>
      </w:r>
      <w:r>
        <w:rPr>
          <w:rFonts w:ascii="Times New Roman" w:hAnsi="Times New Roman" w:eastAsia="仿宋_GB2312" w:cs="Times New Roman"/>
          <w:color w:val="000000"/>
          <w:sz w:val="28"/>
          <w:szCs w:val="32"/>
        </w:rPr>
        <w:t>）按交易指南专区企业注册操作说明进行注册并获取CA证书后在交易平台中下载招标文件（如有问题请联系：</w:t>
      </w:r>
      <w:r>
        <w:rPr>
          <w:rFonts w:ascii="Times New Roman" w:hAnsi="Times New Roman" w:eastAsia="仿宋_GB2312" w:cs="Times New Roman"/>
          <w:color w:val="000000"/>
          <w:sz w:val="28"/>
          <w:szCs w:val="32"/>
          <w:u w:val="single"/>
        </w:rPr>
        <w:t xml:space="preserve">        </w:t>
      </w:r>
      <w:r>
        <w:rPr>
          <w:rFonts w:ascii="Times New Roman" w:hAnsi="Times New Roman" w:eastAsia="仿宋_GB2312" w:cs="Times New Roman"/>
          <w:color w:val="000000"/>
          <w:sz w:val="28"/>
          <w:szCs w:val="32"/>
        </w:rPr>
        <w:t>）。</w:t>
      </w:r>
    </w:p>
    <w:p>
      <w:pPr>
        <w:pStyle w:val="40"/>
        <w:snapToGrid w:val="0"/>
        <w:spacing w:before="0" w:beforeAutospacing="0" w:after="0" w:afterAutospacing="0" w:line="490" w:lineRule="exact"/>
        <w:ind w:firstLine="562" w:firstLineChars="200"/>
        <w:rPr>
          <w:rFonts w:ascii="Times New Roman" w:hAnsi="Times New Roman" w:eastAsia="仿宋_GB2312" w:cs="Times New Roman"/>
          <w:color w:val="000000"/>
          <w:sz w:val="28"/>
          <w:szCs w:val="32"/>
        </w:rPr>
      </w:pPr>
      <w:r>
        <w:rPr>
          <w:rFonts w:ascii="Times New Roman" w:hAnsi="Times New Roman" w:eastAsia="仿宋_GB2312" w:cs="Times New Roman"/>
          <w:b/>
          <w:color w:val="000000"/>
          <w:sz w:val="28"/>
          <w:szCs w:val="32"/>
        </w:rPr>
        <w:t>4.3</w:t>
      </w:r>
      <w:r>
        <w:rPr>
          <w:rFonts w:ascii="Times New Roman" w:hAnsi="Times New Roman" w:eastAsia="仿宋_GB2312" w:cs="Times New Roman"/>
          <w:color w:val="000000"/>
          <w:sz w:val="28"/>
          <w:szCs w:val="32"/>
        </w:rPr>
        <w:t xml:space="preserve"> 招标人对招标文件、</w:t>
      </w:r>
      <w:r>
        <w:rPr>
          <w:rFonts w:hint="eastAsia" w:ascii="Times New Roman" w:hAnsi="Times New Roman" w:eastAsia="仿宋_GB2312" w:cs="Times New Roman"/>
          <w:color w:val="000000"/>
          <w:sz w:val="28"/>
          <w:szCs w:val="32"/>
        </w:rPr>
        <w:t>图纸及</w:t>
      </w:r>
      <w:r>
        <w:rPr>
          <w:rFonts w:ascii="Times New Roman" w:hAnsi="Times New Roman" w:eastAsia="仿宋_GB2312" w:cs="Times New Roman"/>
          <w:color w:val="000000"/>
          <w:sz w:val="28"/>
          <w:szCs w:val="32"/>
        </w:rPr>
        <w:t>工程量清单的修改、澄清答疑在</w:t>
      </w:r>
      <w:r>
        <w:rPr>
          <w:rFonts w:ascii="Times New Roman" w:hAnsi="Times New Roman" w:eastAsia="仿宋_GB2312" w:cs="Times New Roman"/>
          <w:color w:val="000000"/>
          <w:sz w:val="28"/>
          <w:szCs w:val="32"/>
          <w:u w:val="single"/>
        </w:rPr>
        <w:t xml:space="preserve">            </w:t>
      </w:r>
      <w:r>
        <w:rPr>
          <w:rFonts w:ascii="Times New Roman" w:hAnsi="Times New Roman" w:eastAsia="仿宋_GB2312" w:cs="Times New Roman"/>
          <w:color w:val="000000"/>
          <w:sz w:val="28"/>
          <w:szCs w:val="32"/>
        </w:rPr>
        <w:t>网上发布，投标人自行下载。</w:t>
      </w:r>
    </w:p>
    <w:p>
      <w:pPr>
        <w:pStyle w:val="106"/>
        <w:autoSpaceDE/>
        <w:autoSpaceDN/>
        <w:snapToGrid w:val="0"/>
        <w:spacing w:line="490" w:lineRule="exact"/>
        <w:ind w:firstLine="562" w:firstLineChars="200"/>
        <w:jc w:val="both"/>
        <w:outlineLvl w:val="1"/>
        <w:rPr>
          <w:rFonts w:ascii="Times New Roman" w:hAnsi="Times New Roman" w:eastAsia="仿宋_GB2312" w:cs="Times New Roman"/>
          <w:b/>
          <w:kern w:val="2"/>
          <w:sz w:val="28"/>
          <w:szCs w:val="32"/>
        </w:rPr>
      </w:pPr>
      <w:bookmarkStart w:id="42" w:name="_Toc19911"/>
      <w:bookmarkStart w:id="43" w:name="_Toc51091835"/>
      <w:bookmarkStart w:id="44" w:name="_Toc17802"/>
      <w:r>
        <w:rPr>
          <w:rFonts w:ascii="Times New Roman" w:hAnsi="Times New Roman" w:eastAsia="仿宋_GB2312" w:cs="Times New Roman"/>
          <w:b/>
          <w:kern w:val="2"/>
          <w:sz w:val="28"/>
          <w:szCs w:val="32"/>
        </w:rPr>
        <w:t>5</w:t>
      </w:r>
      <w:r>
        <w:rPr>
          <w:rFonts w:ascii="Times New Roman" w:hAnsi="Times New Roman" w:eastAsia="仿宋" w:cs="Times New Roman"/>
          <w:sz w:val="28"/>
          <w:szCs w:val="28"/>
        </w:rPr>
        <w:t>．</w:t>
      </w:r>
      <w:r>
        <w:rPr>
          <w:rFonts w:ascii="Times New Roman" w:hAnsi="Times New Roman" w:eastAsia="仿宋_GB2312" w:cs="Times New Roman"/>
          <w:b/>
          <w:kern w:val="2"/>
          <w:sz w:val="28"/>
          <w:szCs w:val="32"/>
        </w:rPr>
        <w:t>投标担保</w:t>
      </w:r>
      <w:bookmarkEnd w:id="42"/>
      <w:bookmarkEnd w:id="43"/>
      <w:bookmarkEnd w:id="44"/>
    </w:p>
    <w:p>
      <w:pPr>
        <w:pStyle w:val="106"/>
        <w:autoSpaceDE/>
        <w:autoSpaceDN/>
        <w:snapToGrid w:val="0"/>
        <w:spacing w:line="490" w:lineRule="exact"/>
        <w:ind w:firstLine="562" w:firstLineChars="200"/>
        <w:jc w:val="both"/>
        <w:rPr>
          <w:rFonts w:ascii="Times New Roman" w:hAnsi="Times New Roman" w:eastAsia="仿宋_GB2312" w:cs="Times New Roman"/>
          <w:b/>
          <w:kern w:val="2"/>
          <w:sz w:val="28"/>
          <w:szCs w:val="32"/>
        </w:rPr>
      </w:pPr>
      <w:r>
        <w:rPr>
          <w:rFonts w:ascii="Times New Roman" w:hAnsi="Times New Roman" w:eastAsia="仿宋_GB2312" w:cs="Times New Roman"/>
          <w:b/>
          <w:kern w:val="2"/>
          <w:sz w:val="28"/>
          <w:szCs w:val="32"/>
        </w:rPr>
        <w:t>5.1</w:t>
      </w:r>
      <w:r>
        <w:rPr>
          <w:rFonts w:hint="eastAsia" w:ascii="Times New Roman" w:hAnsi="Times New Roman" w:eastAsia="仿宋_GB2312" w:cs="Times New Roman"/>
          <w:bCs/>
          <w:sz w:val="28"/>
          <w:szCs w:val="32"/>
        </w:rPr>
        <w:sym w:font="Wingdings" w:char="00A8"/>
      </w:r>
      <w:r>
        <w:rPr>
          <w:rFonts w:ascii="Times New Roman" w:hAnsi="Times New Roman" w:eastAsia="仿宋_GB2312" w:cs="Times New Roman"/>
          <w:b/>
          <w:sz w:val="28"/>
          <w:szCs w:val="32"/>
        </w:rPr>
        <w:t xml:space="preserve">（A） </w:t>
      </w:r>
      <w:r>
        <w:rPr>
          <w:rFonts w:ascii="Times New Roman" w:hAnsi="Times New Roman" w:eastAsia="仿宋_GB2312" w:cs="Times New Roman"/>
          <w:b/>
          <w:kern w:val="2"/>
          <w:sz w:val="28"/>
          <w:szCs w:val="32"/>
        </w:rPr>
        <w:t>需递交投标担保：</w:t>
      </w:r>
      <w:r>
        <w:rPr>
          <w:rFonts w:ascii="Times New Roman" w:hAnsi="Times New Roman" w:eastAsia="仿宋_GB2312" w:cs="Times New Roman"/>
          <w:b/>
          <w:kern w:val="2"/>
          <w:sz w:val="28"/>
          <w:szCs w:val="32"/>
          <w:u w:val="single"/>
        </w:rPr>
        <w:t>详见招标文件的规定</w:t>
      </w:r>
      <w:r>
        <w:rPr>
          <w:rFonts w:ascii="Times New Roman" w:hAnsi="Times New Roman" w:eastAsia="仿宋_GB2312" w:cs="Times New Roman"/>
          <w:b/>
          <w:kern w:val="2"/>
          <w:sz w:val="28"/>
          <w:szCs w:val="32"/>
        </w:rPr>
        <w:t>。</w:t>
      </w:r>
    </w:p>
    <w:p>
      <w:pPr>
        <w:pStyle w:val="106"/>
        <w:autoSpaceDE/>
        <w:autoSpaceDN/>
        <w:snapToGrid w:val="0"/>
        <w:spacing w:line="490" w:lineRule="exact"/>
        <w:ind w:firstLine="562" w:firstLineChars="200"/>
        <w:jc w:val="both"/>
        <w:rPr>
          <w:rFonts w:ascii="Times New Roman" w:hAnsi="Times New Roman" w:eastAsia="仿宋_GB2312" w:cs="Times New Roman"/>
          <w:b/>
          <w:kern w:val="2"/>
          <w:sz w:val="28"/>
          <w:szCs w:val="32"/>
          <w:u w:val="single"/>
        </w:rPr>
      </w:pPr>
      <w:r>
        <w:rPr>
          <w:rFonts w:ascii="Times New Roman" w:hAnsi="Times New Roman" w:eastAsia="仿宋_GB2312" w:cs="Times New Roman"/>
          <w:b/>
          <w:kern w:val="2"/>
          <w:sz w:val="28"/>
          <w:szCs w:val="32"/>
        </w:rPr>
        <w:t>5.1</w:t>
      </w:r>
      <w:r>
        <w:rPr>
          <w:rFonts w:hint="eastAsia" w:ascii="Times New Roman" w:hAnsi="Times New Roman" w:eastAsia="仿宋_GB2312" w:cs="Times New Roman"/>
          <w:bCs/>
          <w:sz w:val="28"/>
          <w:szCs w:val="32"/>
        </w:rPr>
        <w:sym w:font="Wingdings" w:char="00A8"/>
      </w:r>
      <w:r>
        <w:rPr>
          <w:rFonts w:ascii="Times New Roman" w:hAnsi="Times New Roman" w:eastAsia="仿宋_GB2312" w:cs="Times New Roman"/>
          <w:b/>
          <w:sz w:val="28"/>
          <w:szCs w:val="32"/>
        </w:rPr>
        <w:t xml:space="preserve">（B） </w:t>
      </w:r>
      <w:r>
        <w:rPr>
          <w:rFonts w:ascii="Times New Roman" w:hAnsi="Times New Roman" w:eastAsia="仿宋_GB2312" w:cs="Times New Roman"/>
          <w:b/>
          <w:kern w:val="2"/>
          <w:sz w:val="28"/>
          <w:szCs w:val="32"/>
        </w:rPr>
        <w:t>不需递交投标担保。</w:t>
      </w:r>
    </w:p>
    <w:p>
      <w:pPr>
        <w:pStyle w:val="106"/>
        <w:autoSpaceDE/>
        <w:autoSpaceDN/>
        <w:snapToGrid w:val="0"/>
        <w:spacing w:line="490" w:lineRule="exact"/>
        <w:ind w:firstLine="562" w:firstLineChars="200"/>
        <w:jc w:val="both"/>
        <w:outlineLvl w:val="1"/>
        <w:rPr>
          <w:rFonts w:ascii="Times New Roman" w:hAnsi="Times New Roman" w:eastAsia="仿宋_GB2312" w:cs="Times New Roman"/>
          <w:b/>
          <w:kern w:val="2"/>
          <w:sz w:val="28"/>
          <w:szCs w:val="32"/>
        </w:rPr>
      </w:pPr>
      <w:bookmarkStart w:id="45" w:name="_Toc51091836"/>
      <w:bookmarkStart w:id="46" w:name="_Toc23315"/>
      <w:bookmarkStart w:id="47" w:name="_Toc11528"/>
      <w:r>
        <w:rPr>
          <w:rFonts w:ascii="Times New Roman" w:hAnsi="Times New Roman" w:eastAsia="仿宋_GB2312" w:cs="Times New Roman"/>
          <w:b/>
          <w:kern w:val="2"/>
          <w:sz w:val="28"/>
          <w:szCs w:val="32"/>
        </w:rPr>
        <w:t>6</w:t>
      </w:r>
      <w:r>
        <w:rPr>
          <w:rFonts w:hint="eastAsia" w:ascii="Times New Roman" w:hAnsi="Times New Roman" w:eastAsia="仿宋_GB2312" w:cs="Times New Roman"/>
          <w:b/>
          <w:kern w:val="2"/>
          <w:sz w:val="28"/>
          <w:szCs w:val="32"/>
        </w:rPr>
        <w:t xml:space="preserve">. </w:t>
      </w:r>
      <w:r>
        <w:rPr>
          <w:rFonts w:ascii="Times New Roman" w:hAnsi="Times New Roman" w:eastAsia="仿宋_GB2312" w:cs="Times New Roman"/>
          <w:b/>
          <w:kern w:val="2"/>
          <w:sz w:val="28"/>
          <w:szCs w:val="32"/>
        </w:rPr>
        <w:t>投标文件递交</w:t>
      </w:r>
      <w:bookmarkEnd w:id="45"/>
      <w:bookmarkEnd w:id="46"/>
      <w:bookmarkEnd w:id="47"/>
    </w:p>
    <w:p>
      <w:pPr>
        <w:pStyle w:val="40"/>
        <w:snapToGrid w:val="0"/>
        <w:spacing w:before="0" w:beforeAutospacing="0" w:after="0" w:afterAutospacing="0" w:line="490" w:lineRule="exact"/>
        <w:ind w:firstLine="562" w:firstLineChars="200"/>
        <w:rPr>
          <w:rFonts w:ascii="Times New Roman" w:hAnsi="Times New Roman" w:eastAsia="仿宋_GB2312" w:cs="Times New Roman"/>
          <w:color w:val="000000"/>
          <w:sz w:val="28"/>
          <w:szCs w:val="32"/>
        </w:rPr>
      </w:pPr>
      <w:r>
        <w:rPr>
          <w:rFonts w:ascii="Times New Roman" w:hAnsi="Times New Roman" w:eastAsia="仿宋_GB2312" w:cs="Times New Roman"/>
          <w:b/>
          <w:color w:val="000000"/>
          <w:sz w:val="28"/>
          <w:szCs w:val="32"/>
        </w:rPr>
        <w:t xml:space="preserve">6.1 </w:t>
      </w:r>
      <w:r>
        <w:rPr>
          <w:rFonts w:ascii="Times New Roman" w:hAnsi="Times New Roman" w:eastAsia="仿宋_GB2312" w:cs="Times New Roman"/>
          <w:color w:val="000000"/>
          <w:sz w:val="28"/>
          <w:szCs w:val="32"/>
        </w:rPr>
        <w:t>投标文件递交截止时间（投标截止时间，下同）为</w:t>
      </w:r>
      <w:r>
        <w:rPr>
          <w:rFonts w:ascii="Times New Roman" w:hAnsi="Times New Roman" w:eastAsia="仿宋_GB2312" w:cs="Times New Roman"/>
          <w:color w:val="000000"/>
          <w:sz w:val="28"/>
          <w:szCs w:val="32"/>
          <w:u w:val="single"/>
        </w:rPr>
        <w:t xml:space="preserve">     </w:t>
      </w:r>
      <w:r>
        <w:rPr>
          <w:rFonts w:ascii="Times New Roman" w:hAnsi="Times New Roman" w:eastAsia="仿宋_GB2312" w:cs="Times New Roman"/>
          <w:color w:val="000000"/>
          <w:sz w:val="28"/>
          <w:szCs w:val="32"/>
        </w:rPr>
        <w:t>年</w:t>
      </w:r>
      <w:r>
        <w:rPr>
          <w:rFonts w:ascii="Times New Roman" w:hAnsi="Times New Roman" w:eastAsia="仿宋_GB2312" w:cs="Times New Roman"/>
          <w:color w:val="000000"/>
          <w:sz w:val="28"/>
          <w:szCs w:val="32"/>
          <w:u w:val="single"/>
        </w:rPr>
        <w:t xml:space="preserve">   </w:t>
      </w:r>
      <w:r>
        <w:rPr>
          <w:rFonts w:ascii="Times New Roman" w:hAnsi="Times New Roman" w:eastAsia="仿宋_GB2312" w:cs="Times New Roman"/>
          <w:color w:val="000000"/>
          <w:sz w:val="28"/>
          <w:szCs w:val="32"/>
        </w:rPr>
        <w:t>月</w:t>
      </w:r>
    </w:p>
    <w:p>
      <w:pPr>
        <w:pStyle w:val="40"/>
        <w:snapToGrid w:val="0"/>
        <w:spacing w:before="0" w:beforeAutospacing="0" w:after="0" w:afterAutospacing="0" w:line="490" w:lineRule="exact"/>
        <w:rPr>
          <w:rFonts w:ascii="Times New Roman" w:hAnsi="Times New Roman" w:eastAsia="仿宋_GB2312" w:cs="Times New Roman"/>
          <w:color w:val="000000"/>
          <w:sz w:val="28"/>
          <w:szCs w:val="32"/>
        </w:rPr>
      </w:pPr>
      <w:r>
        <w:rPr>
          <w:rFonts w:ascii="Times New Roman" w:hAnsi="Times New Roman" w:eastAsia="仿宋_GB2312" w:cs="Times New Roman"/>
          <w:color w:val="000000"/>
          <w:sz w:val="28"/>
          <w:szCs w:val="32"/>
          <w:u w:val="single"/>
        </w:rPr>
        <w:t xml:space="preserve">   </w:t>
      </w:r>
      <w:r>
        <w:rPr>
          <w:rFonts w:ascii="Times New Roman" w:hAnsi="Times New Roman" w:eastAsia="仿宋_GB2312" w:cs="Times New Roman"/>
          <w:color w:val="000000"/>
          <w:sz w:val="28"/>
          <w:szCs w:val="32"/>
        </w:rPr>
        <w:t>日</w:t>
      </w:r>
      <w:r>
        <w:rPr>
          <w:rFonts w:ascii="Times New Roman" w:hAnsi="Times New Roman" w:eastAsia="仿宋_GB2312" w:cs="Times New Roman"/>
          <w:color w:val="000000"/>
          <w:sz w:val="28"/>
          <w:szCs w:val="32"/>
          <w:u w:val="single"/>
        </w:rPr>
        <w:t xml:space="preserve">   </w:t>
      </w:r>
      <w:r>
        <w:rPr>
          <w:rFonts w:ascii="Times New Roman" w:hAnsi="Times New Roman" w:eastAsia="仿宋_GB2312" w:cs="Times New Roman"/>
          <w:color w:val="000000"/>
          <w:sz w:val="28"/>
          <w:szCs w:val="32"/>
        </w:rPr>
        <w:t>时</w:t>
      </w:r>
      <w:r>
        <w:rPr>
          <w:rFonts w:ascii="Times New Roman" w:hAnsi="Times New Roman" w:eastAsia="仿宋_GB2312" w:cs="Times New Roman"/>
          <w:color w:val="000000"/>
          <w:sz w:val="28"/>
          <w:szCs w:val="32"/>
          <w:u w:val="single"/>
        </w:rPr>
        <w:t xml:space="preserve">   </w:t>
      </w:r>
      <w:r>
        <w:rPr>
          <w:rFonts w:ascii="Times New Roman" w:hAnsi="Times New Roman" w:eastAsia="仿宋_GB2312" w:cs="Times New Roman"/>
          <w:color w:val="000000"/>
          <w:sz w:val="28"/>
          <w:szCs w:val="32"/>
        </w:rPr>
        <w:t>分（北京时间），投标人应在投标截止时间前通过</w:t>
      </w:r>
      <w:r>
        <w:rPr>
          <w:rFonts w:ascii="Times New Roman" w:hAnsi="Times New Roman" w:eastAsia="仿宋_GB2312" w:cs="Times New Roman"/>
          <w:color w:val="000000"/>
          <w:sz w:val="28"/>
          <w:szCs w:val="32"/>
          <w:u w:val="single"/>
        </w:rPr>
        <w:t xml:space="preserve">       </w:t>
      </w:r>
      <w:r>
        <w:rPr>
          <w:rFonts w:ascii="Times New Roman" w:hAnsi="Times New Roman" w:eastAsia="仿宋_GB2312" w:cs="Times New Roman"/>
          <w:color w:val="000000"/>
          <w:sz w:val="28"/>
          <w:szCs w:val="32"/>
        </w:rPr>
        <w:t>（网址：</w:t>
      </w:r>
      <w:r>
        <w:rPr>
          <w:rFonts w:ascii="Times New Roman" w:hAnsi="Times New Roman" w:eastAsia="仿宋_GB2312" w:cs="Times New Roman"/>
          <w:color w:val="000000"/>
          <w:sz w:val="28"/>
          <w:szCs w:val="32"/>
          <w:u w:val="single"/>
        </w:rPr>
        <w:t xml:space="preserve">       </w:t>
      </w:r>
      <w:r>
        <w:rPr>
          <w:rFonts w:ascii="Times New Roman" w:hAnsi="Times New Roman" w:eastAsia="仿宋_GB2312" w:cs="Times New Roman"/>
          <w:color w:val="000000"/>
          <w:sz w:val="28"/>
          <w:szCs w:val="32"/>
        </w:rPr>
        <w:t>）在线递交投标文件并完成在线签到。</w:t>
      </w:r>
    </w:p>
    <w:p>
      <w:pPr>
        <w:pStyle w:val="40"/>
        <w:snapToGrid w:val="0"/>
        <w:spacing w:before="0" w:beforeAutospacing="0" w:after="0" w:afterAutospacing="0" w:line="490" w:lineRule="exact"/>
        <w:ind w:firstLine="562" w:firstLineChars="200"/>
        <w:rPr>
          <w:rFonts w:ascii="Times New Roman" w:hAnsi="Times New Roman" w:eastAsia="仿宋_GB2312" w:cs="Times New Roman"/>
          <w:color w:val="000000"/>
          <w:sz w:val="28"/>
          <w:szCs w:val="32"/>
        </w:rPr>
      </w:pPr>
      <w:r>
        <w:rPr>
          <w:rFonts w:ascii="Times New Roman" w:hAnsi="Times New Roman" w:eastAsia="仿宋_GB2312" w:cs="Times New Roman"/>
          <w:b/>
          <w:color w:val="000000"/>
          <w:sz w:val="28"/>
          <w:szCs w:val="32"/>
        </w:rPr>
        <w:t xml:space="preserve">6.2 </w:t>
      </w:r>
      <w:r>
        <w:rPr>
          <w:rFonts w:ascii="Times New Roman" w:hAnsi="Times New Roman" w:eastAsia="仿宋_GB2312" w:cs="Times New Roman"/>
          <w:color w:val="000000"/>
          <w:sz w:val="28"/>
          <w:szCs w:val="32"/>
        </w:rPr>
        <w:t>电子投标文件解密时间为发出解密指令后，（</w:t>
      </w:r>
      <w:r>
        <w:rPr>
          <w:rFonts w:ascii="Times New Roman" w:hAnsi="Times New Roman" w:eastAsia="仿宋_GB2312" w:cs="Times New Roman"/>
          <w:color w:val="000000"/>
          <w:sz w:val="28"/>
          <w:szCs w:val="32"/>
          <w:u w:val="single"/>
        </w:rPr>
        <w:t xml:space="preserve">     </w:t>
      </w:r>
      <w:r>
        <w:rPr>
          <w:rFonts w:ascii="Times New Roman" w:hAnsi="Times New Roman" w:eastAsia="仿宋_GB2312" w:cs="Times New Roman"/>
          <w:color w:val="000000"/>
          <w:sz w:val="28"/>
          <w:szCs w:val="32"/>
        </w:rPr>
        <w:t>）分钟内完成。</w:t>
      </w:r>
    </w:p>
    <w:p>
      <w:pPr>
        <w:pStyle w:val="40"/>
        <w:snapToGrid w:val="0"/>
        <w:spacing w:before="0" w:beforeAutospacing="0" w:after="0" w:afterAutospacing="0" w:line="490" w:lineRule="exact"/>
        <w:ind w:firstLine="562" w:firstLineChars="200"/>
        <w:rPr>
          <w:rFonts w:ascii="Times New Roman" w:hAnsi="Times New Roman" w:eastAsia="仿宋_GB2312" w:cs="Times New Roman"/>
          <w:color w:val="000000"/>
          <w:sz w:val="28"/>
          <w:szCs w:val="32"/>
        </w:rPr>
      </w:pPr>
      <w:r>
        <w:rPr>
          <w:rFonts w:ascii="Times New Roman" w:hAnsi="Times New Roman" w:eastAsia="仿宋_GB2312" w:cs="Times New Roman"/>
          <w:b/>
          <w:color w:val="000000"/>
          <w:sz w:val="28"/>
          <w:szCs w:val="32"/>
        </w:rPr>
        <w:t>6.3 开标地点：招标人在</w:t>
      </w:r>
      <w:r>
        <w:rPr>
          <w:rFonts w:ascii="Times New Roman" w:hAnsi="Times New Roman" w:eastAsia="仿宋_GB2312" w:cs="Times New Roman"/>
          <w:b/>
          <w:color w:val="000000"/>
          <w:sz w:val="28"/>
          <w:szCs w:val="32"/>
          <w:u w:val="single"/>
        </w:rPr>
        <w:t xml:space="preserve">          </w:t>
      </w:r>
      <w:r>
        <w:rPr>
          <w:rFonts w:ascii="Times New Roman" w:hAnsi="Times New Roman" w:eastAsia="仿宋_GB2312" w:cs="Times New Roman"/>
          <w:b/>
          <w:color w:val="000000"/>
          <w:sz w:val="28"/>
          <w:szCs w:val="32"/>
        </w:rPr>
        <w:t>（网址：</w:t>
      </w:r>
      <w:r>
        <w:rPr>
          <w:rFonts w:ascii="Times New Roman" w:hAnsi="Times New Roman" w:eastAsia="仿宋_GB2312" w:cs="Times New Roman"/>
          <w:b/>
          <w:color w:val="000000"/>
          <w:sz w:val="28"/>
          <w:szCs w:val="32"/>
          <w:u w:val="single"/>
        </w:rPr>
        <w:t xml:space="preserve">          </w:t>
      </w:r>
      <w:r>
        <w:rPr>
          <w:rFonts w:ascii="Times New Roman" w:hAnsi="Times New Roman" w:eastAsia="仿宋_GB2312" w:cs="Times New Roman"/>
          <w:b/>
          <w:color w:val="000000"/>
          <w:sz w:val="28"/>
          <w:szCs w:val="32"/>
        </w:rPr>
        <w:t>）上公开进行开标，所有投标人均应当准时在线参加开标。招标人同时在</w:t>
      </w:r>
      <w:r>
        <w:rPr>
          <w:rFonts w:ascii="Times New Roman" w:hAnsi="Times New Roman" w:eastAsia="仿宋_GB2312" w:cs="Times New Roman"/>
          <w:b/>
          <w:color w:val="000000"/>
          <w:sz w:val="28"/>
          <w:szCs w:val="32"/>
          <w:u w:val="single"/>
        </w:rPr>
        <w:t xml:space="preserve">        </w:t>
      </w:r>
      <w:r>
        <w:rPr>
          <w:rFonts w:ascii="Times New Roman" w:hAnsi="Times New Roman" w:eastAsia="仿宋_GB2312" w:cs="Times New Roman"/>
          <w:b/>
          <w:color w:val="000000"/>
          <w:sz w:val="28"/>
          <w:szCs w:val="32"/>
        </w:rPr>
        <w:t>（</w:t>
      </w:r>
      <w:r>
        <w:rPr>
          <w:rFonts w:ascii="Times New Roman" w:hAnsi="Times New Roman" w:eastAsia="仿宋_GB2312" w:cs="Times New Roman"/>
          <w:b/>
          <w:color w:val="000000"/>
          <w:sz w:val="28"/>
          <w:szCs w:val="32"/>
          <w:u w:val="single"/>
        </w:rPr>
        <w:t>设置网上开标席位 / 设置线下开标会场</w:t>
      </w:r>
      <w:r>
        <w:rPr>
          <w:rFonts w:ascii="Times New Roman" w:hAnsi="Times New Roman" w:eastAsia="仿宋_GB2312" w:cs="Times New Roman"/>
          <w:b/>
          <w:color w:val="000000"/>
          <w:sz w:val="28"/>
          <w:szCs w:val="32"/>
        </w:rPr>
        <w:t>）。</w:t>
      </w:r>
    </w:p>
    <w:p>
      <w:pPr>
        <w:pStyle w:val="106"/>
        <w:autoSpaceDE/>
        <w:autoSpaceDN/>
        <w:snapToGrid w:val="0"/>
        <w:spacing w:line="490" w:lineRule="exact"/>
        <w:ind w:firstLine="562" w:firstLineChars="200"/>
        <w:jc w:val="both"/>
        <w:outlineLvl w:val="1"/>
        <w:rPr>
          <w:rFonts w:ascii="Times New Roman" w:hAnsi="Times New Roman" w:eastAsia="仿宋_GB2312" w:cs="Times New Roman"/>
          <w:b/>
          <w:kern w:val="2"/>
          <w:sz w:val="28"/>
          <w:szCs w:val="32"/>
        </w:rPr>
      </w:pPr>
      <w:bookmarkStart w:id="48" w:name="_Toc24890"/>
      <w:bookmarkStart w:id="49" w:name="_Toc30453"/>
      <w:bookmarkStart w:id="50" w:name="_Toc51091837"/>
      <w:r>
        <w:rPr>
          <w:rFonts w:ascii="Times New Roman" w:hAnsi="Times New Roman" w:eastAsia="仿宋_GB2312" w:cs="Times New Roman"/>
          <w:b/>
          <w:kern w:val="2"/>
          <w:sz w:val="28"/>
          <w:szCs w:val="32"/>
        </w:rPr>
        <w:t>7</w:t>
      </w:r>
      <w:r>
        <w:rPr>
          <w:rFonts w:ascii="Times New Roman" w:hAnsi="Times New Roman" w:eastAsia="仿宋" w:cs="Times New Roman"/>
          <w:sz w:val="28"/>
          <w:szCs w:val="28"/>
        </w:rPr>
        <w:t>．</w:t>
      </w:r>
      <w:r>
        <w:rPr>
          <w:rFonts w:ascii="Times New Roman" w:hAnsi="Times New Roman" w:eastAsia="仿宋_GB2312" w:cs="Times New Roman"/>
          <w:b/>
          <w:kern w:val="2"/>
          <w:sz w:val="28"/>
          <w:szCs w:val="32"/>
        </w:rPr>
        <w:t>评标办法</w:t>
      </w:r>
      <w:bookmarkEnd w:id="48"/>
      <w:bookmarkEnd w:id="49"/>
      <w:bookmarkEnd w:id="50"/>
    </w:p>
    <w:p>
      <w:pPr>
        <w:pStyle w:val="40"/>
        <w:snapToGrid w:val="0"/>
        <w:spacing w:before="0" w:beforeAutospacing="0" w:after="0" w:afterAutospacing="0" w:line="490" w:lineRule="exact"/>
        <w:ind w:firstLine="560" w:firstLineChars="200"/>
        <w:rPr>
          <w:rFonts w:ascii="Times New Roman" w:hAnsi="Times New Roman" w:eastAsia="仿宋_GB2312" w:cs="Times New Roman"/>
          <w:color w:val="000000"/>
          <w:sz w:val="28"/>
          <w:szCs w:val="32"/>
        </w:rPr>
      </w:pPr>
      <w:r>
        <w:rPr>
          <w:rFonts w:ascii="Times New Roman" w:hAnsi="Times New Roman" w:eastAsia="仿宋_GB2312" w:cs="Times New Roman"/>
          <w:color w:val="000000"/>
          <w:sz w:val="28"/>
          <w:szCs w:val="32"/>
        </w:rPr>
        <w:t>7.1 本项目评标办法采用</w:t>
      </w:r>
      <w:r>
        <w:rPr>
          <w:rFonts w:ascii="Times New Roman" w:hAnsi="Times New Roman" w:eastAsia="仿宋_GB2312" w:cs="Times New Roman"/>
          <w:color w:val="000000"/>
          <w:sz w:val="28"/>
          <w:szCs w:val="32"/>
          <w:u w:val="single"/>
        </w:rPr>
        <w:t xml:space="preserve">                </w:t>
      </w:r>
      <w:r>
        <w:rPr>
          <w:rFonts w:ascii="Times New Roman" w:hAnsi="Times New Roman" w:eastAsia="仿宋_GB2312" w:cs="Times New Roman"/>
          <w:color w:val="000000"/>
          <w:sz w:val="28"/>
          <w:szCs w:val="32"/>
        </w:rPr>
        <w:t>。</w:t>
      </w:r>
    </w:p>
    <w:p>
      <w:pPr>
        <w:pStyle w:val="40"/>
        <w:snapToGrid w:val="0"/>
        <w:spacing w:before="0" w:beforeAutospacing="0" w:after="0" w:afterAutospacing="0" w:line="490" w:lineRule="exact"/>
        <w:ind w:firstLine="560" w:firstLineChars="200"/>
        <w:rPr>
          <w:rFonts w:ascii="Times New Roman" w:hAnsi="Times New Roman" w:eastAsia="仿宋_GB2312" w:cs="Times New Roman"/>
          <w:color w:val="000000"/>
          <w:sz w:val="28"/>
          <w:szCs w:val="32"/>
        </w:rPr>
      </w:pPr>
      <w:r>
        <w:rPr>
          <w:rFonts w:ascii="Times New Roman" w:hAnsi="Times New Roman" w:eastAsia="仿宋_GB2312" w:cs="Times New Roman"/>
          <w:color w:val="000000"/>
          <w:sz w:val="28"/>
          <w:szCs w:val="32"/>
        </w:rPr>
        <w:t>7.2 本次招标实行资格后审，资格审查的具体要求见招标文件。</w:t>
      </w:r>
    </w:p>
    <w:p>
      <w:pPr>
        <w:pStyle w:val="106"/>
        <w:autoSpaceDE/>
        <w:autoSpaceDN/>
        <w:snapToGrid w:val="0"/>
        <w:spacing w:line="490" w:lineRule="exact"/>
        <w:ind w:firstLine="562" w:firstLineChars="200"/>
        <w:jc w:val="both"/>
        <w:outlineLvl w:val="1"/>
        <w:rPr>
          <w:rFonts w:ascii="Times New Roman" w:hAnsi="Times New Roman" w:eastAsia="仿宋_GB2312" w:cs="Times New Roman"/>
          <w:b/>
          <w:kern w:val="2"/>
          <w:sz w:val="28"/>
          <w:szCs w:val="32"/>
        </w:rPr>
      </w:pPr>
      <w:bookmarkStart w:id="51" w:name="_Toc18187"/>
      <w:bookmarkStart w:id="52" w:name="_Toc1904"/>
      <w:bookmarkStart w:id="53" w:name="_Toc51091838"/>
      <w:r>
        <w:rPr>
          <w:rFonts w:ascii="Times New Roman" w:hAnsi="Times New Roman" w:eastAsia="仿宋_GB2312" w:cs="Times New Roman"/>
          <w:b/>
          <w:kern w:val="2"/>
          <w:sz w:val="28"/>
          <w:szCs w:val="32"/>
        </w:rPr>
        <w:t>8</w:t>
      </w:r>
      <w:r>
        <w:rPr>
          <w:rFonts w:ascii="Times New Roman" w:hAnsi="Times New Roman" w:eastAsia="仿宋" w:cs="Times New Roman"/>
          <w:sz w:val="28"/>
          <w:szCs w:val="28"/>
        </w:rPr>
        <w:t>．</w:t>
      </w:r>
      <w:r>
        <w:rPr>
          <w:rFonts w:ascii="Times New Roman" w:hAnsi="Times New Roman" w:eastAsia="仿宋_GB2312" w:cs="Times New Roman"/>
          <w:b/>
          <w:kern w:val="2"/>
          <w:sz w:val="28"/>
          <w:szCs w:val="32"/>
        </w:rPr>
        <w:t>踏勘现场和投标预备会</w:t>
      </w:r>
      <w:bookmarkEnd w:id="51"/>
      <w:bookmarkEnd w:id="52"/>
      <w:bookmarkEnd w:id="53"/>
    </w:p>
    <w:p>
      <w:pPr>
        <w:spacing w:line="490" w:lineRule="exact"/>
        <w:ind w:firstLine="562" w:firstLineChars="200"/>
        <w:rPr>
          <w:rFonts w:eastAsia="仿宋_GB2312"/>
          <w:color w:val="000000"/>
          <w:sz w:val="28"/>
          <w:szCs w:val="32"/>
        </w:rPr>
      </w:pPr>
      <w:r>
        <w:rPr>
          <w:rFonts w:eastAsia="仿宋_GB2312"/>
          <w:b/>
          <w:color w:val="000000"/>
          <w:sz w:val="28"/>
          <w:szCs w:val="32"/>
        </w:rPr>
        <w:t>8.1</w:t>
      </w:r>
      <w:r>
        <w:rPr>
          <w:rFonts w:hint="eastAsia" w:eastAsia="仿宋_GB2312"/>
          <w:bCs/>
          <w:color w:val="000000"/>
          <w:sz w:val="28"/>
          <w:szCs w:val="32"/>
        </w:rPr>
        <w:sym w:font="Wingdings" w:char="00A8"/>
      </w:r>
      <w:r>
        <w:rPr>
          <w:rFonts w:eastAsia="仿宋_GB2312"/>
          <w:b/>
          <w:color w:val="000000"/>
          <w:sz w:val="28"/>
          <w:szCs w:val="32"/>
        </w:rPr>
        <w:t xml:space="preserve">（A） </w:t>
      </w:r>
      <w:r>
        <w:rPr>
          <w:rFonts w:eastAsia="仿宋_GB2312"/>
          <w:color w:val="000000"/>
          <w:sz w:val="28"/>
          <w:szCs w:val="32"/>
        </w:rPr>
        <w:t>招标人定于</w:t>
      </w:r>
      <w:r>
        <w:rPr>
          <w:rFonts w:eastAsia="仿宋_GB2312"/>
          <w:color w:val="000000"/>
          <w:sz w:val="28"/>
          <w:szCs w:val="32"/>
          <w:u w:val="single"/>
        </w:rPr>
        <w:t xml:space="preserve">            </w:t>
      </w:r>
      <w:r>
        <w:rPr>
          <w:rFonts w:eastAsia="仿宋_GB2312"/>
          <w:color w:val="000000"/>
          <w:sz w:val="28"/>
          <w:szCs w:val="32"/>
        </w:rPr>
        <w:t>（具体时间）在</w:t>
      </w:r>
      <w:r>
        <w:rPr>
          <w:rFonts w:eastAsia="仿宋_GB2312"/>
          <w:color w:val="000000"/>
          <w:sz w:val="28"/>
          <w:szCs w:val="32"/>
          <w:u w:val="single"/>
        </w:rPr>
        <w:t xml:space="preserve">             </w:t>
      </w:r>
      <w:r>
        <w:rPr>
          <w:rFonts w:eastAsia="仿宋_GB2312"/>
          <w:color w:val="000000"/>
          <w:sz w:val="28"/>
          <w:szCs w:val="32"/>
        </w:rPr>
        <w:t>（踏勘现场集合地点）组织踏勘现场，</w:t>
      </w:r>
      <w:r>
        <w:rPr>
          <w:rFonts w:eastAsia="仿宋_GB2312"/>
          <w:color w:val="000000"/>
          <w:sz w:val="28"/>
          <w:szCs w:val="32"/>
          <w:u w:val="single"/>
        </w:rPr>
        <w:t xml:space="preserve">          </w:t>
      </w:r>
      <w:r>
        <w:rPr>
          <w:rFonts w:eastAsia="仿宋_GB2312"/>
          <w:color w:val="000000"/>
          <w:sz w:val="28"/>
          <w:szCs w:val="32"/>
        </w:rPr>
        <w:t>（具体时间）在</w:t>
      </w:r>
      <w:r>
        <w:rPr>
          <w:rFonts w:eastAsia="仿宋_GB2312"/>
          <w:color w:val="000000"/>
          <w:sz w:val="28"/>
          <w:szCs w:val="32"/>
          <w:u w:val="single"/>
        </w:rPr>
        <w:t xml:space="preserve">           </w:t>
      </w:r>
      <w:r>
        <w:rPr>
          <w:rFonts w:eastAsia="仿宋_GB2312"/>
          <w:color w:val="000000"/>
          <w:sz w:val="28"/>
          <w:szCs w:val="32"/>
        </w:rPr>
        <w:t>（投标预备会地点）召开投标预备会，投标人可自愿参加，交通工具</w:t>
      </w:r>
      <w:r>
        <w:rPr>
          <w:rFonts w:eastAsia="仿宋_GB2312"/>
          <w:color w:val="000000"/>
          <w:sz w:val="28"/>
          <w:szCs w:val="32"/>
          <w:u w:val="single"/>
        </w:rPr>
        <w:t xml:space="preserve">        </w:t>
      </w:r>
      <w:r>
        <w:rPr>
          <w:rFonts w:eastAsia="仿宋_GB2312"/>
          <w:color w:val="000000"/>
          <w:sz w:val="28"/>
          <w:szCs w:val="32"/>
        </w:rPr>
        <w:t>（自备／招标人提供），食宿自理。</w:t>
      </w:r>
    </w:p>
    <w:p>
      <w:pPr>
        <w:spacing w:line="490" w:lineRule="exact"/>
        <w:ind w:firstLine="562" w:firstLineChars="200"/>
        <w:rPr>
          <w:rFonts w:eastAsia="仿宋_GB2312"/>
          <w:color w:val="000000"/>
          <w:sz w:val="28"/>
          <w:szCs w:val="32"/>
        </w:rPr>
      </w:pPr>
      <w:r>
        <w:rPr>
          <w:rFonts w:eastAsia="仿宋_GB2312"/>
          <w:b/>
          <w:color w:val="000000"/>
          <w:sz w:val="28"/>
          <w:szCs w:val="32"/>
        </w:rPr>
        <w:t>8.1</w:t>
      </w:r>
      <w:r>
        <w:rPr>
          <w:rFonts w:hint="eastAsia" w:eastAsia="仿宋_GB2312"/>
          <w:bCs/>
          <w:color w:val="000000"/>
          <w:sz w:val="28"/>
          <w:szCs w:val="32"/>
        </w:rPr>
        <w:sym w:font="Wingdings" w:char="00A8"/>
      </w:r>
      <w:r>
        <w:rPr>
          <w:rFonts w:eastAsia="仿宋_GB2312"/>
          <w:b/>
          <w:color w:val="000000"/>
          <w:sz w:val="28"/>
          <w:szCs w:val="32"/>
        </w:rPr>
        <w:t xml:space="preserve">（B） </w:t>
      </w:r>
      <w:r>
        <w:rPr>
          <w:rFonts w:eastAsia="仿宋_GB2312"/>
          <w:color w:val="000000"/>
          <w:sz w:val="28"/>
          <w:szCs w:val="32"/>
        </w:rPr>
        <w:t>本项目招标人不统一组织现场踏勘和召开投标预备会。</w:t>
      </w:r>
    </w:p>
    <w:p>
      <w:pPr>
        <w:pStyle w:val="106"/>
        <w:autoSpaceDE/>
        <w:autoSpaceDN/>
        <w:snapToGrid w:val="0"/>
        <w:spacing w:line="490" w:lineRule="exact"/>
        <w:ind w:firstLine="562" w:firstLineChars="200"/>
        <w:jc w:val="both"/>
        <w:outlineLvl w:val="1"/>
        <w:rPr>
          <w:rFonts w:ascii="Times New Roman" w:hAnsi="Times New Roman" w:eastAsia="仿宋_GB2312" w:cs="Times New Roman"/>
          <w:b/>
          <w:kern w:val="2"/>
          <w:sz w:val="28"/>
          <w:szCs w:val="32"/>
        </w:rPr>
      </w:pPr>
      <w:bookmarkStart w:id="54" w:name="_Toc25178"/>
      <w:bookmarkStart w:id="55" w:name="_Toc51091839"/>
      <w:bookmarkStart w:id="56" w:name="_Toc11"/>
      <w:r>
        <w:rPr>
          <w:rFonts w:ascii="Times New Roman" w:hAnsi="Times New Roman" w:eastAsia="仿宋_GB2312" w:cs="Times New Roman"/>
          <w:b/>
          <w:kern w:val="2"/>
          <w:sz w:val="28"/>
          <w:szCs w:val="32"/>
        </w:rPr>
        <w:t>9、发布公告的媒介</w:t>
      </w:r>
      <w:bookmarkEnd w:id="54"/>
      <w:bookmarkEnd w:id="55"/>
      <w:bookmarkEnd w:id="56"/>
    </w:p>
    <w:p>
      <w:pPr>
        <w:pStyle w:val="40"/>
        <w:snapToGrid w:val="0"/>
        <w:spacing w:before="0" w:beforeAutospacing="0" w:after="0" w:afterAutospacing="0" w:line="490" w:lineRule="exact"/>
        <w:ind w:firstLine="552" w:firstLineChars="200"/>
        <w:jc w:val="both"/>
        <w:rPr>
          <w:rFonts w:ascii="Times New Roman" w:hAnsi="Times New Roman" w:eastAsia="仿宋_GB2312" w:cs="Times New Roman"/>
          <w:color w:val="000000"/>
          <w:spacing w:val="-2"/>
          <w:sz w:val="28"/>
          <w:szCs w:val="32"/>
        </w:rPr>
      </w:pPr>
      <w:r>
        <w:rPr>
          <w:rFonts w:ascii="Times New Roman" w:hAnsi="Times New Roman" w:eastAsia="仿宋_GB2312" w:cs="Times New Roman"/>
          <w:color w:val="000000"/>
          <w:spacing w:val="-2"/>
          <w:sz w:val="28"/>
          <w:szCs w:val="32"/>
        </w:rPr>
        <w:t>本次招标公告同时在</w:t>
      </w:r>
      <w:r>
        <w:rPr>
          <w:rFonts w:ascii="Times New Roman" w:hAnsi="Times New Roman" w:eastAsia="仿宋_GB2312" w:cs="Times New Roman"/>
          <w:color w:val="000000"/>
          <w:spacing w:val="-2"/>
          <w:sz w:val="28"/>
          <w:szCs w:val="32"/>
          <w:u w:val="single"/>
        </w:rPr>
        <w:t xml:space="preserve">                </w:t>
      </w:r>
      <w:r>
        <w:rPr>
          <w:rFonts w:ascii="Times New Roman" w:hAnsi="Times New Roman" w:eastAsia="仿宋_GB2312" w:cs="Times New Roman"/>
          <w:color w:val="000000"/>
          <w:spacing w:val="-2"/>
          <w:sz w:val="28"/>
          <w:szCs w:val="32"/>
        </w:rPr>
        <w:t>（发布公告的媒介名称）上发布。</w:t>
      </w:r>
    </w:p>
    <w:p>
      <w:pPr>
        <w:pStyle w:val="106"/>
        <w:autoSpaceDE/>
        <w:autoSpaceDN/>
        <w:snapToGrid w:val="0"/>
        <w:spacing w:line="490" w:lineRule="exact"/>
        <w:ind w:firstLine="562" w:firstLineChars="200"/>
        <w:jc w:val="both"/>
        <w:outlineLvl w:val="1"/>
        <w:rPr>
          <w:rFonts w:ascii="Times New Roman" w:hAnsi="Times New Roman" w:eastAsia="仿宋_GB2312" w:cs="Times New Roman"/>
          <w:b/>
          <w:kern w:val="2"/>
          <w:sz w:val="28"/>
          <w:szCs w:val="32"/>
        </w:rPr>
      </w:pPr>
      <w:bookmarkStart w:id="57" w:name="_Toc23544"/>
      <w:bookmarkStart w:id="58" w:name="_Toc26415"/>
      <w:bookmarkStart w:id="59" w:name="_Toc51091840"/>
      <w:r>
        <w:rPr>
          <w:rFonts w:ascii="Times New Roman" w:hAnsi="Times New Roman" w:eastAsia="仿宋_GB2312" w:cs="Times New Roman"/>
          <w:b/>
          <w:kern w:val="2"/>
          <w:sz w:val="28"/>
          <w:szCs w:val="32"/>
        </w:rPr>
        <w:t>10</w:t>
      </w:r>
      <w:r>
        <w:rPr>
          <w:rFonts w:ascii="Times New Roman" w:hAnsi="Times New Roman" w:eastAsia="仿宋" w:cs="Times New Roman"/>
          <w:sz w:val="28"/>
          <w:szCs w:val="28"/>
        </w:rPr>
        <w:t>．</w:t>
      </w:r>
      <w:r>
        <w:rPr>
          <w:rFonts w:ascii="Times New Roman" w:hAnsi="Times New Roman" w:eastAsia="仿宋_GB2312" w:cs="Times New Roman"/>
          <w:b/>
          <w:kern w:val="2"/>
          <w:sz w:val="28"/>
          <w:szCs w:val="32"/>
        </w:rPr>
        <w:t>行政监督</w:t>
      </w:r>
      <w:bookmarkEnd w:id="57"/>
      <w:bookmarkEnd w:id="58"/>
      <w:bookmarkEnd w:id="59"/>
    </w:p>
    <w:p>
      <w:pPr>
        <w:pStyle w:val="40"/>
        <w:snapToGrid w:val="0"/>
        <w:spacing w:before="0" w:beforeAutospacing="0" w:after="0" w:afterAutospacing="0" w:line="490" w:lineRule="exact"/>
        <w:ind w:firstLine="560" w:firstLineChars="200"/>
        <w:rPr>
          <w:rFonts w:ascii="Times New Roman" w:hAnsi="Times New Roman" w:eastAsia="仿宋_GB2312" w:cs="Times New Roman"/>
          <w:color w:val="000000"/>
          <w:sz w:val="28"/>
          <w:szCs w:val="32"/>
        </w:rPr>
      </w:pPr>
      <w:r>
        <w:rPr>
          <w:rFonts w:ascii="Times New Roman" w:hAnsi="Times New Roman" w:eastAsia="仿宋_GB2312" w:cs="Times New Roman"/>
          <w:color w:val="000000"/>
          <w:sz w:val="28"/>
          <w:szCs w:val="32"/>
        </w:rPr>
        <w:t>本次招标行政监督部门为</w:t>
      </w:r>
      <w:r>
        <w:rPr>
          <w:rFonts w:ascii="Times New Roman" w:hAnsi="Times New Roman" w:eastAsia="仿宋_GB2312" w:cs="Times New Roman"/>
          <w:color w:val="000000"/>
          <w:sz w:val="28"/>
          <w:szCs w:val="32"/>
          <w:u w:val="single"/>
        </w:rPr>
        <w:t xml:space="preserve">             </w:t>
      </w:r>
      <w:r>
        <w:rPr>
          <w:rFonts w:ascii="Times New Roman" w:hAnsi="Times New Roman" w:eastAsia="仿宋_GB2312" w:cs="Times New Roman"/>
          <w:color w:val="000000"/>
          <w:sz w:val="28"/>
          <w:szCs w:val="32"/>
        </w:rPr>
        <w:t>，电话：</w:t>
      </w:r>
      <w:r>
        <w:rPr>
          <w:rFonts w:ascii="Times New Roman" w:hAnsi="Times New Roman" w:eastAsia="仿宋_GB2312" w:cs="Times New Roman"/>
          <w:color w:val="000000"/>
          <w:sz w:val="28"/>
          <w:szCs w:val="32"/>
          <w:u w:val="single"/>
        </w:rPr>
        <w:t xml:space="preserve">           </w:t>
      </w:r>
      <w:r>
        <w:rPr>
          <w:rFonts w:ascii="Times New Roman" w:hAnsi="Times New Roman" w:eastAsia="仿宋_GB2312" w:cs="Times New Roman"/>
          <w:color w:val="000000"/>
          <w:sz w:val="28"/>
          <w:szCs w:val="32"/>
        </w:rPr>
        <w:t>。</w:t>
      </w:r>
    </w:p>
    <w:p>
      <w:pPr>
        <w:pStyle w:val="106"/>
        <w:autoSpaceDE/>
        <w:autoSpaceDN/>
        <w:snapToGrid w:val="0"/>
        <w:spacing w:line="490" w:lineRule="exact"/>
        <w:ind w:firstLine="562" w:firstLineChars="200"/>
        <w:jc w:val="both"/>
        <w:outlineLvl w:val="1"/>
        <w:rPr>
          <w:rFonts w:ascii="Times New Roman" w:hAnsi="Times New Roman" w:eastAsia="仿宋_GB2312" w:cs="Times New Roman"/>
          <w:b/>
          <w:kern w:val="2"/>
          <w:sz w:val="28"/>
          <w:szCs w:val="32"/>
        </w:rPr>
      </w:pPr>
      <w:bookmarkStart w:id="60" w:name="_Toc23911"/>
      <w:bookmarkStart w:id="61" w:name="_Toc51091841"/>
      <w:bookmarkStart w:id="62" w:name="_Toc27630"/>
      <w:r>
        <w:rPr>
          <w:rFonts w:ascii="Times New Roman" w:hAnsi="Times New Roman" w:eastAsia="仿宋_GB2312" w:cs="Times New Roman"/>
          <w:b/>
          <w:kern w:val="2"/>
          <w:sz w:val="28"/>
          <w:szCs w:val="32"/>
        </w:rPr>
        <w:t>11</w:t>
      </w:r>
      <w:r>
        <w:rPr>
          <w:rFonts w:ascii="Times New Roman" w:hAnsi="Times New Roman" w:eastAsia="仿宋" w:cs="Times New Roman"/>
          <w:sz w:val="28"/>
          <w:szCs w:val="28"/>
        </w:rPr>
        <w:t>．</w:t>
      </w:r>
      <w:r>
        <w:rPr>
          <w:rFonts w:ascii="Times New Roman" w:hAnsi="Times New Roman" w:eastAsia="仿宋_GB2312" w:cs="Times New Roman"/>
          <w:b/>
          <w:kern w:val="2"/>
          <w:sz w:val="28"/>
          <w:szCs w:val="32"/>
        </w:rPr>
        <w:t>联系方式</w:t>
      </w:r>
      <w:bookmarkEnd w:id="60"/>
      <w:bookmarkEnd w:id="61"/>
      <w:bookmarkEnd w:id="62"/>
    </w:p>
    <w:p>
      <w:pPr>
        <w:pStyle w:val="40"/>
        <w:snapToGrid w:val="0"/>
        <w:spacing w:before="0" w:beforeAutospacing="0" w:after="0" w:afterAutospacing="0" w:line="490" w:lineRule="exact"/>
        <w:ind w:firstLine="560" w:firstLineChars="200"/>
        <w:rPr>
          <w:rFonts w:ascii="Times New Roman" w:hAnsi="Times New Roman" w:eastAsia="仿宋_GB2312" w:cs="Times New Roman"/>
          <w:color w:val="000000"/>
          <w:sz w:val="28"/>
          <w:szCs w:val="32"/>
        </w:rPr>
      </w:pPr>
      <w:r>
        <w:rPr>
          <w:rFonts w:ascii="Times New Roman" w:hAnsi="Times New Roman" w:eastAsia="仿宋_GB2312" w:cs="Times New Roman"/>
          <w:color w:val="000000"/>
          <w:sz w:val="28"/>
          <w:szCs w:val="32"/>
        </w:rPr>
        <w:t>（1）招 标 人：</w:t>
      </w:r>
      <w:r>
        <w:rPr>
          <w:rFonts w:ascii="Times New Roman" w:hAnsi="Times New Roman" w:eastAsia="仿宋_GB2312" w:cs="Times New Roman"/>
          <w:color w:val="000000"/>
          <w:sz w:val="28"/>
          <w:szCs w:val="32"/>
          <w:u w:val="single"/>
        </w:rPr>
        <w:t xml:space="preserve">                                </w:t>
      </w:r>
    </w:p>
    <w:p>
      <w:pPr>
        <w:pStyle w:val="40"/>
        <w:snapToGrid w:val="0"/>
        <w:spacing w:before="0" w:beforeAutospacing="0" w:after="0" w:afterAutospacing="0" w:line="490" w:lineRule="exact"/>
        <w:ind w:firstLine="1310" w:firstLineChars="468"/>
        <w:rPr>
          <w:rFonts w:ascii="Times New Roman" w:hAnsi="Times New Roman" w:eastAsia="仿宋_GB2312" w:cs="Times New Roman"/>
          <w:color w:val="000000"/>
          <w:sz w:val="28"/>
          <w:szCs w:val="32"/>
        </w:rPr>
      </w:pPr>
      <w:r>
        <w:rPr>
          <w:rFonts w:ascii="Times New Roman" w:hAnsi="Times New Roman" w:eastAsia="仿宋_GB2312" w:cs="Times New Roman"/>
          <w:color w:val="000000"/>
          <w:sz w:val="28"/>
          <w:szCs w:val="32"/>
        </w:rPr>
        <w:t>地    址：</w:t>
      </w:r>
      <w:r>
        <w:rPr>
          <w:rFonts w:ascii="Times New Roman" w:hAnsi="Times New Roman" w:eastAsia="仿宋_GB2312" w:cs="Times New Roman"/>
          <w:color w:val="000000"/>
          <w:sz w:val="28"/>
          <w:szCs w:val="32"/>
          <w:u w:val="single"/>
        </w:rPr>
        <w:t xml:space="preserve">                                </w:t>
      </w:r>
    </w:p>
    <w:p>
      <w:pPr>
        <w:pStyle w:val="40"/>
        <w:snapToGrid w:val="0"/>
        <w:spacing w:before="0" w:beforeAutospacing="0" w:after="0" w:afterAutospacing="0" w:line="490" w:lineRule="exact"/>
        <w:ind w:firstLine="1310" w:firstLineChars="468"/>
        <w:rPr>
          <w:rFonts w:ascii="Times New Roman" w:hAnsi="Times New Roman" w:eastAsia="仿宋_GB2312" w:cs="Times New Roman"/>
          <w:color w:val="000000"/>
          <w:sz w:val="28"/>
          <w:szCs w:val="32"/>
        </w:rPr>
      </w:pPr>
      <w:r>
        <w:rPr>
          <w:rFonts w:ascii="Times New Roman" w:hAnsi="Times New Roman" w:eastAsia="仿宋_GB2312" w:cs="Times New Roman"/>
          <w:color w:val="000000"/>
          <w:sz w:val="28"/>
          <w:szCs w:val="32"/>
        </w:rPr>
        <w:t>联 系 人：</w:t>
      </w:r>
      <w:r>
        <w:rPr>
          <w:rFonts w:ascii="Times New Roman" w:hAnsi="Times New Roman" w:eastAsia="仿宋_GB2312" w:cs="Times New Roman"/>
          <w:color w:val="000000"/>
          <w:sz w:val="28"/>
          <w:szCs w:val="32"/>
          <w:u w:val="single"/>
        </w:rPr>
        <w:t xml:space="preserve">                                </w:t>
      </w:r>
    </w:p>
    <w:p>
      <w:pPr>
        <w:pStyle w:val="40"/>
        <w:snapToGrid w:val="0"/>
        <w:spacing w:before="0" w:beforeAutospacing="0" w:after="0" w:afterAutospacing="0" w:line="490" w:lineRule="exact"/>
        <w:ind w:firstLine="1296" w:firstLineChars="463"/>
        <w:rPr>
          <w:rFonts w:ascii="Times New Roman" w:hAnsi="Times New Roman" w:eastAsia="仿宋_GB2312" w:cs="Times New Roman"/>
          <w:color w:val="000000"/>
          <w:sz w:val="28"/>
          <w:szCs w:val="32"/>
        </w:rPr>
      </w:pPr>
      <w:r>
        <w:rPr>
          <w:rFonts w:ascii="Times New Roman" w:hAnsi="Times New Roman" w:eastAsia="仿宋_GB2312" w:cs="Times New Roman"/>
          <w:color w:val="000000"/>
          <w:sz w:val="28"/>
          <w:szCs w:val="32"/>
        </w:rPr>
        <w:t>电    话：</w:t>
      </w:r>
      <w:r>
        <w:rPr>
          <w:rFonts w:ascii="Times New Roman" w:hAnsi="Times New Roman" w:eastAsia="仿宋_GB2312" w:cs="Times New Roman"/>
          <w:color w:val="000000"/>
          <w:sz w:val="28"/>
          <w:szCs w:val="32"/>
          <w:u w:val="single"/>
        </w:rPr>
        <w:t xml:space="preserve">                                </w:t>
      </w:r>
    </w:p>
    <w:p>
      <w:pPr>
        <w:pStyle w:val="40"/>
        <w:snapToGrid w:val="0"/>
        <w:spacing w:before="0" w:beforeAutospacing="0" w:after="0" w:afterAutospacing="0" w:line="490" w:lineRule="exact"/>
        <w:ind w:firstLine="1296" w:firstLineChars="463"/>
        <w:rPr>
          <w:rFonts w:ascii="Times New Roman" w:hAnsi="Times New Roman" w:eastAsia="仿宋_GB2312" w:cs="Times New Roman"/>
          <w:color w:val="000000"/>
          <w:sz w:val="28"/>
          <w:szCs w:val="32"/>
        </w:rPr>
      </w:pPr>
      <w:r>
        <w:rPr>
          <w:rFonts w:ascii="Times New Roman" w:hAnsi="Times New Roman" w:eastAsia="仿宋_GB2312" w:cs="Times New Roman"/>
          <w:color w:val="000000"/>
          <w:sz w:val="28"/>
          <w:szCs w:val="32"/>
        </w:rPr>
        <w:t>传    真：</w:t>
      </w:r>
      <w:r>
        <w:rPr>
          <w:rFonts w:ascii="Times New Roman" w:hAnsi="Times New Roman" w:eastAsia="仿宋_GB2312" w:cs="Times New Roman"/>
          <w:color w:val="000000"/>
          <w:sz w:val="28"/>
          <w:szCs w:val="32"/>
          <w:u w:val="single"/>
        </w:rPr>
        <w:t xml:space="preserve">                                </w:t>
      </w:r>
    </w:p>
    <w:p>
      <w:pPr>
        <w:snapToGrid w:val="0"/>
        <w:spacing w:line="490" w:lineRule="exact"/>
        <w:ind w:firstLine="1296" w:firstLineChars="463"/>
        <w:rPr>
          <w:rFonts w:eastAsia="仿宋_GB2312"/>
          <w:color w:val="000000"/>
          <w:kern w:val="0"/>
          <w:sz w:val="28"/>
          <w:szCs w:val="32"/>
        </w:rPr>
      </w:pPr>
      <w:r>
        <w:rPr>
          <w:rFonts w:eastAsia="仿宋_GB2312"/>
          <w:color w:val="000000"/>
          <w:kern w:val="0"/>
          <w:sz w:val="28"/>
          <w:szCs w:val="32"/>
        </w:rPr>
        <w:t>电子邮件：</w:t>
      </w:r>
      <w:r>
        <w:rPr>
          <w:rFonts w:eastAsia="仿宋_GB2312"/>
          <w:color w:val="000000"/>
          <w:kern w:val="0"/>
          <w:sz w:val="28"/>
          <w:szCs w:val="32"/>
          <w:u w:val="single"/>
        </w:rPr>
        <w:t xml:space="preserve">                                </w:t>
      </w:r>
    </w:p>
    <w:p>
      <w:pPr>
        <w:pStyle w:val="40"/>
        <w:numPr>
          <w:ilvl w:val="0"/>
          <w:numId w:val="1"/>
        </w:numPr>
        <w:snapToGrid w:val="0"/>
        <w:spacing w:before="0" w:beforeAutospacing="0" w:after="0" w:afterAutospacing="0" w:line="490" w:lineRule="exact"/>
        <w:ind w:firstLine="560" w:firstLineChars="200"/>
        <w:rPr>
          <w:rFonts w:ascii="Times New Roman" w:hAnsi="Times New Roman" w:eastAsia="仿宋_GB2312" w:cs="Times New Roman"/>
          <w:color w:val="000000"/>
          <w:sz w:val="28"/>
          <w:szCs w:val="32"/>
          <w:u w:val="single"/>
        </w:rPr>
      </w:pPr>
      <w:r>
        <w:rPr>
          <w:rFonts w:ascii="Times New Roman" w:hAnsi="Times New Roman" w:eastAsia="仿宋_GB2312" w:cs="Times New Roman"/>
          <w:color w:val="000000"/>
          <w:sz w:val="28"/>
          <w:szCs w:val="32"/>
        </w:rPr>
        <w:t>招标代理机构：</w:t>
      </w:r>
      <w:r>
        <w:rPr>
          <w:rFonts w:ascii="Times New Roman" w:hAnsi="Times New Roman" w:eastAsia="仿宋_GB2312" w:cs="Times New Roman"/>
          <w:color w:val="000000"/>
          <w:sz w:val="28"/>
          <w:szCs w:val="32"/>
          <w:u w:val="single"/>
        </w:rPr>
        <w:t xml:space="preserve">                            </w:t>
      </w:r>
    </w:p>
    <w:p>
      <w:pPr>
        <w:pStyle w:val="40"/>
        <w:snapToGrid w:val="0"/>
        <w:spacing w:before="0" w:beforeAutospacing="0" w:after="0" w:afterAutospacing="0" w:line="490" w:lineRule="exact"/>
        <w:ind w:firstLine="1296" w:firstLineChars="463"/>
        <w:rPr>
          <w:rFonts w:ascii="Times New Roman" w:hAnsi="Times New Roman" w:eastAsia="仿宋_GB2312" w:cs="Times New Roman"/>
          <w:color w:val="000000"/>
          <w:sz w:val="28"/>
          <w:szCs w:val="32"/>
        </w:rPr>
      </w:pPr>
      <w:r>
        <w:rPr>
          <w:rFonts w:ascii="Times New Roman" w:hAnsi="Times New Roman" w:eastAsia="仿宋_GB2312" w:cs="Times New Roman"/>
          <w:color w:val="000000"/>
          <w:sz w:val="28"/>
          <w:szCs w:val="32"/>
        </w:rPr>
        <w:t>地    址：</w:t>
      </w:r>
      <w:r>
        <w:rPr>
          <w:rFonts w:ascii="Times New Roman" w:hAnsi="Times New Roman" w:eastAsia="仿宋_GB2312" w:cs="Times New Roman"/>
          <w:color w:val="000000"/>
          <w:sz w:val="28"/>
          <w:szCs w:val="32"/>
          <w:u w:val="single"/>
        </w:rPr>
        <w:t xml:space="preserve">                                </w:t>
      </w:r>
    </w:p>
    <w:p>
      <w:pPr>
        <w:pStyle w:val="40"/>
        <w:snapToGrid w:val="0"/>
        <w:spacing w:before="0" w:beforeAutospacing="0" w:after="0" w:afterAutospacing="0" w:line="490" w:lineRule="exact"/>
        <w:ind w:firstLine="1296" w:firstLineChars="463"/>
        <w:rPr>
          <w:rFonts w:ascii="Times New Roman" w:hAnsi="Times New Roman" w:eastAsia="仿宋_GB2312" w:cs="Times New Roman"/>
          <w:color w:val="000000"/>
          <w:sz w:val="28"/>
          <w:szCs w:val="32"/>
        </w:rPr>
      </w:pPr>
      <w:r>
        <w:rPr>
          <w:rFonts w:hint="eastAsia" w:ascii="Times New Roman" w:hAnsi="Times New Roman" w:eastAsia="仿宋_GB2312" w:cs="Times New Roman"/>
          <w:color w:val="000000"/>
          <w:sz w:val="28"/>
          <w:szCs w:val="32"/>
        </w:rPr>
        <w:t>项目负责人</w:t>
      </w:r>
      <w:r>
        <w:rPr>
          <w:rFonts w:ascii="Times New Roman" w:hAnsi="Times New Roman" w:eastAsia="仿宋_GB2312" w:cs="Times New Roman"/>
          <w:color w:val="000000"/>
          <w:sz w:val="28"/>
          <w:szCs w:val="32"/>
        </w:rPr>
        <w:t>：</w:t>
      </w:r>
      <w:r>
        <w:rPr>
          <w:rFonts w:ascii="Times New Roman" w:hAnsi="Times New Roman" w:eastAsia="仿宋_GB2312" w:cs="Times New Roman"/>
          <w:color w:val="000000"/>
          <w:sz w:val="28"/>
          <w:szCs w:val="32"/>
          <w:u w:val="single"/>
        </w:rPr>
        <w:t xml:space="preserve">                                </w:t>
      </w:r>
    </w:p>
    <w:p>
      <w:pPr>
        <w:pStyle w:val="40"/>
        <w:snapToGrid w:val="0"/>
        <w:spacing w:before="0" w:beforeAutospacing="0" w:after="0" w:afterAutospacing="0" w:line="490" w:lineRule="exact"/>
        <w:ind w:firstLine="1296" w:firstLineChars="463"/>
        <w:rPr>
          <w:rFonts w:ascii="Times New Roman" w:hAnsi="Times New Roman" w:eastAsia="仿宋_GB2312" w:cs="Times New Roman"/>
          <w:color w:val="000000"/>
          <w:sz w:val="28"/>
          <w:szCs w:val="32"/>
        </w:rPr>
      </w:pPr>
      <w:r>
        <w:rPr>
          <w:rFonts w:ascii="Times New Roman" w:hAnsi="Times New Roman" w:eastAsia="仿宋_GB2312" w:cs="Times New Roman"/>
          <w:color w:val="000000"/>
          <w:sz w:val="28"/>
          <w:szCs w:val="32"/>
        </w:rPr>
        <w:t>电    话：</w:t>
      </w:r>
      <w:r>
        <w:rPr>
          <w:rFonts w:ascii="Times New Roman" w:hAnsi="Times New Roman" w:eastAsia="仿宋_GB2312" w:cs="Times New Roman"/>
          <w:color w:val="000000"/>
          <w:sz w:val="28"/>
          <w:szCs w:val="32"/>
          <w:u w:val="single"/>
        </w:rPr>
        <w:t xml:space="preserve">                                </w:t>
      </w:r>
    </w:p>
    <w:p>
      <w:pPr>
        <w:pStyle w:val="40"/>
        <w:snapToGrid w:val="0"/>
        <w:spacing w:before="0" w:beforeAutospacing="0" w:after="0" w:afterAutospacing="0" w:line="490" w:lineRule="exact"/>
        <w:ind w:firstLine="1296" w:firstLineChars="463"/>
        <w:rPr>
          <w:rFonts w:ascii="Times New Roman" w:hAnsi="Times New Roman" w:eastAsia="仿宋_GB2312" w:cs="Times New Roman"/>
          <w:color w:val="000000"/>
          <w:sz w:val="28"/>
          <w:szCs w:val="32"/>
        </w:rPr>
      </w:pPr>
      <w:r>
        <w:rPr>
          <w:rFonts w:ascii="Times New Roman" w:hAnsi="Times New Roman" w:eastAsia="仿宋_GB2312" w:cs="Times New Roman"/>
          <w:color w:val="000000"/>
          <w:sz w:val="28"/>
          <w:szCs w:val="32"/>
        </w:rPr>
        <w:t>传    真：</w:t>
      </w:r>
      <w:r>
        <w:rPr>
          <w:rFonts w:ascii="Times New Roman" w:hAnsi="Times New Roman" w:eastAsia="仿宋_GB2312" w:cs="Times New Roman"/>
          <w:color w:val="000000"/>
          <w:sz w:val="28"/>
          <w:szCs w:val="32"/>
          <w:u w:val="single"/>
        </w:rPr>
        <w:t xml:space="preserve">                                </w:t>
      </w:r>
    </w:p>
    <w:p>
      <w:pPr>
        <w:spacing w:line="490" w:lineRule="exact"/>
        <w:ind w:firstLine="1296" w:firstLineChars="463"/>
        <w:rPr>
          <w:color w:val="000000"/>
        </w:rPr>
      </w:pPr>
      <w:r>
        <w:rPr>
          <w:rFonts w:eastAsia="仿宋_GB2312"/>
          <w:color w:val="000000"/>
          <w:kern w:val="0"/>
          <w:sz w:val="28"/>
          <w:szCs w:val="32"/>
        </w:rPr>
        <w:t>电子邮件：</w:t>
      </w:r>
      <w:r>
        <w:rPr>
          <w:rFonts w:eastAsia="仿宋_GB2312"/>
          <w:color w:val="000000"/>
          <w:kern w:val="0"/>
          <w:sz w:val="28"/>
          <w:szCs w:val="32"/>
          <w:u w:val="single"/>
        </w:rPr>
        <w:t xml:space="preserve">                                </w:t>
      </w:r>
      <w:r>
        <w:rPr>
          <w:color w:val="000000"/>
        </w:rPr>
        <w:br w:type="page"/>
      </w:r>
    </w:p>
    <w:p>
      <w:pPr>
        <w:spacing w:line="600" w:lineRule="exact"/>
        <w:jc w:val="center"/>
        <w:outlineLvl w:val="0"/>
        <w:rPr>
          <w:rFonts w:hint="eastAsia" w:ascii="方正小标宋简体" w:eastAsia="方正小标宋简体"/>
          <w:color w:val="000000"/>
          <w:sz w:val="36"/>
          <w:szCs w:val="36"/>
        </w:rPr>
      </w:pPr>
      <w:bookmarkStart w:id="63" w:name="_Toc23624"/>
      <w:bookmarkStart w:id="64" w:name="_Toc21881"/>
      <w:r>
        <w:rPr>
          <w:rFonts w:hint="eastAsia" w:ascii="方正小标宋简体" w:eastAsia="方正小标宋简体"/>
          <w:color w:val="000000"/>
          <w:sz w:val="36"/>
          <w:szCs w:val="36"/>
        </w:rPr>
        <w:t>第二章  投标人须知</w:t>
      </w:r>
      <w:bookmarkEnd w:id="63"/>
      <w:bookmarkEnd w:id="64"/>
    </w:p>
    <w:p>
      <w:pPr>
        <w:pStyle w:val="40"/>
        <w:snapToGrid w:val="0"/>
        <w:spacing w:before="0" w:beforeAutospacing="0" w:after="0" w:afterAutospacing="0" w:line="600" w:lineRule="exact"/>
        <w:jc w:val="center"/>
        <w:outlineLvl w:val="1"/>
        <w:rPr>
          <w:rFonts w:eastAsia="黑体"/>
          <w:b/>
          <w:color w:val="000000"/>
          <w:sz w:val="32"/>
          <w:szCs w:val="32"/>
        </w:rPr>
      </w:pPr>
      <w:bookmarkStart w:id="65" w:name="_Toc259698602"/>
      <w:bookmarkStart w:id="66" w:name="_Toc51091843"/>
      <w:bookmarkStart w:id="67" w:name="_Toc11261"/>
      <w:bookmarkStart w:id="68" w:name="_Toc12455"/>
      <w:r>
        <w:rPr>
          <w:rFonts w:eastAsia="黑体"/>
          <w:b/>
          <w:color w:val="000000"/>
          <w:sz w:val="32"/>
          <w:szCs w:val="32"/>
        </w:rPr>
        <w:t>投标人须知前附表</w:t>
      </w:r>
      <w:bookmarkEnd w:id="65"/>
      <w:bookmarkEnd w:id="66"/>
      <w:bookmarkEnd w:id="67"/>
      <w:bookmarkEnd w:id="68"/>
    </w:p>
    <w:tbl>
      <w:tblPr>
        <w:tblStyle w:val="47"/>
        <w:tblW w:w="94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1948"/>
        <w:gridCol w:w="6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985" w:type="dxa"/>
            <w:noWrap w:val="0"/>
            <w:vAlign w:val="center"/>
          </w:tcPr>
          <w:p>
            <w:pPr>
              <w:spacing w:line="300" w:lineRule="exact"/>
              <w:jc w:val="center"/>
              <w:rPr>
                <w:rFonts w:eastAsia="仿宋"/>
                <w:b/>
                <w:color w:val="000000"/>
                <w:sz w:val="24"/>
              </w:rPr>
            </w:pPr>
            <w:r>
              <w:rPr>
                <w:rFonts w:eastAsia="仿宋"/>
                <w:b/>
                <w:color w:val="000000"/>
                <w:sz w:val="24"/>
              </w:rPr>
              <w:t>条款号</w:t>
            </w:r>
          </w:p>
        </w:tc>
        <w:tc>
          <w:tcPr>
            <w:tcW w:w="1948" w:type="dxa"/>
            <w:noWrap w:val="0"/>
            <w:vAlign w:val="center"/>
          </w:tcPr>
          <w:p>
            <w:pPr>
              <w:spacing w:line="300" w:lineRule="exact"/>
              <w:jc w:val="center"/>
              <w:rPr>
                <w:rFonts w:eastAsia="仿宋"/>
                <w:b/>
                <w:color w:val="000000"/>
                <w:sz w:val="24"/>
              </w:rPr>
            </w:pPr>
            <w:r>
              <w:rPr>
                <w:rFonts w:eastAsia="仿宋"/>
                <w:b/>
                <w:color w:val="000000"/>
                <w:sz w:val="24"/>
              </w:rPr>
              <w:t>条 款 名 称</w:t>
            </w:r>
          </w:p>
        </w:tc>
        <w:tc>
          <w:tcPr>
            <w:tcW w:w="6562" w:type="dxa"/>
            <w:noWrap w:val="0"/>
            <w:vAlign w:val="center"/>
          </w:tcPr>
          <w:p>
            <w:pPr>
              <w:spacing w:line="300" w:lineRule="exact"/>
              <w:jc w:val="center"/>
              <w:rPr>
                <w:rFonts w:eastAsia="仿宋"/>
                <w:b/>
                <w:color w:val="000000"/>
                <w:sz w:val="24"/>
              </w:rPr>
            </w:pPr>
            <w:r>
              <w:rPr>
                <w:rFonts w:eastAsia="仿宋"/>
                <w:b/>
                <w:color w:val="000000"/>
                <w:sz w:val="24"/>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3" w:hRule="atLeast"/>
          <w:jc w:val="center"/>
        </w:trPr>
        <w:tc>
          <w:tcPr>
            <w:tcW w:w="985" w:type="dxa"/>
            <w:noWrap w:val="0"/>
            <w:vAlign w:val="center"/>
          </w:tcPr>
          <w:p>
            <w:pPr>
              <w:spacing w:line="300" w:lineRule="exact"/>
              <w:jc w:val="center"/>
              <w:rPr>
                <w:rFonts w:eastAsia="仿宋"/>
                <w:color w:val="000000"/>
                <w:sz w:val="24"/>
              </w:rPr>
            </w:pPr>
            <w:r>
              <w:rPr>
                <w:rFonts w:eastAsia="仿宋"/>
                <w:color w:val="000000"/>
                <w:sz w:val="24"/>
              </w:rPr>
              <w:t>1.1.2</w:t>
            </w:r>
          </w:p>
        </w:tc>
        <w:tc>
          <w:tcPr>
            <w:tcW w:w="1948" w:type="dxa"/>
            <w:noWrap w:val="0"/>
            <w:vAlign w:val="center"/>
          </w:tcPr>
          <w:p>
            <w:pPr>
              <w:spacing w:line="300" w:lineRule="exact"/>
              <w:jc w:val="center"/>
              <w:rPr>
                <w:rFonts w:eastAsia="仿宋"/>
                <w:color w:val="000000"/>
                <w:sz w:val="24"/>
              </w:rPr>
            </w:pPr>
            <w:r>
              <w:rPr>
                <w:rFonts w:eastAsia="仿宋"/>
                <w:color w:val="000000"/>
                <w:sz w:val="24"/>
              </w:rPr>
              <w:t>招标人</w:t>
            </w:r>
          </w:p>
        </w:tc>
        <w:tc>
          <w:tcPr>
            <w:tcW w:w="6562" w:type="dxa"/>
            <w:noWrap w:val="0"/>
            <w:vAlign w:val="center"/>
          </w:tcPr>
          <w:p>
            <w:pPr>
              <w:rPr>
                <w:rFonts w:eastAsia="仿宋"/>
                <w:color w:val="000000"/>
                <w:sz w:val="24"/>
                <w:u w:val="single"/>
              </w:rPr>
            </w:pPr>
            <w:r>
              <w:rPr>
                <w:rFonts w:eastAsia="仿宋"/>
                <w:color w:val="000000"/>
                <w:sz w:val="24"/>
              </w:rPr>
              <w:t xml:space="preserve">名    称： </w:t>
            </w:r>
            <w:r>
              <w:rPr>
                <w:rFonts w:eastAsia="仿宋"/>
                <w:color w:val="000000"/>
                <w:sz w:val="24"/>
                <w:u w:val="single"/>
              </w:rPr>
              <w:t xml:space="preserve">                              </w:t>
            </w:r>
          </w:p>
          <w:p>
            <w:pPr>
              <w:rPr>
                <w:rFonts w:eastAsia="仿宋"/>
                <w:color w:val="000000"/>
                <w:sz w:val="24"/>
              </w:rPr>
            </w:pPr>
            <w:r>
              <w:rPr>
                <w:rFonts w:eastAsia="仿宋"/>
                <w:color w:val="000000"/>
                <w:sz w:val="24"/>
              </w:rPr>
              <w:t>地    址：</w:t>
            </w:r>
            <w:r>
              <w:rPr>
                <w:rFonts w:eastAsia="仿宋"/>
                <w:color w:val="000000"/>
                <w:sz w:val="24"/>
                <w:u w:val="single"/>
              </w:rPr>
              <w:t xml:space="preserve">                               </w:t>
            </w:r>
          </w:p>
          <w:p>
            <w:pPr>
              <w:rPr>
                <w:rFonts w:eastAsia="仿宋"/>
                <w:color w:val="000000"/>
                <w:sz w:val="24"/>
              </w:rPr>
            </w:pPr>
            <w:r>
              <w:rPr>
                <w:rFonts w:eastAsia="仿宋"/>
                <w:color w:val="000000"/>
                <w:sz w:val="24"/>
              </w:rPr>
              <w:t>邮政编码：</w:t>
            </w:r>
            <w:r>
              <w:rPr>
                <w:rFonts w:eastAsia="仿宋"/>
                <w:color w:val="000000"/>
                <w:sz w:val="24"/>
                <w:u w:val="single"/>
              </w:rPr>
              <w:t xml:space="preserve">                               </w:t>
            </w:r>
          </w:p>
          <w:p>
            <w:pPr>
              <w:rPr>
                <w:rFonts w:eastAsia="仿宋"/>
                <w:color w:val="000000"/>
                <w:sz w:val="24"/>
              </w:rPr>
            </w:pPr>
            <w:r>
              <w:rPr>
                <w:rFonts w:eastAsia="仿宋"/>
                <w:color w:val="000000"/>
                <w:sz w:val="24"/>
              </w:rPr>
              <w:t>联 系 人：</w:t>
            </w:r>
            <w:r>
              <w:rPr>
                <w:rFonts w:eastAsia="仿宋"/>
                <w:color w:val="000000"/>
                <w:sz w:val="24"/>
                <w:u w:val="single"/>
              </w:rPr>
              <w:t xml:space="preserve">                               </w:t>
            </w:r>
          </w:p>
          <w:p>
            <w:pPr>
              <w:rPr>
                <w:rFonts w:eastAsia="仿宋"/>
                <w:color w:val="000000"/>
                <w:sz w:val="24"/>
              </w:rPr>
            </w:pPr>
            <w:r>
              <w:rPr>
                <w:rFonts w:eastAsia="仿宋"/>
                <w:color w:val="000000"/>
                <w:sz w:val="24"/>
              </w:rPr>
              <w:t>电    话：</w:t>
            </w:r>
            <w:r>
              <w:rPr>
                <w:rFonts w:eastAsia="仿宋"/>
                <w:color w:val="000000"/>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7" w:hRule="atLeast"/>
          <w:jc w:val="center"/>
        </w:trPr>
        <w:tc>
          <w:tcPr>
            <w:tcW w:w="985" w:type="dxa"/>
            <w:noWrap w:val="0"/>
            <w:vAlign w:val="center"/>
          </w:tcPr>
          <w:p>
            <w:pPr>
              <w:spacing w:line="300" w:lineRule="exact"/>
              <w:jc w:val="center"/>
              <w:rPr>
                <w:rFonts w:eastAsia="仿宋"/>
                <w:color w:val="000000"/>
                <w:sz w:val="24"/>
              </w:rPr>
            </w:pPr>
            <w:r>
              <w:rPr>
                <w:rFonts w:eastAsia="仿宋"/>
                <w:color w:val="000000"/>
                <w:sz w:val="24"/>
              </w:rPr>
              <w:t>1.1.3</w:t>
            </w:r>
          </w:p>
        </w:tc>
        <w:tc>
          <w:tcPr>
            <w:tcW w:w="1948" w:type="dxa"/>
            <w:noWrap w:val="0"/>
            <w:vAlign w:val="center"/>
          </w:tcPr>
          <w:p>
            <w:pPr>
              <w:spacing w:line="300" w:lineRule="exact"/>
              <w:jc w:val="center"/>
              <w:rPr>
                <w:rFonts w:eastAsia="仿宋"/>
                <w:color w:val="000000"/>
                <w:sz w:val="24"/>
              </w:rPr>
            </w:pPr>
            <w:r>
              <w:rPr>
                <w:rFonts w:eastAsia="仿宋"/>
                <w:color w:val="000000"/>
                <w:sz w:val="24"/>
              </w:rPr>
              <w:t>招标代理机构</w:t>
            </w:r>
          </w:p>
        </w:tc>
        <w:tc>
          <w:tcPr>
            <w:tcW w:w="6562" w:type="dxa"/>
            <w:noWrap w:val="0"/>
            <w:vAlign w:val="center"/>
          </w:tcPr>
          <w:p>
            <w:pPr>
              <w:rPr>
                <w:rFonts w:eastAsia="仿宋"/>
                <w:color w:val="000000"/>
                <w:sz w:val="24"/>
                <w:u w:val="single"/>
              </w:rPr>
            </w:pPr>
            <w:r>
              <w:rPr>
                <w:rFonts w:eastAsia="仿宋"/>
                <w:color w:val="000000"/>
                <w:sz w:val="24"/>
              </w:rPr>
              <w:t xml:space="preserve">名    称： </w:t>
            </w:r>
            <w:r>
              <w:rPr>
                <w:rFonts w:eastAsia="仿宋"/>
                <w:color w:val="000000"/>
                <w:sz w:val="24"/>
                <w:u w:val="single"/>
              </w:rPr>
              <w:t xml:space="preserve">                              </w:t>
            </w:r>
          </w:p>
          <w:p>
            <w:pPr>
              <w:rPr>
                <w:rFonts w:eastAsia="仿宋"/>
                <w:color w:val="000000"/>
                <w:sz w:val="24"/>
              </w:rPr>
            </w:pPr>
            <w:r>
              <w:rPr>
                <w:rFonts w:eastAsia="仿宋"/>
                <w:color w:val="000000"/>
                <w:sz w:val="24"/>
              </w:rPr>
              <w:t>地    址：</w:t>
            </w:r>
            <w:r>
              <w:rPr>
                <w:rFonts w:eastAsia="仿宋"/>
                <w:color w:val="000000"/>
                <w:sz w:val="24"/>
                <w:u w:val="single"/>
              </w:rPr>
              <w:t xml:space="preserve">                               </w:t>
            </w:r>
          </w:p>
          <w:p>
            <w:pPr>
              <w:rPr>
                <w:rFonts w:eastAsia="仿宋"/>
                <w:color w:val="000000"/>
                <w:sz w:val="24"/>
              </w:rPr>
            </w:pPr>
            <w:r>
              <w:rPr>
                <w:rFonts w:eastAsia="仿宋"/>
                <w:color w:val="000000"/>
                <w:sz w:val="24"/>
              </w:rPr>
              <w:t>邮政编码：</w:t>
            </w:r>
            <w:r>
              <w:rPr>
                <w:rFonts w:eastAsia="仿宋"/>
                <w:color w:val="000000"/>
                <w:sz w:val="24"/>
                <w:u w:val="single"/>
              </w:rPr>
              <w:t xml:space="preserve">                               </w:t>
            </w:r>
          </w:p>
          <w:p>
            <w:pPr>
              <w:rPr>
                <w:rFonts w:eastAsia="仿宋"/>
                <w:color w:val="000000"/>
                <w:sz w:val="24"/>
              </w:rPr>
            </w:pPr>
            <w:r>
              <w:rPr>
                <w:rFonts w:hint="eastAsia" w:eastAsia="仿宋"/>
                <w:color w:val="000000"/>
                <w:sz w:val="24"/>
              </w:rPr>
              <w:t>项目负责人</w:t>
            </w:r>
            <w:r>
              <w:rPr>
                <w:rFonts w:eastAsia="仿宋"/>
                <w:color w:val="000000"/>
                <w:sz w:val="24"/>
              </w:rPr>
              <w:t>：</w:t>
            </w:r>
            <w:r>
              <w:rPr>
                <w:rFonts w:eastAsia="仿宋"/>
                <w:color w:val="000000"/>
                <w:sz w:val="24"/>
                <w:u w:val="single"/>
              </w:rPr>
              <w:t xml:space="preserve">                             </w:t>
            </w:r>
          </w:p>
          <w:p>
            <w:pPr>
              <w:rPr>
                <w:rFonts w:eastAsia="仿宋"/>
                <w:color w:val="000000"/>
                <w:sz w:val="24"/>
              </w:rPr>
            </w:pPr>
            <w:r>
              <w:rPr>
                <w:rFonts w:eastAsia="仿宋"/>
                <w:color w:val="000000"/>
                <w:sz w:val="24"/>
              </w:rPr>
              <w:t>电    话：</w:t>
            </w:r>
            <w:r>
              <w:rPr>
                <w:rFonts w:eastAsia="仿宋"/>
                <w:color w:val="000000"/>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85" w:type="dxa"/>
            <w:noWrap w:val="0"/>
            <w:vAlign w:val="center"/>
          </w:tcPr>
          <w:p>
            <w:pPr>
              <w:spacing w:line="300" w:lineRule="exact"/>
              <w:jc w:val="center"/>
              <w:rPr>
                <w:rFonts w:eastAsia="仿宋"/>
                <w:color w:val="000000"/>
                <w:sz w:val="24"/>
              </w:rPr>
            </w:pPr>
            <w:r>
              <w:rPr>
                <w:rFonts w:eastAsia="仿宋"/>
                <w:color w:val="000000"/>
                <w:sz w:val="24"/>
              </w:rPr>
              <w:t>1.1.4</w:t>
            </w:r>
          </w:p>
        </w:tc>
        <w:tc>
          <w:tcPr>
            <w:tcW w:w="1948" w:type="dxa"/>
            <w:noWrap w:val="0"/>
            <w:vAlign w:val="center"/>
          </w:tcPr>
          <w:p>
            <w:pPr>
              <w:spacing w:line="300" w:lineRule="exact"/>
              <w:jc w:val="center"/>
              <w:rPr>
                <w:rFonts w:eastAsia="仿宋"/>
                <w:color w:val="000000"/>
                <w:sz w:val="24"/>
              </w:rPr>
            </w:pPr>
            <w:r>
              <w:rPr>
                <w:rFonts w:eastAsia="仿宋"/>
                <w:color w:val="000000"/>
                <w:sz w:val="24"/>
              </w:rPr>
              <w:t>项目名称</w:t>
            </w:r>
          </w:p>
        </w:tc>
        <w:tc>
          <w:tcPr>
            <w:tcW w:w="6562" w:type="dxa"/>
            <w:noWrap w:val="0"/>
            <w:vAlign w:val="center"/>
          </w:tcPr>
          <w:p>
            <w:pPr>
              <w:snapToGrid w:val="0"/>
              <w:spacing w:line="300" w:lineRule="exact"/>
              <w:rPr>
                <w:rFonts w:eastAsia="仿宋"/>
                <w:color w:val="000000"/>
                <w:sz w:val="24"/>
              </w:rPr>
            </w:pPr>
            <w:r>
              <w:rPr>
                <w:rFonts w:eastAsia="仿宋"/>
                <w:color w:val="000000"/>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85" w:type="dxa"/>
            <w:noWrap w:val="0"/>
            <w:vAlign w:val="center"/>
          </w:tcPr>
          <w:p>
            <w:pPr>
              <w:spacing w:line="300" w:lineRule="exact"/>
              <w:jc w:val="center"/>
              <w:rPr>
                <w:rFonts w:eastAsia="仿宋"/>
                <w:color w:val="000000"/>
                <w:sz w:val="24"/>
              </w:rPr>
            </w:pPr>
            <w:r>
              <w:rPr>
                <w:rFonts w:eastAsia="仿宋"/>
                <w:color w:val="000000"/>
                <w:sz w:val="24"/>
              </w:rPr>
              <w:t>1.1.5</w:t>
            </w:r>
          </w:p>
        </w:tc>
        <w:tc>
          <w:tcPr>
            <w:tcW w:w="1948" w:type="dxa"/>
            <w:noWrap w:val="0"/>
            <w:vAlign w:val="center"/>
          </w:tcPr>
          <w:p>
            <w:pPr>
              <w:spacing w:line="300" w:lineRule="exact"/>
              <w:jc w:val="center"/>
              <w:rPr>
                <w:rFonts w:eastAsia="仿宋"/>
                <w:color w:val="000000"/>
                <w:sz w:val="24"/>
              </w:rPr>
            </w:pPr>
            <w:r>
              <w:rPr>
                <w:rFonts w:eastAsia="仿宋"/>
                <w:color w:val="000000"/>
                <w:sz w:val="24"/>
              </w:rPr>
              <w:t>建设地点</w:t>
            </w:r>
          </w:p>
        </w:tc>
        <w:tc>
          <w:tcPr>
            <w:tcW w:w="6562" w:type="dxa"/>
            <w:noWrap w:val="0"/>
            <w:vAlign w:val="center"/>
          </w:tcPr>
          <w:p>
            <w:pPr>
              <w:snapToGrid w:val="0"/>
              <w:spacing w:line="300" w:lineRule="exact"/>
              <w:rPr>
                <w:rFonts w:eastAsia="仿宋"/>
                <w:color w:val="000000"/>
                <w:sz w:val="24"/>
              </w:rPr>
            </w:pPr>
            <w:r>
              <w:rPr>
                <w:rFonts w:eastAsia="仿宋"/>
                <w:color w:val="000000"/>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85" w:type="dxa"/>
            <w:noWrap w:val="0"/>
            <w:vAlign w:val="center"/>
          </w:tcPr>
          <w:p>
            <w:pPr>
              <w:spacing w:line="300" w:lineRule="exact"/>
              <w:jc w:val="center"/>
              <w:rPr>
                <w:rFonts w:eastAsia="仿宋"/>
                <w:color w:val="000000"/>
                <w:sz w:val="24"/>
              </w:rPr>
            </w:pPr>
            <w:r>
              <w:rPr>
                <w:rFonts w:eastAsia="仿宋"/>
                <w:color w:val="000000"/>
                <w:sz w:val="24"/>
              </w:rPr>
              <w:t>1.1.6</w:t>
            </w:r>
          </w:p>
        </w:tc>
        <w:tc>
          <w:tcPr>
            <w:tcW w:w="1948" w:type="dxa"/>
            <w:noWrap w:val="0"/>
            <w:vAlign w:val="center"/>
          </w:tcPr>
          <w:p>
            <w:pPr>
              <w:spacing w:line="300" w:lineRule="exact"/>
              <w:jc w:val="center"/>
              <w:rPr>
                <w:rFonts w:eastAsia="仿宋"/>
                <w:color w:val="000000"/>
                <w:sz w:val="24"/>
              </w:rPr>
            </w:pPr>
            <w:r>
              <w:rPr>
                <w:rFonts w:eastAsia="仿宋"/>
                <w:color w:val="000000"/>
                <w:sz w:val="24"/>
              </w:rPr>
              <w:t>现场管理机构</w:t>
            </w:r>
          </w:p>
        </w:tc>
        <w:tc>
          <w:tcPr>
            <w:tcW w:w="6562" w:type="dxa"/>
            <w:noWrap w:val="0"/>
            <w:vAlign w:val="center"/>
          </w:tcPr>
          <w:p>
            <w:pPr>
              <w:spacing w:line="300" w:lineRule="exact"/>
              <w:rPr>
                <w:rFonts w:eastAsia="仿宋"/>
                <w:color w:val="000000"/>
                <w:sz w:val="24"/>
              </w:rPr>
            </w:pPr>
            <w:r>
              <w:rPr>
                <w:rFonts w:eastAsia="仿宋"/>
                <w:color w:val="000000"/>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85" w:type="dxa"/>
            <w:noWrap w:val="0"/>
            <w:vAlign w:val="center"/>
          </w:tcPr>
          <w:p>
            <w:pPr>
              <w:spacing w:line="300" w:lineRule="exact"/>
              <w:jc w:val="center"/>
              <w:rPr>
                <w:rFonts w:eastAsia="仿宋"/>
                <w:color w:val="000000"/>
                <w:sz w:val="24"/>
              </w:rPr>
            </w:pPr>
            <w:r>
              <w:rPr>
                <w:rFonts w:eastAsia="仿宋"/>
                <w:color w:val="000000"/>
                <w:sz w:val="24"/>
              </w:rPr>
              <w:t>1.1.7</w:t>
            </w:r>
          </w:p>
        </w:tc>
        <w:tc>
          <w:tcPr>
            <w:tcW w:w="1948" w:type="dxa"/>
            <w:noWrap w:val="0"/>
            <w:vAlign w:val="center"/>
          </w:tcPr>
          <w:p>
            <w:pPr>
              <w:spacing w:line="300" w:lineRule="exact"/>
              <w:jc w:val="center"/>
              <w:rPr>
                <w:rFonts w:eastAsia="仿宋"/>
                <w:color w:val="000000"/>
                <w:sz w:val="24"/>
              </w:rPr>
            </w:pPr>
            <w:r>
              <w:rPr>
                <w:rFonts w:eastAsia="仿宋"/>
                <w:color w:val="000000"/>
                <w:sz w:val="24"/>
              </w:rPr>
              <w:t>设计人</w:t>
            </w:r>
          </w:p>
        </w:tc>
        <w:tc>
          <w:tcPr>
            <w:tcW w:w="6562" w:type="dxa"/>
            <w:noWrap w:val="0"/>
            <w:vAlign w:val="center"/>
          </w:tcPr>
          <w:p>
            <w:pPr>
              <w:snapToGrid w:val="0"/>
              <w:spacing w:line="300" w:lineRule="exact"/>
              <w:rPr>
                <w:rFonts w:eastAsia="仿宋"/>
                <w:color w:val="000000"/>
                <w:sz w:val="24"/>
              </w:rPr>
            </w:pPr>
            <w:r>
              <w:rPr>
                <w:rFonts w:eastAsia="仿宋"/>
                <w:color w:val="000000"/>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85" w:type="dxa"/>
            <w:noWrap w:val="0"/>
            <w:vAlign w:val="center"/>
          </w:tcPr>
          <w:p>
            <w:pPr>
              <w:spacing w:line="300" w:lineRule="exact"/>
              <w:jc w:val="center"/>
              <w:rPr>
                <w:rFonts w:eastAsia="仿宋"/>
                <w:color w:val="000000"/>
                <w:sz w:val="24"/>
              </w:rPr>
            </w:pPr>
            <w:r>
              <w:rPr>
                <w:rFonts w:eastAsia="仿宋"/>
                <w:color w:val="000000"/>
                <w:sz w:val="24"/>
              </w:rPr>
              <w:t>1.1.8</w:t>
            </w:r>
          </w:p>
        </w:tc>
        <w:tc>
          <w:tcPr>
            <w:tcW w:w="1948" w:type="dxa"/>
            <w:noWrap w:val="0"/>
            <w:vAlign w:val="center"/>
          </w:tcPr>
          <w:p>
            <w:pPr>
              <w:spacing w:line="300" w:lineRule="exact"/>
              <w:jc w:val="center"/>
              <w:rPr>
                <w:rFonts w:eastAsia="仿宋"/>
                <w:color w:val="000000"/>
                <w:sz w:val="24"/>
              </w:rPr>
            </w:pPr>
            <w:r>
              <w:rPr>
                <w:rFonts w:eastAsia="仿宋"/>
                <w:color w:val="000000"/>
                <w:sz w:val="24"/>
              </w:rPr>
              <w:t>监理人</w:t>
            </w:r>
          </w:p>
        </w:tc>
        <w:tc>
          <w:tcPr>
            <w:tcW w:w="6562" w:type="dxa"/>
            <w:noWrap w:val="0"/>
            <w:vAlign w:val="center"/>
          </w:tcPr>
          <w:p>
            <w:pPr>
              <w:spacing w:line="300" w:lineRule="exact"/>
              <w:rPr>
                <w:rFonts w:eastAsia="仿宋"/>
                <w:color w:val="000000"/>
                <w:sz w:val="24"/>
              </w:rPr>
            </w:pPr>
            <w:r>
              <w:rPr>
                <w:rFonts w:eastAsia="仿宋"/>
                <w:color w:val="000000"/>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85" w:type="dxa"/>
            <w:noWrap w:val="0"/>
            <w:vAlign w:val="center"/>
          </w:tcPr>
          <w:p>
            <w:pPr>
              <w:spacing w:line="300" w:lineRule="exact"/>
              <w:jc w:val="center"/>
              <w:rPr>
                <w:rFonts w:eastAsia="仿宋"/>
                <w:color w:val="000000"/>
                <w:sz w:val="24"/>
              </w:rPr>
            </w:pPr>
            <w:r>
              <w:rPr>
                <w:rFonts w:eastAsia="仿宋"/>
                <w:color w:val="000000"/>
                <w:sz w:val="24"/>
              </w:rPr>
              <w:t>1.1.9</w:t>
            </w:r>
          </w:p>
        </w:tc>
        <w:tc>
          <w:tcPr>
            <w:tcW w:w="1948" w:type="dxa"/>
            <w:noWrap w:val="0"/>
            <w:vAlign w:val="center"/>
          </w:tcPr>
          <w:p>
            <w:pPr>
              <w:spacing w:line="300" w:lineRule="exact"/>
              <w:jc w:val="center"/>
              <w:rPr>
                <w:rFonts w:hint="eastAsia" w:eastAsia="仿宋"/>
                <w:color w:val="000000"/>
                <w:sz w:val="24"/>
              </w:rPr>
            </w:pPr>
            <w:r>
              <w:rPr>
                <w:rFonts w:hint="eastAsia" w:eastAsia="仿宋"/>
                <w:color w:val="000000"/>
                <w:sz w:val="24"/>
              </w:rPr>
              <w:t>代建人</w:t>
            </w:r>
          </w:p>
        </w:tc>
        <w:tc>
          <w:tcPr>
            <w:tcW w:w="6562" w:type="dxa"/>
            <w:noWrap w:val="0"/>
            <w:vAlign w:val="center"/>
          </w:tcPr>
          <w:p>
            <w:pPr>
              <w:spacing w:line="300" w:lineRule="exact"/>
              <w:rPr>
                <w:rFonts w:eastAsia="仿宋"/>
                <w:color w:val="000000"/>
                <w:sz w:val="24"/>
              </w:rPr>
            </w:pPr>
            <w:r>
              <w:rPr>
                <w:rFonts w:eastAsia="仿宋"/>
                <w:color w:val="000000"/>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85" w:type="dxa"/>
            <w:noWrap w:val="0"/>
            <w:vAlign w:val="center"/>
          </w:tcPr>
          <w:p>
            <w:pPr>
              <w:spacing w:line="300" w:lineRule="exact"/>
              <w:jc w:val="center"/>
              <w:rPr>
                <w:rFonts w:eastAsia="仿宋"/>
                <w:color w:val="000000"/>
                <w:sz w:val="24"/>
              </w:rPr>
            </w:pPr>
            <w:r>
              <w:rPr>
                <w:rFonts w:eastAsia="仿宋"/>
                <w:color w:val="000000"/>
                <w:sz w:val="24"/>
              </w:rPr>
              <w:t>1.2.1</w:t>
            </w:r>
          </w:p>
        </w:tc>
        <w:tc>
          <w:tcPr>
            <w:tcW w:w="1948" w:type="dxa"/>
            <w:noWrap w:val="0"/>
            <w:vAlign w:val="center"/>
          </w:tcPr>
          <w:p>
            <w:pPr>
              <w:spacing w:line="300" w:lineRule="exact"/>
              <w:jc w:val="center"/>
              <w:rPr>
                <w:rFonts w:eastAsia="仿宋"/>
                <w:color w:val="000000"/>
                <w:sz w:val="24"/>
              </w:rPr>
            </w:pPr>
            <w:r>
              <w:rPr>
                <w:rFonts w:eastAsia="仿宋"/>
                <w:color w:val="000000"/>
                <w:sz w:val="24"/>
              </w:rPr>
              <w:t>资金来源</w:t>
            </w:r>
          </w:p>
        </w:tc>
        <w:tc>
          <w:tcPr>
            <w:tcW w:w="6562" w:type="dxa"/>
            <w:noWrap w:val="0"/>
            <w:vAlign w:val="center"/>
          </w:tcPr>
          <w:p>
            <w:pPr>
              <w:spacing w:line="300" w:lineRule="exact"/>
              <w:rPr>
                <w:rFonts w:eastAsia="仿宋"/>
                <w:color w:val="000000"/>
                <w:sz w:val="24"/>
              </w:rPr>
            </w:pPr>
            <w:r>
              <w:rPr>
                <w:rFonts w:eastAsia="仿宋"/>
                <w:color w:val="000000"/>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85" w:type="dxa"/>
            <w:noWrap w:val="0"/>
            <w:vAlign w:val="center"/>
          </w:tcPr>
          <w:p>
            <w:pPr>
              <w:spacing w:line="300" w:lineRule="exact"/>
              <w:jc w:val="center"/>
              <w:rPr>
                <w:rFonts w:eastAsia="仿宋"/>
                <w:color w:val="000000"/>
                <w:sz w:val="24"/>
              </w:rPr>
            </w:pPr>
            <w:r>
              <w:rPr>
                <w:rFonts w:eastAsia="仿宋"/>
                <w:color w:val="000000"/>
                <w:sz w:val="24"/>
              </w:rPr>
              <w:t>1.2.2</w:t>
            </w:r>
          </w:p>
        </w:tc>
        <w:tc>
          <w:tcPr>
            <w:tcW w:w="1948" w:type="dxa"/>
            <w:noWrap w:val="0"/>
            <w:vAlign w:val="center"/>
          </w:tcPr>
          <w:p>
            <w:pPr>
              <w:spacing w:line="300" w:lineRule="exact"/>
              <w:jc w:val="center"/>
              <w:rPr>
                <w:rFonts w:eastAsia="仿宋"/>
                <w:color w:val="000000"/>
                <w:sz w:val="24"/>
              </w:rPr>
            </w:pPr>
            <w:r>
              <w:rPr>
                <w:rFonts w:eastAsia="仿宋"/>
                <w:color w:val="000000"/>
                <w:sz w:val="24"/>
              </w:rPr>
              <w:t>出资比例</w:t>
            </w:r>
          </w:p>
        </w:tc>
        <w:tc>
          <w:tcPr>
            <w:tcW w:w="6562" w:type="dxa"/>
            <w:noWrap w:val="0"/>
            <w:vAlign w:val="center"/>
          </w:tcPr>
          <w:p>
            <w:pPr>
              <w:spacing w:line="300" w:lineRule="exact"/>
              <w:rPr>
                <w:rFonts w:eastAsia="仿宋"/>
                <w:color w:val="000000"/>
                <w:sz w:val="24"/>
              </w:rPr>
            </w:pPr>
            <w:r>
              <w:rPr>
                <w:rFonts w:eastAsia="仿宋"/>
                <w:color w:val="000000"/>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85" w:type="dxa"/>
            <w:noWrap w:val="0"/>
            <w:vAlign w:val="center"/>
          </w:tcPr>
          <w:p>
            <w:pPr>
              <w:spacing w:line="300" w:lineRule="exact"/>
              <w:jc w:val="center"/>
              <w:rPr>
                <w:rFonts w:eastAsia="仿宋"/>
                <w:color w:val="000000"/>
                <w:sz w:val="24"/>
              </w:rPr>
            </w:pPr>
            <w:r>
              <w:rPr>
                <w:rFonts w:eastAsia="仿宋"/>
                <w:color w:val="000000"/>
                <w:sz w:val="24"/>
              </w:rPr>
              <w:t>1.2.3</w:t>
            </w:r>
          </w:p>
        </w:tc>
        <w:tc>
          <w:tcPr>
            <w:tcW w:w="1948" w:type="dxa"/>
            <w:noWrap w:val="0"/>
            <w:vAlign w:val="center"/>
          </w:tcPr>
          <w:p>
            <w:pPr>
              <w:spacing w:line="300" w:lineRule="exact"/>
              <w:jc w:val="center"/>
              <w:rPr>
                <w:rFonts w:eastAsia="仿宋"/>
                <w:color w:val="000000"/>
                <w:sz w:val="24"/>
              </w:rPr>
            </w:pPr>
            <w:r>
              <w:rPr>
                <w:rFonts w:eastAsia="仿宋"/>
                <w:color w:val="000000"/>
                <w:sz w:val="24"/>
              </w:rPr>
              <w:t>资金落实情况</w:t>
            </w:r>
          </w:p>
        </w:tc>
        <w:tc>
          <w:tcPr>
            <w:tcW w:w="6562" w:type="dxa"/>
            <w:noWrap w:val="0"/>
            <w:vAlign w:val="center"/>
          </w:tcPr>
          <w:p>
            <w:pPr>
              <w:spacing w:line="300" w:lineRule="exact"/>
              <w:rPr>
                <w:rFonts w:eastAsia="仿宋"/>
                <w:color w:val="000000"/>
                <w:sz w:val="24"/>
              </w:rPr>
            </w:pPr>
            <w:r>
              <w:rPr>
                <w:rFonts w:eastAsia="仿宋"/>
                <w:color w:val="000000"/>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985" w:type="dxa"/>
            <w:noWrap w:val="0"/>
            <w:vAlign w:val="center"/>
          </w:tcPr>
          <w:p>
            <w:pPr>
              <w:spacing w:line="300" w:lineRule="exact"/>
              <w:jc w:val="center"/>
              <w:rPr>
                <w:rFonts w:eastAsia="仿宋"/>
                <w:color w:val="000000"/>
                <w:sz w:val="24"/>
              </w:rPr>
            </w:pPr>
            <w:r>
              <w:rPr>
                <w:rFonts w:eastAsia="仿宋"/>
                <w:color w:val="000000"/>
                <w:sz w:val="24"/>
              </w:rPr>
              <w:t>1.3.1</w:t>
            </w:r>
          </w:p>
        </w:tc>
        <w:tc>
          <w:tcPr>
            <w:tcW w:w="1948" w:type="dxa"/>
            <w:noWrap w:val="0"/>
            <w:vAlign w:val="center"/>
          </w:tcPr>
          <w:p>
            <w:pPr>
              <w:spacing w:line="300" w:lineRule="exact"/>
              <w:jc w:val="center"/>
              <w:rPr>
                <w:rFonts w:eastAsia="仿宋"/>
                <w:color w:val="000000"/>
                <w:sz w:val="24"/>
              </w:rPr>
            </w:pPr>
            <w:r>
              <w:rPr>
                <w:rFonts w:eastAsia="仿宋"/>
                <w:color w:val="000000"/>
                <w:sz w:val="24"/>
              </w:rPr>
              <w:t>招标范围</w:t>
            </w:r>
          </w:p>
        </w:tc>
        <w:tc>
          <w:tcPr>
            <w:tcW w:w="6562" w:type="dxa"/>
            <w:noWrap w:val="0"/>
            <w:vAlign w:val="center"/>
          </w:tcPr>
          <w:p>
            <w:pPr>
              <w:snapToGrid w:val="0"/>
              <w:spacing w:line="300" w:lineRule="exact"/>
              <w:rPr>
                <w:rFonts w:eastAsia="仿宋"/>
                <w:color w:val="000000"/>
                <w:sz w:val="24"/>
              </w:rPr>
            </w:pPr>
            <w:r>
              <w:rPr>
                <w:rFonts w:eastAsia="仿宋"/>
                <w:color w:val="000000"/>
                <w:sz w:val="24"/>
                <w:u w:val="single"/>
              </w:rPr>
              <w:t xml:space="preserve">                               </w:t>
            </w:r>
            <w:r>
              <w:rPr>
                <w:rFonts w:eastAsia="仿宋"/>
                <w:color w:val="000000"/>
                <w:sz w:val="24"/>
              </w:rPr>
              <w:t>，具体内容详见工程量清单和招标图纸。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985" w:type="dxa"/>
            <w:noWrap w:val="0"/>
            <w:vAlign w:val="center"/>
          </w:tcPr>
          <w:p>
            <w:pPr>
              <w:spacing w:line="300" w:lineRule="exact"/>
              <w:jc w:val="center"/>
              <w:rPr>
                <w:rFonts w:eastAsia="仿宋"/>
                <w:color w:val="000000"/>
                <w:sz w:val="24"/>
              </w:rPr>
            </w:pPr>
            <w:r>
              <w:rPr>
                <w:rFonts w:eastAsia="仿宋"/>
                <w:color w:val="000000"/>
                <w:sz w:val="24"/>
              </w:rPr>
              <w:t>1.3.2</w:t>
            </w:r>
          </w:p>
        </w:tc>
        <w:tc>
          <w:tcPr>
            <w:tcW w:w="1948" w:type="dxa"/>
            <w:noWrap w:val="0"/>
            <w:vAlign w:val="center"/>
          </w:tcPr>
          <w:p>
            <w:pPr>
              <w:spacing w:line="300" w:lineRule="exact"/>
              <w:jc w:val="center"/>
              <w:rPr>
                <w:rFonts w:eastAsia="仿宋"/>
                <w:color w:val="000000"/>
                <w:sz w:val="24"/>
              </w:rPr>
            </w:pPr>
            <w:r>
              <w:rPr>
                <w:rFonts w:eastAsia="仿宋"/>
                <w:color w:val="000000"/>
                <w:sz w:val="24"/>
              </w:rPr>
              <w:t>计划工期</w:t>
            </w:r>
          </w:p>
        </w:tc>
        <w:tc>
          <w:tcPr>
            <w:tcW w:w="6562" w:type="dxa"/>
            <w:noWrap w:val="0"/>
            <w:vAlign w:val="center"/>
          </w:tcPr>
          <w:p>
            <w:pPr>
              <w:spacing w:line="300" w:lineRule="exact"/>
              <w:rPr>
                <w:rFonts w:hint="eastAsia" w:eastAsia="仿宋"/>
                <w:color w:val="000000"/>
                <w:sz w:val="24"/>
              </w:rPr>
            </w:pPr>
            <w:r>
              <w:rPr>
                <w:rFonts w:eastAsia="仿宋"/>
                <w:color w:val="000000"/>
                <w:sz w:val="24"/>
              </w:rPr>
              <w:t>计划工期：</w:t>
            </w:r>
            <w:r>
              <w:rPr>
                <w:rFonts w:eastAsia="仿宋"/>
                <w:color w:val="000000"/>
                <w:sz w:val="24"/>
                <w:u w:val="single"/>
              </w:rPr>
              <w:t xml:space="preserve">          </w:t>
            </w:r>
            <w:r>
              <w:rPr>
                <w:rFonts w:hint="eastAsia" w:eastAsia="仿宋"/>
                <w:color w:val="000000"/>
                <w:sz w:val="24"/>
              </w:rPr>
              <w:t>天</w:t>
            </w:r>
          </w:p>
          <w:p>
            <w:pPr>
              <w:autoSpaceDE w:val="0"/>
              <w:autoSpaceDN w:val="0"/>
              <w:adjustRightInd w:val="0"/>
              <w:spacing w:line="300" w:lineRule="exact"/>
              <w:jc w:val="left"/>
              <w:rPr>
                <w:rFonts w:eastAsia="仿宋"/>
                <w:color w:val="000000"/>
                <w:sz w:val="24"/>
              </w:rPr>
            </w:pPr>
            <w:r>
              <w:rPr>
                <w:rFonts w:eastAsia="仿宋"/>
                <w:color w:val="000000"/>
                <w:sz w:val="24"/>
              </w:rPr>
              <w:t>计划开工日期：</w:t>
            </w:r>
            <w:r>
              <w:rPr>
                <w:rFonts w:eastAsia="仿宋"/>
                <w:color w:val="000000"/>
                <w:sz w:val="24"/>
                <w:u w:val="single"/>
              </w:rPr>
              <w:t xml:space="preserve">      </w:t>
            </w:r>
            <w:r>
              <w:rPr>
                <w:rFonts w:eastAsia="仿宋"/>
                <w:color w:val="000000"/>
                <w:sz w:val="24"/>
              </w:rPr>
              <w:t>年</w:t>
            </w:r>
            <w:r>
              <w:rPr>
                <w:rFonts w:eastAsia="仿宋"/>
                <w:color w:val="000000"/>
                <w:sz w:val="24"/>
                <w:u w:val="single"/>
              </w:rPr>
              <w:t xml:space="preserve">     </w:t>
            </w:r>
            <w:r>
              <w:rPr>
                <w:rFonts w:eastAsia="仿宋"/>
                <w:color w:val="000000"/>
                <w:sz w:val="24"/>
              </w:rPr>
              <w:t>月</w:t>
            </w:r>
            <w:r>
              <w:rPr>
                <w:rFonts w:eastAsia="仿宋"/>
                <w:color w:val="000000"/>
                <w:sz w:val="24"/>
                <w:u w:val="single"/>
              </w:rPr>
              <w:t xml:space="preserve">     </w:t>
            </w:r>
            <w:r>
              <w:rPr>
                <w:rFonts w:eastAsia="仿宋"/>
                <w:color w:val="000000"/>
                <w:sz w:val="24"/>
              </w:rPr>
              <w:t>日</w:t>
            </w:r>
          </w:p>
          <w:p>
            <w:pPr>
              <w:spacing w:line="300" w:lineRule="exact"/>
              <w:rPr>
                <w:rFonts w:eastAsia="仿宋"/>
                <w:color w:val="000000"/>
                <w:sz w:val="24"/>
              </w:rPr>
            </w:pPr>
            <w:r>
              <w:rPr>
                <w:rFonts w:eastAsia="仿宋"/>
                <w:color w:val="000000"/>
                <w:sz w:val="24"/>
              </w:rPr>
              <w:t>计划</w:t>
            </w:r>
            <w:r>
              <w:rPr>
                <w:rFonts w:eastAsia="仿宋"/>
                <w:color w:val="000000"/>
                <w:sz w:val="24"/>
                <w:u w:val="single"/>
              </w:rPr>
              <w:t xml:space="preserve"> 完/竣 </w:t>
            </w:r>
            <w:r>
              <w:rPr>
                <w:rFonts w:eastAsia="仿宋"/>
                <w:color w:val="000000"/>
                <w:sz w:val="24"/>
              </w:rPr>
              <w:t>工日期：</w:t>
            </w:r>
            <w:r>
              <w:rPr>
                <w:rFonts w:eastAsia="仿宋"/>
                <w:color w:val="000000"/>
                <w:sz w:val="24"/>
                <w:u w:val="single"/>
              </w:rPr>
              <w:t xml:space="preserve">      </w:t>
            </w:r>
            <w:r>
              <w:rPr>
                <w:rFonts w:eastAsia="仿宋"/>
                <w:color w:val="000000"/>
                <w:sz w:val="24"/>
              </w:rPr>
              <w:t>年</w:t>
            </w:r>
            <w:r>
              <w:rPr>
                <w:rFonts w:eastAsia="仿宋"/>
                <w:color w:val="000000"/>
                <w:sz w:val="24"/>
                <w:u w:val="single"/>
              </w:rPr>
              <w:t xml:space="preserve">     </w:t>
            </w:r>
            <w:r>
              <w:rPr>
                <w:rFonts w:eastAsia="仿宋"/>
                <w:color w:val="000000"/>
                <w:sz w:val="24"/>
              </w:rPr>
              <w:t>月</w:t>
            </w:r>
            <w:r>
              <w:rPr>
                <w:rFonts w:eastAsia="仿宋"/>
                <w:color w:val="000000"/>
                <w:sz w:val="24"/>
                <w:u w:val="single"/>
              </w:rPr>
              <w:t xml:space="preserve">     </w:t>
            </w:r>
            <w:r>
              <w:rPr>
                <w:rFonts w:eastAsia="仿宋"/>
                <w:color w:val="000000"/>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985" w:type="dxa"/>
            <w:noWrap w:val="0"/>
            <w:vAlign w:val="center"/>
          </w:tcPr>
          <w:p>
            <w:pPr>
              <w:spacing w:line="300" w:lineRule="exact"/>
              <w:jc w:val="center"/>
              <w:rPr>
                <w:rFonts w:eastAsia="仿宋"/>
                <w:color w:val="000000"/>
                <w:sz w:val="24"/>
              </w:rPr>
            </w:pPr>
            <w:r>
              <w:rPr>
                <w:rFonts w:eastAsia="仿宋"/>
                <w:color w:val="000000"/>
                <w:sz w:val="24"/>
              </w:rPr>
              <w:t>1.3.3</w:t>
            </w:r>
          </w:p>
        </w:tc>
        <w:tc>
          <w:tcPr>
            <w:tcW w:w="1948" w:type="dxa"/>
            <w:noWrap w:val="0"/>
            <w:vAlign w:val="center"/>
          </w:tcPr>
          <w:p>
            <w:pPr>
              <w:spacing w:line="300" w:lineRule="exact"/>
              <w:jc w:val="center"/>
              <w:rPr>
                <w:rFonts w:eastAsia="仿宋"/>
                <w:color w:val="000000"/>
                <w:sz w:val="24"/>
              </w:rPr>
            </w:pPr>
            <w:r>
              <w:rPr>
                <w:rFonts w:eastAsia="仿宋"/>
                <w:color w:val="000000"/>
                <w:sz w:val="24"/>
              </w:rPr>
              <w:t>质量要求</w:t>
            </w:r>
          </w:p>
        </w:tc>
        <w:tc>
          <w:tcPr>
            <w:tcW w:w="6562" w:type="dxa"/>
            <w:noWrap w:val="0"/>
            <w:vAlign w:val="center"/>
          </w:tcPr>
          <w:p>
            <w:pPr>
              <w:snapToGrid w:val="0"/>
              <w:spacing w:line="300" w:lineRule="exact"/>
              <w:rPr>
                <w:rFonts w:eastAsia="仿宋"/>
                <w:color w:val="000000"/>
                <w:sz w:val="24"/>
              </w:rPr>
            </w:pPr>
            <w:r>
              <w:rPr>
                <w:rFonts w:eastAsia="仿宋"/>
                <w:color w:val="000000"/>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noWrap w:val="0"/>
            <w:vAlign w:val="center"/>
          </w:tcPr>
          <w:p>
            <w:pPr>
              <w:spacing w:line="300" w:lineRule="exact"/>
              <w:jc w:val="center"/>
              <w:rPr>
                <w:rFonts w:eastAsia="仿宋"/>
                <w:color w:val="000000"/>
                <w:sz w:val="24"/>
              </w:rPr>
            </w:pPr>
            <w:r>
              <w:rPr>
                <w:rFonts w:eastAsia="仿宋"/>
                <w:color w:val="000000"/>
                <w:sz w:val="24"/>
              </w:rPr>
              <w:t>1.4.1</w:t>
            </w:r>
          </w:p>
        </w:tc>
        <w:tc>
          <w:tcPr>
            <w:tcW w:w="1948" w:type="dxa"/>
            <w:noWrap w:val="0"/>
            <w:vAlign w:val="center"/>
          </w:tcPr>
          <w:p>
            <w:pPr>
              <w:spacing w:line="300" w:lineRule="exact"/>
              <w:jc w:val="center"/>
              <w:rPr>
                <w:rFonts w:eastAsia="仿宋"/>
                <w:color w:val="000000"/>
                <w:sz w:val="24"/>
              </w:rPr>
            </w:pPr>
            <w:r>
              <w:rPr>
                <w:rFonts w:eastAsia="仿宋"/>
                <w:color w:val="000000"/>
                <w:sz w:val="24"/>
              </w:rPr>
              <w:t>投标人资质条件、能力和信誉</w:t>
            </w:r>
          </w:p>
        </w:tc>
        <w:tc>
          <w:tcPr>
            <w:tcW w:w="6562" w:type="dxa"/>
            <w:noWrap w:val="0"/>
            <w:vAlign w:val="center"/>
          </w:tcPr>
          <w:p>
            <w:pPr>
              <w:pStyle w:val="106"/>
              <w:spacing w:line="300" w:lineRule="exact"/>
              <w:rPr>
                <w:rFonts w:ascii="Times New Roman" w:eastAsia="仿宋" w:cs="Times New Roman"/>
                <w:b/>
              </w:rPr>
            </w:pPr>
            <w:r>
              <w:rPr>
                <w:rFonts w:hint="eastAsia" w:ascii="Times New Roman" w:eastAsia="仿宋" w:cs="Times New Roman"/>
                <w:b/>
              </w:rPr>
              <w:t>（1）</w:t>
            </w:r>
            <w:r>
              <w:rPr>
                <w:rFonts w:ascii="Times New Roman" w:eastAsia="仿宋" w:cs="Times New Roman"/>
                <w:b/>
              </w:rPr>
              <w:t>资质</w:t>
            </w:r>
            <w:r>
              <w:rPr>
                <w:rFonts w:hint="eastAsia" w:ascii="Times New Roman" w:eastAsia="仿宋" w:cs="Times New Roman"/>
                <w:b/>
              </w:rPr>
              <w:t>条件</w:t>
            </w:r>
            <w:r>
              <w:rPr>
                <w:rFonts w:ascii="Times New Roman" w:eastAsia="仿宋" w:cs="Times New Roman"/>
                <w:b/>
              </w:rPr>
              <w:t>：</w:t>
            </w:r>
          </w:p>
          <w:p>
            <w:pPr>
              <w:pStyle w:val="106"/>
              <w:spacing w:line="300" w:lineRule="exact"/>
              <w:ind w:firstLine="480" w:firstLineChars="200"/>
              <w:rPr>
                <w:rFonts w:ascii="Times New Roman" w:eastAsia="仿宋" w:cs="Times New Roman"/>
              </w:rPr>
            </w:pPr>
            <w:r>
              <w:rPr>
                <w:rFonts w:hint="eastAsia" w:ascii="东文宋体" w:hAnsi="东文宋体" w:eastAsia="东文宋体" w:cs="东文宋体"/>
              </w:rPr>
              <w:t>①</w:t>
            </w:r>
            <w:r>
              <w:rPr>
                <w:rFonts w:ascii="Times New Roman" w:eastAsia="仿宋" w:cs="Times New Roman"/>
              </w:rPr>
              <w:t>投标人具有独立的法人资格，持有效的营业执照；</w:t>
            </w:r>
          </w:p>
          <w:p>
            <w:pPr>
              <w:pStyle w:val="106"/>
              <w:spacing w:line="300" w:lineRule="exact"/>
              <w:ind w:firstLine="480" w:firstLineChars="200"/>
              <w:rPr>
                <w:rFonts w:ascii="Times New Roman" w:eastAsia="仿宋" w:cs="Times New Roman"/>
              </w:rPr>
            </w:pPr>
            <w:r>
              <w:rPr>
                <w:rFonts w:hint="eastAsia" w:ascii="东文宋体" w:hAnsi="东文宋体" w:eastAsia="东文宋体" w:cs="东文宋体"/>
              </w:rPr>
              <w:t>②</w:t>
            </w:r>
            <w:r>
              <w:rPr>
                <w:rFonts w:hint="eastAsia" w:ascii="Times New Roman" w:hAnsi="Times New Roman" w:eastAsia="仿宋_GB2312" w:cs="Times New Roman"/>
                <w:bCs/>
                <w:sz w:val="28"/>
                <w:szCs w:val="32"/>
              </w:rPr>
              <w:sym w:font="Wingdings" w:char="00A8"/>
            </w:r>
            <w:r>
              <w:rPr>
                <w:rFonts w:eastAsia="仿宋"/>
                <w:b/>
              </w:rPr>
              <w:t>（A）</w:t>
            </w:r>
            <w:r>
              <w:rPr>
                <w:rFonts w:ascii="Times New Roman" w:eastAsia="仿宋" w:cs="Times New Roman"/>
              </w:rPr>
              <w:t>投标人</w:t>
            </w:r>
            <w:r>
              <w:rPr>
                <w:rFonts w:hint="eastAsia" w:ascii="Times New Roman" w:eastAsia="仿宋" w:cs="Times New Roman"/>
              </w:rPr>
              <w:t>必须</w:t>
            </w:r>
            <w:r>
              <w:rPr>
                <w:rFonts w:ascii="Times New Roman" w:eastAsia="仿宋" w:cs="Times New Roman"/>
              </w:rPr>
              <w:t>具备</w:t>
            </w:r>
            <w:r>
              <w:rPr>
                <w:rFonts w:hint="eastAsia" w:ascii="Times New Roman" w:eastAsia="仿宋" w:cs="Times New Roman"/>
                <w:b/>
                <w:bCs/>
                <w:u w:val="single"/>
              </w:rPr>
              <w:t>建筑工程施工总承包叁级或市政公用工程施工总承包叁级或水利水电工程施工总承包叁级及以上</w:t>
            </w:r>
            <w:r>
              <w:rPr>
                <w:rFonts w:ascii="Times New Roman" w:eastAsia="仿宋" w:cs="Times New Roman"/>
              </w:rPr>
              <w:t>资质；安全生产许可证处于有效期内；并在人员、设备、资金等方面具有承担本项目施工的能力。</w:t>
            </w:r>
          </w:p>
          <w:p>
            <w:pPr>
              <w:pStyle w:val="106"/>
              <w:spacing w:line="300" w:lineRule="exact"/>
              <w:ind w:firstLine="840" w:firstLineChars="300"/>
              <w:rPr>
                <w:rFonts w:ascii="Times New Roman" w:eastAsia="仿宋" w:cs="Times New Roman"/>
              </w:rPr>
            </w:pPr>
            <w:r>
              <w:rPr>
                <w:rFonts w:hint="eastAsia" w:ascii="Times New Roman" w:hAnsi="Times New Roman" w:eastAsia="仿宋_GB2312" w:cs="Times New Roman"/>
                <w:bCs/>
                <w:sz w:val="28"/>
                <w:szCs w:val="32"/>
              </w:rPr>
              <w:sym w:font="Wingdings" w:char="00A8"/>
            </w:r>
            <w:r>
              <w:rPr>
                <w:rFonts w:eastAsia="仿宋"/>
                <w:b/>
              </w:rPr>
              <w:t>（</w:t>
            </w:r>
            <w:r>
              <w:rPr>
                <w:rFonts w:hint="eastAsia" w:eastAsia="仿宋"/>
                <w:b/>
              </w:rPr>
              <w:t>B</w:t>
            </w:r>
            <w:r>
              <w:rPr>
                <w:rFonts w:eastAsia="仿宋"/>
                <w:b/>
              </w:rPr>
              <w:t>）</w:t>
            </w:r>
            <w:r>
              <w:rPr>
                <w:rFonts w:hint="eastAsia" w:eastAsia="仿宋"/>
                <w:b/>
              </w:rPr>
              <w:t xml:space="preserve"> </w:t>
            </w:r>
            <w:r>
              <w:rPr>
                <w:rFonts w:ascii="Times New Roman" w:eastAsia="仿宋" w:cs="Times New Roman"/>
              </w:rPr>
              <w:t>投标人</w:t>
            </w:r>
            <w:r>
              <w:rPr>
                <w:rFonts w:hint="eastAsia" w:ascii="Times New Roman" w:eastAsia="仿宋" w:cs="Times New Roman"/>
              </w:rPr>
              <w:t>必须</w:t>
            </w:r>
            <w:r>
              <w:rPr>
                <w:rFonts w:ascii="Times New Roman" w:eastAsia="仿宋" w:cs="Times New Roman"/>
              </w:rPr>
              <w:t>具备</w:t>
            </w:r>
            <w:r>
              <w:rPr>
                <w:rFonts w:hint="eastAsia" w:ascii="Times New Roman" w:eastAsia="仿宋" w:cs="Times New Roman"/>
                <w:b/>
                <w:bCs/>
                <w:u w:val="single"/>
              </w:rPr>
              <w:t>水利水电工程施工总承包叁级及以上</w:t>
            </w:r>
            <w:r>
              <w:rPr>
                <w:rFonts w:ascii="Times New Roman" w:eastAsia="仿宋" w:cs="Times New Roman"/>
              </w:rPr>
              <w:t>资质；安全生产许可证处于有效期内；并在人员、设备、资金等方面具有承担本项目施工的能力。</w:t>
            </w:r>
          </w:p>
          <w:p>
            <w:pPr>
              <w:pStyle w:val="106"/>
              <w:spacing w:line="300" w:lineRule="exact"/>
              <w:ind w:firstLine="480" w:firstLineChars="200"/>
              <w:rPr>
                <w:rFonts w:ascii="Times New Roman" w:eastAsia="仿宋" w:cs="Times New Roman"/>
              </w:rPr>
            </w:pPr>
          </w:p>
          <w:p>
            <w:pPr>
              <w:spacing w:line="300" w:lineRule="exact"/>
              <w:rPr>
                <w:rFonts w:eastAsia="仿宋"/>
                <w:b/>
                <w:color w:val="000000"/>
                <w:sz w:val="24"/>
              </w:rPr>
            </w:pPr>
            <w:r>
              <w:rPr>
                <w:rFonts w:hint="eastAsia" w:eastAsia="仿宋"/>
                <w:b/>
                <w:color w:val="000000"/>
                <w:sz w:val="24"/>
              </w:rPr>
              <w:t>（2）</w:t>
            </w:r>
            <w:r>
              <w:rPr>
                <w:rFonts w:eastAsia="仿宋"/>
                <w:b/>
                <w:color w:val="000000"/>
                <w:sz w:val="24"/>
              </w:rPr>
              <w:t>业绩要求：</w:t>
            </w:r>
          </w:p>
          <w:p>
            <w:pPr>
              <w:spacing w:line="300" w:lineRule="exact"/>
              <w:ind w:firstLine="480" w:firstLineChars="200"/>
              <w:rPr>
                <w:rFonts w:eastAsia="仿宋"/>
                <w:color w:val="000000"/>
                <w:sz w:val="24"/>
              </w:rPr>
            </w:pPr>
            <w:r>
              <w:rPr>
                <w:rFonts w:eastAsia="仿宋"/>
                <w:color w:val="000000"/>
                <w:sz w:val="24"/>
              </w:rPr>
              <w:t>本项目对投标人类似工程业绩不作资格要求。</w:t>
            </w:r>
          </w:p>
          <w:p>
            <w:pPr>
              <w:pStyle w:val="118"/>
              <w:widowControl w:val="0"/>
              <w:spacing w:line="300" w:lineRule="exact"/>
              <w:ind w:firstLine="482" w:firstLineChars="200"/>
              <w:jc w:val="left"/>
              <w:rPr>
                <w:rFonts w:eastAsia="仿宋"/>
                <w:b/>
                <w:i/>
                <w:color w:val="000000"/>
              </w:rPr>
            </w:pPr>
          </w:p>
          <w:p>
            <w:pPr>
              <w:snapToGrid w:val="0"/>
              <w:spacing w:line="300" w:lineRule="exact"/>
              <w:rPr>
                <w:rFonts w:eastAsia="仿宋"/>
                <w:b/>
                <w:color w:val="000000"/>
                <w:sz w:val="24"/>
              </w:rPr>
            </w:pPr>
            <w:r>
              <w:rPr>
                <w:rFonts w:hint="eastAsia" w:eastAsia="仿宋"/>
                <w:b/>
                <w:color w:val="000000"/>
                <w:sz w:val="24"/>
              </w:rPr>
              <w:t>（3）</w:t>
            </w:r>
            <w:r>
              <w:rPr>
                <w:rFonts w:eastAsia="仿宋"/>
                <w:b/>
                <w:color w:val="000000"/>
                <w:sz w:val="24"/>
              </w:rPr>
              <w:t>信誉要求：</w:t>
            </w:r>
          </w:p>
          <w:p>
            <w:pPr>
              <w:snapToGrid w:val="0"/>
              <w:spacing w:line="300" w:lineRule="exact"/>
              <w:ind w:firstLine="482" w:firstLineChars="200"/>
              <w:rPr>
                <w:rFonts w:eastAsia="仿宋"/>
                <w:b/>
                <w:bCs/>
                <w:color w:val="000000"/>
                <w:sz w:val="24"/>
              </w:rPr>
            </w:pPr>
            <w:r>
              <w:rPr>
                <w:rFonts w:hint="eastAsia" w:ascii="东文宋体" w:hAnsi="东文宋体" w:eastAsia="东文宋体" w:cs="东文宋体"/>
                <w:b/>
                <w:bCs/>
                <w:color w:val="000000"/>
                <w:sz w:val="24"/>
              </w:rPr>
              <w:t>①</w:t>
            </w:r>
            <w:r>
              <w:rPr>
                <w:rFonts w:eastAsia="仿宋"/>
                <w:b/>
                <w:bCs/>
                <w:color w:val="000000"/>
                <w:sz w:val="24"/>
              </w:rPr>
              <w:t>投标人必须是</w:t>
            </w:r>
            <w:r>
              <w:rPr>
                <w:rFonts w:hint="eastAsia" w:eastAsia="仿宋"/>
                <w:b/>
                <w:bCs/>
                <w:color w:val="000000"/>
                <w:sz w:val="24"/>
              </w:rPr>
              <w:t>在“全国建筑市场监管公共服务平台”或“湖南省智慧住建云”或“水利部水利建设市场监管平台”或“湖南省水利建设市场综合监管系统”建立信用档案的市场主体单位</w:t>
            </w:r>
            <w:r>
              <w:rPr>
                <w:rFonts w:eastAsia="仿宋"/>
                <w:b/>
                <w:bCs/>
                <w:color w:val="000000"/>
                <w:sz w:val="24"/>
              </w:rPr>
              <w:t>。</w:t>
            </w:r>
          </w:p>
          <w:p>
            <w:pPr>
              <w:snapToGrid w:val="0"/>
              <w:spacing w:line="300" w:lineRule="exact"/>
              <w:ind w:firstLine="480" w:firstLineChars="200"/>
              <w:rPr>
                <w:rFonts w:eastAsia="仿宋"/>
                <w:color w:val="000000"/>
                <w:sz w:val="24"/>
                <w:u w:val="single"/>
              </w:rPr>
            </w:pPr>
            <w:r>
              <w:rPr>
                <w:rFonts w:hint="eastAsia" w:ascii="东文宋体" w:hAnsi="东文宋体" w:eastAsia="东文宋体" w:cs="东文宋体"/>
                <w:color w:val="000000"/>
                <w:sz w:val="24"/>
              </w:rPr>
              <w:t>②</w:t>
            </w:r>
            <w:r>
              <w:rPr>
                <w:rFonts w:eastAsia="仿宋"/>
                <w:color w:val="000000"/>
                <w:sz w:val="24"/>
              </w:rPr>
              <w:t>受到湖南省</w:t>
            </w:r>
            <w:r>
              <w:rPr>
                <w:rFonts w:hint="eastAsia" w:eastAsia="仿宋"/>
                <w:color w:val="000000"/>
                <w:sz w:val="24"/>
              </w:rPr>
              <w:t>内相</w:t>
            </w:r>
            <w:r>
              <w:rPr>
                <w:rFonts w:eastAsia="仿宋"/>
                <w:color w:val="000000"/>
                <w:sz w:val="24"/>
              </w:rPr>
              <w:t>关</w:t>
            </w:r>
            <w:r>
              <w:rPr>
                <w:rFonts w:hint="eastAsia" w:eastAsia="仿宋"/>
                <w:color w:val="000000"/>
                <w:sz w:val="24"/>
              </w:rPr>
              <w:t>行政主管</w:t>
            </w:r>
            <w:r>
              <w:rPr>
                <w:rFonts w:eastAsia="仿宋"/>
                <w:color w:val="000000"/>
                <w:sz w:val="24"/>
              </w:rPr>
              <w:t>部门取消投标资格</w:t>
            </w:r>
            <w:r>
              <w:rPr>
                <w:rFonts w:hint="eastAsia" w:eastAsia="仿宋"/>
                <w:color w:val="000000"/>
                <w:sz w:val="24"/>
              </w:rPr>
              <w:t>及</w:t>
            </w:r>
            <w:r>
              <w:rPr>
                <w:rFonts w:eastAsia="仿宋"/>
                <w:color w:val="000000"/>
                <w:sz w:val="24"/>
              </w:rPr>
              <w:t>以上处罚并在有效期内的从业单位和从业人员，以及被人力资源和社会保障行政</w:t>
            </w:r>
            <w:r>
              <w:rPr>
                <w:rFonts w:hint="eastAsia" w:eastAsia="仿宋"/>
                <w:color w:val="000000"/>
                <w:sz w:val="24"/>
              </w:rPr>
              <w:t>主管</w:t>
            </w:r>
            <w:r>
              <w:rPr>
                <w:rFonts w:eastAsia="仿宋"/>
                <w:color w:val="000000"/>
                <w:sz w:val="24"/>
              </w:rPr>
              <w:t>部门列入拖欠工资“黑名单”并在有效期内的从业单位和从业人员，禁止参与本次投标。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noWrap w:val="0"/>
            <w:vAlign w:val="center"/>
          </w:tcPr>
          <w:p>
            <w:pPr>
              <w:spacing w:line="300" w:lineRule="exact"/>
              <w:jc w:val="center"/>
              <w:rPr>
                <w:rFonts w:eastAsia="仿宋"/>
                <w:color w:val="000000"/>
                <w:sz w:val="24"/>
              </w:rPr>
            </w:pPr>
            <w:r>
              <w:rPr>
                <w:rFonts w:eastAsia="仿宋"/>
                <w:color w:val="000000"/>
                <w:sz w:val="24"/>
              </w:rPr>
              <w:t>1.4.1</w:t>
            </w:r>
          </w:p>
        </w:tc>
        <w:tc>
          <w:tcPr>
            <w:tcW w:w="1948" w:type="dxa"/>
            <w:noWrap w:val="0"/>
            <w:vAlign w:val="center"/>
          </w:tcPr>
          <w:p>
            <w:pPr>
              <w:spacing w:line="300" w:lineRule="exact"/>
              <w:jc w:val="center"/>
              <w:rPr>
                <w:rFonts w:eastAsia="仿宋"/>
                <w:color w:val="000000"/>
                <w:sz w:val="24"/>
              </w:rPr>
            </w:pPr>
            <w:r>
              <w:rPr>
                <w:rFonts w:eastAsia="仿宋"/>
                <w:color w:val="000000"/>
                <w:sz w:val="24"/>
              </w:rPr>
              <w:t>投标人资质条件、能力和信誉</w:t>
            </w:r>
          </w:p>
        </w:tc>
        <w:tc>
          <w:tcPr>
            <w:tcW w:w="6562" w:type="dxa"/>
            <w:noWrap w:val="0"/>
            <w:vAlign w:val="center"/>
          </w:tcPr>
          <w:p>
            <w:pPr>
              <w:pStyle w:val="187"/>
              <w:snapToGrid w:val="0"/>
              <w:spacing w:after="0" w:line="320" w:lineRule="exact"/>
              <w:rPr>
                <w:rFonts w:ascii="Times New Roman" w:eastAsia="仿宋" w:cs="Times New Roman"/>
                <w:b/>
                <w:color w:val="000000"/>
              </w:rPr>
            </w:pPr>
            <w:r>
              <w:rPr>
                <w:rFonts w:hint="eastAsia" w:ascii="Times New Roman" w:eastAsia="仿宋" w:cs="Times New Roman"/>
                <w:b/>
                <w:color w:val="000000"/>
              </w:rPr>
              <w:t>（4）</w:t>
            </w:r>
            <w:r>
              <w:rPr>
                <w:rFonts w:ascii="Times New Roman" w:eastAsia="仿宋" w:cs="Times New Roman"/>
                <w:b/>
                <w:color w:val="000000"/>
              </w:rPr>
              <w:t>项目负责人资格：</w:t>
            </w:r>
          </w:p>
          <w:p>
            <w:pPr>
              <w:snapToGrid w:val="0"/>
              <w:spacing w:line="320" w:lineRule="exact"/>
              <w:ind w:firstLine="480" w:firstLineChars="200"/>
              <w:rPr>
                <w:rFonts w:eastAsia="仿宋"/>
                <w:color w:val="000000"/>
                <w:sz w:val="24"/>
              </w:rPr>
            </w:pPr>
            <w:r>
              <w:rPr>
                <w:rFonts w:eastAsia="仿宋"/>
                <w:color w:val="000000"/>
                <w:sz w:val="24"/>
              </w:rPr>
              <w:t xml:space="preserve"> </w:t>
            </w:r>
            <w:r>
              <w:rPr>
                <w:rFonts w:hint="eastAsia" w:eastAsia="仿宋"/>
                <w:color w:val="000000"/>
                <w:kern w:val="0"/>
                <w:sz w:val="24"/>
              </w:rPr>
              <w:t>□</w:t>
            </w:r>
            <w:r>
              <w:rPr>
                <w:rFonts w:eastAsia="仿宋"/>
                <w:b/>
                <w:color w:val="000000"/>
                <w:sz w:val="24"/>
              </w:rPr>
              <w:t>（A）</w:t>
            </w:r>
            <w:r>
              <w:rPr>
                <w:rFonts w:eastAsia="仿宋"/>
                <w:color w:val="000000"/>
                <w:sz w:val="24"/>
              </w:rPr>
              <w:t>拟任项目负责人必须是注册在本投标单位的</w:t>
            </w:r>
            <w:r>
              <w:rPr>
                <w:rFonts w:eastAsia="仿宋"/>
                <w:color w:val="000000"/>
                <w:sz w:val="24"/>
                <w:u w:val="single"/>
              </w:rPr>
              <w:t xml:space="preserve">        </w:t>
            </w:r>
            <w:r>
              <w:rPr>
                <w:rFonts w:eastAsia="仿宋"/>
                <w:b/>
                <w:bCs/>
                <w:color w:val="000000"/>
                <w:sz w:val="24"/>
                <w:u w:val="single"/>
              </w:rPr>
              <w:t xml:space="preserve"> 建筑工程或</w:t>
            </w:r>
            <w:r>
              <w:rPr>
                <w:rFonts w:hint="eastAsia" w:eastAsia="仿宋"/>
                <w:b/>
                <w:bCs/>
                <w:color w:val="000000"/>
                <w:sz w:val="24"/>
                <w:u w:val="single"/>
              </w:rPr>
              <w:t>市政公用工程</w:t>
            </w:r>
            <w:r>
              <w:rPr>
                <w:rFonts w:eastAsia="仿宋"/>
                <w:b/>
                <w:bCs/>
                <w:color w:val="000000"/>
                <w:sz w:val="24"/>
                <w:u w:val="single"/>
              </w:rPr>
              <w:t>或水利水电工程贰级及以上</w:t>
            </w:r>
            <w:r>
              <w:rPr>
                <w:rFonts w:eastAsia="仿宋"/>
                <w:color w:val="000000"/>
                <w:sz w:val="24"/>
              </w:rPr>
              <w:t>建造师，具有</w:t>
            </w:r>
            <w:r>
              <w:rPr>
                <w:rFonts w:eastAsia="仿宋"/>
                <w:color w:val="000000"/>
                <w:sz w:val="24"/>
                <w:u w:val="single"/>
              </w:rPr>
              <w:t>建设或水行政</w:t>
            </w:r>
            <w:r>
              <w:rPr>
                <w:rFonts w:eastAsia="仿宋"/>
                <w:color w:val="000000"/>
                <w:sz w:val="24"/>
              </w:rPr>
              <w:t>主管部门颁发或核发的B类安全生产考核合格证书，且为独立投标人（或联合体牵头人）</w:t>
            </w:r>
            <w:r>
              <w:rPr>
                <w:rFonts w:hint="eastAsia" w:eastAsia="仿宋"/>
                <w:color w:val="000000"/>
                <w:sz w:val="24"/>
              </w:rPr>
              <w:t>在职员工</w:t>
            </w:r>
            <w:r>
              <w:rPr>
                <w:rFonts w:eastAsia="仿宋"/>
                <w:color w:val="000000"/>
                <w:sz w:val="24"/>
              </w:rPr>
              <w:t>，无在建项目（同一施工项目负责人不能同时在两个及以上的工程项目上担任施工项目负责人；</w:t>
            </w:r>
            <w:r>
              <w:rPr>
                <w:rFonts w:hint="eastAsia" w:eastAsia="仿宋"/>
                <w:color w:val="000000"/>
                <w:sz w:val="24"/>
              </w:rPr>
              <w:t>无在建项目指至本项目投标截止期，无在建未完工项目或已中标（以网上发布中标侯选人公示为准）未开工项目，</w:t>
            </w:r>
            <w:r>
              <w:rPr>
                <w:rFonts w:eastAsia="仿宋"/>
                <w:color w:val="000000"/>
                <w:sz w:val="24"/>
              </w:rPr>
              <w:t>以及符合</w:t>
            </w:r>
            <w:r>
              <w:rPr>
                <w:rFonts w:eastAsia="仿宋"/>
                <w:color w:val="000000"/>
                <w:sz w:val="24"/>
                <w:u w:val="single"/>
              </w:rPr>
              <w:t>《注册建造师执业管理办法（试行）》</w:t>
            </w:r>
            <w:r>
              <w:rPr>
                <w:rFonts w:eastAsia="仿宋"/>
                <w:color w:val="000000"/>
                <w:sz w:val="24"/>
              </w:rPr>
              <w:t>第九条规定的其他情形）。</w:t>
            </w:r>
            <w:r>
              <w:rPr>
                <w:rFonts w:eastAsia="仿宋"/>
                <w:b/>
                <w:i/>
                <w:color w:val="000000"/>
                <w:sz w:val="24"/>
              </w:rPr>
              <w:t>（适用各类</w:t>
            </w:r>
            <w:r>
              <w:rPr>
                <w:rFonts w:hint="eastAsia" w:eastAsia="仿宋"/>
                <w:b/>
                <w:i/>
                <w:color w:val="000000"/>
                <w:sz w:val="24"/>
              </w:rPr>
              <w:t>农田建设项目工程</w:t>
            </w:r>
            <w:r>
              <w:rPr>
                <w:rFonts w:eastAsia="仿宋"/>
                <w:b/>
                <w:i/>
                <w:color w:val="000000"/>
                <w:sz w:val="24"/>
              </w:rPr>
              <w:t>项目）</w:t>
            </w:r>
          </w:p>
          <w:p>
            <w:pPr>
              <w:pStyle w:val="187"/>
              <w:autoSpaceDE/>
              <w:autoSpaceDN/>
              <w:snapToGrid w:val="0"/>
              <w:spacing w:after="0" w:line="320" w:lineRule="exact"/>
              <w:ind w:firstLine="480" w:firstLineChars="200"/>
              <w:jc w:val="both"/>
              <w:rPr>
                <w:rFonts w:ascii="Times New Roman" w:eastAsia="仿宋_GB2312" w:cs="Times New Roman"/>
                <w:color w:val="000000"/>
                <w:kern w:val="2"/>
                <w:sz w:val="28"/>
                <w:szCs w:val="32"/>
              </w:rPr>
            </w:pPr>
            <w:r>
              <w:rPr>
                <w:rFonts w:hint="eastAsia" w:eastAsia="仿宋"/>
                <w:color w:val="000000"/>
              </w:rPr>
              <w:t xml:space="preserve"> □</w:t>
            </w:r>
            <w:r>
              <w:rPr>
                <w:rFonts w:eastAsia="仿宋"/>
                <w:b/>
                <w:color w:val="000000"/>
              </w:rPr>
              <w:t>（</w:t>
            </w:r>
            <w:r>
              <w:rPr>
                <w:rFonts w:hint="eastAsia" w:eastAsia="仿宋"/>
                <w:b/>
                <w:color w:val="000000"/>
              </w:rPr>
              <w:t>B</w:t>
            </w:r>
            <w:r>
              <w:rPr>
                <w:rFonts w:eastAsia="仿宋"/>
                <w:b/>
                <w:color w:val="000000"/>
              </w:rPr>
              <w:t>）</w:t>
            </w:r>
            <w:r>
              <w:rPr>
                <w:rFonts w:eastAsia="仿宋"/>
                <w:color w:val="000000"/>
              </w:rPr>
              <w:t>拟任项目负责人必须是注册在本投标单位的</w:t>
            </w:r>
            <w:r>
              <w:rPr>
                <w:rFonts w:eastAsia="仿宋"/>
                <w:color w:val="000000"/>
                <w:u w:val="single"/>
              </w:rPr>
              <w:t xml:space="preserve">       </w:t>
            </w:r>
            <w:r>
              <w:rPr>
                <w:rFonts w:eastAsia="仿宋"/>
                <w:color w:val="000000"/>
              </w:rPr>
              <w:t>专业</w:t>
            </w:r>
            <w:r>
              <w:rPr>
                <w:rFonts w:hint="eastAsia" w:eastAsia="仿宋"/>
                <w:b/>
                <w:bCs/>
                <w:color w:val="000000"/>
                <w:u w:val="single"/>
              </w:rPr>
              <w:t>水利水电工程贰级及以上</w:t>
            </w:r>
            <w:r>
              <w:rPr>
                <w:rFonts w:eastAsia="仿宋"/>
                <w:b/>
                <w:bCs/>
                <w:color w:val="000000"/>
                <w:u w:val="single"/>
              </w:rPr>
              <w:t xml:space="preserve"> </w:t>
            </w:r>
            <w:r>
              <w:rPr>
                <w:rFonts w:eastAsia="仿宋"/>
                <w:color w:val="000000"/>
                <w:u w:val="single"/>
              </w:rPr>
              <w:t xml:space="preserve"> </w:t>
            </w:r>
            <w:r>
              <w:rPr>
                <w:rFonts w:eastAsia="仿宋"/>
                <w:color w:val="000000"/>
              </w:rPr>
              <w:t>建造师，具有</w:t>
            </w:r>
            <w:r>
              <w:rPr>
                <w:rFonts w:eastAsia="仿宋"/>
                <w:color w:val="000000"/>
                <w:u w:val="single"/>
              </w:rPr>
              <w:t>水行政主管部门</w:t>
            </w:r>
            <w:r>
              <w:rPr>
                <w:rFonts w:eastAsia="仿宋"/>
                <w:color w:val="000000"/>
              </w:rPr>
              <w:t>颁发或核发的B类安全生产考核合格证书，且为独立投标人（或联合体牵头人）</w:t>
            </w:r>
            <w:r>
              <w:rPr>
                <w:rFonts w:hint="eastAsia" w:eastAsia="仿宋"/>
                <w:color w:val="000000"/>
              </w:rPr>
              <w:t>在职员工</w:t>
            </w:r>
            <w:r>
              <w:rPr>
                <w:rFonts w:eastAsia="仿宋"/>
                <w:color w:val="000000"/>
              </w:rPr>
              <w:t>，无在建项目（同一施工项目负责人不能同时在两个及以上的工程项目上担任施工项目负责人；</w:t>
            </w:r>
            <w:r>
              <w:rPr>
                <w:rFonts w:hint="eastAsia" w:eastAsia="仿宋"/>
                <w:color w:val="000000"/>
              </w:rPr>
              <w:t>无在建项目指至本项目投标截止期，无在建未完工项目或已中标（以网上发布中标侯选人公示为准）未开工项目</w:t>
            </w:r>
            <w:r>
              <w:rPr>
                <w:rFonts w:eastAsia="仿宋"/>
                <w:color w:val="000000"/>
              </w:rPr>
              <w:t>，以及符合</w:t>
            </w:r>
            <w:r>
              <w:rPr>
                <w:rFonts w:eastAsia="仿宋"/>
                <w:color w:val="000000"/>
                <w:u w:val="single"/>
              </w:rPr>
              <w:t>《注册建造师执业管理办法（试行）》</w:t>
            </w:r>
            <w:r>
              <w:rPr>
                <w:rFonts w:eastAsia="仿宋"/>
                <w:color w:val="000000"/>
              </w:rPr>
              <w:t>第九条规定的其他情形）。</w:t>
            </w:r>
            <w:r>
              <w:rPr>
                <w:rFonts w:eastAsia="仿宋"/>
                <w:b/>
                <w:i/>
                <w:color w:val="000000"/>
              </w:rPr>
              <w:t>（适用各类</w:t>
            </w:r>
            <w:r>
              <w:rPr>
                <w:rFonts w:hint="eastAsia" w:eastAsia="仿宋"/>
                <w:b/>
                <w:i/>
                <w:color w:val="000000"/>
              </w:rPr>
              <w:t>农田建设项目工程</w:t>
            </w:r>
            <w:r>
              <w:rPr>
                <w:rFonts w:eastAsia="仿宋"/>
                <w:b/>
                <w:i/>
                <w:color w:val="000000"/>
              </w:rPr>
              <w:t>项目）</w:t>
            </w:r>
          </w:p>
          <w:p>
            <w:pPr>
              <w:snapToGrid w:val="0"/>
              <w:spacing w:line="300" w:lineRule="exact"/>
              <w:ind w:firstLine="480" w:firstLineChars="200"/>
              <w:rPr>
                <w:rFonts w:hint="eastAsia" w:eastAsia="仿宋"/>
                <w:color w:val="000000"/>
                <w:sz w:val="24"/>
              </w:rPr>
            </w:pPr>
          </w:p>
          <w:p>
            <w:pPr>
              <w:snapToGrid w:val="0"/>
              <w:spacing w:line="300" w:lineRule="exact"/>
              <w:rPr>
                <w:rFonts w:eastAsia="仿宋"/>
                <w:b/>
                <w:color w:val="000000"/>
                <w:sz w:val="24"/>
              </w:rPr>
            </w:pPr>
            <w:r>
              <w:rPr>
                <w:rFonts w:hint="eastAsia" w:eastAsia="仿宋"/>
                <w:b/>
                <w:color w:val="000000"/>
                <w:sz w:val="24"/>
              </w:rPr>
              <w:t>（5）</w:t>
            </w:r>
            <w:r>
              <w:rPr>
                <w:rFonts w:eastAsia="仿宋"/>
                <w:b/>
                <w:color w:val="000000"/>
                <w:sz w:val="24"/>
              </w:rPr>
              <w:t>技术负责人资格：</w:t>
            </w:r>
          </w:p>
          <w:p>
            <w:pPr>
              <w:snapToGrid w:val="0"/>
              <w:spacing w:line="300" w:lineRule="exact"/>
              <w:ind w:firstLine="480" w:firstLineChars="200"/>
              <w:rPr>
                <w:rFonts w:eastAsia="仿宋"/>
                <w:color w:val="000000"/>
                <w:sz w:val="24"/>
              </w:rPr>
            </w:pPr>
            <w:r>
              <w:rPr>
                <w:rFonts w:eastAsia="仿宋"/>
                <w:color w:val="000000"/>
                <w:sz w:val="24"/>
              </w:rPr>
              <w:t xml:space="preserve"> </w:t>
            </w:r>
            <w:r>
              <w:rPr>
                <w:rFonts w:hint="eastAsia" w:eastAsia="仿宋"/>
                <w:color w:val="000000"/>
                <w:kern w:val="0"/>
                <w:sz w:val="24"/>
              </w:rPr>
              <w:t>□</w:t>
            </w:r>
            <w:r>
              <w:rPr>
                <w:rFonts w:eastAsia="仿宋"/>
                <w:b/>
                <w:color w:val="000000"/>
                <w:sz w:val="24"/>
              </w:rPr>
              <w:t>（A）</w:t>
            </w:r>
            <w:r>
              <w:rPr>
                <w:rFonts w:eastAsia="仿宋"/>
                <w:color w:val="000000"/>
                <w:sz w:val="24"/>
              </w:rPr>
              <w:t>拟任技术负责人具有</w:t>
            </w:r>
            <w:r>
              <w:rPr>
                <w:rFonts w:hint="eastAsia" w:eastAsia="仿宋"/>
                <w:b/>
                <w:bCs/>
                <w:color w:val="000000"/>
                <w:sz w:val="24"/>
                <w:u w:val="single"/>
              </w:rPr>
              <w:t>建筑工程或市政公用工程或</w:t>
            </w:r>
            <w:r>
              <w:rPr>
                <w:rFonts w:eastAsia="仿宋"/>
                <w:b/>
                <w:bCs/>
                <w:color w:val="000000"/>
                <w:sz w:val="24"/>
                <w:u w:val="single"/>
              </w:rPr>
              <w:t>水利水电工程</w:t>
            </w:r>
            <w:r>
              <w:rPr>
                <w:rFonts w:hint="eastAsia" w:eastAsia="仿宋"/>
                <w:b/>
                <w:bCs/>
                <w:color w:val="000000"/>
                <w:sz w:val="24"/>
                <w:u w:val="single"/>
              </w:rPr>
              <w:t>相关专业中级及以上</w:t>
            </w:r>
            <w:r>
              <w:rPr>
                <w:rFonts w:eastAsia="仿宋"/>
                <w:b/>
                <w:bCs/>
                <w:color w:val="000000"/>
                <w:sz w:val="24"/>
                <w:u w:val="single"/>
              </w:rPr>
              <w:tab/>
            </w:r>
            <w:r>
              <w:rPr>
                <w:rFonts w:eastAsia="仿宋"/>
                <w:color w:val="000000"/>
                <w:sz w:val="24"/>
              </w:rPr>
              <w:t>技术职称，且为投标单位</w:t>
            </w:r>
            <w:r>
              <w:rPr>
                <w:rFonts w:hint="eastAsia" w:eastAsia="仿宋"/>
                <w:color w:val="000000"/>
                <w:sz w:val="24"/>
              </w:rPr>
              <w:t>在职员工</w:t>
            </w:r>
            <w:r>
              <w:rPr>
                <w:rFonts w:eastAsia="仿宋"/>
                <w:color w:val="000000"/>
                <w:sz w:val="24"/>
              </w:rPr>
              <w:t>；</w:t>
            </w:r>
          </w:p>
          <w:p>
            <w:pPr>
              <w:snapToGrid w:val="0"/>
              <w:spacing w:line="300" w:lineRule="exact"/>
              <w:ind w:firstLine="480" w:firstLineChars="200"/>
              <w:rPr>
                <w:rFonts w:eastAsia="仿宋"/>
                <w:color w:val="000000"/>
                <w:sz w:val="24"/>
              </w:rPr>
            </w:pPr>
            <w:r>
              <w:rPr>
                <w:rFonts w:eastAsia="仿宋"/>
                <w:color w:val="000000"/>
                <w:sz w:val="24"/>
              </w:rPr>
              <w:t xml:space="preserve"> </w:t>
            </w:r>
            <w:r>
              <w:rPr>
                <w:rFonts w:hint="eastAsia" w:eastAsia="仿宋"/>
                <w:color w:val="000000"/>
                <w:kern w:val="0"/>
                <w:sz w:val="24"/>
              </w:rPr>
              <w:t>□</w:t>
            </w:r>
            <w:r>
              <w:rPr>
                <w:rFonts w:eastAsia="仿宋"/>
                <w:b/>
                <w:color w:val="000000"/>
                <w:sz w:val="24"/>
              </w:rPr>
              <w:t>（</w:t>
            </w:r>
            <w:r>
              <w:rPr>
                <w:rFonts w:hint="eastAsia" w:eastAsia="仿宋"/>
                <w:b/>
                <w:color w:val="000000"/>
                <w:sz w:val="24"/>
              </w:rPr>
              <w:t>B</w:t>
            </w:r>
            <w:r>
              <w:rPr>
                <w:rFonts w:eastAsia="仿宋"/>
                <w:b/>
                <w:color w:val="000000"/>
                <w:sz w:val="24"/>
              </w:rPr>
              <w:t>）</w:t>
            </w:r>
            <w:r>
              <w:rPr>
                <w:rFonts w:eastAsia="仿宋"/>
                <w:color w:val="000000"/>
                <w:sz w:val="24"/>
              </w:rPr>
              <w:t>拟任技术负责人具有</w:t>
            </w:r>
            <w:r>
              <w:rPr>
                <w:rFonts w:eastAsia="仿宋"/>
                <w:b/>
                <w:bCs/>
                <w:color w:val="000000"/>
                <w:sz w:val="24"/>
                <w:u w:val="single"/>
              </w:rPr>
              <w:t>水利水电工程</w:t>
            </w:r>
            <w:r>
              <w:rPr>
                <w:rFonts w:hint="eastAsia" w:eastAsia="仿宋"/>
                <w:b/>
                <w:bCs/>
                <w:color w:val="000000"/>
                <w:sz w:val="24"/>
                <w:u w:val="single"/>
              </w:rPr>
              <w:t>相关专业中级及以上</w:t>
            </w:r>
            <w:r>
              <w:rPr>
                <w:rFonts w:eastAsia="仿宋"/>
                <w:b/>
                <w:bCs/>
                <w:color w:val="000000"/>
                <w:sz w:val="24"/>
                <w:u w:val="single"/>
              </w:rPr>
              <w:t xml:space="preserve"> </w:t>
            </w:r>
            <w:r>
              <w:rPr>
                <w:rFonts w:eastAsia="仿宋"/>
                <w:b/>
                <w:bCs/>
                <w:color w:val="000000"/>
                <w:sz w:val="24"/>
                <w:u w:val="single"/>
              </w:rPr>
              <w:tab/>
            </w:r>
            <w:r>
              <w:rPr>
                <w:rFonts w:eastAsia="仿宋"/>
                <w:color w:val="000000"/>
                <w:sz w:val="24"/>
              </w:rPr>
              <w:t>技术职称，且为投标单位</w:t>
            </w:r>
            <w:r>
              <w:rPr>
                <w:rFonts w:hint="eastAsia" w:eastAsia="仿宋"/>
                <w:color w:val="000000"/>
                <w:sz w:val="24"/>
              </w:rPr>
              <w:t>在职员工</w:t>
            </w:r>
            <w:r>
              <w:rPr>
                <w:rFonts w:eastAsia="仿宋"/>
                <w:color w:val="000000"/>
                <w:sz w:val="24"/>
              </w:rPr>
              <w:t>；</w:t>
            </w:r>
          </w:p>
          <w:p>
            <w:pPr>
              <w:snapToGrid w:val="0"/>
              <w:spacing w:line="300" w:lineRule="exact"/>
              <w:ind w:firstLine="480" w:firstLineChars="200"/>
              <w:rPr>
                <w:rFonts w:eastAsia="仿宋"/>
                <w:color w:val="000000"/>
                <w:sz w:val="24"/>
              </w:rPr>
            </w:pPr>
          </w:p>
          <w:p>
            <w:pPr>
              <w:snapToGrid w:val="0"/>
              <w:spacing w:line="300" w:lineRule="exact"/>
              <w:rPr>
                <w:rFonts w:eastAsia="仿宋"/>
                <w:b/>
                <w:color w:val="000000"/>
                <w:sz w:val="24"/>
              </w:rPr>
            </w:pPr>
            <w:r>
              <w:rPr>
                <w:rFonts w:hint="eastAsia" w:eastAsia="仿宋"/>
                <w:b/>
                <w:color w:val="000000"/>
                <w:sz w:val="24"/>
              </w:rPr>
              <w:t>（6）</w:t>
            </w:r>
            <w:r>
              <w:rPr>
                <w:rFonts w:eastAsia="仿宋"/>
                <w:b/>
                <w:color w:val="000000"/>
                <w:sz w:val="24"/>
              </w:rPr>
              <w:t>其它要求：</w:t>
            </w:r>
          </w:p>
          <w:p>
            <w:pPr>
              <w:snapToGrid w:val="0"/>
              <w:spacing w:line="300" w:lineRule="exact"/>
              <w:ind w:firstLine="480" w:firstLineChars="200"/>
              <w:rPr>
                <w:rFonts w:eastAsia="仿宋"/>
                <w:color w:val="000000"/>
                <w:sz w:val="24"/>
              </w:rPr>
            </w:pPr>
            <w:r>
              <w:rPr>
                <w:rFonts w:hint="eastAsia" w:ascii="东文宋体" w:hAnsi="东文宋体" w:eastAsia="东文宋体" w:cs="东文宋体"/>
                <w:color w:val="000000"/>
                <w:sz w:val="24"/>
              </w:rPr>
              <w:t>①</w:t>
            </w:r>
            <w:r>
              <w:rPr>
                <w:rFonts w:eastAsia="仿宋"/>
                <w:color w:val="000000"/>
                <w:sz w:val="24"/>
              </w:rPr>
              <w:t>投标人法定代表人应持有</w:t>
            </w:r>
            <w:r>
              <w:rPr>
                <w:rFonts w:hint="eastAsia" w:eastAsia="仿宋"/>
                <w:b/>
                <w:bCs/>
                <w:color w:val="000000"/>
                <w:sz w:val="24"/>
              </w:rPr>
              <w:t>建设或</w:t>
            </w:r>
            <w:r>
              <w:rPr>
                <w:rFonts w:eastAsia="仿宋"/>
                <w:b/>
                <w:bCs/>
                <w:color w:val="000000"/>
                <w:sz w:val="24"/>
              </w:rPr>
              <w:t>水行</w:t>
            </w:r>
            <w:r>
              <w:rPr>
                <w:rFonts w:hint="eastAsia" w:eastAsia="仿宋"/>
                <w:b/>
                <w:bCs/>
                <w:color w:val="000000"/>
                <w:sz w:val="24"/>
              </w:rPr>
              <w:t>政</w:t>
            </w:r>
            <w:r>
              <w:rPr>
                <w:rFonts w:eastAsia="仿宋"/>
                <w:color w:val="000000"/>
                <w:sz w:val="24"/>
              </w:rPr>
              <w:t>主管部门颁发或核发的A类安全生产考核合格证书；</w:t>
            </w:r>
          </w:p>
          <w:p>
            <w:pPr>
              <w:snapToGrid w:val="0"/>
              <w:spacing w:line="300" w:lineRule="exact"/>
              <w:ind w:firstLine="480" w:firstLineChars="200"/>
              <w:rPr>
                <w:rFonts w:eastAsia="仿宋"/>
                <w:color w:val="000000"/>
                <w:sz w:val="24"/>
              </w:rPr>
            </w:pPr>
            <w:r>
              <w:rPr>
                <w:rFonts w:hint="eastAsia" w:ascii="东文宋体" w:hAnsi="东文宋体" w:eastAsia="东文宋体" w:cs="东文宋体"/>
                <w:color w:val="000000"/>
                <w:sz w:val="24"/>
              </w:rPr>
              <w:t>②</w:t>
            </w:r>
            <w:r>
              <w:rPr>
                <w:rFonts w:eastAsia="仿宋"/>
                <w:color w:val="000000"/>
                <w:sz w:val="24"/>
              </w:rPr>
              <w:t>拟任专职安全员具有</w:t>
            </w:r>
            <w:r>
              <w:rPr>
                <w:rFonts w:hint="eastAsia" w:eastAsia="仿宋"/>
                <w:b/>
                <w:bCs/>
                <w:color w:val="000000"/>
                <w:sz w:val="24"/>
              </w:rPr>
              <w:t>建设或</w:t>
            </w:r>
            <w:r>
              <w:rPr>
                <w:rFonts w:eastAsia="仿宋"/>
                <w:b/>
                <w:bCs/>
                <w:color w:val="000000"/>
                <w:sz w:val="24"/>
              </w:rPr>
              <w:t>水行</w:t>
            </w:r>
            <w:r>
              <w:rPr>
                <w:rFonts w:hint="eastAsia" w:eastAsia="仿宋"/>
                <w:b/>
                <w:bCs/>
                <w:color w:val="000000"/>
                <w:sz w:val="24"/>
              </w:rPr>
              <w:t>政</w:t>
            </w:r>
            <w:r>
              <w:rPr>
                <w:rFonts w:eastAsia="仿宋"/>
                <w:color w:val="000000"/>
                <w:sz w:val="24"/>
              </w:rPr>
              <w:t>主管部门颁发或核发的C类安全生产考核合格证书，且为投标单位</w:t>
            </w:r>
            <w:r>
              <w:rPr>
                <w:rFonts w:hint="eastAsia" w:eastAsia="仿宋"/>
                <w:color w:val="000000"/>
                <w:sz w:val="24"/>
              </w:rPr>
              <w:t>在职员工</w:t>
            </w:r>
            <w:r>
              <w:rPr>
                <w:rFonts w:eastAsia="仿宋"/>
                <w:color w:val="000000"/>
                <w:sz w:val="24"/>
              </w:rPr>
              <w:t>；</w:t>
            </w:r>
          </w:p>
          <w:p>
            <w:pPr>
              <w:snapToGrid w:val="0"/>
              <w:spacing w:line="300" w:lineRule="exact"/>
              <w:ind w:firstLine="480" w:firstLineChars="200"/>
              <w:rPr>
                <w:rFonts w:eastAsia="仿宋"/>
                <w:color w:val="000000"/>
                <w:sz w:val="24"/>
              </w:rPr>
            </w:pPr>
            <w:r>
              <w:rPr>
                <w:rFonts w:hint="eastAsia" w:ascii="东文宋体" w:hAnsi="东文宋体" w:eastAsia="东文宋体" w:cs="东文宋体"/>
                <w:color w:val="000000"/>
                <w:sz w:val="24"/>
              </w:rPr>
              <w:t>③</w:t>
            </w:r>
            <w:r>
              <w:rPr>
                <w:rFonts w:eastAsia="仿宋"/>
                <w:color w:val="000000"/>
                <w:sz w:val="24"/>
              </w:rPr>
              <w:t>凡在</w:t>
            </w:r>
            <w:r>
              <w:rPr>
                <w:rFonts w:hint="eastAsia" w:eastAsia="仿宋"/>
                <w:b/>
                <w:bCs/>
                <w:color w:val="000000"/>
                <w:sz w:val="24"/>
              </w:rPr>
              <w:t>“全国建筑市场监管公共服务平台”或“湖南省智慧住建云”或“水利部水利建设市场监管平台”或“湖南省水利建设市场综合监管系统”</w:t>
            </w:r>
            <w:r>
              <w:rPr>
                <w:rFonts w:eastAsia="仿宋"/>
                <w:b/>
                <w:bCs/>
                <w:color w:val="000000"/>
                <w:sz w:val="24"/>
              </w:rPr>
              <w:t>建立信用档案的市场主体，</w:t>
            </w:r>
            <w:r>
              <w:rPr>
                <w:rFonts w:eastAsia="仿宋"/>
                <w:color w:val="000000"/>
                <w:sz w:val="24"/>
              </w:rPr>
              <w:t>其业绩、主要人员（项目负责人、技术负责人和专职安全员）资历</w:t>
            </w:r>
            <w:r>
              <w:rPr>
                <w:rFonts w:eastAsia="仿宋"/>
                <w:b/>
                <w:bCs/>
                <w:color w:val="000000"/>
                <w:sz w:val="24"/>
              </w:rPr>
              <w:t>在</w:t>
            </w:r>
            <w:r>
              <w:rPr>
                <w:rFonts w:hint="eastAsia" w:eastAsia="仿宋"/>
                <w:b/>
                <w:bCs/>
                <w:color w:val="000000"/>
                <w:sz w:val="24"/>
              </w:rPr>
              <w:t>“全国建筑市场监管公共服务平台”或“湖南省智慧住建云”或“水利部水利建设市场监管平台”或“湖南省水利建设市场综合监管系统”</w:t>
            </w:r>
            <w:r>
              <w:rPr>
                <w:rFonts w:eastAsia="仿宋"/>
                <w:color w:val="000000"/>
                <w:sz w:val="24"/>
              </w:rPr>
              <w:t>没有相关信息的</w:t>
            </w:r>
            <w:r>
              <w:rPr>
                <w:rFonts w:hint="eastAsia" w:eastAsia="仿宋"/>
                <w:color w:val="000000"/>
                <w:sz w:val="24"/>
              </w:rPr>
              <w:t>，</w:t>
            </w:r>
            <w:r>
              <w:rPr>
                <w:rFonts w:eastAsia="仿宋"/>
                <w:color w:val="000000"/>
                <w:sz w:val="24"/>
              </w:rPr>
              <w:t>评标中将不予认定；</w:t>
            </w:r>
          </w:p>
          <w:p>
            <w:pPr>
              <w:snapToGrid w:val="0"/>
              <w:spacing w:line="300" w:lineRule="exact"/>
              <w:ind w:firstLine="480" w:firstLineChars="200"/>
              <w:rPr>
                <w:rFonts w:eastAsia="仿宋"/>
                <w:color w:val="000000"/>
                <w:sz w:val="24"/>
              </w:rPr>
            </w:pPr>
            <w:r>
              <w:rPr>
                <w:rFonts w:hint="eastAsia" w:ascii="汉仪书宋二S" w:hAnsi="汉仪书宋二S" w:eastAsia="汉仪书宋二S" w:cs="汉仪书宋二S"/>
                <w:color w:val="000000"/>
                <w:sz w:val="24"/>
              </w:rPr>
              <w:t>④</w:t>
            </w:r>
            <w:r>
              <w:rPr>
                <w:rFonts w:eastAsia="仿宋"/>
                <w:color w:val="000000"/>
                <w:sz w:val="24"/>
              </w:rPr>
              <w:t>投标人的委托代理人、投标联系人及拟任项目管理人员（项目负责人、技术负责人、专职安全员、质量员、材料员、施工员、预算员或资料员、财务负责人、劳资专管员</w:t>
            </w:r>
            <w:r>
              <w:rPr>
                <w:rFonts w:hint="eastAsia" w:eastAsia="仿宋"/>
                <w:color w:val="000000"/>
                <w:sz w:val="24"/>
              </w:rPr>
              <w:t>（单位出具任命书）</w:t>
            </w:r>
            <w:r>
              <w:rPr>
                <w:rFonts w:eastAsia="仿宋"/>
                <w:color w:val="000000"/>
                <w:sz w:val="24"/>
              </w:rPr>
              <w:t>）必须为投标单位</w:t>
            </w:r>
            <w:r>
              <w:rPr>
                <w:rFonts w:hint="eastAsia" w:eastAsia="仿宋"/>
                <w:color w:val="000000"/>
                <w:sz w:val="24"/>
              </w:rPr>
              <w:t>在职员工</w:t>
            </w:r>
            <w:r>
              <w:rPr>
                <w:rFonts w:eastAsia="仿宋"/>
                <w:color w:val="000000"/>
                <w:sz w:val="24"/>
              </w:rPr>
              <w:t>。</w:t>
            </w:r>
          </w:p>
          <w:p>
            <w:pPr>
              <w:snapToGrid w:val="0"/>
              <w:spacing w:line="300" w:lineRule="exact"/>
              <w:ind w:firstLine="480" w:firstLineChars="200"/>
              <w:rPr>
                <w:rFonts w:eastAsia="仿宋"/>
                <w:color w:val="000000"/>
                <w:sz w:val="24"/>
              </w:rPr>
            </w:pPr>
            <w:r>
              <w:rPr>
                <w:rFonts w:eastAsia="仿宋"/>
                <w:color w:val="000000"/>
                <w:sz w:val="24"/>
              </w:rPr>
              <w:t>证明委托代理人、投标联系人及拟任项目管理人员为投标单位</w:t>
            </w:r>
            <w:r>
              <w:rPr>
                <w:rFonts w:hint="eastAsia" w:eastAsia="仿宋"/>
                <w:color w:val="000000"/>
                <w:sz w:val="24"/>
              </w:rPr>
              <w:t>在职员工</w:t>
            </w:r>
            <w:r>
              <w:rPr>
                <w:rFonts w:eastAsia="仿宋"/>
                <w:color w:val="000000"/>
                <w:sz w:val="24"/>
              </w:rPr>
              <w:t>需提供下列资料：</w:t>
            </w:r>
          </w:p>
          <w:p>
            <w:pPr>
              <w:snapToGrid w:val="0"/>
              <w:spacing w:line="300" w:lineRule="exact"/>
              <w:ind w:firstLine="480" w:firstLineChars="200"/>
              <w:rPr>
                <w:rFonts w:eastAsia="仿宋"/>
                <w:color w:val="000000"/>
                <w:sz w:val="24"/>
              </w:rPr>
            </w:pPr>
            <w:r>
              <w:rPr>
                <w:rFonts w:hint="eastAsia" w:ascii="东文宋体" w:hAnsi="东文宋体" w:eastAsia="东文宋体" w:cs="东文宋体"/>
                <w:color w:val="000000"/>
                <w:sz w:val="24"/>
              </w:rPr>
              <w:t>a.</w:t>
            </w:r>
            <w:r>
              <w:rPr>
                <w:rFonts w:eastAsia="仿宋"/>
                <w:color w:val="000000"/>
                <w:sz w:val="24"/>
              </w:rPr>
              <w:t>证明其在投标人单位参加社会保险</w:t>
            </w:r>
            <w:r>
              <w:rPr>
                <w:rFonts w:eastAsia="仿宋"/>
                <w:b/>
                <w:bCs/>
                <w:color w:val="000000"/>
                <w:sz w:val="24"/>
              </w:rPr>
              <w:t>（至投标截止时间最近6个月内连续3个月的缴费</w:t>
            </w:r>
            <w:r>
              <w:rPr>
                <w:rFonts w:hint="eastAsia" w:eastAsia="仿宋"/>
                <w:b/>
                <w:bCs/>
                <w:color w:val="000000"/>
                <w:sz w:val="24"/>
              </w:rPr>
              <w:t>凭证</w:t>
            </w:r>
            <w:r>
              <w:rPr>
                <w:rFonts w:eastAsia="仿宋"/>
                <w:b/>
                <w:bCs/>
                <w:color w:val="000000"/>
                <w:sz w:val="24"/>
              </w:rPr>
              <w:t>）的证明</w:t>
            </w:r>
            <w:r>
              <w:rPr>
                <w:rFonts w:eastAsia="仿宋"/>
                <w:color w:val="000000"/>
                <w:sz w:val="24"/>
              </w:rPr>
              <w:t>。国家和地方政府对退休人员和企业、事业社保缴费有专门规定的，从其规定。</w:t>
            </w:r>
          </w:p>
          <w:p>
            <w:pPr>
              <w:snapToGrid w:val="0"/>
              <w:spacing w:line="300" w:lineRule="exact"/>
              <w:ind w:firstLine="480" w:firstLineChars="200"/>
              <w:rPr>
                <w:rFonts w:eastAsia="仿宋"/>
                <w:color w:val="000000"/>
                <w:sz w:val="24"/>
              </w:rPr>
            </w:pPr>
            <w:r>
              <w:rPr>
                <w:rFonts w:hint="eastAsia" w:ascii="东文宋体" w:hAnsi="东文宋体" w:eastAsia="东文宋体" w:cs="东文宋体"/>
                <w:color w:val="000000"/>
                <w:sz w:val="24"/>
              </w:rPr>
              <w:t>b.</w:t>
            </w:r>
            <w:r>
              <w:rPr>
                <w:rFonts w:eastAsia="仿宋"/>
                <w:color w:val="000000"/>
                <w:sz w:val="24"/>
              </w:rPr>
              <w:t>其它有效证明文件。</w:t>
            </w:r>
          </w:p>
          <w:p>
            <w:pPr>
              <w:pStyle w:val="106"/>
              <w:snapToGrid w:val="0"/>
              <w:spacing w:line="300" w:lineRule="exact"/>
              <w:ind w:firstLine="480" w:firstLineChars="200"/>
              <w:rPr>
                <w:rFonts w:ascii="Times New Roman" w:eastAsia="仿宋" w:cs="Times New Roman"/>
                <w:b/>
              </w:rPr>
            </w:pPr>
            <w:r>
              <w:rPr>
                <w:rFonts w:hint="eastAsia" w:ascii="汉仪书宋二S" w:hAnsi="汉仪书宋二S" w:eastAsia="汉仪书宋二S" w:cs="汉仪书宋二S"/>
              </w:rPr>
              <w:t>⑤</w:t>
            </w:r>
            <w:r>
              <w:rPr>
                <w:rFonts w:ascii="Times New Roman" w:eastAsia="仿宋" w:cs="Times New Roman"/>
                <w:u w:val="single"/>
              </w:rPr>
              <w:t xml:space="preserve">                  </w:t>
            </w:r>
            <w:r>
              <w:rPr>
                <w:rFonts w:ascii="Times New Roman" w:eastAsia="仿宋"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noWrap w:val="0"/>
            <w:vAlign w:val="center"/>
          </w:tcPr>
          <w:p>
            <w:pPr>
              <w:spacing w:line="300" w:lineRule="exact"/>
              <w:jc w:val="center"/>
              <w:rPr>
                <w:rFonts w:eastAsia="仿宋"/>
                <w:color w:val="000000"/>
                <w:sz w:val="24"/>
              </w:rPr>
            </w:pPr>
            <w:r>
              <w:rPr>
                <w:rFonts w:eastAsia="仿宋"/>
                <w:color w:val="000000"/>
                <w:sz w:val="24"/>
              </w:rPr>
              <w:t>1.4.2</w:t>
            </w:r>
          </w:p>
        </w:tc>
        <w:tc>
          <w:tcPr>
            <w:tcW w:w="1948" w:type="dxa"/>
            <w:noWrap w:val="0"/>
            <w:vAlign w:val="center"/>
          </w:tcPr>
          <w:p>
            <w:pPr>
              <w:spacing w:line="300" w:lineRule="exact"/>
              <w:jc w:val="center"/>
              <w:rPr>
                <w:rFonts w:eastAsia="仿宋"/>
                <w:color w:val="000000"/>
                <w:sz w:val="24"/>
              </w:rPr>
            </w:pPr>
            <w:r>
              <w:rPr>
                <w:rFonts w:eastAsia="仿宋"/>
                <w:color w:val="000000"/>
                <w:sz w:val="24"/>
              </w:rPr>
              <w:t>是否接受联合体</w:t>
            </w:r>
          </w:p>
          <w:p>
            <w:pPr>
              <w:spacing w:line="300" w:lineRule="exact"/>
              <w:jc w:val="center"/>
              <w:rPr>
                <w:rFonts w:eastAsia="仿宋"/>
                <w:color w:val="000000"/>
                <w:sz w:val="24"/>
              </w:rPr>
            </w:pPr>
            <w:r>
              <w:rPr>
                <w:rFonts w:eastAsia="仿宋"/>
                <w:color w:val="000000"/>
                <w:sz w:val="24"/>
              </w:rPr>
              <w:t>投标</w:t>
            </w:r>
          </w:p>
        </w:tc>
        <w:tc>
          <w:tcPr>
            <w:tcW w:w="6562" w:type="dxa"/>
            <w:noWrap w:val="0"/>
            <w:vAlign w:val="center"/>
          </w:tcPr>
          <w:p>
            <w:pPr>
              <w:snapToGrid w:val="0"/>
              <w:spacing w:line="300" w:lineRule="exact"/>
              <w:rPr>
                <w:rFonts w:eastAsia="仿宋"/>
                <w:color w:val="000000"/>
                <w:sz w:val="24"/>
              </w:rPr>
            </w:pPr>
            <w:r>
              <w:rPr>
                <w:rFonts w:eastAsia="仿宋"/>
                <w:color w:val="000000"/>
                <w:kern w:val="0"/>
                <w:sz w:val="24"/>
              </w:rPr>
              <w:t xml:space="preserve">□ </w:t>
            </w:r>
            <w:r>
              <w:rPr>
                <w:rFonts w:eastAsia="仿宋"/>
                <w:color w:val="000000"/>
                <w:sz w:val="24"/>
              </w:rPr>
              <w:t>不接受</w:t>
            </w:r>
          </w:p>
          <w:p>
            <w:pPr>
              <w:snapToGrid w:val="0"/>
              <w:spacing w:line="300" w:lineRule="exact"/>
              <w:rPr>
                <w:rFonts w:eastAsia="仿宋"/>
                <w:color w:val="000000"/>
                <w:sz w:val="24"/>
              </w:rPr>
            </w:pPr>
            <w:r>
              <w:rPr>
                <w:rFonts w:eastAsia="仿宋"/>
                <w:color w:val="000000"/>
                <w:kern w:val="0"/>
                <w:sz w:val="24"/>
              </w:rPr>
              <w:t>□</w:t>
            </w:r>
            <w:r>
              <w:rPr>
                <w:rFonts w:eastAsia="仿宋"/>
                <w:color w:val="000000"/>
                <w:sz w:val="24"/>
              </w:rPr>
              <w:t xml:space="preserve"> 接受，应满足下列要求：</w:t>
            </w:r>
            <w:r>
              <w:rPr>
                <w:rFonts w:eastAsia="仿宋"/>
                <w:color w:val="000000"/>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noWrap w:val="0"/>
            <w:vAlign w:val="center"/>
          </w:tcPr>
          <w:p>
            <w:pPr>
              <w:spacing w:line="300" w:lineRule="exact"/>
              <w:jc w:val="center"/>
              <w:rPr>
                <w:rFonts w:eastAsia="仿宋"/>
                <w:color w:val="000000"/>
                <w:sz w:val="24"/>
              </w:rPr>
            </w:pPr>
            <w:r>
              <w:rPr>
                <w:rFonts w:eastAsia="仿宋"/>
                <w:color w:val="000000"/>
                <w:sz w:val="24"/>
              </w:rPr>
              <w:t>1.4.3</w:t>
            </w:r>
          </w:p>
        </w:tc>
        <w:tc>
          <w:tcPr>
            <w:tcW w:w="1948" w:type="dxa"/>
            <w:noWrap w:val="0"/>
            <w:vAlign w:val="center"/>
          </w:tcPr>
          <w:p>
            <w:pPr>
              <w:spacing w:line="300" w:lineRule="exact"/>
              <w:jc w:val="center"/>
              <w:rPr>
                <w:rFonts w:eastAsia="仿宋"/>
                <w:color w:val="000000"/>
                <w:sz w:val="24"/>
              </w:rPr>
            </w:pPr>
            <w:r>
              <w:rPr>
                <w:rFonts w:eastAsia="仿宋"/>
                <w:color w:val="000000"/>
                <w:sz w:val="24"/>
              </w:rPr>
              <w:t>投标人不得存在的其他情形</w:t>
            </w:r>
          </w:p>
        </w:tc>
        <w:tc>
          <w:tcPr>
            <w:tcW w:w="6562" w:type="dxa"/>
            <w:noWrap w:val="0"/>
            <w:vAlign w:val="center"/>
          </w:tcPr>
          <w:p>
            <w:pPr>
              <w:snapToGrid w:val="0"/>
              <w:spacing w:line="300" w:lineRule="exact"/>
              <w:rPr>
                <w:rFonts w:eastAsia="仿宋"/>
                <w:color w:val="000000"/>
                <w:kern w:val="0"/>
                <w:sz w:val="24"/>
                <w:u w:val="single"/>
              </w:rPr>
            </w:pPr>
            <w:r>
              <w:rPr>
                <w:rFonts w:hint="eastAsia" w:eastAsia="仿宋"/>
                <w:color w:val="000000"/>
                <w:kern w:val="0"/>
                <w:sz w:val="24"/>
                <w:u w:val="single"/>
              </w:rPr>
              <w:t>详见总则第1.4.3款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noWrap w:val="0"/>
            <w:vAlign w:val="center"/>
          </w:tcPr>
          <w:p>
            <w:pPr>
              <w:spacing w:line="300" w:lineRule="exact"/>
              <w:jc w:val="center"/>
              <w:rPr>
                <w:rFonts w:eastAsia="仿宋"/>
                <w:color w:val="000000"/>
                <w:sz w:val="24"/>
              </w:rPr>
            </w:pPr>
            <w:r>
              <w:rPr>
                <w:rFonts w:eastAsia="仿宋"/>
                <w:color w:val="000000"/>
                <w:sz w:val="24"/>
              </w:rPr>
              <w:t>1.9</w:t>
            </w:r>
          </w:p>
        </w:tc>
        <w:tc>
          <w:tcPr>
            <w:tcW w:w="1948" w:type="dxa"/>
            <w:noWrap w:val="0"/>
            <w:vAlign w:val="center"/>
          </w:tcPr>
          <w:p>
            <w:pPr>
              <w:spacing w:line="300" w:lineRule="exact"/>
              <w:jc w:val="center"/>
              <w:rPr>
                <w:rFonts w:eastAsia="仿宋"/>
                <w:color w:val="000000"/>
                <w:sz w:val="24"/>
              </w:rPr>
            </w:pPr>
            <w:r>
              <w:rPr>
                <w:rFonts w:eastAsia="仿宋"/>
                <w:color w:val="000000"/>
                <w:sz w:val="24"/>
              </w:rPr>
              <w:t>踏勘现场</w:t>
            </w:r>
          </w:p>
        </w:tc>
        <w:tc>
          <w:tcPr>
            <w:tcW w:w="6562" w:type="dxa"/>
            <w:noWrap w:val="0"/>
            <w:vAlign w:val="center"/>
          </w:tcPr>
          <w:p>
            <w:pPr>
              <w:snapToGrid w:val="0"/>
              <w:spacing w:line="300" w:lineRule="exact"/>
              <w:rPr>
                <w:rFonts w:eastAsia="仿宋"/>
                <w:color w:val="000000"/>
                <w:sz w:val="24"/>
              </w:rPr>
            </w:pPr>
            <w:r>
              <w:rPr>
                <w:rFonts w:eastAsia="仿宋"/>
                <w:color w:val="000000"/>
                <w:kern w:val="0"/>
                <w:sz w:val="24"/>
              </w:rPr>
              <w:t>□</w:t>
            </w:r>
            <w:r>
              <w:rPr>
                <w:rFonts w:eastAsia="仿宋"/>
                <w:color w:val="000000"/>
                <w:sz w:val="24"/>
              </w:rPr>
              <w:t xml:space="preserve"> 不组织</w:t>
            </w:r>
          </w:p>
          <w:p>
            <w:pPr>
              <w:snapToGrid w:val="0"/>
              <w:spacing w:line="300" w:lineRule="exact"/>
              <w:ind w:left="840" w:right="627" w:hanging="840"/>
              <w:rPr>
                <w:rFonts w:eastAsia="仿宋"/>
                <w:color w:val="000000"/>
                <w:sz w:val="24"/>
                <w:u w:val="single"/>
              </w:rPr>
            </w:pPr>
            <w:r>
              <w:rPr>
                <w:rFonts w:eastAsia="仿宋"/>
                <w:color w:val="000000"/>
                <w:kern w:val="0"/>
                <w:sz w:val="24"/>
              </w:rPr>
              <w:t>□</w:t>
            </w:r>
            <w:r>
              <w:rPr>
                <w:rFonts w:eastAsia="仿宋"/>
                <w:color w:val="000000"/>
                <w:sz w:val="24"/>
              </w:rPr>
              <w:t xml:space="preserve"> 组织，踏勘时间：</w:t>
            </w:r>
            <w:r>
              <w:rPr>
                <w:rFonts w:eastAsia="仿宋"/>
                <w:color w:val="000000"/>
                <w:sz w:val="24"/>
                <w:u w:val="single"/>
              </w:rPr>
              <w:t xml:space="preserve">                 </w:t>
            </w:r>
            <w:r>
              <w:rPr>
                <w:rFonts w:eastAsia="仿宋"/>
                <w:color w:val="000000"/>
                <w:sz w:val="24"/>
              </w:rPr>
              <w:t>。</w:t>
            </w:r>
          </w:p>
          <w:p>
            <w:pPr>
              <w:snapToGrid w:val="0"/>
              <w:spacing w:line="300" w:lineRule="exact"/>
              <w:ind w:firstLine="960" w:firstLineChars="400"/>
              <w:rPr>
                <w:rFonts w:eastAsia="仿宋"/>
                <w:color w:val="000000"/>
                <w:sz w:val="24"/>
              </w:rPr>
            </w:pPr>
            <w:r>
              <w:rPr>
                <w:rFonts w:eastAsia="仿宋"/>
                <w:color w:val="000000"/>
                <w:sz w:val="24"/>
              </w:rPr>
              <w:t>踏勘集中地点：</w:t>
            </w:r>
            <w:r>
              <w:rPr>
                <w:rFonts w:eastAsia="仿宋"/>
                <w:color w:val="000000"/>
                <w:sz w:val="24"/>
                <w:u w:val="single"/>
              </w:rPr>
              <w:t xml:space="preserve">              </w:t>
            </w:r>
            <w:r>
              <w:rPr>
                <w:rFonts w:eastAsia="仿宋"/>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noWrap w:val="0"/>
            <w:vAlign w:val="center"/>
          </w:tcPr>
          <w:p>
            <w:pPr>
              <w:spacing w:line="300" w:lineRule="exact"/>
              <w:jc w:val="center"/>
              <w:rPr>
                <w:rFonts w:eastAsia="仿宋"/>
                <w:color w:val="000000"/>
                <w:sz w:val="24"/>
              </w:rPr>
            </w:pPr>
            <w:r>
              <w:rPr>
                <w:rFonts w:eastAsia="仿宋"/>
                <w:color w:val="000000"/>
                <w:sz w:val="24"/>
              </w:rPr>
              <w:t>1.10.1</w:t>
            </w:r>
          </w:p>
        </w:tc>
        <w:tc>
          <w:tcPr>
            <w:tcW w:w="1948" w:type="dxa"/>
            <w:noWrap w:val="0"/>
            <w:vAlign w:val="center"/>
          </w:tcPr>
          <w:p>
            <w:pPr>
              <w:spacing w:line="300" w:lineRule="exact"/>
              <w:jc w:val="center"/>
              <w:rPr>
                <w:rFonts w:eastAsia="仿宋"/>
                <w:color w:val="000000"/>
                <w:sz w:val="24"/>
              </w:rPr>
            </w:pPr>
            <w:r>
              <w:rPr>
                <w:rFonts w:eastAsia="仿宋"/>
                <w:color w:val="000000"/>
                <w:sz w:val="24"/>
              </w:rPr>
              <w:t>投标预备会</w:t>
            </w:r>
          </w:p>
        </w:tc>
        <w:tc>
          <w:tcPr>
            <w:tcW w:w="6562" w:type="dxa"/>
            <w:noWrap w:val="0"/>
            <w:vAlign w:val="center"/>
          </w:tcPr>
          <w:p>
            <w:pPr>
              <w:snapToGrid w:val="0"/>
              <w:spacing w:line="300" w:lineRule="exact"/>
              <w:rPr>
                <w:rFonts w:eastAsia="仿宋"/>
                <w:color w:val="000000"/>
                <w:sz w:val="24"/>
              </w:rPr>
            </w:pPr>
            <w:r>
              <w:rPr>
                <w:rFonts w:eastAsia="仿宋"/>
                <w:color w:val="000000"/>
                <w:kern w:val="0"/>
                <w:sz w:val="24"/>
              </w:rPr>
              <w:t xml:space="preserve">□ </w:t>
            </w:r>
            <w:r>
              <w:rPr>
                <w:rFonts w:eastAsia="仿宋"/>
                <w:color w:val="000000"/>
                <w:sz w:val="24"/>
              </w:rPr>
              <w:t>不召开</w:t>
            </w:r>
          </w:p>
          <w:p>
            <w:pPr>
              <w:snapToGrid w:val="0"/>
              <w:spacing w:line="300" w:lineRule="exact"/>
              <w:ind w:left="840" w:right="1047" w:hanging="840"/>
              <w:rPr>
                <w:rFonts w:eastAsia="仿宋"/>
                <w:color w:val="000000"/>
                <w:sz w:val="24"/>
                <w:u w:val="single"/>
              </w:rPr>
            </w:pPr>
            <w:r>
              <w:rPr>
                <w:rFonts w:eastAsia="仿宋"/>
                <w:color w:val="000000"/>
                <w:kern w:val="0"/>
                <w:sz w:val="24"/>
              </w:rPr>
              <w:t>□</w:t>
            </w:r>
            <w:r>
              <w:rPr>
                <w:rFonts w:eastAsia="仿宋"/>
                <w:color w:val="000000"/>
                <w:sz w:val="24"/>
              </w:rPr>
              <w:t xml:space="preserve"> 召开，召开时间：</w:t>
            </w:r>
            <w:r>
              <w:rPr>
                <w:rFonts w:eastAsia="仿宋"/>
                <w:color w:val="000000"/>
                <w:sz w:val="24"/>
                <w:u w:val="single"/>
              </w:rPr>
              <w:t xml:space="preserve">               </w:t>
            </w:r>
            <w:r>
              <w:rPr>
                <w:rFonts w:eastAsia="仿宋"/>
                <w:color w:val="000000"/>
                <w:sz w:val="24"/>
              </w:rPr>
              <w:t>。</w:t>
            </w:r>
          </w:p>
          <w:p>
            <w:pPr>
              <w:snapToGrid w:val="0"/>
              <w:spacing w:line="300" w:lineRule="exact"/>
              <w:ind w:firstLine="960" w:firstLineChars="400"/>
              <w:rPr>
                <w:rFonts w:eastAsia="仿宋"/>
                <w:color w:val="000000"/>
                <w:sz w:val="24"/>
              </w:rPr>
            </w:pPr>
            <w:r>
              <w:rPr>
                <w:rFonts w:eastAsia="仿宋"/>
                <w:color w:val="000000"/>
                <w:sz w:val="24"/>
              </w:rPr>
              <w:t>召开地点：</w:t>
            </w:r>
            <w:r>
              <w:rPr>
                <w:rFonts w:eastAsia="仿宋"/>
                <w:color w:val="000000"/>
                <w:sz w:val="24"/>
                <w:u w:val="single"/>
              </w:rPr>
              <w:t xml:space="preserve">                </w:t>
            </w:r>
            <w:r>
              <w:rPr>
                <w:rFonts w:eastAsia="仿宋"/>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vMerge w:val="restart"/>
            <w:noWrap w:val="0"/>
            <w:vAlign w:val="center"/>
          </w:tcPr>
          <w:p>
            <w:pPr>
              <w:spacing w:line="300" w:lineRule="exact"/>
              <w:jc w:val="center"/>
              <w:rPr>
                <w:rFonts w:eastAsia="仿宋"/>
                <w:color w:val="000000"/>
                <w:sz w:val="24"/>
              </w:rPr>
            </w:pPr>
            <w:r>
              <w:rPr>
                <w:rFonts w:eastAsia="仿宋"/>
                <w:color w:val="000000"/>
                <w:sz w:val="24"/>
              </w:rPr>
              <w:t>1.10.2</w:t>
            </w:r>
          </w:p>
        </w:tc>
        <w:tc>
          <w:tcPr>
            <w:tcW w:w="1948" w:type="dxa"/>
            <w:vMerge w:val="restart"/>
            <w:noWrap w:val="0"/>
            <w:vAlign w:val="center"/>
          </w:tcPr>
          <w:p>
            <w:pPr>
              <w:spacing w:line="300" w:lineRule="exact"/>
              <w:jc w:val="center"/>
              <w:rPr>
                <w:rFonts w:eastAsia="仿宋"/>
                <w:color w:val="000000"/>
                <w:sz w:val="24"/>
              </w:rPr>
            </w:pPr>
            <w:r>
              <w:rPr>
                <w:rFonts w:eastAsia="仿宋"/>
                <w:color w:val="000000"/>
                <w:sz w:val="24"/>
              </w:rPr>
              <w:t>投标人在投标预备会前提出澄清问题的时间和提问方式</w:t>
            </w:r>
          </w:p>
        </w:tc>
        <w:tc>
          <w:tcPr>
            <w:tcW w:w="6562" w:type="dxa"/>
            <w:noWrap w:val="0"/>
            <w:vAlign w:val="center"/>
          </w:tcPr>
          <w:p>
            <w:pPr>
              <w:spacing w:after="100"/>
              <w:rPr>
                <w:rFonts w:eastAsia="仿宋"/>
                <w:color w:val="000000"/>
                <w:sz w:val="24"/>
              </w:rPr>
            </w:pPr>
            <w:r>
              <w:rPr>
                <w:rFonts w:eastAsia="仿宋"/>
                <w:color w:val="000000"/>
                <w:sz w:val="24"/>
              </w:rPr>
              <w:t>时间：在投标截止时间</w:t>
            </w:r>
            <w:r>
              <w:rPr>
                <w:rFonts w:eastAsia="仿宋"/>
                <w:color w:val="000000"/>
                <w:sz w:val="24"/>
                <w:u w:val="single"/>
              </w:rPr>
              <w:t xml:space="preserve">     </w:t>
            </w:r>
            <w:r>
              <w:rPr>
                <w:rFonts w:eastAsia="仿宋"/>
                <w:color w:val="000000"/>
                <w:sz w:val="24"/>
              </w:rPr>
              <w:t>天前。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vMerge w:val="continue"/>
            <w:noWrap w:val="0"/>
            <w:vAlign w:val="center"/>
          </w:tcPr>
          <w:p>
            <w:pPr>
              <w:spacing w:line="300" w:lineRule="exact"/>
              <w:jc w:val="center"/>
              <w:rPr>
                <w:rFonts w:eastAsia="仿宋"/>
                <w:color w:val="000000"/>
                <w:sz w:val="24"/>
              </w:rPr>
            </w:pPr>
          </w:p>
        </w:tc>
        <w:tc>
          <w:tcPr>
            <w:tcW w:w="1948" w:type="dxa"/>
            <w:vMerge w:val="continue"/>
            <w:noWrap w:val="0"/>
            <w:vAlign w:val="center"/>
          </w:tcPr>
          <w:p>
            <w:pPr>
              <w:spacing w:line="300" w:lineRule="exact"/>
              <w:jc w:val="center"/>
              <w:rPr>
                <w:rFonts w:eastAsia="仿宋"/>
                <w:color w:val="000000"/>
                <w:sz w:val="24"/>
              </w:rPr>
            </w:pPr>
          </w:p>
        </w:tc>
        <w:tc>
          <w:tcPr>
            <w:tcW w:w="6562" w:type="dxa"/>
            <w:noWrap w:val="0"/>
            <w:vAlign w:val="center"/>
          </w:tcPr>
          <w:p>
            <w:pPr>
              <w:spacing w:after="100"/>
              <w:rPr>
                <w:rFonts w:eastAsia="仿宋"/>
                <w:color w:val="000000"/>
                <w:sz w:val="24"/>
              </w:rPr>
            </w:pPr>
            <w:r>
              <w:rPr>
                <w:rFonts w:eastAsia="仿宋"/>
                <w:color w:val="000000"/>
                <w:sz w:val="24"/>
              </w:rPr>
              <w:t>方式：</w:t>
            </w:r>
            <w:r>
              <w:rPr>
                <w:rFonts w:eastAsia="仿宋"/>
                <w:color w:val="000000"/>
                <w:sz w:val="24"/>
                <w:u w:val="single"/>
              </w:rPr>
              <w:t xml:space="preserve">          （网址：          ）</w:t>
            </w:r>
            <w:r>
              <w:rPr>
                <w:rFonts w:eastAsia="仿宋"/>
                <w:color w:val="000000"/>
                <w:sz w:val="24"/>
              </w:rPr>
              <w:t>提问。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noWrap w:val="0"/>
            <w:vAlign w:val="center"/>
          </w:tcPr>
          <w:p>
            <w:pPr>
              <w:spacing w:line="300" w:lineRule="exact"/>
              <w:jc w:val="center"/>
              <w:rPr>
                <w:rFonts w:eastAsia="仿宋"/>
                <w:color w:val="000000"/>
                <w:sz w:val="24"/>
              </w:rPr>
            </w:pPr>
            <w:r>
              <w:rPr>
                <w:rFonts w:eastAsia="仿宋"/>
                <w:color w:val="000000"/>
                <w:sz w:val="24"/>
              </w:rPr>
              <w:t>1.10.3</w:t>
            </w:r>
          </w:p>
        </w:tc>
        <w:tc>
          <w:tcPr>
            <w:tcW w:w="1948" w:type="dxa"/>
            <w:noWrap w:val="0"/>
            <w:vAlign w:val="center"/>
          </w:tcPr>
          <w:p>
            <w:pPr>
              <w:spacing w:line="300" w:lineRule="exact"/>
              <w:jc w:val="center"/>
              <w:rPr>
                <w:rFonts w:eastAsia="仿宋"/>
                <w:color w:val="000000"/>
                <w:sz w:val="24"/>
              </w:rPr>
            </w:pPr>
            <w:r>
              <w:rPr>
                <w:rFonts w:eastAsia="仿宋"/>
                <w:color w:val="000000"/>
                <w:sz w:val="24"/>
              </w:rPr>
              <w:t>招标人对投标人所提问题的澄清时间</w:t>
            </w:r>
          </w:p>
        </w:tc>
        <w:tc>
          <w:tcPr>
            <w:tcW w:w="6562" w:type="dxa"/>
            <w:noWrap w:val="0"/>
            <w:vAlign w:val="center"/>
          </w:tcPr>
          <w:p>
            <w:pPr>
              <w:spacing w:line="300" w:lineRule="exact"/>
              <w:rPr>
                <w:rFonts w:eastAsia="仿宋"/>
                <w:color w:val="000000"/>
                <w:sz w:val="24"/>
              </w:rPr>
            </w:pPr>
            <w:r>
              <w:rPr>
                <w:rFonts w:eastAsia="仿宋"/>
                <w:color w:val="000000"/>
                <w:sz w:val="24"/>
              </w:rPr>
              <w:t>在投标截止时间</w:t>
            </w:r>
            <w:r>
              <w:rPr>
                <w:rFonts w:eastAsia="仿宋"/>
                <w:color w:val="000000"/>
                <w:sz w:val="24"/>
                <w:u w:val="single"/>
              </w:rPr>
              <w:t xml:space="preserve">     </w:t>
            </w:r>
            <w:r>
              <w:rPr>
                <w:rFonts w:eastAsia="仿宋"/>
                <w:color w:val="000000"/>
                <w:sz w:val="24"/>
              </w:rPr>
              <w:t>天前</w:t>
            </w:r>
            <w:r>
              <w:rPr>
                <w:rFonts w:hint="eastAsia" w:eastAsia="仿宋"/>
                <w:color w:val="000000"/>
                <w:sz w:val="24"/>
              </w:rPr>
              <w:t>（不少于15天）</w:t>
            </w:r>
            <w:r>
              <w:rPr>
                <w:rFonts w:eastAsia="仿宋"/>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noWrap w:val="0"/>
            <w:vAlign w:val="center"/>
          </w:tcPr>
          <w:p>
            <w:pPr>
              <w:spacing w:line="300" w:lineRule="exact"/>
              <w:jc w:val="center"/>
              <w:rPr>
                <w:rFonts w:eastAsia="仿宋"/>
                <w:color w:val="000000"/>
                <w:sz w:val="24"/>
              </w:rPr>
            </w:pPr>
            <w:r>
              <w:rPr>
                <w:rFonts w:eastAsia="仿宋"/>
                <w:color w:val="000000"/>
                <w:sz w:val="24"/>
              </w:rPr>
              <w:t>1.11</w:t>
            </w:r>
          </w:p>
        </w:tc>
        <w:tc>
          <w:tcPr>
            <w:tcW w:w="1948" w:type="dxa"/>
            <w:noWrap w:val="0"/>
            <w:vAlign w:val="center"/>
          </w:tcPr>
          <w:p>
            <w:pPr>
              <w:spacing w:line="300" w:lineRule="exact"/>
              <w:jc w:val="center"/>
              <w:rPr>
                <w:rFonts w:eastAsia="仿宋"/>
                <w:color w:val="000000"/>
                <w:sz w:val="24"/>
              </w:rPr>
            </w:pPr>
            <w:r>
              <w:rPr>
                <w:rFonts w:eastAsia="仿宋"/>
                <w:color w:val="000000"/>
                <w:sz w:val="24"/>
              </w:rPr>
              <w:t>分包</w:t>
            </w:r>
          </w:p>
        </w:tc>
        <w:tc>
          <w:tcPr>
            <w:tcW w:w="6562" w:type="dxa"/>
            <w:noWrap w:val="0"/>
            <w:vAlign w:val="center"/>
          </w:tcPr>
          <w:p>
            <w:pPr>
              <w:spacing w:line="300" w:lineRule="exact"/>
              <w:rPr>
                <w:rFonts w:eastAsia="仿宋"/>
                <w:color w:val="000000"/>
                <w:sz w:val="24"/>
              </w:rPr>
            </w:pPr>
            <w:r>
              <w:rPr>
                <w:rFonts w:eastAsia="仿宋"/>
                <w:color w:val="000000"/>
                <w:kern w:val="0"/>
                <w:sz w:val="24"/>
              </w:rPr>
              <w:t xml:space="preserve">□ </w:t>
            </w:r>
            <w:r>
              <w:rPr>
                <w:rFonts w:eastAsia="仿宋"/>
                <w:color w:val="000000"/>
                <w:sz w:val="24"/>
              </w:rPr>
              <w:t>不允许</w:t>
            </w:r>
          </w:p>
          <w:p>
            <w:pPr>
              <w:spacing w:line="300" w:lineRule="exact"/>
              <w:rPr>
                <w:rFonts w:eastAsia="仿宋"/>
                <w:color w:val="000000"/>
                <w:sz w:val="24"/>
              </w:rPr>
            </w:pPr>
            <w:r>
              <w:rPr>
                <w:rFonts w:eastAsia="仿宋"/>
                <w:color w:val="000000"/>
                <w:kern w:val="0"/>
                <w:sz w:val="24"/>
              </w:rPr>
              <w:t>□</w:t>
            </w:r>
            <w:r>
              <w:rPr>
                <w:rFonts w:eastAsia="仿宋"/>
                <w:color w:val="000000"/>
                <w:sz w:val="24"/>
              </w:rPr>
              <w:t xml:space="preserve"> 允许</w:t>
            </w:r>
          </w:p>
          <w:p>
            <w:pPr>
              <w:spacing w:line="300" w:lineRule="exact"/>
              <w:ind w:firstLine="480" w:firstLineChars="200"/>
              <w:rPr>
                <w:rFonts w:eastAsia="仿宋"/>
                <w:color w:val="000000"/>
                <w:sz w:val="24"/>
                <w:u w:val="single"/>
              </w:rPr>
            </w:pPr>
            <w:r>
              <w:rPr>
                <w:rFonts w:eastAsia="仿宋"/>
                <w:color w:val="000000"/>
                <w:sz w:val="24"/>
              </w:rPr>
              <w:t>分包内容要求：</w:t>
            </w:r>
            <w:r>
              <w:rPr>
                <w:rFonts w:eastAsia="仿宋"/>
                <w:color w:val="000000"/>
                <w:sz w:val="24"/>
                <w:u w:val="single"/>
              </w:rPr>
              <w:t xml:space="preserve">                           </w:t>
            </w:r>
            <w:r>
              <w:rPr>
                <w:rFonts w:eastAsia="仿宋"/>
                <w:color w:val="000000"/>
                <w:sz w:val="24"/>
              </w:rPr>
              <w:t>。</w:t>
            </w:r>
          </w:p>
          <w:p>
            <w:pPr>
              <w:spacing w:line="300" w:lineRule="exact"/>
              <w:ind w:firstLine="480" w:firstLineChars="200"/>
              <w:rPr>
                <w:rFonts w:eastAsia="仿宋"/>
                <w:color w:val="000000"/>
                <w:sz w:val="24"/>
                <w:u w:val="single"/>
              </w:rPr>
            </w:pPr>
            <w:r>
              <w:rPr>
                <w:rFonts w:eastAsia="仿宋"/>
                <w:color w:val="000000"/>
                <w:sz w:val="24"/>
              </w:rPr>
              <w:t>分包的金额要求：</w:t>
            </w:r>
            <w:r>
              <w:rPr>
                <w:rFonts w:eastAsia="仿宋"/>
                <w:color w:val="000000"/>
                <w:sz w:val="24"/>
                <w:u w:val="single"/>
              </w:rPr>
              <w:t xml:space="preserve">                         </w:t>
            </w:r>
            <w:r>
              <w:rPr>
                <w:rFonts w:eastAsia="仿宋"/>
                <w:color w:val="000000"/>
                <w:sz w:val="24"/>
              </w:rPr>
              <w:t>。</w:t>
            </w:r>
          </w:p>
          <w:p>
            <w:pPr>
              <w:autoSpaceDE w:val="0"/>
              <w:autoSpaceDN w:val="0"/>
              <w:adjustRightInd w:val="0"/>
              <w:spacing w:line="300" w:lineRule="exact"/>
              <w:ind w:firstLine="480" w:firstLineChars="200"/>
              <w:jc w:val="left"/>
              <w:rPr>
                <w:rFonts w:eastAsia="仿宋"/>
                <w:color w:val="000000"/>
                <w:sz w:val="24"/>
              </w:rPr>
            </w:pPr>
            <w:r>
              <w:rPr>
                <w:rFonts w:eastAsia="仿宋"/>
                <w:color w:val="000000"/>
                <w:sz w:val="24"/>
              </w:rPr>
              <w:t>接受分包的第三人资质要求：</w:t>
            </w:r>
            <w:r>
              <w:rPr>
                <w:rFonts w:eastAsia="仿宋"/>
                <w:color w:val="000000"/>
                <w:sz w:val="24"/>
                <w:u w:val="single"/>
              </w:rPr>
              <w:t xml:space="preserve">               </w:t>
            </w:r>
            <w:r>
              <w:rPr>
                <w:rFonts w:eastAsia="仿宋"/>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noWrap w:val="0"/>
            <w:vAlign w:val="center"/>
          </w:tcPr>
          <w:p>
            <w:pPr>
              <w:spacing w:line="300" w:lineRule="exact"/>
              <w:jc w:val="center"/>
              <w:rPr>
                <w:rFonts w:eastAsia="仿宋"/>
                <w:color w:val="000000"/>
                <w:sz w:val="24"/>
              </w:rPr>
            </w:pPr>
            <w:r>
              <w:rPr>
                <w:rFonts w:eastAsia="仿宋"/>
                <w:color w:val="000000"/>
                <w:sz w:val="24"/>
              </w:rPr>
              <w:t>1.12</w:t>
            </w:r>
          </w:p>
        </w:tc>
        <w:tc>
          <w:tcPr>
            <w:tcW w:w="1948" w:type="dxa"/>
            <w:noWrap w:val="0"/>
            <w:vAlign w:val="center"/>
          </w:tcPr>
          <w:p>
            <w:pPr>
              <w:spacing w:line="300" w:lineRule="exact"/>
              <w:jc w:val="center"/>
              <w:rPr>
                <w:rFonts w:eastAsia="仿宋"/>
                <w:color w:val="000000"/>
                <w:sz w:val="24"/>
              </w:rPr>
            </w:pPr>
            <w:r>
              <w:rPr>
                <w:rFonts w:eastAsia="仿宋"/>
                <w:color w:val="000000"/>
                <w:sz w:val="24"/>
              </w:rPr>
              <w:t>偏离</w:t>
            </w:r>
          </w:p>
        </w:tc>
        <w:tc>
          <w:tcPr>
            <w:tcW w:w="6562" w:type="dxa"/>
            <w:noWrap w:val="0"/>
            <w:vAlign w:val="center"/>
          </w:tcPr>
          <w:p>
            <w:pPr>
              <w:spacing w:line="300" w:lineRule="exact"/>
              <w:rPr>
                <w:rFonts w:eastAsia="仿宋"/>
                <w:color w:val="000000"/>
                <w:sz w:val="24"/>
              </w:rPr>
            </w:pPr>
            <w:r>
              <w:rPr>
                <w:rFonts w:eastAsia="仿宋"/>
                <w:color w:val="000000"/>
                <w:kern w:val="0"/>
                <w:sz w:val="24"/>
              </w:rPr>
              <w:t>□</w:t>
            </w:r>
            <w:r>
              <w:rPr>
                <w:rFonts w:eastAsia="仿宋"/>
                <w:color w:val="000000"/>
                <w:sz w:val="24"/>
              </w:rPr>
              <w:t xml:space="preserve"> 不允许</w:t>
            </w:r>
          </w:p>
          <w:p>
            <w:pPr>
              <w:spacing w:line="300" w:lineRule="exact"/>
              <w:rPr>
                <w:rFonts w:eastAsia="仿宋"/>
                <w:color w:val="000000"/>
                <w:sz w:val="24"/>
                <w:u w:val="single"/>
              </w:rPr>
            </w:pPr>
            <w:r>
              <w:rPr>
                <w:rFonts w:eastAsia="仿宋"/>
                <w:color w:val="000000"/>
                <w:kern w:val="0"/>
                <w:sz w:val="24"/>
              </w:rPr>
              <w:t>□</w:t>
            </w:r>
            <w:r>
              <w:rPr>
                <w:rFonts w:eastAsia="仿宋"/>
                <w:color w:val="000000"/>
                <w:sz w:val="24"/>
              </w:rPr>
              <w:t xml:space="preserve"> 允许，偏离允许幅度及其处理方法：</w:t>
            </w:r>
            <w:r>
              <w:rPr>
                <w:rFonts w:eastAsia="仿宋"/>
                <w:color w:val="000000"/>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noWrap w:val="0"/>
            <w:vAlign w:val="center"/>
          </w:tcPr>
          <w:p>
            <w:pPr>
              <w:spacing w:line="300" w:lineRule="exact"/>
              <w:jc w:val="center"/>
              <w:rPr>
                <w:rFonts w:eastAsia="仿宋"/>
                <w:color w:val="000000"/>
                <w:sz w:val="24"/>
              </w:rPr>
            </w:pPr>
            <w:r>
              <w:rPr>
                <w:rFonts w:eastAsia="仿宋"/>
                <w:color w:val="000000"/>
                <w:sz w:val="24"/>
              </w:rPr>
              <w:t>2.1.1</w:t>
            </w:r>
          </w:p>
        </w:tc>
        <w:tc>
          <w:tcPr>
            <w:tcW w:w="1948" w:type="dxa"/>
            <w:noWrap w:val="0"/>
            <w:vAlign w:val="center"/>
          </w:tcPr>
          <w:p>
            <w:pPr>
              <w:spacing w:line="300" w:lineRule="exact"/>
              <w:jc w:val="center"/>
              <w:rPr>
                <w:rFonts w:eastAsia="仿宋"/>
                <w:color w:val="000000"/>
                <w:sz w:val="24"/>
              </w:rPr>
            </w:pPr>
            <w:r>
              <w:rPr>
                <w:rFonts w:eastAsia="仿宋"/>
                <w:color w:val="000000"/>
                <w:sz w:val="24"/>
              </w:rPr>
              <w:t>构成招标文件的其他资料</w:t>
            </w:r>
          </w:p>
        </w:tc>
        <w:tc>
          <w:tcPr>
            <w:tcW w:w="6562" w:type="dxa"/>
            <w:noWrap w:val="0"/>
            <w:vAlign w:val="center"/>
          </w:tcPr>
          <w:p>
            <w:pPr>
              <w:spacing w:line="300" w:lineRule="exact"/>
              <w:rPr>
                <w:rFonts w:eastAsia="仿宋"/>
                <w:color w:val="000000"/>
                <w:sz w:val="24"/>
              </w:rPr>
            </w:pPr>
            <w:r>
              <w:rPr>
                <w:rFonts w:eastAsia="仿宋"/>
                <w:color w:val="000000"/>
                <w:sz w:val="24"/>
                <w:u w:val="single"/>
              </w:rPr>
              <w:t xml:space="preserve">                           </w:t>
            </w:r>
            <w:r>
              <w:rPr>
                <w:rFonts w:eastAsia="仿宋"/>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noWrap w:val="0"/>
            <w:vAlign w:val="center"/>
          </w:tcPr>
          <w:p>
            <w:pPr>
              <w:spacing w:line="300" w:lineRule="exact"/>
              <w:jc w:val="center"/>
              <w:rPr>
                <w:rFonts w:eastAsia="仿宋"/>
                <w:color w:val="000000"/>
                <w:sz w:val="24"/>
              </w:rPr>
            </w:pPr>
            <w:r>
              <w:rPr>
                <w:rFonts w:eastAsia="仿宋"/>
                <w:color w:val="000000"/>
                <w:sz w:val="24"/>
              </w:rPr>
              <w:t>2.2.1</w:t>
            </w:r>
          </w:p>
        </w:tc>
        <w:tc>
          <w:tcPr>
            <w:tcW w:w="1948" w:type="dxa"/>
            <w:noWrap w:val="0"/>
            <w:vAlign w:val="center"/>
          </w:tcPr>
          <w:p>
            <w:pPr>
              <w:spacing w:line="300" w:lineRule="exact"/>
              <w:jc w:val="center"/>
              <w:rPr>
                <w:rFonts w:eastAsia="仿宋"/>
                <w:color w:val="000000"/>
                <w:sz w:val="24"/>
              </w:rPr>
            </w:pPr>
            <w:r>
              <w:rPr>
                <w:rFonts w:eastAsia="仿宋"/>
                <w:color w:val="000000"/>
                <w:sz w:val="24"/>
              </w:rPr>
              <w:t>投标人要求澄清招标文件的截止时间和提问方式</w:t>
            </w:r>
          </w:p>
        </w:tc>
        <w:tc>
          <w:tcPr>
            <w:tcW w:w="6562" w:type="dxa"/>
            <w:noWrap w:val="0"/>
            <w:vAlign w:val="center"/>
          </w:tcPr>
          <w:p>
            <w:pPr>
              <w:spacing w:line="300" w:lineRule="exact"/>
              <w:rPr>
                <w:rFonts w:eastAsia="仿宋"/>
                <w:color w:val="000000"/>
                <w:sz w:val="24"/>
              </w:rPr>
            </w:pPr>
            <w:r>
              <w:rPr>
                <w:rFonts w:eastAsia="仿宋"/>
                <w:color w:val="000000"/>
                <w:sz w:val="24"/>
              </w:rPr>
              <w:t>截止时间：在投标截止时间</w:t>
            </w:r>
            <w:r>
              <w:rPr>
                <w:rFonts w:eastAsia="仿宋"/>
                <w:color w:val="000000"/>
                <w:sz w:val="24"/>
                <w:u w:val="single"/>
              </w:rPr>
              <w:t xml:space="preserve">     </w:t>
            </w:r>
            <w:r>
              <w:rPr>
                <w:rFonts w:eastAsia="仿宋"/>
                <w:color w:val="000000"/>
                <w:sz w:val="24"/>
              </w:rPr>
              <w:t>天前</w:t>
            </w:r>
            <w:r>
              <w:rPr>
                <w:rFonts w:hint="eastAsia" w:eastAsia="仿宋"/>
                <w:color w:val="000000"/>
                <w:sz w:val="24"/>
              </w:rPr>
              <w:t>（不少于10天）</w:t>
            </w:r>
            <w:r>
              <w:rPr>
                <w:rFonts w:eastAsia="仿宋"/>
                <w:color w:val="000000"/>
                <w:sz w:val="24"/>
              </w:rPr>
              <w:t>。</w:t>
            </w:r>
          </w:p>
          <w:p>
            <w:pPr>
              <w:snapToGrid w:val="0"/>
              <w:spacing w:line="300" w:lineRule="exact"/>
              <w:rPr>
                <w:rFonts w:hint="eastAsia" w:eastAsia="仿宋"/>
                <w:color w:val="000000"/>
                <w:sz w:val="24"/>
                <w:u w:val="single"/>
              </w:rPr>
            </w:pPr>
            <w:r>
              <w:rPr>
                <w:rFonts w:eastAsia="仿宋"/>
                <w:color w:val="000000"/>
                <w:sz w:val="24"/>
              </w:rPr>
              <w:t>投标人要求澄清招标文件的提问方式：</w:t>
            </w:r>
            <w:r>
              <w:rPr>
                <w:rFonts w:eastAsia="仿宋"/>
                <w:color w:val="000000"/>
                <w:sz w:val="24"/>
                <w:u w:val="single"/>
              </w:rPr>
              <w:t xml:space="preserve">      </w:t>
            </w:r>
            <w:r>
              <w:rPr>
                <w:rFonts w:hint="eastAsia" w:eastAsia="仿宋"/>
                <w:color w:val="000000"/>
                <w:sz w:val="24"/>
                <w:u w:val="single"/>
              </w:rPr>
              <w:t xml:space="preserve">    </w:t>
            </w:r>
          </w:p>
          <w:p>
            <w:pPr>
              <w:snapToGrid w:val="0"/>
              <w:spacing w:line="300" w:lineRule="exact"/>
              <w:rPr>
                <w:rFonts w:hint="eastAsia" w:eastAsia="仿宋"/>
                <w:color w:val="000000"/>
                <w:sz w:val="24"/>
              </w:rPr>
            </w:pPr>
            <w:r>
              <w:rPr>
                <w:rFonts w:eastAsia="仿宋"/>
                <w:color w:val="000000"/>
                <w:sz w:val="24"/>
              </w:rPr>
              <w:t>（网址：</w:t>
            </w:r>
            <w:r>
              <w:rPr>
                <w:rFonts w:eastAsia="仿宋"/>
                <w:color w:val="000000"/>
                <w:sz w:val="24"/>
                <w:u w:val="single"/>
              </w:rPr>
              <w:t xml:space="preserve">           </w:t>
            </w:r>
            <w:r>
              <w:rPr>
                <w:rFonts w:eastAsia="仿宋"/>
                <w:color w:val="000000"/>
                <w:sz w:val="24"/>
              </w:rPr>
              <w:t>）</w:t>
            </w:r>
            <w:r>
              <w:rPr>
                <w:rFonts w:hint="eastAsia" w:eastAsia="仿宋"/>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vMerge w:val="restart"/>
            <w:noWrap w:val="0"/>
            <w:vAlign w:val="center"/>
          </w:tcPr>
          <w:p>
            <w:pPr>
              <w:spacing w:line="300" w:lineRule="exact"/>
              <w:jc w:val="center"/>
              <w:rPr>
                <w:rFonts w:eastAsia="仿宋"/>
                <w:color w:val="000000"/>
                <w:sz w:val="24"/>
              </w:rPr>
            </w:pPr>
            <w:r>
              <w:rPr>
                <w:rFonts w:eastAsia="仿宋"/>
                <w:color w:val="000000"/>
                <w:sz w:val="24"/>
              </w:rPr>
              <w:t>2.2.2</w:t>
            </w:r>
          </w:p>
        </w:tc>
        <w:tc>
          <w:tcPr>
            <w:tcW w:w="1948" w:type="dxa"/>
            <w:vMerge w:val="restart"/>
            <w:noWrap w:val="0"/>
            <w:vAlign w:val="center"/>
          </w:tcPr>
          <w:p>
            <w:pPr>
              <w:snapToGrid w:val="0"/>
              <w:spacing w:line="300" w:lineRule="exact"/>
              <w:jc w:val="center"/>
              <w:rPr>
                <w:rFonts w:eastAsia="仿宋"/>
                <w:color w:val="000000"/>
                <w:sz w:val="24"/>
              </w:rPr>
            </w:pPr>
            <w:r>
              <w:rPr>
                <w:rFonts w:eastAsia="仿宋"/>
                <w:color w:val="000000"/>
                <w:sz w:val="24"/>
              </w:rPr>
              <w:t>招标文件澄清发出的时间及发布网站</w:t>
            </w:r>
          </w:p>
        </w:tc>
        <w:tc>
          <w:tcPr>
            <w:tcW w:w="6562" w:type="dxa"/>
            <w:noWrap w:val="0"/>
            <w:vAlign w:val="center"/>
          </w:tcPr>
          <w:p>
            <w:pPr>
              <w:pStyle w:val="187"/>
              <w:snapToGrid w:val="0"/>
              <w:spacing w:after="0" w:line="300" w:lineRule="exact"/>
              <w:rPr>
                <w:rFonts w:ascii="Times New Roman" w:eastAsia="仿宋" w:cs="Times New Roman"/>
                <w:color w:val="000000"/>
              </w:rPr>
            </w:pPr>
            <w:r>
              <w:rPr>
                <w:rFonts w:ascii="Times New Roman" w:eastAsia="仿宋" w:cs="Times New Roman"/>
                <w:color w:val="000000"/>
              </w:rPr>
              <w:t>澄清发出时间：在投标截止时间</w:t>
            </w:r>
            <w:r>
              <w:rPr>
                <w:rFonts w:ascii="Times New Roman" w:eastAsia="仿宋" w:cs="Times New Roman"/>
                <w:color w:val="000000"/>
                <w:u w:val="single"/>
              </w:rPr>
              <w:t xml:space="preserve">      </w:t>
            </w:r>
            <w:r>
              <w:rPr>
                <w:rFonts w:ascii="Times New Roman" w:eastAsia="仿宋" w:cs="Times New Roman"/>
                <w:color w:val="000000"/>
              </w:rPr>
              <w:t>天前</w:t>
            </w:r>
            <w:r>
              <w:rPr>
                <w:rFonts w:hint="eastAsia" w:eastAsia="仿宋"/>
                <w:color w:val="000000"/>
              </w:rPr>
              <w:t>（不少于15天）</w:t>
            </w:r>
            <w:r>
              <w:rPr>
                <w:rFonts w:ascii="Times New Roman" w:eastAsia="仿宋" w:cs="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vMerge w:val="continue"/>
            <w:noWrap w:val="0"/>
            <w:vAlign w:val="center"/>
          </w:tcPr>
          <w:p>
            <w:pPr>
              <w:spacing w:line="300" w:lineRule="exact"/>
              <w:jc w:val="center"/>
              <w:rPr>
                <w:rFonts w:eastAsia="仿宋"/>
                <w:color w:val="000000"/>
                <w:sz w:val="24"/>
              </w:rPr>
            </w:pPr>
          </w:p>
        </w:tc>
        <w:tc>
          <w:tcPr>
            <w:tcW w:w="1948" w:type="dxa"/>
            <w:vMerge w:val="continue"/>
            <w:noWrap w:val="0"/>
            <w:vAlign w:val="center"/>
          </w:tcPr>
          <w:p>
            <w:pPr>
              <w:snapToGrid w:val="0"/>
              <w:spacing w:line="300" w:lineRule="exact"/>
              <w:jc w:val="center"/>
              <w:rPr>
                <w:rFonts w:eastAsia="仿宋"/>
                <w:color w:val="000000"/>
                <w:sz w:val="24"/>
              </w:rPr>
            </w:pPr>
          </w:p>
        </w:tc>
        <w:tc>
          <w:tcPr>
            <w:tcW w:w="6562" w:type="dxa"/>
            <w:noWrap w:val="0"/>
            <w:vAlign w:val="center"/>
          </w:tcPr>
          <w:p>
            <w:pPr>
              <w:pStyle w:val="187"/>
              <w:snapToGrid w:val="0"/>
              <w:spacing w:after="0" w:line="300" w:lineRule="exact"/>
              <w:rPr>
                <w:rFonts w:ascii="Times New Roman" w:eastAsia="仿宋" w:cs="Times New Roman"/>
                <w:color w:val="000000"/>
                <w:u w:val="single"/>
              </w:rPr>
            </w:pPr>
            <w:r>
              <w:rPr>
                <w:rFonts w:ascii="Times New Roman" w:eastAsia="仿宋" w:cs="Times New Roman"/>
                <w:color w:val="000000"/>
                <w:u w:val="single"/>
              </w:rPr>
              <w:t xml:space="preserve">            </w:t>
            </w:r>
            <w:r>
              <w:rPr>
                <w:rFonts w:ascii="Times New Roman" w:eastAsia="仿宋" w:cs="Times New Roman"/>
                <w:color w:val="000000"/>
              </w:rPr>
              <w:t>（网址：</w:t>
            </w:r>
            <w:r>
              <w:rPr>
                <w:rFonts w:ascii="Times New Roman" w:eastAsia="仿宋" w:cs="Times New Roman"/>
                <w:color w:val="000000"/>
                <w:u w:val="single"/>
              </w:rPr>
              <w:t xml:space="preserve">           </w:t>
            </w:r>
            <w:r>
              <w:rPr>
                <w:rFonts w:ascii="Times New Roman" w:eastAsia="仿宋" w:cs="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noWrap w:val="0"/>
            <w:vAlign w:val="center"/>
          </w:tcPr>
          <w:p>
            <w:pPr>
              <w:spacing w:line="300" w:lineRule="exact"/>
              <w:jc w:val="center"/>
              <w:rPr>
                <w:rFonts w:eastAsia="仿宋"/>
                <w:color w:val="000000"/>
                <w:sz w:val="24"/>
              </w:rPr>
            </w:pPr>
            <w:r>
              <w:rPr>
                <w:rFonts w:eastAsia="仿宋"/>
                <w:color w:val="000000"/>
                <w:sz w:val="24"/>
              </w:rPr>
              <w:t>2.2.3</w:t>
            </w:r>
          </w:p>
        </w:tc>
        <w:tc>
          <w:tcPr>
            <w:tcW w:w="1948" w:type="dxa"/>
            <w:noWrap w:val="0"/>
            <w:vAlign w:val="center"/>
          </w:tcPr>
          <w:p>
            <w:pPr>
              <w:spacing w:line="300" w:lineRule="exact"/>
              <w:jc w:val="center"/>
              <w:rPr>
                <w:rFonts w:eastAsia="仿宋"/>
                <w:color w:val="000000"/>
                <w:sz w:val="24"/>
              </w:rPr>
            </w:pPr>
            <w:r>
              <w:rPr>
                <w:rFonts w:eastAsia="仿宋"/>
                <w:color w:val="000000"/>
                <w:sz w:val="24"/>
              </w:rPr>
              <w:t>投标人确认收到招标文件澄清</w:t>
            </w:r>
          </w:p>
        </w:tc>
        <w:tc>
          <w:tcPr>
            <w:tcW w:w="6562" w:type="dxa"/>
            <w:noWrap w:val="0"/>
            <w:vAlign w:val="center"/>
          </w:tcPr>
          <w:p>
            <w:pPr>
              <w:spacing w:line="300" w:lineRule="exact"/>
              <w:jc w:val="left"/>
              <w:rPr>
                <w:rFonts w:eastAsia="仿宋"/>
                <w:color w:val="000000"/>
                <w:sz w:val="24"/>
              </w:rPr>
            </w:pPr>
            <w:r>
              <w:rPr>
                <w:rFonts w:eastAsia="仿宋"/>
                <w:color w:val="000000"/>
                <w:sz w:val="24"/>
              </w:rPr>
              <w:t>不需确认，投标人自行在第2.2.2款指定网站下载。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vMerge w:val="restart"/>
            <w:noWrap w:val="0"/>
            <w:vAlign w:val="center"/>
          </w:tcPr>
          <w:p>
            <w:pPr>
              <w:spacing w:line="300" w:lineRule="exact"/>
              <w:jc w:val="center"/>
              <w:rPr>
                <w:rFonts w:eastAsia="仿宋"/>
                <w:color w:val="000000"/>
                <w:sz w:val="24"/>
              </w:rPr>
            </w:pPr>
            <w:r>
              <w:rPr>
                <w:rFonts w:eastAsia="仿宋"/>
                <w:color w:val="000000"/>
                <w:sz w:val="24"/>
              </w:rPr>
              <w:t>2.3.1</w:t>
            </w:r>
          </w:p>
        </w:tc>
        <w:tc>
          <w:tcPr>
            <w:tcW w:w="1948" w:type="dxa"/>
            <w:vMerge w:val="restart"/>
            <w:noWrap w:val="0"/>
            <w:vAlign w:val="center"/>
          </w:tcPr>
          <w:p>
            <w:pPr>
              <w:snapToGrid w:val="0"/>
              <w:spacing w:line="300" w:lineRule="exact"/>
              <w:jc w:val="center"/>
              <w:rPr>
                <w:rFonts w:eastAsia="仿宋"/>
                <w:color w:val="000000"/>
                <w:sz w:val="24"/>
              </w:rPr>
            </w:pPr>
            <w:r>
              <w:rPr>
                <w:rFonts w:eastAsia="仿宋"/>
                <w:color w:val="000000"/>
                <w:sz w:val="24"/>
              </w:rPr>
              <w:t>招标文件修改发出的时间及发布网站</w:t>
            </w:r>
          </w:p>
        </w:tc>
        <w:tc>
          <w:tcPr>
            <w:tcW w:w="6562" w:type="dxa"/>
            <w:noWrap w:val="0"/>
            <w:vAlign w:val="center"/>
          </w:tcPr>
          <w:p>
            <w:pPr>
              <w:pStyle w:val="187"/>
              <w:snapToGrid w:val="0"/>
              <w:spacing w:after="0" w:line="300" w:lineRule="exact"/>
              <w:rPr>
                <w:rFonts w:ascii="Times New Roman" w:eastAsia="仿宋" w:cs="Times New Roman"/>
                <w:color w:val="000000"/>
              </w:rPr>
            </w:pPr>
            <w:r>
              <w:rPr>
                <w:rFonts w:ascii="Times New Roman" w:eastAsia="仿宋" w:cs="Times New Roman"/>
                <w:color w:val="000000"/>
              </w:rPr>
              <w:t>修改发出时间：在投标截止时间</w:t>
            </w:r>
            <w:r>
              <w:rPr>
                <w:rFonts w:ascii="Times New Roman" w:eastAsia="仿宋" w:cs="Times New Roman"/>
                <w:color w:val="000000"/>
                <w:u w:val="single"/>
              </w:rPr>
              <w:t xml:space="preserve">      </w:t>
            </w:r>
            <w:r>
              <w:rPr>
                <w:rFonts w:ascii="Times New Roman" w:eastAsia="仿宋" w:cs="Times New Roman"/>
                <w:color w:val="000000"/>
              </w:rPr>
              <w:t>天前</w:t>
            </w:r>
            <w:r>
              <w:rPr>
                <w:rFonts w:hint="eastAsia" w:eastAsia="仿宋"/>
                <w:color w:val="000000"/>
              </w:rPr>
              <w:t>（不少于15天）</w:t>
            </w:r>
            <w:r>
              <w:rPr>
                <w:rFonts w:ascii="Times New Roman" w:eastAsia="仿宋" w:cs="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vMerge w:val="continue"/>
            <w:noWrap w:val="0"/>
            <w:vAlign w:val="center"/>
          </w:tcPr>
          <w:p>
            <w:pPr>
              <w:spacing w:line="300" w:lineRule="exact"/>
              <w:jc w:val="center"/>
              <w:rPr>
                <w:rFonts w:eastAsia="仿宋"/>
                <w:color w:val="000000"/>
                <w:sz w:val="24"/>
              </w:rPr>
            </w:pPr>
          </w:p>
        </w:tc>
        <w:tc>
          <w:tcPr>
            <w:tcW w:w="1948" w:type="dxa"/>
            <w:vMerge w:val="continue"/>
            <w:noWrap w:val="0"/>
            <w:vAlign w:val="center"/>
          </w:tcPr>
          <w:p>
            <w:pPr>
              <w:snapToGrid w:val="0"/>
              <w:spacing w:line="300" w:lineRule="exact"/>
              <w:jc w:val="center"/>
              <w:rPr>
                <w:rFonts w:eastAsia="仿宋"/>
                <w:color w:val="000000"/>
                <w:sz w:val="24"/>
              </w:rPr>
            </w:pPr>
          </w:p>
        </w:tc>
        <w:tc>
          <w:tcPr>
            <w:tcW w:w="6562" w:type="dxa"/>
            <w:noWrap w:val="0"/>
            <w:vAlign w:val="center"/>
          </w:tcPr>
          <w:p>
            <w:pPr>
              <w:pStyle w:val="187"/>
              <w:snapToGrid w:val="0"/>
              <w:spacing w:after="0" w:line="300" w:lineRule="exact"/>
              <w:rPr>
                <w:rFonts w:ascii="Times New Roman" w:eastAsia="仿宋" w:cs="Times New Roman"/>
                <w:color w:val="000000"/>
                <w:u w:val="single"/>
              </w:rPr>
            </w:pPr>
            <w:r>
              <w:rPr>
                <w:rFonts w:hint="eastAsia" w:ascii="Times New Roman" w:eastAsia="仿宋" w:cs="Times New Roman"/>
                <w:color w:val="000000"/>
              </w:rPr>
              <w:t>网站名称</w:t>
            </w:r>
            <w:r>
              <w:rPr>
                <w:rFonts w:ascii="Times New Roman" w:eastAsia="仿宋" w:cs="Times New Roman"/>
                <w:color w:val="000000"/>
                <w:u w:val="single"/>
              </w:rPr>
              <w:t xml:space="preserve">            </w:t>
            </w:r>
            <w:r>
              <w:rPr>
                <w:rFonts w:ascii="Times New Roman" w:eastAsia="仿宋" w:cs="Times New Roman"/>
                <w:color w:val="000000"/>
              </w:rPr>
              <w:t>（网址：</w:t>
            </w:r>
            <w:r>
              <w:rPr>
                <w:rFonts w:ascii="Times New Roman" w:eastAsia="仿宋" w:cs="Times New Roman"/>
                <w:color w:val="000000"/>
                <w:u w:val="single"/>
              </w:rPr>
              <w:t xml:space="preserve">           </w:t>
            </w:r>
            <w:r>
              <w:rPr>
                <w:rFonts w:ascii="Times New Roman" w:eastAsia="仿宋" w:cs="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noWrap w:val="0"/>
            <w:vAlign w:val="center"/>
          </w:tcPr>
          <w:p>
            <w:pPr>
              <w:spacing w:line="300" w:lineRule="exact"/>
              <w:jc w:val="center"/>
              <w:rPr>
                <w:rFonts w:eastAsia="仿宋"/>
                <w:color w:val="000000"/>
                <w:sz w:val="24"/>
              </w:rPr>
            </w:pPr>
            <w:r>
              <w:rPr>
                <w:rFonts w:eastAsia="仿宋"/>
                <w:color w:val="000000"/>
                <w:sz w:val="24"/>
              </w:rPr>
              <w:t>2.3.2</w:t>
            </w:r>
          </w:p>
        </w:tc>
        <w:tc>
          <w:tcPr>
            <w:tcW w:w="1948" w:type="dxa"/>
            <w:noWrap w:val="0"/>
            <w:vAlign w:val="center"/>
          </w:tcPr>
          <w:p>
            <w:pPr>
              <w:spacing w:line="300" w:lineRule="exact"/>
              <w:jc w:val="center"/>
              <w:rPr>
                <w:rFonts w:eastAsia="仿宋"/>
                <w:color w:val="000000"/>
                <w:sz w:val="24"/>
              </w:rPr>
            </w:pPr>
            <w:r>
              <w:rPr>
                <w:rFonts w:eastAsia="仿宋"/>
                <w:bCs/>
                <w:color w:val="000000"/>
                <w:sz w:val="24"/>
              </w:rPr>
              <w:t>投标人确认收到招标文件修改</w:t>
            </w:r>
          </w:p>
        </w:tc>
        <w:tc>
          <w:tcPr>
            <w:tcW w:w="6562" w:type="dxa"/>
            <w:noWrap w:val="0"/>
            <w:vAlign w:val="center"/>
          </w:tcPr>
          <w:p>
            <w:pPr>
              <w:spacing w:line="300" w:lineRule="exact"/>
              <w:jc w:val="left"/>
              <w:rPr>
                <w:rFonts w:eastAsia="仿宋"/>
                <w:color w:val="000000"/>
                <w:sz w:val="24"/>
                <w:u w:val="single"/>
              </w:rPr>
            </w:pPr>
            <w:r>
              <w:rPr>
                <w:rFonts w:eastAsia="仿宋"/>
                <w:color w:val="000000"/>
                <w:sz w:val="24"/>
              </w:rPr>
              <w:t>不需确认，投标人自行在第2.3.1款指定网站下载。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vMerge w:val="restart"/>
            <w:noWrap w:val="0"/>
            <w:vAlign w:val="center"/>
          </w:tcPr>
          <w:p>
            <w:pPr>
              <w:spacing w:line="300" w:lineRule="exact"/>
              <w:jc w:val="center"/>
              <w:rPr>
                <w:rFonts w:eastAsia="仿宋"/>
                <w:color w:val="000000"/>
                <w:sz w:val="24"/>
              </w:rPr>
            </w:pPr>
            <w:r>
              <w:rPr>
                <w:rFonts w:eastAsia="仿宋"/>
                <w:color w:val="000000"/>
                <w:sz w:val="24"/>
              </w:rPr>
              <w:t>2.4</w:t>
            </w:r>
          </w:p>
        </w:tc>
        <w:tc>
          <w:tcPr>
            <w:tcW w:w="1948" w:type="dxa"/>
            <w:noWrap w:val="0"/>
            <w:vAlign w:val="center"/>
          </w:tcPr>
          <w:p>
            <w:pPr>
              <w:spacing w:line="300" w:lineRule="exact"/>
              <w:jc w:val="center"/>
              <w:rPr>
                <w:rFonts w:eastAsia="仿宋"/>
                <w:bCs/>
                <w:color w:val="000000"/>
                <w:sz w:val="24"/>
              </w:rPr>
            </w:pPr>
            <w:r>
              <w:rPr>
                <w:rFonts w:eastAsia="仿宋"/>
                <w:color w:val="000000"/>
                <w:sz w:val="24"/>
              </w:rPr>
              <w:t>招标文件的异议</w:t>
            </w:r>
          </w:p>
        </w:tc>
        <w:tc>
          <w:tcPr>
            <w:tcW w:w="6562" w:type="dxa"/>
            <w:noWrap w:val="0"/>
            <w:vAlign w:val="center"/>
          </w:tcPr>
          <w:p>
            <w:pPr>
              <w:spacing w:line="300" w:lineRule="exact"/>
              <w:jc w:val="left"/>
              <w:rPr>
                <w:rFonts w:eastAsia="仿宋"/>
                <w:color w:val="000000"/>
                <w:sz w:val="24"/>
              </w:rPr>
            </w:pPr>
            <w:r>
              <w:rPr>
                <w:rFonts w:eastAsia="仿宋"/>
                <w:color w:val="000000"/>
                <w:sz w:val="24"/>
              </w:rPr>
              <w:t>投标人或者其他利害关系人对招标文件有异议的</w:t>
            </w:r>
            <w:r>
              <w:rPr>
                <w:rFonts w:eastAsia="仿宋"/>
                <w:bCs/>
                <w:color w:val="000000"/>
                <w:sz w:val="24"/>
              </w:rPr>
              <w:t>，</w:t>
            </w:r>
            <w:r>
              <w:rPr>
                <w:rFonts w:eastAsia="仿宋"/>
                <w:color w:val="000000"/>
                <w:sz w:val="24"/>
              </w:rPr>
              <w:t>应在投标截止时间</w:t>
            </w:r>
            <w:r>
              <w:rPr>
                <w:rFonts w:eastAsia="仿宋"/>
                <w:color w:val="000000"/>
                <w:sz w:val="24"/>
                <w:u w:val="single"/>
              </w:rPr>
              <w:t xml:space="preserve">     </w:t>
            </w:r>
            <w:r>
              <w:rPr>
                <w:rFonts w:eastAsia="仿宋"/>
                <w:color w:val="000000"/>
                <w:sz w:val="24"/>
              </w:rPr>
              <w:t>天前提出</w:t>
            </w:r>
            <w:r>
              <w:rPr>
                <w:rFonts w:hint="eastAsia" w:eastAsia="仿宋"/>
                <w:color w:val="000000"/>
                <w:sz w:val="24"/>
              </w:rPr>
              <w:t>（不少于10天）。</w:t>
            </w:r>
          </w:p>
          <w:p>
            <w:pPr>
              <w:spacing w:line="300" w:lineRule="exact"/>
              <w:jc w:val="left"/>
              <w:rPr>
                <w:rFonts w:eastAsia="仿宋"/>
                <w:color w:val="000000"/>
                <w:sz w:val="24"/>
              </w:rPr>
            </w:pPr>
            <w:r>
              <w:rPr>
                <w:rFonts w:eastAsia="仿宋"/>
                <w:color w:val="000000"/>
                <w:sz w:val="24"/>
              </w:rPr>
              <w:t>异议提出方式：书面形式或</w:t>
            </w:r>
            <w:r>
              <w:rPr>
                <w:rFonts w:eastAsia="仿宋"/>
                <w:color w:val="000000"/>
                <w:sz w:val="24"/>
                <w:u w:val="single"/>
              </w:rPr>
              <w:t xml:space="preserve">       （网址：      ）</w:t>
            </w:r>
            <w:r>
              <w:rPr>
                <w:rFonts w:eastAsia="仿宋"/>
                <w:color w:val="000000"/>
                <w:sz w:val="24"/>
              </w:rPr>
              <w:t>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vMerge w:val="continue"/>
            <w:noWrap w:val="0"/>
            <w:vAlign w:val="center"/>
          </w:tcPr>
          <w:p>
            <w:pPr>
              <w:spacing w:line="300" w:lineRule="exact"/>
              <w:jc w:val="center"/>
              <w:rPr>
                <w:rFonts w:eastAsia="仿宋"/>
                <w:color w:val="000000"/>
                <w:sz w:val="24"/>
              </w:rPr>
            </w:pPr>
          </w:p>
        </w:tc>
        <w:tc>
          <w:tcPr>
            <w:tcW w:w="1948" w:type="dxa"/>
            <w:noWrap w:val="0"/>
            <w:vAlign w:val="center"/>
          </w:tcPr>
          <w:p>
            <w:pPr>
              <w:spacing w:line="300" w:lineRule="exact"/>
              <w:jc w:val="center"/>
              <w:rPr>
                <w:rFonts w:eastAsia="仿宋"/>
                <w:bCs/>
                <w:color w:val="000000"/>
                <w:sz w:val="24"/>
              </w:rPr>
            </w:pPr>
            <w:r>
              <w:rPr>
                <w:rFonts w:eastAsia="仿宋"/>
                <w:color w:val="000000"/>
                <w:sz w:val="24"/>
              </w:rPr>
              <w:t>异议答复</w:t>
            </w:r>
          </w:p>
        </w:tc>
        <w:tc>
          <w:tcPr>
            <w:tcW w:w="6562" w:type="dxa"/>
            <w:noWrap w:val="0"/>
            <w:vAlign w:val="center"/>
          </w:tcPr>
          <w:p>
            <w:pPr>
              <w:spacing w:line="300" w:lineRule="exact"/>
              <w:jc w:val="left"/>
              <w:rPr>
                <w:rFonts w:eastAsia="仿宋"/>
                <w:color w:val="000000"/>
                <w:sz w:val="24"/>
              </w:rPr>
            </w:pPr>
            <w:r>
              <w:rPr>
                <w:rFonts w:eastAsia="仿宋"/>
                <w:color w:val="000000"/>
                <w:sz w:val="24"/>
              </w:rPr>
              <w:t>招标人将在收到异议之日起</w:t>
            </w:r>
            <w:r>
              <w:rPr>
                <w:rFonts w:eastAsia="仿宋"/>
                <w:color w:val="000000"/>
                <w:sz w:val="24"/>
                <w:u w:val="single"/>
              </w:rPr>
              <w:t xml:space="preserve">         </w:t>
            </w:r>
            <w:r>
              <w:rPr>
                <w:rFonts w:eastAsia="仿宋"/>
                <w:color w:val="000000"/>
                <w:sz w:val="24"/>
              </w:rPr>
              <w:t>日内</w:t>
            </w:r>
            <w:r>
              <w:rPr>
                <w:rFonts w:hint="eastAsia" w:eastAsia="仿宋"/>
                <w:color w:val="000000"/>
                <w:sz w:val="24"/>
              </w:rPr>
              <w:t>（不大于3天）</w:t>
            </w:r>
            <w:r>
              <w:rPr>
                <w:rFonts w:eastAsia="仿宋"/>
                <w:color w:val="000000"/>
                <w:sz w:val="24"/>
              </w:rPr>
              <w:t>，以书面形式或</w:t>
            </w:r>
            <w:r>
              <w:rPr>
                <w:rFonts w:eastAsia="仿宋"/>
                <w:color w:val="000000"/>
                <w:sz w:val="24"/>
                <w:u w:val="single"/>
              </w:rPr>
              <w:t xml:space="preserve">      （网址：    ）</w:t>
            </w:r>
            <w:r>
              <w:rPr>
                <w:rFonts w:eastAsia="仿宋"/>
                <w:color w:val="000000"/>
                <w:sz w:val="24"/>
              </w:rPr>
              <w:t>作出答复。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noWrap w:val="0"/>
            <w:vAlign w:val="center"/>
          </w:tcPr>
          <w:p>
            <w:pPr>
              <w:spacing w:line="300" w:lineRule="exact"/>
              <w:jc w:val="center"/>
              <w:rPr>
                <w:rFonts w:eastAsia="仿宋"/>
                <w:color w:val="000000"/>
                <w:sz w:val="24"/>
              </w:rPr>
            </w:pPr>
            <w:r>
              <w:rPr>
                <w:rFonts w:eastAsia="仿宋"/>
                <w:color w:val="000000"/>
                <w:sz w:val="24"/>
              </w:rPr>
              <w:t>3.2.3</w:t>
            </w:r>
          </w:p>
        </w:tc>
        <w:tc>
          <w:tcPr>
            <w:tcW w:w="1948" w:type="dxa"/>
            <w:noWrap w:val="0"/>
            <w:vAlign w:val="center"/>
          </w:tcPr>
          <w:p>
            <w:pPr>
              <w:spacing w:line="300" w:lineRule="exact"/>
              <w:jc w:val="center"/>
              <w:rPr>
                <w:rFonts w:eastAsia="仿宋"/>
                <w:color w:val="000000"/>
                <w:sz w:val="24"/>
              </w:rPr>
            </w:pPr>
            <w:r>
              <w:rPr>
                <w:rFonts w:eastAsia="仿宋"/>
                <w:color w:val="000000"/>
                <w:sz w:val="24"/>
              </w:rPr>
              <w:t>对投标报价的其他规定</w:t>
            </w:r>
          </w:p>
        </w:tc>
        <w:tc>
          <w:tcPr>
            <w:tcW w:w="6562" w:type="dxa"/>
            <w:noWrap w:val="0"/>
            <w:vAlign w:val="center"/>
          </w:tcPr>
          <w:p>
            <w:pPr>
              <w:spacing w:line="300" w:lineRule="exact"/>
              <w:ind w:firstLine="240" w:firstLineChars="100"/>
              <w:jc w:val="left"/>
              <w:rPr>
                <w:rFonts w:eastAsia="仿宋"/>
                <w:color w:val="000000"/>
                <w:sz w:val="24"/>
                <w:u w:val="single"/>
              </w:rPr>
            </w:pPr>
            <w:r>
              <w:rPr>
                <w:rFonts w:eastAsia="仿宋"/>
                <w:color w:val="000000"/>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noWrap w:val="0"/>
            <w:vAlign w:val="center"/>
          </w:tcPr>
          <w:p>
            <w:pPr>
              <w:spacing w:line="300" w:lineRule="exact"/>
              <w:jc w:val="center"/>
              <w:rPr>
                <w:rFonts w:eastAsia="仿宋"/>
                <w:color w:val="000000"/>
                <w:sz w:val="24"/>
              </w:rPr>
            </w:pPr>
            <w:r>
              <w:rPr>
                <w:rFonts w:eastAsia="仿宋"/>
                <w:color w:val="000000"/>
                <w:sz w:val="24"/>
              </w:rPr>
              <w:t>3.3.1</w:t>
            </w:r>
          </w:p>
        </w:tc>
        <w:tc>
          <w:tcPr>
            <w:tcW w:w="1948" w:type="dxa"/>
            <w:noWrap w:val="0"/>
            <w:vAlign w:val="center"/>
          </w:tcPr>
          <w:p>
            <w:pPr>
              <w:spacing w:line="300" w:lineRule="exact"/>
              <w:jc w:val="center"/>
              <w:rPr>
                <w:rFonts w:eastAsia="仿宋"/>
                <w:color w:val="000000"/>
                <w:sz w:val="24"/>
              </w:rPr>
            </w:pPr>
            <w:r>
              <w:rPr>
                <w:rFonts w:eastAsia="仿宋"/>
                <w:color w:val="000000"/>
                <w:sz w:val="24"/>
              </w:rPr>
              <w:t>投标有效期</w:t>
            </w:r>
          </w:p>
        </w:tc>
        <w:tc>
          <w:tcPr>
            <w:tcW w:w="6562" w:type="dxa"/>
            <w:noWrap w:val="0"/>
            <w:vAlign w:val="center"/>
          </w:tcPr>
          <w:p>
            <w:pPr>
              <w:spacing w:line="300" w:lineRule="exact"/>
              <w:jc w:val="left"/>
              <w:rPr>
                <w:rFonts w:hint="eastAsia" w:eastAsia="仿宋"/>
                <w:color w:val="000000"/>
                <w:sz w:val="24"/>
              </w:rPr>
            </w:pPr>
            <w:r>
              <w:rPr>
                <w:rFonts w:eastAsia="仿宋"/>
                <w:bCs/>
                <w:color w:val="000000"/>
                <w:sz w:val="24"/>
              </w:rPr>
              <w:t>自投标截止之日起</w:t>
            </w:r>
            <w:r>
              <w:rPr>
                <w:rFonts w:eastAsia="仿宋"/>
                <w:color w:val="000000"/>
                <w:sz w:val="24"/>
                <w:u w:val="single"/>
              </w:rPr>
              <w:t xml:space="preserve">        </w:t>
            </w:r>
            <w:r>
              <w:rPr>
                <w:rFonts w:hint="eastAsia" w:eastAsia="仿宋"/>
                <w:color w:val="000000"/>
                <w:sz w:val="24"/>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noWrap w:val="0"/>
            <w:vAlign w:val="center"/>
          </w:tcPr>
          <w:p>
            <w:pPr>
              <w:spacing w:line="300" w:lineRule="exact"/>
              <w:jc w:val="center"/>
              <w:rPr>
                <w:rFonts w:eastAsia="仿宋"/>
                <w:color w:val="000000"/>
                <w:sz w:val="24"/>
              </w:rPr>
            </w:pPr>
            <w:r>
              <w:rPr>
                <w:rFonts w:eastAsia="仿宋"/>
                <w:color w:val="000000"/>
                <w:sz w:val="24"/>
              </w:rPr>
              <w:t>3.4.1</w:t>
            </w:r>
          </w:p>
        </w:tc>
        <w:tc>
          <w:tcPr>
            <w:tcW w:w="1948" w:type="dxa"/>
            <w:noWrap w:val="0"/>
            <w:vAlign w:val="center"/>
          </w:tcPr>
          <w:p>
            <w:pPr>
              <w:spacing w:line="300" w:lineRule="exact"/>
              <w:jc w:val="center"/>
              <w:rPr>
                <w:rFonts w:hint="eastAsia" w:eastAsia="仿宋"/>
                <w:color w:val="000000"/>
                <w:sz w:val="24"/>
              </w:rPr>
            </w:pPr>
            <w:r>
              <w:rPr>
                <w:rFonts w:hint="eastAsia" w:eastAsia="仿宋"/>
                <w:color w:val="000000"/>
                <w:sz w:val="24"/>
              </w:rPr>
              <w:t>投标担保</w:t>
            </w:r>
          </w:p>
        </w:tc>
        <w:tc>
          <w:tcPr>
            <w:tcW w:w="6562" w:type="dxa"/>
            <w:noWrap w:val="0"/>
            <w:vAlign w:val="center"/>
          </w:tcPr>
          <w:p>
            <w:pPr>
              <w:spacing w:before="72" w:beforeLines="30" w:after="157" w:line="240" w:lineRule="exact"/>
              <w:jc w:val="left"/>
              <w:rPr>
                <w:rFonts w:eastAsia="仿宋"/>
                <w:color w:val="000000"/>
                <w:sz w:val="24"/>
              </w:rPr>
            </w:pPr>
            <w:r>
              <w:rPr>
                <w:rFonts w:eastAsia="仿宋"/>
                <w:color w:val="000000"/>
                <w:sz w:val="24"/>
              </w:rPr>
              <w:t>是否要求投标人递交投标担保：</w:t>
            </w:r>
          </w:p>
          <w:p>
            <w:pPr>
              <w:pStyle w:val="106"/>
              <w:spacing w:line="300" w:lineRule="exact"/>
              <w:rPr>
                <w:rFonts w:ascii="Times New Roman" w:eastAsia="仿宋" w:cs="Times New Roman"/>
                <w:b/>
              </w:rPr>
            </w:pPr>
            <w:r>
              <w:rPr>
                <w:rFonts w:ascii="Times New Roman" w:eastAsia="仿宋" w:cs="Times New Roman"/>
              </w:rPr>
              <w:t>□</w:t>
            </w:r>
            <w:r>
              <w:rPr>
                <w:rFonts w:ascii="Times New Roman" w:eastAsia="仿宋" w:cs="Times New Roman"/>
                <w:b/>
              </w:rPr>
              <w:t xml:space="preserve"> 不要求提交</w:t>
            </w:r>
          </w:p>
          <w:p>
            <w:pPr>
              <w:pStyle w:val="106"/>
              <w:spacing w:line="300" w:lineRule="exact"/>
              <w:rPr>
                <w:rFonts w:ascii="Times New Roman" w:eastAsia="仿宋" w:cs="Times New Roman"/>
              </w:rPr>
            </w:pPr>
          </w:p>
          <w:p>
            <w:pPr>
              <w:pStyle w:val="106"/>
              <w:spacing w:line="300" w:lineRule="exact"/>
              <w:rPr>
                <w:rFonts w:ascii="Times New Roman" w:eastAsia="仿宋" w:cs="Times New Roman"/>
                <w:b/>
              </w:rPr>
            </w:pPr>
            <w:r>
              <w:rPr>
                <w:rFonts w:ascii="Times New Roman" w:eastAsia="仿宋" w:cs="Times New Roman"/>
              </w:rPr>
              <w:t>□</w:t>
            </w:r>
            <w:r>
              <w:rPr>
                <w:rFonts w:ascii="Times New Roman" w:eastAsia="仿宋" w:cs="Times New Roman"/>
                <w:b/>
              </w:rPr>
              <w:t xml:space="preserve"> 要求提交</w:t>
            </w:r>
          </w:p>
          <w:p>
            <w:pPr>
              <w:pStyle w:val="106"/>
              <w:spacing w:line="300" w:lineRule="exact"/>
              <w:rPr>
                <w:rFonts w:ascii="Times New Roman" w:eastAsia="仿宋" w:cs="Times New Roman"/>
                <w:b/>
              </w:rPr>
            </w:pPr>
            <w:r>
              <w:rPr>
                <w:rFonts w:hint="eastAsia" w:ascii="Times New Roman" w:eastAsia="仿宋" w:cs="Times New Roman"/>
                <w:b/>
              </w:rPr>
              <w:t>（1）</w:t>
            </w:r>
            <w:r>
              <w:rPr>
                <w:rFonts w:ascii="Times New Roman" w:eastAsia="仿宋" w:cs="Times New Roman"/>
                <w:b/>
              </w:rPr>
              <w:t>投标担保有效期：与投标有效期一致。</w:t>
            </w:r>
          </w:p>
          <w:p>
            <w:pPr>
              <w:pStyle w:val="106"/>
              <w:spacing w:line="300" w:lineRule="exact"/>
              <w:rPr>
                <w:rFonts w:ascii="Times New Roman" w:eastAsia="仿宋" w:cs="Times New Roman"/>
                <w:b/>
              </w:rPr>
            </w:pPr>
            <w:r>
              <w:rPr>
                <w:rFonts w:hint="eastAsia" w:ascii="Times New Roman" w:eastAsia="仿宋" w:cs="Times New Roman"/>
                <w:b/>
              </w:rPr>
              <w:t>（2）</w:t>
            </w:r>
            <w:r>
              <w:rPr>
                <w:rFonts w:ascii="Times New Roman" w:eastAsia="仿宋" w:cs="Times New Roman"/>
                <w:b/>
              </w:rPr>
              <w:t>投标担保的形式</w:t>
            </w:r>
            <w:r>
              <w:rPr>
                <w:rFonts w:hint="eastAsia" w:ascii="Times New Roman" w:eastAsia="仿宋" w:cs="Times New Roman"/>
                <w:b/>
              </w:rPr>
              <w:t>：</w:t>
            </w:r>
            <w:r>
              <w:rPr>
                <w:rFonts w:ascii="Times New Roman" w:eastAsia="仿宋" w:cs="Times New Roman"/>
                <w:b/>
              </w:rPr>
              <w:t>（由招标人根据需要选择下列形式中的一项或多项）</w:t>
            </w:r>
          </w:p>
          <w:p>
            <w:pPr>
              <w:pStyle w:val="106"/>
              <w:spacing w:line="300" w:lineRule="exact"/>
              <w:ind w:firstLine="211"/>
              <w:rPr>
                <w:rFonts w:ascii="Times New Roman" w:eastAsia="仿宋" w:cs="Times New Roman"/>
              </w:rPr>
            </w:pPr>
            <w:r>
              <w:rPr>
                <w:rFonts w:hint="eastAsia" w:ascii="仿宋" w:hAnsi="仿宋" w:eastAsia="仿宋" w:cs="仿宋"/>
              </w:rPr>
              <w:t xml:space="preserve">□ </w:t>
            </w:r>
            <w:r>
              <w:rPr>
                <w:rFonts w:hint="eastAsia" w:ascii="汉仪书宋二S" w:hAnsi="汉仪书宋二S" w:eastAsia="汉仪书宋二S" w:cs="汉仪书宋二S"/>
                <w:b/>
              </w:rPr>
              <w:t>①</w:t>
            </w:r>
            <w:r>
              <w:rPr>
                <w:rFonts w:hint="eastAsia" w:ascii="仿宋" w:hAnsi="仿宋" w:eastAsia="仿宋" w:cs="仿宋"/>
                <w:b/>
              </w:rPr>
              <w:t>形式一</w:t>
            </w:r>
            <w:r>
              <w:rPr>
                <w:rFonts w:ascii="Times New Roman" w:eastAsia="仿宋" w:cs="Times New Roman"/>
              </w:rPr>
              <w:t>：从投标人单位基本账户电汇或企业网银转账。</w:t>
            </w:r>
          </w:p>
          <w:p>
            <w:pPr>
              <w:snapToGrid w:val="0"/>
              <w:spacing w:line="300" w:lineRule="exact"/>
              <w:ind w:firstLine="723" w:firstLineChars="300"/>
              <w:jc w:val="left"/>
              <w:rPr>
                <w:rFonts w:eastAsia="仿宋"/>
                <w:color w:val="000000"/>
                <w:sz w:val="24"/>
              </w:rPr>
            </w:pPr>
            <w:r>
              <w:rPr>
                <w:rFonts w:eastAsia="仿宋"/>
                <w:b/>
                <w:color w:val="000000"/>
                <w:kern w:val="0"/>
                <w:sz w:val="24"/>
              </w:rPr>
              <w:t>金额：</w:t>
            </w:r>
            <w:r>
              <w:rPr>
                <w:rFonts w:eastAsia="仿宋"/>
                <w:bCs/>
                <w:color w:val="000000"/>
                <w:sz w:val="24"/>
              </w:rPr>
              <w:t>人民币</w:t>
            </w:r>
            <w:r>
              <w:rPr>
                <w:rFonts w:eastAsia="仿宋"/>
                <w:bCs/>
                <w:color w:val="000000"/>
                <w:sz w:val="24"/>
                <w:u w:val="single"/>
              </w:rPr>
              <w:t xml:space="preserve">      </w:t>
            </w:r>
            <w:r>
              <w:rPr>
                <w:rFonts w:eastAsia="仿宋"/>
                <w:bCs/>
                <w:color w:val="000000"/>
                <w:sz w:val="24"/>
              </w:rPr>
              <w:t>元（</w:t>
            </w:r>
            <w:r>
              <w:rPr>
                <w:bCs/>
                <w:color w:val="000000"/>
                <w:sz w:val="24"/>
              </w:rPr>
              <w:t>¥</w:t>
            </w:r>
            <w:r>
              <w:rPr>
                <w:rFonts w:eastAsia="仿宋"/>
                <w:bCs/>
                <w:color w:val="000000"/>
                <w:sz w:val="24"/>
              </w:rPr>
              <w:t>______）。</w:t>
            </w:r>
          </w:p>
          <w:p>
            <w:pPr>
              <w:pStyle w:val="164"/>
              <w:widowControl w:val="0"/>
              <w:spacing w:line="300" w:lineRule="exact"/>
              <w:ind w:firstLine="723" w:firstLineChars="300"/>
              <w:rPr>
                <w:rFonts w:eastAsia="仿宋"/>
                <w:color w:val="000000"/>
              </w:rPr>
            </w:pPr>
            <w:r>
              <w:rPr>
                <w:rFonts w:eastAsia="仿宋"/>
                <w:b/>
                <w:color w:val="000000"/>
              </w:rPr>
              <w:t>递交方式：</w:t>
            </w:r>
            <w:r>
              <w:rPr>
                <w:rFonts w:hint="eastAsia" w:eastAsia="仿宋"/>
                <w:color w:val="000000"/>
              </w:rPr>
              <w:t>投标担保</w:t>
            </w:r>
            <w:r>
              <w:rPr>
                <w:rFonts w:eastAsia="仿宋"/>
                <w:color w:val="000000"/>
              </w:rPr>
              <w:t>必须是从投标人单位的基本账户转入收取</w:t>
            </w:r>
            <w:r>
              <w:rPr>
                <w:rFonts w:hint="eastAsia" w:eastAsia="仿宋"/>
                <w:color w:val="000000"/>
              </w:rPr>
              <w:t>投标担保</w:t>
            </w:r>
            <w:r>
              <w:rPr>
                <w:rFonts w:eastAsia="仿宋"/>
                <w:color w:val="000000"/>
              </w:rPr>
              <w:t>的账户。</w:t>
            </w:r>
          </w:p>
          <w:p>
            <w:pPr>
              <w:spacing w:line="300" w:lineRule="exact"/>
              <w:ind w:firstLine="723" w:firstLineChars="300"/>
              <w:jc w:val="left"/>
              <w:rPr>
                <w:rFonts w:eastAsia="仿宋"/>
                <w:b/>
                <w:color w:val="000000"/>
                <w:kern w:val="0"/>
                <w:sz w:val="24"/>
              </w:rPr>
            </w:pPr>
            <w:r>
              <w:rPr>
                <w:rFonts w:eastAsia="仿宋"/>
                <w:b/>
                <w:color w:val="000000"/>
                <w:kern w:val="0"/>
                <w:sz w:val="24"/>
              </w:rPr>
              <w:t>收取</w:t>
            </w:r>
            <w:r>
              <w:rPr>
                <w:rFonts w:hint="eastAsia" w:eastAsia="仿宋"/>
                <w:b/>
                <w:color w:val="000000"/>
                <w:kern w:val="0"/>
                <w:sz w:val="24"/>
              </w:rPr>
              <w:t>投标担保</w:t>
            </w:r>
            <w:r>
              <w:rPr>
                <w:rFonts w:eastAsia="仿宋"/>
                <w:b/>
                <w:color w:val="000000"/>
                <w:kern w:val="0"/>
                <w:sz w:val="24"/>
              </w:rPr>
              <w:t>账号：</w:t>
            </w:r>
          </w:p>
          <w:p>
            <w:pPr>
              <w:pStyle w:val="106"/>
              <w:snapToGrid w:val="0"/>
              <w:spacing w:line="300" w:lineRule="exact"/>
              <w:ind w:firstLine="723" w:firstLineChars="300"/>
              <w:rPr>
                <w:rFonts w:ascii="Times New Roman" w:eastAsia="仿宋" w:cs="Times New Roman"/>
                <w:b/>
                <w:bCs/>
              </w:rPr>
            </w:pPr>
            <w:r>
              <w:rPr>
                <w:rFonts w:ascii="Times New Roman" w:eastAsia="仿宋" w:cs="Times New Roman"/>
                <w:b/>
                <w:bCs/>
              </w:rPr>
              <w:t>开户银行：</w:t>
            </w:r>
            <w:r>
              <w:rPr>
                <w:rFonts w:ascii="Times New Roman" w:eastAsia="仿宋" w:cs="Times New Roman"/>
                <w:b/>
                <w:bCs/>
                <w:u w:val="single"/>
              </w:rPr>
              <w:t xml:space="preserve">                       </w:t>
            </w:r>
          </w:p>
          <w:p>
            <w:pPr>
              <w:pStyle w:val="106"/>
              <w:snapToGrid w:val="0"/>
              <w:spacing w:line="300" w:lineRule="exact"/>
              <w:ind w:firstLine="723" w:firstLineChars="300"/>
              <w:rPr>
                <w:rFonts w:ascii="Times New Roman" w:eastAsia="仿宋" w:cs="Times New Roman"/>
                <w:b/>
                <w:bCs/>
              </w:rPr>
            </w:pPr>
            <w:r>
              <w:rPr>
                <w:rFonts w:ascii="Times New Roman" w:eastAsia="仿宋" w:cs="Times New Roman"/>
                <w:b/>
                <w:bCs/>
              </w:rPr>
              <w:t>账户名称：</w:t>
            </w:r>
            <w:r>
              <w:rPr>
                <w:rFonts w:ascii="Times New Roman" w:eastAsia="仿宋" w:cs="Times New Roman"/>
                <w:b/>
                <w:bCs/>
                <w:u w:val="single"/>
              </w:rPr>
              <w:t xml:space="preserve">                       </w:t>
            </w:r>
          </w:p>
          <w:p>
            <w:pPr>
              <w:pStyle w:val="106"/>
              <w:snapToGrid w:val="0"/>
              <w:spacing w:line="300" w:lineRule="exact"/>
              <w:ind w:firstLine="723" w:firstLineChars="300"/>
              <w:rPr>
                <w:rFonts w:ascii="Times New Roman" w:eastAsia="仿宋" w:cs="Times New Roman"/>
                <w:b/>
                <w:bCs/>
              </w:rPr>
            </w:pPr>
            <w:r>
              <w:rPr>
                <w:rFonts w:ascii="Times New Roman" w:eastAsia="仿宋" w:cs="Times New Roman"/>
                <w:b/>
                <w:bCs/>
              </w:rPr>
              <w:t>账    号：</w:t>
            </w:r>
            <w:r>
              <w:rPr>
                <w:rFonts w:ascii="Times New Roman" w:eastAsia="仿宋" w:cs="Times New Roman"/>
                <w:b/>
                <w:bCs/>
                <w:u w:val="single"/>
              </w:rPr>
              <w:t xml:space="preserve">                       </w:t>
            </w:r>
          </w:p>
          <w:p>
            <w:pPr>
              <w:spacing w:line="300" w:lineRule="exact"/>
              <w:ind w:firstLine="240" w:firstLineChars="100"/>
              <w:jc w:val="left"/>
              <w:rPr>
                <w:rFonts w:eastAsia="仿宋"/>
                <w:color w:val="000000"/>
                <w:sz w:val="24"/>
              </w:rPr>
            </w:pPr>
            <w:r>
              <w:rPr>
                <w:rFonts w:eastAsia="仿宋"/>
                <w:color w:val="000000"/>
                <w:kern w:val="0"/>
                <w:sz w:val="24"/>
              </w:rPr>
              <w:t xml:space="preserve">□ </w:t>
            </w:r>
            <w:r>
              <w:rPr>
                <w:rFonts w:hint="eastAsia" w:ascii="汉仪书宋二S" w:hAnsi="汉仪书宋二S" w:eastAsia="汉仪书宋二S" w:cs="汉仪书宋二S"/>
                <w:color w:val="000000"/>
                <w:kern w:val="0"/>
                <w:sz w:val="24"/>
              </w:rPr>
              <w:t>②</w:t>
            </w:r>
            <w:r>
              <w:rPr>
                <w:rFonts w:eastAsia="仿宋"/>
                <w:b/>
                <w:color w:val="000000"/>
                <w:sz w:val="24"/>
              </w:rPr>
              <w:t>形式二</w:t>
            </w:r>
            <w:r>
              <w:rPr>
                <w:rFonts w:eastAsia="仿宋"/>
                <w:color w:val="000000"/>
                <w:sz w:val="24"/>
              </w:rPr>
              <w:t>：保函（包括：银行业金融机构保函、担保公司担保保函）</w:t>
            </w:r>
          </w:p>
          <w:p>
            <w:pPr>
              <w:spacing w:line="300" w:lineRule="exact"/>
              <w:ind w:firstLine="723" w:firstLineChars="300"/>
              <w:jc w:val="left"/>
              <w:rPr>
                <w:rFonts w:eastAsia="仿宋"/>
                <w:color w:val="000000"/>
                <w:sz w:val="24"/>
              </w:rPr>
            </w:pPr>
            <w:r>
              <w:rPr>
                <w:rFonts w:eastAsia="仿宋"/>
                <w:b/>
                <w:color w:val="000000"/>
                <w:sz w:val="24"/>
              </w:rPr>
              <w:t>担保金额</w:t>
            </w:r>
            <w:r>
              <w:rPr>
                <w:rFonts w:eastAsia="仿宋"/>
                <w:color w:val="000000"/>
                <w:sz w:val="24"/>
              </w:rPr>
              <w:t>：</w:t>
            </w:r>
            <w:r>
              <w:rPr>
                <w:rFonts w:eastAsia="仿宋"/>
                <w:bCs/>
                <w:color w:val="000000"/>
                <w:sz w:val="24"/>
              </w:rPr>
              <w:t>人民币</w:t>
            </w:r>
            <w:r>
              <w:rPr>
                <w:rFonts w:eastAsia="仿宋"/>
                <w:bCs/>
                <w:color w:val="000000"/>
                <w:sz w:val="24"/>
                <w:u w:val="single"/>
              </w:rPr>
              <w:t xml:space="preserve">        </w:t>
            </w:r>
            <w:r>
              <w:rPr>
                <w:rFonts w:eastAsia="仿宋"/>
                <w:bCs/>
                <w:color w:val="000000"/>
                <w:sz w:val="24"/>
              </w:rPr>
              <w:t>元（</w:t>
            </w:r>
            <w:r>
              <w:rPr>
                <w:bCs/>
                <w:color w:val="000000"/>
                <w:sz w:val="24"/>
              </w:rPr>
              <w:t>¥</w:t>
            </w:r>
            <w:r>
              <w:rPr>
                <w:rFonts w:eastAsia="仿宋"/>
                <w:bCs/>
                <w:color w:val="000000"/>
                <w:sz w:val="24"/>
              </w:rPr>
              <w:t>______）。</w:t>
            </w:r>
          </w:p>
          <w:p>
            <w:pPr>
              <w:spacing w:line="300" w:lineRule="exact"/>
              <w:ind w:firstLine="723" w:firstLineChars="300"/>
              <w:jc w:val="left"/>
              <w:rPr>
                <w:rFonts w:eastAsia="仿宋"/>
                <w:color w:val="000000"/>
                <w:sz w:val="24"/>
                <w:u w:val="single"/>
              </w:rPr>
            </w:pPr>
            <w:r>
              <w:rPr>
                <w:rFonts w:eastAsia="仿宋"/>
                <w:b/>
                <w:color w:val="000000"/>
                <w:sz w:val="24"/>
              </w:rPr>
              <w:t>递交方式</w:t>
            </w:r>
            <w:r>
              <w:rPr>
                <w:rFonts w:eastAsia="仿宋"/>
                <w:color w:val="000000"/>
                <w:sz w:val="24"/>
              </w:rPr>
              <w:t>：</w:t>
            </w:r>
            <w:r>
              <w:rPr>
                <w:rFonts w:eastAsia="仿宋"/>
                <w:color w:val="000000"/>
                <w:sz w:val="24"/>
                <w:u w:val="single"/>
              </w:rPr>
              <w:t xml:space="preserve">                              </w:t>
            </w:r>
          </w:p>
          <w:p>
            <w:pPr>
              <w:spacing w:line="300" w:lineRule="exact"/>
              <w:ind w:firstLine="240" w:firstLineChars="100"/>
              <w:jc w:val="left"/>
              <w:rPr>
                <w:rFonts w:eastAsia="仿宋"/>
                <w:color w:val="000000"/>
                <w:sz w:val="24"/>
                <w:u w:val="single"/>
              </w:rPr>
            </w:pPr>
            <w:r>
              <w:rPr>
                <w:rFonts w:eastAsia="仿宋"/>
                <w:color w:val="000000"/>
                <w:kern w:val="0"/>
                <w:sz w:val="24"/>
              </w:rPr>
              <w:t>□</w:t>
            </w:r>
            <w:r>
              <w:rPr>
                <w:rFonts w:hint="eastAsia" w:ascii="汉仪书宋二S" w:hAnsi="汉仪书宋二S" w:eastAsia="汉仪书宋二S" w:cs="汉仪书宋二S"/>
                <w:b/>
                <w:color w:val="000000"/>
                <w:sz w:val="24"/>
              </w:rPr>
              <w:t>③</w:t>
            </w:r>
            <w:r>
              <w:rPr>
                <w:rFonts w:eastAsia="仿宋"/>
                <w:b/>
                <w:color w:val="000000"/>
                <w:sz w:val="24"/>
              </w:rPr>
              <w:t>形式三</w:t>
            </w:r>
            <w:r>
              <w:rPr>
                <w:rFonts w:eastAsia="仿宋"/>
                <w:color w:val="000000"/>
                <w:sz w:val="24"/>
              </w:rPr>
              <w:t>：</w:t>
            </w:r>
            <w:r>
              <w:rPr>
                <w:rFonts w:eastAsia="仿宋"/>
                <w:color w:val="000000"/>
                <w:sz w:val="24"/>
                <w:u w:val="single"/>
              </w:rPr>
              <w:t xml:space="preserve">    保险公司出具的投标保证保险    </w:t>
            </w:r>
          </w:p>
          <w:p>
            <w:pPr>
              <w:spacing w:line="300" w:lineRule="exact"/>
              <w:ind w:firstLine="723" w:firstLineChars="300"/>
              <w:jc w:val="left"/>
              <w:rPr>
                <w:rFonts w:eastAsia="仿宋"/>
                <w:color w:val="000000"/>
                <w:sz w:val="24"/>
              </w:rPr>
            </w:pPr>
            <w:r>
              <w:rPr>
                <w:rFonts w:eastAsia="仿宋"/>
                <w:b/>
                <w:color w:val="000000"/>
                <w:sz w:val="24"/>
              </w:rPr>
              <w:t>担保金额</w:t>
            </w:r>
            <w:r>
              <w:rPr>
                <w:rFonts w:eastAsia="仿宋"/>
                <w:color w:val="000000"/>
                <w:sz w:val="24"/>
              </w:rPr>
              <w:t>：</w:t>
            </w:r>
            <w:r>
              <w:rPr>
                <w:rFonts w:eastAsia="仿宋"/>
                <w:bCs/>
                <w:color w:val="000000"/>
                <w:sz w:val="24"/>
              </w:rPr>
              <w:t>人民币</w:t>
            </w:r>
            <w:r>
              <w:rPr>
                <w:rFonts w:eastAsia="仿宋"/>
                <w:bCs/>
                <w:color w:val="000000"/>
                <w:sz w:val="24"/>
                <w:u w:val="single"/>
              </w:rPr>
              <w:t xml:space="preserve">        </w:t>
            </w:r>
            <w:r>
              <w:rPr>
                <w:rFonts w:eastAsia="仿宋"/>
                <w:bCs/>
                <w:color w:val="000000"/>
                <w:sz w:val="24"/>
              </w:rPr>
              <w:t>元（</w:t>
            </w:r>
            <w:r>
              <w:rPr>
                <w:bCs/>
                <w:color w:val="000000"/>
                <w:sz w:val="24"/>
              </w:rPr>
              <w:t>¥</w:t>
            </w:r>
            <w:r>
              <w:rPr>
                <w:rFonts w:eastAsia="仿宋"/>
                <w:bCs/>
                <w:color w:val="000000"/>
                <w:sz w:val="24"/>
              </w:rPr>
              <w:t>______）。</w:t>
            </w:r>
          </w:p>
          <w:p>
            <w:pPr>
              <w:spacing w:line="300" w:lineRule="exact"/>
              <w:ind w:firstLine="723" w:firstLineChars="300"/>
              <w:jc w:val="left"/>
              <w:rPr>
                <w:rFonts w:eastAsia="仿宋"/>
                <w:color w:val="000000"/>
                <w:sz w:val="24"/>
                <w:u w:val="single"/>
              </w:rPr>
            </w:pPr>
            <w:r>
              <w:rPr>
                <w:rFonts w:eastAsia="仿宋"/>
                <w:b/>
                <w:color w:val="000000"/>
                <w:sz w:val="24"/>
              </w:rPr>
              <w:t>递交方式</w:t>
            </w:r>
            <w:r>
              <w:rPr>
                <w:rFonts w:eastAsia="仿宋"/>
                <w:color w:val="000000"/>
                <w:sz w:val="24"/>
              </w:rPr>
              <w:t>：</w:t>
            </w:r>
            <w:r>
              <w:rPr>
                <w:rFonts w:eastAsia="仿宋"/>
                <w:color w:val="000000"/>
                <w:sz w:val="24"/>
                <w:u w:val="single"/>
              </w:rPr>
              <w:t xml:space="preserve">                              </w:t>
            </w:r>
          </w:p>
          <w:p>
            <w:pPr>
              <w:spacing w:line="300" w:lineRule="exact"/>
              <w:ind w:firstLine="240" w:firstLineChars="100"/>
              <w:jc w:val="left"/>
              <w:rPr>
                <w:rFonts w:eastAsia="仿宋"/>
                <w:color w:val="000000"/>
                <w:sz w:val="24"/>
                <w:u w:val="single"/>
              </w:rPr>
            </w:pPr>
            <w:r>
              <w:rPr>
                <w:rFonts w:eastAsia="仿宋"/>
                <w:color w:val="000000"/>
                <w:kern w:val="0"/>
                <w:sz w:val="24"/>
              </w:rPr>
              <w:t>□</w:t>
            </w:r>
            <w:r>
              <w:rPr>
                <w:rFonts w:hint="eastAsia" w:ascii="汉仪书宋二S" w:hAnsi="汉仪书宋二S" w:eastAsia="汉仪书宋二S" w:cs="汉仪书宋二S"/>
                <w:b/>
                <w:color w:val="000000"/>
                <w:sz w:val="24"/>
              </w:rPr>
              <w:t>④</w:t>
            </w:r>
            <w:r>
              <w:rPr>
                <w:rFonts w:eastAsia="仿宋"/>
                <w:b/>
                <w:color w:val="000000"/>
                <w:sz w:val="24"/>
              </w:rPr>
              <w:t>形式四</w:t>
            </w:r>
            <w:r>
              <w:rPr>
                <w:rFonts w:eastAsia="仿宋"/>
                <w:color w:val="000000"/>
                <w:sz w:val="24"/>
              </w:rPr>
              <w:t>：</w:t>
            </w:r>
            <w:r>
              <w:rPr>
                <w:rFonts w:eastAsia="仿宋"/>
                <w:color w:val="000000"/>
                <w:sz w:val="24"/>
                <w:u w:val="single"/>
              </w:rPr>
              <w:t xml:space="preserve">   承诺或公共资源交易中心允许的其他形式  </w:t>
            </w:r>
          </w:p>
          <w:p>
            <w:pPr>
              <w:spacing w:line="300" w:lineRule="exact"/>
              <w:ind w:firstLine="723" w:firstLineChars="300"/>
              <w:jc w:val="left"/>
              <w:rPr>
                <w:rFonts w:eastAsia="仿宋"/>
                <w:color w:val="000000"/>
                <w:sz w:val="24"/>
              </w:rPr>
            </w:pPr>
            <w:r>
              <w:rPr>
                <w:rFonts w:eastAsia="仿宋"/>
                <w:b/>
                <w:color w:val="000000"/>
                <w:sz w:val="24"/>
              </w:rPr>
              <w:t>担保金额</w:t>
            </w:r>
            <w:r>
              <w:rPr>
                <w:rFonts w:eastAsia="仿宋"/>
                <w:color w:val="000000"/>
                <w:sz w:val="24"/>
              </w:rPr>
              <w:t>：</w:t>
            </w:r>
            <w:r>
              <w:rPr>
                <w:rFonts w:eastAsia="仿宋"/>
                <w:bCs/>
                <w:color w:val="000000"/>
                <w:sz w:val="24"/>
              </w:rPr>
              <w:t>人民币</w:t>
            </w:r>
            <w:r>
              <w:rPr>
                <w:rFonts w:eastAsia="仿宋"/>
                <w:bCs/>
                <w:color w:val="000000"/>
                <w:sz w:val="24"/>
                <w:u w:val="single"/>
              </w:rPr>
              <w:t xml:space="preserve">        </w:t>
            </w:r>
            <w:r>
              <w:rPr>
                <w:rFonts w:eastAsia="仿宋"/>
                <w:bCs/>
                <w:color w:val="000000"/>
                <w:sz w:val="24"/>
              </w:rPr>
              <w:t>元（</w:t>
            </w:r>
            <w:r>
              <w:rPr>
                <w:bCs/>
                <w:color w:val="000000"/>
                <w:sz w:val="24"/>
              </w:rPr>
              <w:t>¥</w:t>
            </w:r>
            <w:r>
              <w:rPr>
                <w:rFonts w:eastAsia="仿宋"/>
                <w:bCs/>
                <w:color w:val="000000"/>
                <w:sz w:val="24"/>
              </w:rPr>
              <w:t>______）。</w:t>
            </w:r>
          </w:p>
          <w:p>
            <w:pPr>
              <w:spacing w:line="300" w:lineRule="exact"/>
              <w:ind w:firstLine="723" w:firstLineChars="300"/>
              <w:jc w:val="left"/>
              <w:rPr>
                <w:rFonts w:eastAsia="仿宋"/>
                <w:color w:val="000000"/>
                <w:sz w:val="24"/>
                <w:u w:val="single"/>
              </w:rPr>
            </w:pPr>
            <w:r>
              <w:rPr>
                <w:rFonts w:eastAsia="仿宋"/>
                <w:b/>
                <w:color w:val="000000"/>
                <w:sz w:val="24"/>
              </w:rPr>
              <w:t>递交方式</w:t>
            </w:r>
            <w:r>
              <w:rPr>
                <w:rFonts w:eastAsia="仿宋"/>
                <w:color w:val="000000"/>
                <w:sz w:val="24"/>
              </w:rPr>
              <w:t>：</w:t>
            </w:r>
            <w:r>
              <w:rPr>
                <w:rFonts w:eastAsia="仿宋"/>
                <w:color w:val="000000"/>
                <w:sz w:val="24"/>
                <w:u w:val="single"/>
              </w:rPr>
              <w:t xml:space="preserve">                              </w:t>
            </w:r>
          </w:p>
          <w:p>
            <w:pPr>
              <w:spacing w:line="300" w:lineRule="exact"/>
              <w:ind w:firstLine="720" w:firstLineChars="300"/>
              <w:jc w:val="left"/>
              <w:rPr>
                <w:rFonts w:eastAsia="仿宋"/>
                <w:color w:val="000000"/>
                <w:sz w:val="24"/>
              </w:rPr>
            </w:pPr>
            <w:r>
              <w:rPr>
                <w:rFonts w:eastAsia="仿宋"/>
                <w:color w:val="000000"/>
                <w:sz w:val="24"/>
              </w:rPr>
              <w:t>a、</w:t>
            </w:r>
            <w:r>
              <w:rPr>
                <w:rFonts w:eastAsia="仿宋"/>
                <w:b/>
                <w:color w:val="000000"/>
                <w:sz w:val="24"/>
              </w:rPr>
              <w:t>请将投标</w:t>
            </w:r>
            <w:r>
              <w:rPr>
                <w:rFonts w:hint="eastAsia" w:eastAsia="仿宋"/>
                <w:b/>
                <w:color w:val="000000"/>
                <w:sz w:val="24"/>
              </w:rPr>
              <w:t>担保</w:t>
            </w:r>
            <w:r>
              <w:rPr>
                <w:rFonts w:eastAsia="仿宋"/>
                <w:b/>
                <w:color w:val="000000"/>
                <w:sz w:val="24"/>
              </w:rPr>
              <w:t>于</w:t>
            </w:r>
            <w:r>
              <w:rPr>
                <w:rFonts w:eastAsia="仿宋"/>
                <w:b/>
                <w:color w:val="000000"/>
                <w:sz w:val="24"/>
                <w:u w:val="single"/>
              </w:rPr>
              <w:t xml:space="preserve">       </w:t>
            </w:r>
            <w:r>
              <w:rPr>
                <w:rFonts w:eastAsia="仿宋"/>
                <w:b/>
                <w:color w:val="000000"/>
                <w:sz w:val="24"/>
              </w:rPr>
              <w:t>年</w:t>
            </w:r>
            <w:r>
              <w:rPr>
                <w:rFonts w:eastAsia="仿宋"/>
                <w:b/>
                <w:color w:val="000000"/>
                <w:sz w:val="24"/>
                <w:u w:val="single"/>
              </w:rPr>
              <w:t xml:space="preserve">   </w:t>
            </w:r>
            <w:r>
              <w:rPr>
                <w:rFonts w:hint="eastAsia" w:eastAsia="仿宋"/>
                <w:b/>
                <w:color w:val="000000"/>
                <w:sz w:val="24"/>
                <w:u w:val="single"/>
              </w:rPr>
              <w:t xml:space="preserve"> </w:t>
            </w:r>
            <w:r>
              <w:rPr>
                <w:rFonts w:eastAsia="仿宋"/>
                <w:b/>
                <w:color w:val="000000"/>
                <w:sz w:val="24"/>
                <w:u w:val="single"/>
              </w:rPr>
              <w:t xml:space="preserve">   </w:t>
            </w:r>
            <w:r>
              <w:rPr>
                <w:rFonts w:eastAsia="仿宋"/>
                <w:b/>
                <w:color w:val="000000"/>
                <w:sz w:val="24"/>
              </w:rPr>
              <w:t>月</w:t>
            </w:r>
            <w:r>
              <w:rPr>
                <w:rFonts w:eastAsia="仿宋"/>
                <w:b/>
                <w:color w:val="000000"/>
                <w:sz w:val="24"/>
                <w:u w:val="single"/>
              </w:rPr>
              <w:t xml:space="preserve">   </w:t>
            </w:r>
            <w:r>
              <w:rPr>
                <w:rFonts w:hint="eastAsia" w:eastAsia="仿宋"/>
                <w:b/>
                <w:color w:val="000000"/>
                <w:sz w:val="24"/>
                <w:u w:val="single"/>
              </w:rPr>
              <w:t xml:space="preserve"> </w:t>
            </w:r>
            <w:r>
              <w:rPr>
                <w:rFonts w:eastAsia="仿宋"/>
                <w:b/>
                <w:color w:val="000000"/>
                <w:sz w:val="24"/>
                <w:u w:val="single"/>
              </w:rPr>
              <w:t xml:space="preserve">   </w:t>
            </w:r>
            <w:r>
              <w:rPr>
                <w:rFonts w:eastAsia="仿宋"/>
                <w:b/>
                <w:color w:val="000000"/>
                <w:sz w:val="24"/>
              </w:rPr>
              <w:t>日的</w:t>
            </w:r>
            <w:r>
              <w:rPr>
                <w:rFonts w:eastAsia="仿宋"/>
                <w:b/>
                <w:color w:val="000000"/>
                <w:sz w:val="24"/>
                <w:u w:val="single"/>
              </w:rPr>
              <w:t xml:space="preserve">   _    </w:t>
            </w:r>
            <w:r>
              <w:rPr>
                <w:rFonts w:eastAsia="仿宋"/>
                <w:b/>
                <w:color w:val="000000"/>
                <w:sz w:val="24"/>
              </w:rPr>
              <w:t>时</w:t>
            </w:r>
            <w:r>
              <w:rPr>
                <w:rFonts w:eastAsia="仿宋"/>
                <w:b/>
                <w:color w:val="000000"/>
                <w:sz w:val="24"/>
                <w:u w:val="single"/>
              </w:rPr>
              <w:t xml:space="preserve">    </w:t>
            </w:r>
            <w:r>
              <w:rPr>
                <w:rFonts w:eastAsia="仿宋"/>
                <w:b/>
                <w:color w:val="000000"/>
                <w:sz w:val="24"/>
              </w:rPr>
              <w:t>分（北京时间）前转入收取</w:t>
            </w:r>
            <w:r>
              <w:rPr>
                <w:rFonts w:hint="eastAsia" w:eastAsia="仿宋"/>
                <w:b/>
                <w:color w:val="000000"/>
                <w:sz w:val="24"/>
              </w:rPr>
              <w:t>投标担保</w:t>
            </w:r>
            <w:r>
              <w:rPr>
                <w:rFonts w:eastAsia="仿宋"/>
                <w:b/>
                <w:color w:val="000000"/>
                <w:sz w:val="24"/>
              </w:rPr>
              <w:t>的账户</w:t>
            </w:r>
            <w:r>
              <w:rPr>
                <w:rFonts w:hint="eastAsia" w:eastAsia="仿宋"/>
                <w:b/>
                <w:color w:val="000000"/>
                <w:sz w:val="24"/>
              </w:rPr>
              <w:t>或开具保函、保险、承诺及其他形式投标担保</w:t>
            </w:r>
            <w:r>
              <w:rPr>
                <w:rFonts w:eastAsia="仿宋"/>
                <w:b/>
                <w:color w:val="000000"/>
                <w:sz w:val="24"/>
              </w:rPr>
              <w:t>，以到账</w:t>
            </w:r>
            <w:r>
              <w:rPr>
                <w:rFonts w:hint="eastAsia" w:eastAsia="仿宋"/>
                <w:b/>
                <w:color w:val="000000"/>
                <w:sz w:val="24"/>
              </w:rPr>
              <w:t>或生效</w:t>
            </w:r>
            <w:r>
              <w:rPr>
                <w:rFonts w:eastAsia="仿宋"/>
                <w:b/>
                <w:color w:val="000000"/>
                <w:sz w:val="24"/>
              </w:rPr>
              <w:t>时间为准。</w:t>
            </w:r>
          </w:p>
          <w:p>
            <w:pPr>
              <w:spacing w:line="300" w:lineRule="exact"/>
              <w:ind w:firstLine="720" w:firstLineChars="300"/>
              <w:jc w:val="left"/>
              <w:rPr>
                <w:rFonts w:eastAsia="仿宋"/>
                <w:color w:val="000000"/>
                <w:sz w:val="24"/>
              </w:rPr>
            </w:pPr>
            <w:r>
              <w:rPr>
                <w:rFonts w:eastAsia="仿宋"/>
                <w:color w:val="000000"/>
                <w:sz w:val="24"/>
              </w:rPr>
              <w:t>b、</w:t>
            </w:r>
            <w:r>
              <w:rPr>
                <w:rFonts w:hint="eastAsia" w:eastAsia="仿宋"/>
                <w:color w:val="000000"/>
                <w:sz w:val="24"/>
              </w:rPr>
              <w:t>投标担保</w:t>
            </w:r>
            <w:r>
              <w:rPr>
                <w:rFonts w:eastAsia="仿宋"/>
                <w:color w:val="000000"/>
                <w:sz w:val="24"/>
              </w:rPr>
              <w:t>退还时一律以银行转账方式退回，不退现金。中标和未中标的投标人的</w:t>
            </w:r>
            <w:r>
              <w:rPr>
                <w:rFonts w:hint="eastAsia" w:eastAsia="仿宋"/>
                <w:color w:val="000000"/>
                <w:sz w:val="24"/>
              </w:rPr>
              <w:t>投标担保</w:t>
            </w:r>
            <w:r>
              <w:rPr>
                <w:rFonts w:eastAsia="仿宋"/>
                <w:color w:val="000000"/>
                <w:sz w:val="24"/>
              </w:rPr>
              <w:t>及银行</w:t>
            </w:r>
            <w:r>
              <w:rPr>
                <w:rFonts w:hint="eastAsia" w:eastAsia="仿宋"/>
                <w:color w:val="000000"/>
                <w:sz w:val="24"/>
              </w:rPr>
              <w:t>利息</w:t>
            </w:r>
            <w:r>
              <w:rPr>
                <w:rFonts w:eastAsia="仿宋"/>
                <w:color w:val="000000"/>
                <w:sz w:val="24"/>
              </w:rPr>
              <w:t>均在签订合同后</w:t>
            </w:r>
            <w:r>
              <w:rPr>
                <w:rFonts w:eastAsia="仿宋"/>
                <w:color w:val="000000"/>
                <w:sz w:val="24"/>
                <w:u w:val="single"/>
              </w:rPr>
              <w:t xml:space="preserve">     </w:t>
            </w:r>
            <w:r>
              <w:rPr>
                <w:rFonts w:eastAsia="仿宋"/>
                <w:color w:val="000000"/>
                <w:sz w:val="24"/>
              </w:rPr>
              <w:t>日内，予以退还。</w:t>
            </w:r>
          </w:p>
          <w:p>
            <w:pPr>
              <w:spacing w:line="300" w:lineRule="exact"/>
              <w:ind w:firstLine="720" w:firstLineChars="300"/>
              <w:jc w:val="left"/>
              <w:rPr>
                <w:rFonts w:eastAsia="仿宋"/>
                <w:color w:val="000000"/>
                <w:sz w:val="24"/>
              </w:rPr>
            </w:pPr>
            <w:r>
              <w:rPr>
                <w:rFonts w:eastAsia="仿宋"/>
                <w:color w:val="000000"/>
                <w:sz w:val="24"/>
              </w:rPr>
              <w:t>c、</w:t>
            </w:r>
            <w:r>
              <w:rPr>
                <w:rFonts w:hint="eastAsia" w:eastAsia="仿宋"/>
                <w:color w:val="000000"/>
                <w:sz w:val="24"/>
              </w:rPr>
              <w:t>投标担保</w:t>
            </w:r>
            <w:r>
              <w:rPr>
                <w:rFonts w:eastAsia="仿宋"/>
                <w:color w:val="000000"/>
                <w:sz w:val="24"/>
              </w:rPr>
              <w:t>的退还事宜请与</w:t>
            </w:r>
            <w:r>
              <w:rPr>
                <w:rFonts w:eastAsia="仿宋"/>
                <w:color w:val="000000"/>
                <w:sz w:val="24"/>
                <w:u w:val="single"/>
              </w:rPr>
              <w:t xml:space="preserve">         </w:t>
            </w:r>
            <w:r>
              <w:rPr>
                <w:rFonts w:eastAsia="仿宋"/>
                <w:color w:val="000000"/>
                <w:sz w:val="24"/>
              </w:rPr>
              <w:t>（招标代理机构名称）联系，电话：</w:t>
            </w:r>
            <w:r>
              <w:rPr>
                <w:rFonts w:eastAsia="仿宋"/>
                <w:color w:val="000000"/>
                <w:sz w:val="24"/>
                <w:u w:val="single"/>
              </w:rPr>
              <w:t xml:space="preserve">          </w:t>
            </w:r>
            <w:r>
              <w:rPr>
                <w:rFonts w:eastAsia="仿宋"/>
                <w:color w:val="000000"/>
                <w:sz w:val="24"/>
              </w:rPr>
              <w:t xml:space="preserve"> 。联系人：</w:t>
            </w:r>
            <w:r>
              <w:rPr>
                <w:rFonts w:eastAsia="仿宋"/>
                <w:color w:val="000000"/>
                <w:sz w:val="24"/>
                <w:u w:val="single"/>
              </w:rPr>
              <w:t xml:space="preserve">          </w:t>
            </w:r>
            <w:r>
              <w:rPr>
                <w:rFonts w:eastAsia="仿宋"/>
                <w:color w:val="000000"/>
                <w:sz w:val="24"/>
              </w:rPr>
              <w:t xml:space="preserve"> 。</w:t>
            </w:r>
          </w:p>
          <w:p>
            <w:pPr>
              <w:pStyle w:val="2"/>
              <w:rPr>
                <w:color w:val="000000"/>
                <w:lang w:val="en-US" w:eastAsia="zh-CN"/>
              </w:rPr>
            </w:pPr>
          </w:p>
          <w:p>
            <w:pPr>
              <w:pStyle w:val="106"/>
              <w:spacing w:line="300" w:lineRule="exact"/>
              <w:rPr>
                <w:rFonts w:ascii="Times New Roman" w:eastAsia="仿宋" w:cs="Times New Roman"/>
                <w:b/>
              </w:rPr>
            </w:pPr>
            <w:r>
              <w:rPr>
                <w:rFonts w:hint="eastAsia" w:ascii="Times New Roman" w:eastAsia="仿宋" w:cs="Times New Roman"/>
                <w:b/>
              </w:rPr>
              <w:t>（3）</w:t>
            </w:r>
            <w:r>
              <w:rPr>
                <w:rFonts w:ascii="Times New Roman" w:eastAsia="仿宋" w:cs="Times New Roman"/>
                <w:b/>
              </w:rPr>
              <w:t>联合体投标的，由牵头人递交投标担保。</w:t>
            </w:r>
          </w:p>
          <w:p>
            <w:pPr>
              <w:pStyle w:val="106"/>
              <w:spacing w:line="300" w:lineRule="exact"/>
              <w:rPr>
                <w:rFonts w:ascii="Times New Roman" w:eastAsia="仿宋" w:cs="Times New Roman"/>
                <w:b/>
              </w:rPr>
            </w:pPr>
            <w:r>
              <w:rPr>
                <w:rFonts w:hint="eastAsia" w:ascii="Times New Roman" w:eastAsia="仿宋" w:cs="Times New Roman"/>
                <w:b/>
              </w:rPr>
              <w:t>（4）</w:t>
            </w:r>
            <w:r>
              <w:rPr>
                <w:rFonts w:ascii="Times New Roman" w:eastAsia="仿宋" w:cs="Times New Roman"/>
                <w:b/>
              </w:rPr>
              <w:t>其他：</w:t>
            </w:r>
            <w:r>
              <w:rPr>
                <w:rFonts w:ascii="Times New Roman" w:eastAsia="仿宋" w:cs="Times New Roman"/>
                <w:b/>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985" w:type="dxa"/>
            <w:noWrap w:val="0"/>
            <w:vAlign w:val="center"/>
          </w:tcPr>
          <w:p>
            <w:pPr>
              <w:spacing w:line="300" w:lineRule="exact"/>
              <w:jc w:val="center"/>
              <w:rPr>
                <w:rFonts w:eastAsia="仿宋"/>
                <w:color w:val="000000"/>
                <w:sz w:val="24"/>
              </w:rPr>
            </w:pPr>
            <w:r>
              <w:rPr>
                <w:rFonts w:eastAsia="仿宋"/>
                <w:color w:val="000000"/>
                <w:sz w:val="24"/>
              </w:rPr>
              <w:t>3.4.4</w:t>
            </w:r>
          </w:p>
        </w:tc>
        <w:tc>
          <w:tcPr>
            <w:tcW w:w="1948" w:type="dxa"/>
            <w:noWrap w:val="0"/>
            <w:vAlign w:val="center"/>
          </w:tcPr>
          <w:p>
            <w:pPr>
              <w:spacing w:line="300" w:lineRule="exact"/>
              <w:jc w:val="center"/>
              <w:rPr>
                <w:rFonts w:eastAsia="仿宋"/>
                <w:color w:val="000000"/>
                <w:sz w:val="24"/>
              </w:rPr>
            </w:pPr>
            <w:r>
              <w:rPr>
                <w:rFonts w:eastAsia="仿宋"/>
                <w:color w:val="000000"/>
                <w:sz w:val="24"/>
              </w:rPr>
              <w:t>可以不予退还</w:t>
            </w:r>
            <w:r>
              <w:rPr>
                <w:rFonts w:hint="eastAsia" w:eastAsia="仿宋"/>
                <w:color w:val="000000"/>
                <w:sz w:val="24"/>
              </w:rPr>
              <w:t>投标担保</w:t>
            </w:r>
            <w:r>
              <w:rPr>
                <w:rFonts w:eastAsia="仿宋"/>
                <w:color w:val="000000"/>
                <w:sz w:val="24"/>
              </w:rPr>
              <w:t>的情形</w:t>
            </w:r>
          </w:p>
        </w:tc>
        <w:tc>
          <w:tcPr>
            <w:tcW w:w="6562" w:type="dxa"/>
            <w:noWrap w:val="0"/>
            <w:vAlign w:val="center"/>
          </w:tcPr>
          <w:p>
            <w:pPr>
              <w:spacing w:after="157" w:line="240" w:lineRule="exact"/>
              <w:jc w:val="left"/>
              <w:rPr>
                <w:rFonts w:eastAsia="仿宋"/>
                <w:color w:val="000000"/>
                <w:sz w:val="24"/>
                <w:u w:val="single"/>
              </w:rPr>
            </w:pPr>
            <w:r>
              <w:rPr>
                <w:rFonts w:eastAsia="仿宋"/>
                <w:color w:val="000000"/>
                <w:sz w:val="24"/>
                <w:u w:val="single"/>
              </w:rPr>
              <w:t xml:space="preserve">      </w:t>
            </w:r>
            <w:r>
              <w:rPr>
                <w:rFonts w:hint="eastAsia" w:eastAsia="仿宋"/>
                <w:color w:val="000000"/>
                <w:sz w:val="24"/>
                <w:u w:val="single"/>
              </w:rPr>
              <w:t>法律法规规定的情形</w:t>
            </w:r>
            <w:r>
              <w:rPr>
                <w:rFonts w:eastAsia="仿宋"/>
                <w:color w:val="000000"/>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985" w:type="dxa"/>
            <w:noWrap w:val="0"/>
            <w:vAlign w:val="center"/>
          </w:tcPr>
          <w:p>
            <w:pPr>
              <w:spacing w:line="300" w:lineRule="exact"/>
              <w:jc w:val="center"/>
              <w:rPr>
                <w:rFonts w:eastAsia="仿宋"/>
                <w:color w:val="000000"/>
                <w:sz w:val="24"/>
              </w:rPr>
            </w:pPr>
            <w:r>
              <w:rPr>
                <w:rFonts w:eastAsia="仿宋"/>
                <w:color w:val="000000"/>
                <w:sz w:val="24"/>
              </w:rPr>
              <w:t>3.5.2</w:t>
            </w:r>
          </w:p>
        </w:tc>
        <w:tc>
          <w:tcPr>
            <w:tcW w:w="1948" w:type="dxa"/>
            <w:noWrap w:val="0"/>
            <w:vAlign w:val="center"/>
          </w:tcPr>
          <w:p>
            <w:pPr>
              <w:pStyle w:val="106"/>
              <w:spacing w:line="300" w:lineRule="exact"/>
              <w:jc w:val="center"/>
              <w:rPr>
                <w:rFonts w:ascii="Times New Roman" w:eastAsia="仿宋" w:cs="Times New Roman"/>
              </w:rPr>
            </w:pPr>
            <w:r>
              <w:rPr>
                <w:rFonts w:ascii="Times New Roman" w:eastAsia="仿宋" w:cs="Times New Roman"/>
              </w:rPr>
              <w:t>近年财务状况的年份要求</w:t>
            </w:r>
          </w:p>
        </w:tc>
        <w:tc>
          <w:tcPr>
            <w:tcW w:w="6562" w:type="dxa"/>
            <w:noWrap w:val="0"/>
            <w:vAlign w:val="center"/>
          </w:tcPr>
          <w:p>
            <w:pPr>
              <w:pStyle w:val="106"/>
              <w:spacing w:line="300" w:lineRule="exact"/>
              <w:rPr>
                <w:rFonts w:ascii="Times New Roman" w:eastAsia="仿宋" w:cs="Times New Roman"/>
              </w:rPr>
            </w:pPr>
            <w:r>
              <w:rPr>
                <w:rFonts w:ascii="Times New Roman" w:eastAsia="仿宋" w:cs="Times New Roman"/>
              </w:rPr>
              <w:t xml:space="preserve">  1  年（</w:t>
            </w:r>
            <w:r>
              <w:rPr>
                <w:rFonts w:ascii="Times New Roman" w:eastAsia="仿宋" w:cs="Times New Roman"/>
                <w:u w:val="single"/>
              </w:rPr>
              <w:t xml:space="preserve">      </w:t>
            </w:r>
            <w:r>
              <w:rPr>
                <w:rFonts w:ascii="Times New Roman" w:eastAsia="仿宋" w:cs="Times New Roma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985" w:type="dxa"/>
            <w:noWrap w:val="0"/>
            <w:vAlign w:val="center"/>
          </w:tcPr>
          <w:p>
            <w:pPr>
              <w:spacing w:line="300" w:lineRule="exact"/>
              <w:jc w:val="center"/>
              <w:rPr>
                <w:rFonts w:eastAsia="仿宋"/>
                <w:color w:val="000000"/>
                <w:sz w:val="24"/>
              </w:rPr>
            </w:pPr>
            <w:r>
              <w:rPr>
                <w:rFonts w:eastAsia="仿宋"/>
                <w:color w:val="000000"/>
                <w:sz w:val="24"/>
              </w:rPr>
              <w:t>3.5.3</w:t>
            </w:r>
          </w:p>
        </w:tc>
        <w:tc>
          <w:tcPr>
            <w:tcW w:w="1948" w:type="dxa"/>
            <w:noWrap w:val="0"/>
            <w:vAlign w:val="center"/>
          </w:tcPr>
          <w:p>
            <w:pPr>
              <w:pStyle w:val="106"/>
              <w:spacing w:line="300" w:lineRule="exact"/>
              <w:jc w:val="center"/>
              <w:rPr>
                <w:rFonts w:ascii="Times New Roman" w:eastAsia="仿宋" w:cs="Times New Roman"/>
              </w:rPr>
            </w:pPr>
            <w:r>
              <w:rPr>
                <w:rFonts w:ascii="Times New Roman" w:eastAsia="仿宋" w:cs="Times New Roman"/>
              </w:rPr>
              <w:t>近年完成的类似项目的年份要求</w:t>
            </w:r>
          </w:p>
        </w:tc>
        <w:tc>
          <w:tcPr>
            <w:tcW w:w="6562" w:type="dxa"/>
            <w:noWrap w:val="0"/>
            <w:vAlign w:val="center"/>
          </w:tcPr>
          <w:p>
            <w:pPr>
              <w:spacing w:line="300" w:lineRule="exact"/>
              <w:jc w:val="left"/>
              <w:rPr>
                <w:rFonts w:eastAsia="仿宋"/>
                <w:color w:val="000000"/>
                <w:sz w:val="24"/>
                <w:u w:val="single"/>
              </w:rPr>
            </w:pPr>
            <w:r>
              <w:rPr>
                <w:rFonts w:eastAsia="仿宋"/>
                <w:color w:val="000000"/>
                <w:sz w:val="24"/>
                <w:u w:val="single"/>
              </w:rPr>
              <w:t xml:space="preserve">      </w:t>
            </w:r>
            <w:r>
              <w:rPr>
                <w:rFonts w:eastAsia="仿宋"/>
                <w:color w:val="000000"/>
                <w:sz w:val="24"/>
              </w:rPr>
              <w:t>年（指</w:t>
            </w:r>
            <w:r>
              <w:rPr>
                <w:rFonts w:eastAsia="仿宋"/>
                <w:color w:val="000000"/>
                <w:sz w:val="24"/>
                <w:u w:val="single"/>
              </w:rPr>
              <w:t xml:space="preserve">     </w:t>
            </w:r>
            <w:r>
              <w:rPr>
                <w:rFonts w:eastAsia="仿宋"/>
                <w:color w:val="000000"/>
                <w:sz w:val="24"/>
              </w:rPr>
              <w:t>年</w:t>
            </w:r>
            <w:r>
              <w:rPr>
                <w:rFonts w:eastAsia="仿宋"/>
                <w:color w:val="000000"/>
                <w:sz w:val="24"/>
                <w:u w:val="single"/>
              </w:rPr>
              <w:t xml:space="preserve">     </w:t>
            </w:r>
            <w:r>
              <w:rPr>
                <w:rFonts w:eastAsia="仿宋"/>
                <w:color w:val="000000"/>
                <w:sz w:val="24"/>
              </w:rPr>
              <w:t>月～投标截止时间）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985" w:type="dxa"/>
            <w:noWrap w:val="0"/>
            <w:vAlign w:val="center"/>
          </w:tcPr>
          <w:p>
            <w:pPr>
              <w:spacing w:line="300" w:lineRule="exact"/>
              <w:jc w:val="center"/>
              <w:rPr>
                <w:rFonts w:eastAsia="仿宋"/>
                <w:color w:val="000000"/>
                <w:sz w:val="24"/>
              </w:rPr>
            </w:pPr>
            <w:r>
              <w:rPr>
                <w:rFonts w:eastAsia="仿宋"/>
                <w:color w:val="000000"/>
                <w:sz w:val="24"/>
              </w:rPr>
              <w:t>3.5.5</w:t>
            </w:r>
          </w:p>
        </w:tc>
        <w:tc>
          <w:tcPr>
            <w:tcW w:w="1948" w:type="dxa"/>
            <w:noWrap w:val="0"/>
            <w:vAlign w:val="center"/>
          </w:tcPr>
          <w:p>
            <w:pPr>
              <w:pStyle w:val="106"/>
              <w:spacing w:line="300" w:lineRule="exact"/>
              <w:jc w:val="center"/>
              <w:rPr>
                <w:rFonts w:ascii="Times New Roman" w:eastAsia="仿宋" w:cs="Times New Roman"/>
              </w:rPr>
            </w:pPr>
            <w:r>
              <w:rPr>
                <w:rFonts w:ascii="Times New Roman" w:eastAsia="仿宋" w:cs="Times New Roman"/>
              </w:rPr>
              <w:t>近年发生的诉讼及仲裁情况的年份要求</w:t>
            </w:r>
          </w:p>
        </w:tc>
        <w:tc>
          <w:tcPr>
            <w:tcW w:w="6562" w:type="dxa"/>
            <w:noWrap w:val="0"/>
            <w:vAlign w:val="center"/>
          </w:tcPr>
          <w:p>
            <w:pPr>
              <w:spacing w:line="300" w:lineRule="exact"/>
              <w:jc w:val="left"/>
              <w:rPr>
                <w:rFonts w:eastAsia="仿宋"/>
                <w:color w:val="000000"/>
                <w:sz w:val="24"/>
                <w:u w:val="single"/>
              </w:rPr>
            </w:pPr>
            <w:r>
              <w:rPr>
                <w:rFonts w:eastAsia="仿宋"/>
                <w:color w:val="000000"/>
                <w:sz w:val="24"/>
                <w:u w:val="single"/>
              </w:rPr>
              <w:t xml:space="preserve">      </w:t>
            </w:r>
            <w:r>
              <w:rPr>
                <w:rFonts w:eastAsia="仿宋"/>
                <w:color w:val="000000"/>
                <w:sz w:val="24"/>
              </w:rPr>
              <w:t>年（指</w:t>
            </w:r>
            <w:r>
              <w:rPr>
                <w:rFonts w:eastAsia="仿宋"/>
                <w:color w:val="000000"/>
                <w:sz w:val="24"/>
                <w:u w:val="single"/>
              </w:rPr>
              <w:t xml:space="preserve">     </w:t>
            </w:r>
            <w:r>
              <w:rPr>
                <w:rFonts w:eastAsia="仿宋"/>
                <w:color w:val="000000"/>
                <w:sz w:val="24"/>
              </w:rPr>
              <w:t>年</w:t>
            </w:r>
            <w:r>
              <w:rPr>
                <w:rFonts w:eastAsia="仿宋"/>
                <w:color w:val="000000"/>
                <w:sz w:val="24"/>
                <w:u w:val="single"/>
              </w:rPr>
              <w:t xml:space="preserve">     </w:t>
            </w:r>
            <w:r>
              <w:rPr>
                <w:rFonts w:eastAsia="仿宋"/>
                <w:color w:val="000000"/>
                <w:sz w:val="24"/>
              </w:rPr>
              <w:t>月～投标截止时间）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985" w:type="dxa"/>
            <w:noWrap w:val="0"/>
            <w:vAlign w:val="center"/>
          </w:tcPr>
          <w:p>
            <w:pPr>
              <w:spacing w:line="300" w:lineRule="exact"/>
              <w:jc w:val="center"/>
              <w:rPr>
                <w:rFonts w:eastAsia="仿宋"/>
                <w:color w:val="000000"/>
                <w:sz w:val="24"/>
              </w:rPr>
            </w:pPr>
            <w:r>
              <w:rPr>
                <w:rFonts w:eastAsia="仿宋"/>
                <w:color w:val="000000"/>
                <w:sz w:val="24"/>
              </w:rPr>
              <w:t>3.6.1</w:t>
            </w:r>
          </w:p>
        </w:tc>
        <w:tc>
          <w:tcPr>
            <w:tcW w:w="1948" w:type="dxa"/>
            <w:noWrap w:val="0"/>
            <w:vAlign w:val="center"/>
          </w:tcPr>
          <w:p>
            <w:pPr>
              <w:pStyle w:val="106"/>
              <w:spacing w:line="300" w:lineRule="exact"/>
              <w:jc w:val="center"/>
              <w:rPr>
                <w:rFonts w:ascii="Times New Roman" w:eastAsia="仿宋" w:cs="Times New Roman"/>
              </w:rPr>
            </w:pPr>
            <w:r>
              <w:rPr>
                <w:rFonts w:ascii="Times New Roman" w:eastAsia="仿宋" w:cs="Times New Roman"/>
              </w:rPr>
              <w:t>是否允许递交备选投标方案</w:t>
            </w:r>
          </w:p>
        </w:tc>
        <w:tc>
          <w:tcPr>
            <w:tcW w:w="6562" w:type="dxa"/>
            <w:noWrap w:val="0"/>
            <w:vAlign w:val="center"/>
          </w:tcPr>
          <w:p>
            <w:pPr>
              <w:spacing w:after="93"/>
              <w:rPr>
                <w:rFonts w:eastAsia="仿宋"/>
                <w:color w:val="000000"/>
                <w:sz w:val="24"/>
              </w:rPr>
            </w:pPr>
            <w:r>
              <w:rPr>
                <w:rFonts w:eastAsia="仿宋"/>
                <w:color w:val="000000"/>
                <w:kern w:val="0"/>
                <w:sz w:val="24"/>
              </w:rPr>
              <w:t>□</w:t>
            </w:r>
            <w:r>
              <w:rPr>
                <w:rFonts w:eastAsia="仿宋"/>
                <w:color w:val="000000"/>
                <w:sz w:val="24"/>
              </w:rPr>
              <w:t xml:space="preserve"> 不允许</w:t>
            </w:r>
          </w:p>
          <w:p>
            <w:pPr>
              <w:spacing w:line="300" w:lineRule="exact"/>
              <w:rPr>
                <w:rFonts w:eastAsia="仿宋"/>
                <w:color w:val="000000"/>
                <w:sz w:val="24"/>
                <w:u w:val="single"/>
              </w:rPr>
            </w:pPr>
            <w:r>
              <w:rPr>
                <w:rFonts w:eastAsia="仿宋"/>
                <w:color w:val="000000"/>
                <w:kern w:val="0"/>
                <w:sz w:val="24"/>
              </w:rPr>
              <w:t>□</w:t>
            </w:r>
            <w:r>
              <w:rPr>
                <w:rFonts w:eastAsia="仿宋"/>
                <w:color w:val="000000"/>
                <w:sz w:val="24"/>
              </w:rPr>
              <w:t xml:space="preserve"> 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2" w:hRule="atLeast"/>
          <w:jc w:val="center"/>
        </w:trPr>
        <w:tc>
          <w:tcPr>
            <w:tcW w:w="985" w:type="dxa"/>
            <w:noWrap w:val="0"/>
            <w:vAlign w:val="center"/>
          </w:tcPr>
          <w:p>
            <w:pPr>
              <w:spacing w:line="300" w:lineRule="exact"/>
              <w:jc w:val="center"/>
              <w:rPr>
                <w:rFonts w:eastAsia="仿宋"/>
                <w:color w:val="000000"/>
                <w:sz w:val="24"/>
              </w:rPr>
            </w:pPr>
            <w:r>
              <w:rPr>
                <w:rFonts w:eastAsia="仿宋"/>
                <w:color w:val="000000"/>
                <w:sz w:val="24"/>
              </w:rPr>
              <w:t>3.7.3</w:t>
            </w:r>
          </w:p>
        </w:tc>
        <w:tc>
          <w:tcPr>
            <w:tcW w:w="1948" w:type="dxa"/>
            <w:noWrap w:val="0"/>
            <w:vAlign w:val="center"/>
          </w:tcPr>
          <w:p>
            <w:pPr>
              <w:spacing w:line="300" w:lineRule="exact"/>
              <w:jc w:val="center"/>
              <w:rPr>
                <w:rFonts w:eastAsia="仿宋"/>
                <w:color w:val="000000"/>
                <w:sz w:val="24"/>
              </w:rPr>
            </w:pPr>
            <w:r>
              <w:rPr>
                <w:rFonts w:eastAsia="仿宋"/>
                <w:color w:val="000000"/>
                <w:sz w:val="24"/>
              </w:rPr>
              <w:t>签字或盖章要求</w:t>
            </w:r>
          </w:p>
        </w:tc>
        <w:tc>
          <w:tcPr>
            <w:tcW w:w="6562" w:type="dxa"/>
            <w:noWrap w:val="0"/>
            <w:vAlign w:val="center"/>
          </w:tcPr>
          <w:p>
            <w:pPr>
              <w:spacing w:line="300" w:lineRule="exact"/>
              <w:ind w:firstLine="240" w:firstLineChars="100"/>
              <w:jc w:val="left"/>
              <w:rPr>
                <w:rFonts w:eastAsia="仿宋"/>
                <w:color w:val="000000"/>
                <w:sz w:val="24"/>
              </w:rPr>
            </w:pPr>
            <w:r>
              <w:rPr>
                <w:rFonts w:eastAsia="仿宋"/>
                <w:color w:val="000000"/>
                <w:sz w:val="24"/>
              </w:rPr>
              <w:t>（1）单位公章必须与资质证书、营业执照、安全生产许可证名称一致；</w:t>
            </w:r>
          </w:p>
          <w:p>
            <w:pPr>
              <w:spacing w:line="300" w:lineRule="exact"/>
              <w:ind w:firstLine="240" w:firstLineChars="100"/>
              <w:jc w:val="left"/>
              <w:rPr>
                <w:rFonts w:eastAsia="仿宋"/>
                <w:color w:val="000000"/>
                <w:sz w:val="24"/>
              </w:rPr>
            </w:pPr>
            <w:r>
              <w:rPr>
                <w:rFonts w:eastAsia="仿宋"/>
                <w:color w:val="000000"/>
                <w:sz w:val="24"/>
              </w:rPr>
              <w:t>（2）招标文件中所有要求投标人法定代表人签名</w:t>
            </w:r>
            <w:r>
              <w:rPr>
                <w:rFonts w:hint="eastAsia" w:eastAsia="仿宋"/>
                <w:color w:val="000000"/>
                <w:sz w:val="24"/>
              </w:rPr>
              <w:t>的地方</w:t>
            </w:r>
            <w:r>
              <w:rPr>
                <w:rFonts w:eastAsia="仿宋"/>
                <w:color w:val="000000"/>
                <w:sz w:val="24"/>
              </w:rPr>
              <w:t>，投标人法定代表人应电子签名；</w:t>
            </w:r>
          </w:p>
          <w:p>
            <w:pPr>
              <w:spacing w:line="300" w:lineRule="exact"/>
              <w:ind w:firstLine="240" w:firstLineChars="100"/>
              <w:jc w:val="left"/>
              <w:rPr>
                <w:rFonts w:eastAsia="仿宋"/>
                <w:color w:val="000000"/>
                <w:sz w:val="24"/>
              </w:rPr>
            </w:pPr>
            <w:r>
              <w:rPr>
                <w:rFonts w:eastAsia="仿宋"/>
                <w:color w:val="000000"/>
                <w:sz w:val="24"/>
              </w:rPr>
              <w:t>（3）招标文件中所有要求盖章的地方都须加盖投标人单位电子公章（法定名称）；</w:t>
            </w:r>
          </w:p>
          <w:p>
            <w:pPr>
              <w:spacing w:line="300" w:lineRule="exact"/>
              <w:ind w:firstLine="240" w:firstLineChars="100"/>
              <w:jc w:val="left"/>
              <w:rPr>
                <w:rFonts w:eastAsia="仿宋"/>
                <w:color w:val="000000"/>
                <w:sz w:val="24"/>
              </w:rPr>
            </w:pPr>
            <w:r>
              <w:rPr>
                <w:rFonts w:eastAsia="仿宋"/>
                <w:color w:val="000000"/>
                <w:sz w:val="24"/>
              </w:rPr>
              <w:t>（4）以联合体形式投标的，凡招标文件规定投标文件中投标人的法定代表人或授权委托代理人签字及加盖单位公章的地方，</w:t>
            </w:r>
            <w:r>
              <w:rPr>
                <w:rFonts w:eastAsia="仿宋"/>
                <w:b/>
                <w:bCs/>
                <w:color w:val="000000"/>
                <w:sz w:val="24"/>
              </w:rPr>
              <w:t>除招标文件有特别要求外</w:t>
            </w:r>
            <w:r>
              <w:rPr>
                <w:rFonts w:eastAsia="仿宋"/>
                <w:color w:val="000000"/>
                <w:sz w:val="24"/>
              </w:rPr>
              <w:t>，</w:t>
            </w:r>
            <w:r>
              <w:rPr>
                <w:rFonts w:eastAsia="仿宋"/>
                <w:b/>
                <w:color w:val="000000"/>
                <w:sz w:val="24"/>
              </w:rPr>
              <w:t>由联合体牵头人的法定代表人</w:t>
            </w:r>
            <w:r>
              <w:rPr>
                <w:rFonts w:eastAsia="仿宋"/>
                <w:color w:val="000000"/>
                <w:sz w:val="24"/>
              </w:rPr>
              <w:t>或授权委托代理人</w:t>
            </w:r>
            <w:r>
              <w:rPr>
                <w:rFonts w:eastAsia="仿宋"/>
                <w:b/>
                <w:color w:val="000000"/>
                <w:sz w:val="24"/>
              </w:rPr>
              <w:t>电子签名及加盖联合体牵头人单位电子公章（法定名称）即可</w:t>
            </w:r>
            <w:r>
              <w:rPr>
                <w:rFonts w:eastAsia="仿宋"/>
                <w:color w:val="000000"/>
                <w:sz w:val="24"/>
              </w:rPr>
              <w:t>。</w:t>
            </w:r>
          </w:p>
          <w:p>
            <w:pPr>
              <w:spacing w:line="300" w:lineRule="exact"/>
              <w:ind w:firstLine="240" w:firstLineChars="100"/>
              <w:jc w:val="left"/>
              <w:rPr>
                <w:rFonts w:eastAsia="仿宋"/>
                <w:color w:val="000000"/>
                <w:sz w:val="24"/>
              </w:rPr>
            </w:pPr>
            <w:r>
              <w:rPr>
                <w:rFonts w:eastAsia="仿宋"/>
                <w:color w:val="000000"/>
                <w:sz w:val="24"/>
              </w:rPr>
              <w:t>（5）其他要求见本文件有关条款。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jc w:val="center"/>
        </w:trPr>
        <w:tc>
          <w:tcPr>
            <w:tcW w:w="985" w:type="dxa"/>
            <w:noWrap w:val="0"/>
            <w:vAlign w:val="center"/>
          </w:tcPr>
          <w:p>
            <w:pPr>
              <w:spacing w:line="300" w:lineRule="exact"/>
              <w:jc w:val="center"/>
              <w:rPr>
                <w:rFonts w:eastAsia="仿宋"/>
                <w:color w:val="000000"/>
                <w:sz w:val="24"/>
              </w:rPr>
            </w:pPr>
            <w:r>
              <w:rPr>
                <w:rFonts w:eastAsia="仿宋"/>
                <w:color w:val="000000"/>
                <w:sz w:val="24"/>
              </w:rPr>
              <w:t>3.7.4</w:t>
            </w:r>
          </w:p>
        </w:tc>
        <w:tc>
          <w:tcPr>
            <w:tcW w:w="1948" w:type="dxa"/>
            <w:noWrap w:val="0"/>
            <w:vAlign w:val="center"/>
          </w:tcPr>
          <w:p>
            <w:pPr>
              <w:spacing w:line="300" w:lineRule="exact"/>
              <w:jc w:val="center"/>
              <w:rPr>
                <w:rFonts w:eastAsia="仿宋"/>
                <w:color w:val="000000"/>
                <w:sz w:val="24"/>
              </w:rPr>
            </w:pPr>
            <w:r>
              <w:rPr>
                <w:rFonts w:eastAsia="仿宋"/>
                <w:color w:val="000000"/>
                <w:sz w:val="24"/>
              </w:rPr>
              <w:t>投标文件及中标人的纸质版投标文件</w:t>
            </w:r>
          </w:p>
        </w:tc>
        <w:tc>
          <w:tcPr>
            <w:tcW w:w="6562" w:type="dxa"/>
            <w:noWrap w:val="0"/>
            <w:vAlign w:val="center"/>
          </w:tcPr>
          <w:p>
            <w:pPr>
              <w:spacing w:line="300" w:lineRule="exact"/>
              <w:ind w:firstLine="240" w:firstLineChars="100"/>
              <w:jc w:val="left"/>
              <w:rPr>
                <w:rFonts w:eastAsia="仿宋"/>
                <w:color w:val="000000"/>
                <w:sz w:val="24"/>
                <w:lang w:val="zh-CN"/>
              </w:rPr>
            </w:pPr>
            <w:r>
              <w:rPr>
                <w:rFonts w:eastAsia="仿宋"/>
                <w:color w:val="000000"/>
                <w:sz w:val="24"/>
              </w:rPr>
              <w:t>（1）投标文件包括交易平台内传输递交的电子商务投标文件和电子技术投标文件</w:t>
            </w:r>
            <w:r>
              <w:rPr>
                <w:rFonts w:eastAsia="仿宋"/>
                <w:color w:val="000000"/>
                <w:sz w:val="24"/>
                <w:lang w:val="zh-CN"/>
              </w:rPr>
              <w:t>（施工组织设计，下同）</w:t>
            </w:r>
            <w:r>
              <w:rPr>
                <w:rFonts w:eastAsia="仿宋"/>
                <w:color w:val="000000"/>
                <w:sz w:val="24"/>
              </w:rPr>
              <w:t>。</w:t>
            </w:r>
            <w:r>
              <w:rPr>
                <w:rFonts w:eastAsia="仿宋"/>
                <w:color w:val="000000"/>
                <w:sz w:val="24"/>
                <w:lang w:val="zh-CN"/>
              </w:rPr>
              <w:t>技术投标文件采用暗标。</w:t>
            </w:r>
          </w:p>
          <w:p>
            <w:pPr>
              <w:spacing w:line="300" w:lineRule="exact"/>
              <w:ind w:firstLine="240" w:firstLineChars="100"/>
              <w:jc w:val="left"/>
              <w:rPr>
                <w:rFonts w:eastAsia="仿宋"/>
                <w:color w:val="000000"/>
                <w:sz w:val="24"/>
              </w:rPr>
            </w:pPr>
            <w:r>
              <w:rPr>
                <w:rFonts w:eastAsia="仿宋"/>
                <w:color w:val="000000"/>
                <w:sz w:val="24"/>
                <w:lang w:val="zh-CN"/>
              </w:rPr>
              <w:t>（2）</w:t>
            </w:r>
            <w:r>
              <w:rPr>
                <w:rFonts w:eastAsia="仿宋"/>
                <w:color w:val="000000"/>
                <w:sz w:val="24"/>
              </w:rPr>
              <w:t>中标人应在收到中标通知书后</w:t>
            </w:r>
            <w:r>
              <w:rPr>
                <w:rFonts w:eastAsia="仿宋"/>
                <w:color w:val="000000"/>
                <w:sz w:val="24"/>
                <w:u w:val="single"/>
              </w:rPr>
              <w:t xml:space="preserve">     </w:t>
            </w:r>
            <w:r>
              <w:rPr>
                <w:rFonts w:eastAsia="仿宋"/>
                <w:color w:val="000000"/>
                <w:sz w:val="24"/>
              </w:rPr>
              <w:t>日内向招标人提供与电子投标文件一致</w:t>
            </w:r>
            <w:r>
              <w:rPr>
                <w:rFonts w:hint="eastAsia" w:eastAsia="仿宋"/>
                <w:color w:val="000000"/>
                <w:sz w:val="24"/>
              </w:rPr>
              <w:t>且</w:t>
            </w:r>
            <w:r>
              <w:rPr>
                <w:rFonts w:eastAsia="仿宋"/>
                <w:color w:val="000000"/>
                <w:sz w:val="24"/>
              </w:rPr>
              <w:t>加盖单位公章的投标文件纸质版</w:t>
            </w:r>
            <w:r>
              <w:rPr>
                <w:rFonts w:eastAsia="仿宋"/>
                <w:color w:val="000000"/>
                <w:sz w:val="24"/>
                <w:u w:val="single"/>
              </w:rPr>
              <w:t xml:space="preserve">     </w:t>
            </w:r>
            <w:r>
              <w:rPr>
                <w:rFonts w:eastAsia="仿宋"/>
                <w:color w:val="000000"/>
                <w:sz w:val="24"/>
              </w:rPr>
              <w:t>份，当纸质版与电子交易平台上的电子投标文件不一致时，以平台中的电子投标文件为准。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3" w:hRule="atLeast"/>
          <w:jc w:val="center"/>
        </w:trPr>
        <w:tc>
          <w:tcPr>
            <w:tcW w:w="985" w:type="dxa"/>
            <w:noWrap w:val="0"/>
            <w:vAlign w:val="center"/>
          </w:tcPr>
          <w:p>
            <w:pPr>
              <w:spacing w:line="300" w:lineRule="exact"/>
              <w:jc w:val="center"/>
              <w:rPr>
                <w:rFonts w:eastAsia="仿宋"/>
                <w:color w:val="000000"/>
                <w:sz w:val="24"/>
              </w:rPr>
            </w:pPr>
            <w:r>
              <w:rPr>
                <w:rFonts w:eastAsia="仿宋"/>
                <w:color w:val="000000"/>
                <w:sz w:val="24"/>
              </w:rPr>
              <w:t>4.3</w:t>
            </w:r>
          </w:p>
        </w:tc>
        <w:tc>
          <w:tcPr>
            <w:tcW w:w="1948" w:type="dxa"/>
            <w:noWrap w:val="0"/>
            <w:vAlign w:val="center"/>
          </w:tcPr>
          <w:p>
            <w:pPr>
              <w:spacing w:line="300" w:lineRule="exact"/>
              <w:jc w:val="center"/>
              <w:rPr>
                <w:rFonts w:eastAsia="仿宋"/>
                <w:color w:val="000000"/>
                <w:sz w:val="24"/>
              </w:rPr>
            </w:pPr>
            <w:r>
              <w:rPr>
                <w:rFonts w:eastAsia="仿宋"/>
                <w:color w:val="000000"/>
                <w:sz w:val="24"/>
              </w:rPr>
              <w:t>投标文件的修改与撤回</w:t>
            </w:r>
          </w:p>
        </w:tc>
        <w:tc>
          <w:tcPr>
            <w:tcW w:w="6562" w:type="dxa"/>
            <w:noWrap w:val="0"/>
            <w:vAlign w:val="center"/>
          </w:tcPr>
          <w:p>
            <w:pPr>
              <w:spacing w:line="300" w:lineRule="exact"/>
              <w:ind w:firstLine="241" w:firstLineChars="100"/>
              <w:jc w:val="left"/>
              <w:rPr>
                <w:rFonts w:eastAsia="仿宋"/>
                <w:b/>
                <w:color w:val="000000"/>
                <w:sz w:val="24"/>
              </w:rPr>
            </w:pPr>
            <w:r>
              <w:rPr>
                <w:rFonts w:eastAsia="仿宋"/>
                <w:b/>
                <w:color w:val="000000"/>
                <w:sz w:val="24"/>
              </w:rPr>
              <w:t>（1）在本招标文件规定的投标截止时间前，投标人可以修改或撤回已传输递交的投标文件。</w:t>
            </w:r>
          </w:p>
          <w:p>
            <w:pPr>
              <w:spacing w:line="300" w:lineRule="exact"/>
              <w:ind w:firstLine="241" w:firstLineChars="100"/>
              <w:jc w:val="left"/>
              <w:rPr>
                <w:rFonts w:eastAsia="仿宋"/>
                <w:color w:val="000000"/>
                <w:sz w:val="24"/>
              </w:rPr>
            </w:pPr>
            <w:r>
              <w:rPr>
                <w:rFonts w:eastAsia="仿宋"/>
                <w:b/>
                <w:color w:val="000000"/>
                <w:sz w:val="24"/>
              </w:rPr>
              <w:t>（2）投标人修改或撤回的投标文件需再次传输递交的，传输递交的投标文件应符合本章第3条、第4条相应规定，并在投标截止时间前重新传输递交全套电子投标文件。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6" w:hRule="atLeast"/>
          <w:jc w:val="center"/>
        </w:trPr>
        <w:tc>
          <w:tcPr>
            <w:tcW w:w="985" w:type="dxa"/>
            <w:noWrap w:val="0"/>
            <w:vAlign w:val="center"/>
          </w:tcPr>
          <w:p>
            <w:pPr>
              <w:spacing w:line="300" w:lineRule="exact"/>
              <w:jc w:val="center"/>
              <w:rPr>
                <w:rFonts w:eastAsia="仿宋"/>
                <w:color w:val="000000"/>
                <w:sz w:val="24"/>
              </w:rPr>
            </w:pPr>
            <w:r>
              <w:rPr>
                <w:rFonts w:eastAsia="仿宋"/>
                <w:color w:val="000000"/>
                <w:sz w:val="24"/>
              </w:rPr>
              <w:t>5.1</w:t>
            </w:r>
          </w:p>
        </w:tc>
        <w:tc>
          <w:tcPr>
            <w:tcW w:w="1948" w:type="dxa"/>
            <w:noWrap w:val="0"/>
            <w:vAlign w:val="center"/>
          </w:tcPr>
          <w:p>
            <w:pPr>
              <w:spacing w:line="300" w:lineRule="exact"/>
              <w:jc w:val="center"/>
              <w:rPr>
                <w:rFonts w:eastAsia="仿宋"/>
                <w:color w:val="000000"/>
                <w:sz w:val="24"/>
              </w:rPr>
            </w:pPr>
            <w:r>
              <w:rPr>
                <w:rFonts w:eastAsia="仿宋"/>
                <w:color w:val="000000"/>
                <w:sz w:val="24"/>
              </w:rPr>
              <w:t>投标截止时间、投标人在线签到时间、电子投标文件解密截止时间、开标地点</w:t>
            </w:r>
          </w:p>
        </w:tc>
        <w:tc>
          <w:tcPr>
            <w:tcW w:w="6562" w:type="dxa"/>
            <w:noWrap w:val="0"/>
            <w:vAlign w:val="center"/>
          </w:tcPr>
          <w:p>
            <w:pPr>
              <w:spacing w:line="300" w:lineRule="exact"/>
              <w:ind w:firstLine="480" w:firstLineChars="200"/>
              <w:jc w:val="left"/>
              <w:rPr>
                <w:rFonts w:eastAsia="仿宋"/>
                <w:color w:val="000000"/>
                <w:sz w:val="24"/>
              </w:rPr>
            </w:pPr>
            <w:r>
              <w:rPr>
                <w:rFonts w:eastAsia="仿宋"/>
                <w:color w:val="000000"/>
                <w:sz w:val="24"/>
              </w:rPr>
              <w:t>（1）投标截止时间：</w:t>
            </w:r>
            <w:r>
              <w:rPr>
                <w:rFonts w:eastAsia="仿宋"/>
                <w:b/>
                <w:color w:val="000000"/>
                <w:sz w:val="24"/>
                <w:u w:val="single"/>
              </w:rPr>
              <w:t xml:space="preserve">     </w:t>
            </w:r>
            <w:r>
              <w:rPr>
                <w:rFonts w:eastAsia="仿宋"/>
                <w:color w:val="000000"/>
                <w:sz w:val="24"/>
              </w:rPr>
              <w:t>年</w:t>
            </w:r>
            <w:r>
              <w:rPr>
                <w:rFonts w:eastAsia="仿宋"/>
                <w:b/>
                <w:color w:val="000000"/>
                <w:sz w:val="24"/>
                <w:u w:val="single"/>
              </w:rPr>
              <w:t xml:space="preserve">    </w:t>
            </w:r>
            <w:r>
              <w:rPr>
                <w:rFonts w:eastAsia="仿宋"/>
                <w:color w:val="000000"/>
                <w:sz w:val="24"/>
              </w:rPr>
              <w:t>月</w:t>
            </w:r>
            <w:r>
              <w:rPr>
                <w:rFonts w:eastAsia="仿宋"/>
                <w:color w:val="000000"/>
                <w:sz w:val="24"/>
                <w:u w:val="single"/>
              </w:rPr>
              <w:t xml:space="preserve">    </w:t>
            </w:r>
            <w:r>
              <w:rPr>
                <w:rFonts w:eastAsia="仿宋"/>
                <w:color w:val="000000"/>
                <w:sz w:val="24"/>
              </w:rPr>
              <w:t>日</w:t>
            </w:r>
            <w:r>
              <w:rPr>
                <w:rFonts w:eastAsia="仿宋"/>
                <w:b/>
                <w:color w:val="000000"/>
                <w:sz w:val="24"/>
                <w:u w:val="single"/>
              </w:rPr>
              <w:t xml:space="preserve">   </w:t>
            </w:r>
            <w:r>
              <w:rPr>
                <w:rFonts w:eastAsia="仿宋"/>
                <w:color w:val="000000"/>
                <w:sz w:val="24"/>
              </w:rPr>
              <w:t>时</w:t>
            </w:r>
            <w:r>
              <w:rPr>
                <w:rFonts w:eastAsia="仿宋"/>
                <w:b/>
                <w:color w:val="000000"/>
                <w:sz w:val="24"/>
                <w:u w:val="single"/>
              </w:rPr>
              <w:t xml:space="preserve">   </w:t>
            </w:r>
            <w:r>
              <w:rPr>
                <w:rFonts w:eastAsia="仿宋"/>
                <w:color w:val="000000"/>
                <w:sz w:val="24"/>
              </w:rPr>
              <w:t>分</w:t>
            </w:r>
            <w:r>
              <w:rPr>
                <w:rFonts w:eastAsia="仿宋"/>
                <w:b/>
                <w:color w:val="000000"/>
                <w:sz w:val="24"/>
              </w:rPr>
              <w:t>（北京时间）</w:t>
            </w:r>
            <w:r>
              <w:rPr>
                <w:rFonts w:eastAsia="仿宋"/>
                <w:color w:val="000000"/>
                <w:sz w:val="24"/>
              </w:rPr>
              <w:t>。投标人应在投标截止时间前通过</w:t>
            </w:r>
            <w:r>
              <w:rPr>
                <w:rFonts w:eastAsia="仿宋"/>
                <w:color w:val="000000"/>
                <w:sz w:val="24"/>
                <w:u w:val="single"/>
              </w:rPr>
              <w:t xml:space="preserve">        </w:t>
            </w:r>
            <w:r>
              <w:rPr>
                <w:rFonts w:eastAsia="仿宋"/>
                <w:color w:val="000000"/>
                <w:sz w:val="24"/>
              </w:rPr>
              <w:t>（网址：</w:t>
            </w:r>
            <w:r>
              <w:rPr>
                <w:rFonts w:eastAsia="仿宋"/>
                <w:color w:val="000000"/>
                <w:sz w:val="24"/>
                <w:u w:val="single"/>
              </w:rPr>
              <w:t xml:space="preserve">       </w:t>
            </w:r>
            <w:r>
              <w:rPr>
                <w:rFonts w:eastAsia="仿宋"/>
                <w:color w:val="000000"/>
                <w:sz w:val="24"/>
              </w:rPr>
              <w:t>）在线递交投标文件并完成在线签到。</w:t>
            </w:r>
          </w:p>
          <w:p>
            <w:pPr>
              <w:spacing w:line="300" w:lineRule="exact"/>
              <w:ind w:firstLine="480" w:firstLineChars="200"/>
              <w:jc w:val="left"/>
              <w:rPr>
                <w:rFonts w:eastAsia="仿宋"/>
                <w:color w:val="000000"/>
                <w:sz w:val="24"/>
              </w:rPr>
            </w:pPr>
            <w:r>
              <w:rPr>
                <w:rFonts w:eastAsia="仿宋"/>
                <w:color w:val="000000"/>
                <w:sz w:val="24"/>
              </w:rPr>
              <w:t>（2）</w:t>
            </w:r>
            <w:r>
              <w:rPr>
                <w:rFonts w:eastAsia="仿宋"/>
                <w:b/>
                <w:color w:val="000000"/>
                <w:sz w:val="24"/>
              </w:rPr>
              <w:t>电子投标文件解密时间为发出解密指令后，（</w:t>
            </w:r>
            <w:r>
              <w:rPr>
                <w:rFonts w:eastAsia="仿宋"/>
                <w:b/>
                <w:color w:val="000000"/>
                <w:sz w:val="24"/>
                <w:u w:val="single"/>
              </w:rPr>
              <w:t xml:space="preserve">     </w:t>
            </w:r>
            <w:r>
              <w:rPr>
                <w:rFonts w:eastAsia="仿宋"/>
                <w:b/>
                <w:color w:val="000000"/>
                <w:sz w:val="24"/>
              </w:rPr>
              <w:t>）分钟内完成</w:t>
            </w:r>
            <w:r>
              <w:rPr>
                <w:rFonts w:eastAsia="仿宋"/>
                <w:color w:val="000000"/>
                <w:sz w:val="24"/>
              </w:rPr>
              <w:t>。</w:t>
            </w:r>
          </w:p>
          <w:p>
            <w:pPr>
              <w:spacing w:line="300" w:lineRule="exact"/>
              <w:ind w:firstLine="480" w:firstLineChars="200"/>
              <w:jc w:val="left"/>
              <w:rPr>
                <w:rFonts w:eastAsia="仿宋"/>
                <w:b/>
                <w:color w:val="000000"/>
                <w:sz w:val="24"/>
              </w:rPr>
            </w:pPr>
            <w:r>
              <w:rPr>
                <w:rFonts w:eastAsia="仿宋"/>
                <w:color w:val="000000"/>
                <w:sz w:val="24"/>
              </w:rPr>
              <w:t>（3）开标地点：</w:t>
            </w:r>
            <w:r>
              <w:rPr>
                <w:rFonts w:eastAsia="仿宋"/>
                <w:b/>
                <w:color w:val="000000"/>
                <w:sz w:val="24"/>
              </w:rPr>
              <w:t>招标人在</w:t>
            </w:r>
            <w:r>
              <w:rPr>
                <w:rFonts w:eastAsia="仿宋"/>
                <w:b/>
                <w:color w:val="000000"/>
                <w:sz w:val="24"/>
                <w:u w:val="single"/>
              </w:rPr>
              <w:t xml:space="preserve">         </w:t>
            </w:r>
            <w:r>
              <w:rPr>
                <w:rFonts w:eastAsia="仿宋"/>
                <w:b/>
                <w:color w:val="000000"/>
                <w:sz w:val="24"/>
              </w:rPr>
              <w:t>（网址：</w:t>
            </w:r>
            <w:r>
              <w:rPr>
                <w:rFonts w:eastAsia="仿宋"/>
                <w:b/>
                <w:color w:val="000000"/>
                <w:sz w:val="24"/>
                <w:u w:val="single"/>
              </w:rPr>
              <w:t xml:space="preserve">         </w:t>
            </w:r>
            <w:r>
              <w:rPr>
                <w:rFonts w:eastAsia="仿宋"/>
                <w:b/>
                <w:color w:val="000000"/>
                <w:sz w:val="24"/>
              </w:rPr>
              <w:t>）上公开进行开标，所有投标人均应当准时在线参加开标。招标人同时在</w:t>
            </w:r>
            <w:r>
              <w:rPr>
                <w:rFonts w:eastAsia="仿宋"/>
                <w:b/>
                <w:color w:val="000000"/>
                <w:sz w:val="24"/>
                <w:u w:val="single"/>
              </w:rPr>
              <w:t xml:space="preserve">          </w:t>
            </w:r>
            <w:r>
              <w:rPr>
                <w:rFonts w:eastAsia="仿宋"/>
                <w:b/>
                <w:color w:val="000000"/>
                <w:sz w:val="24"/>
              </w:rPr>
              <w:t xml:space="preserve"> （</w:t>
            </w:r>
            <w:r>
              <w:rPr>
                <w:rFonts w:eastAsia="仿宋"/>
                <w:b/>
                <w:color w:val="000000"/>
                <w:sz w:val="24"/>
                <w:u w:val="single"/>
              </w:rPr>
              <w:t>设置网上开标席位 / 设置线下开标会场</w:t>
            </w:r>
            <w:r>
              <w:rPr>
                <w:rFonts w:eastAsia="仿宋"/>
                <w:b/>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0" w:hRule="atLeast"/>
          <w:jc w:val="center"/>
        </w:trPr>
        <w:tc>
          <w:tcPr>
            <w:tcW w:w="985" w:type="dxa"/>
            <w:noWrap w:val="0"/>
            <w:vAlign w:val="center"/>
          </w:tcPr>
          <w:p>
            <w:pPr>
              <w:spacing w:line="300" w:lineRule="exact"/>
              <w:jc w:val="center"/>
              <w:rPr>
                <w:rFonts w:eastAsia="仿宋"/>
                <w:color w:val="000000"/>
                <w:sz w:val="24"/>
              </w:rPr>
            </w:pPr>
            <w:r>
              <w:rPr>
                <w:rFonts w:eastAsia="仿宋"/>
                <w:color w:val="000000"/>
                <w:sz w:val="24"/>
              </w:rPr>
              <w:t>5.2</w:t>
            </w:r>
          </w:p>
        </w:tc>
        <w:tc>
          <w:tcPr>
            <w:tcW w:w="1948" w:type="dxa"/>
            <w:noWrap w:val="0"/>
            <w:vAlign w:val="center"/>
          </w:tcPr>
          <w:p>
            <w:pPr>
              <w:spacing w:line="300" w:lineRule="exact"/>
              <w:jc w:val="center"/>
              <w:rPr>
                <w:rFonts w:eastAsia="仿宋"/>
                <w:color w:val="000000"/>
                <w:sz w:val="24"/>
              </w:rPr>
            </w:pPr>
            <w:r>
              <w:rPr>
                <w:rFonts w:eastAsia="仿宋"/>
                <w:b/>
                <w:bCs/>
                <w:color w:val="000000"/>
                <w:sz w:val="24"/>
              </w:rPr>
              <w:t>开标程序</w:t>
            </w:r>
          </w:p>
        </w:tc>
        <w:tc>
          <w:tcPr>
            <w:tcW w:w="6562" w:type="dxa"/>
            <w:noWrap w:val="0"/>
            <w:vAlign w:val="center"/>
          </w:tcPr>
          <w:p>
            <w:pPr>
              <w:spacing w:line="300" w:lineRule="exact"/>
              <w:ind w:firstLine="240" w:firstLineChars="100"/>
              <w:jc w:val="left"/>
              <w:rPr>
                <w:rFonts w:eastAsia="仿宋"/>
                <w:color w:val="000000"/>
                <w:sz w:val="24"/>
              </w:rPr>
            </w:pPr>
            <w:r>
              <w:rPr>
                <w:rFonts w:eastAsia="仿宋"/>
                <w:color w:val="000000"/>
                <w:sz w:val="24"/>
              </w:rPr>
              <w:t>（1）宣布开标；</w:t>
            </w:r>
          </w:p>
          <w:p>
            <w:pPr>
              <w:spacing w:line="300" w:lineRule="exact"/>
              <w:ind w:firstLine="240" w:firstLineChars="100"/>
              <w:jc w:val="left"/>
              <w:rPr>
                <w:rFonts w:eastAsia="仿宋"/>
                <w:color w:val="000000"/>
                <w:sz w:val="24"/>
              </w:rPr>
            </w:pPr>
            <w:r>
              <w:rPr>
                <w:rFonts w:eastAsia="仿宋"/>
                <w:color w:val="000000"/>
                <w:sz w:val="24"/>
              </w:rPr>
              <w:t>（2）宣布在投标截止时间前递交投标文件的投标人名称；</w:t>
            </w:r>
          </w:p>
          <w:p>
            <w:pPr>
              <w:spacing w:line="300" w:lineRule="exact"/>
              <w:ind w:firstLine="240" w:firstLineChars="100"/>
              <w:jc w:val="left"/>
              <w:rPr>
                <w:rFonts w:eastAsia="仿宋"/>
                <w:color w:val="000000"/>
                <w:sz w:val="24"/>
              </w:rPr>
            </w:pPr>
            <w:r>
              <w:rPr>
                <w:rFonts w:eastAsia="仿宋"/>
                <w:color w:val="000000"/>
                <w:sz w:val="24"/>
              </w:rPr>
              <w:t>（3）公布投标担保情况；</w:t>
            </w:r>
          </w:p>
          <w:p>
            <w:pPr>
              <w:spacing w:line="300" w:lineRule="exact"/>
              <w:ind w:firstLine="240" w:firstLineChars="100"/>
              <w:jc w:val="left"/>
              <w:rPr>
                <w:rFonts w:eastAsia="仿宋"/>
                <w:color w:val="000000"/>
                <w:sz w:val="24"/>
              </w:rPr>
            </w:pPr>
            <w:r>
              <w:rPr>
                <w:rFonts w:eastAsia="仿宋"/>
                <w:color w:val="000000"/>
                <w:sz w:val="24"/>
              </w:rPr>
              <w:t>（4）设置解密时间；</w:t>
            </w:r>
          </w:p>
          <w:p>
            <w:pPr>
              <w:spacing w:line="300" w:lineRule="exact"/>
              <w:ind w:firstLine="240" w:firstLineChars="100"/>
              <w:jc w:val="left"/>
              <w:rPr>
                <w:rFonts w:eastAsia="仿宋"/>
                <w:color w:val="000000"/>
                <w:sz w:val="24"/>
              </w:rPr>
            </w:pPr>
            <w:r>
              <w:rPr>
                <w:rFonts w:eastAsia="仿宋"/>
                <w:color w:val="000000"/>
                <w:sz w:val="24"/>
              </w:rPr>
              <w:t>（5）投标人解密投标文件；</w:t>
            </w:r>
          </w:p>
          <w:p>
            <w:pPr>
              <w:spacing w:line="300" w:lineRule="exact"/>
              <w:ind w:firstLine="240" w:firstLineChars="100"/>
              <w:jc w:val="left"/>
              <w:rPr>
                <w:rFonts w:eastAsia="仿宋"/>
                <w:b/>
                <w:bCs/>
                <w:color w:val="000000"/>
                <w:sz w:val="24"/>
              </w:rPr>
            </w:pPr>
            <w:r>
              <w:rPr>
                <w:rFonts w:eastAsia="仿宋"/>
                <w:color w:val="000000"/>
                <w:sz w:val="24"/>
              </w:rPr>
              <w:t>（6）</w:t>
            </w:r>
            <w:r>
              <w:rPr>
                <w:rFonts w:eastAsia="仿宋"/>
                <w:b/>
                <w:bCs/>
                <w:color w:val="000000"/>
                <w:sz w:val="24"/>
              </w:rPr>
              <w:t>招标人在开标现场随机抽取最高投标限价和合格投标人有效报价平均数的权重系数C1、C2；</w:t>
            </w:r>
          </w:p>
          <w:p>
            <w:pPr>
              <w:spacing w:line="300" w:lineRule="exact"/>
              <w:ind w:firstLine="241" w:firstLineChars="100"/>
              <w:jc w:val="left"/>
              <w:rPr>
                <w:rFonts w:eastAsia="仿宋"/>
                <w:b/>
                <w:bCs/>
                <w:color w:val="000000"/>
                <w:sz w:val="24"/>
              </w:rPr>
            </w:pPr>
            <w:r>
              <w:rPr>
                <w:rFonts w:eastAsia="仿宋"/>
                <w:b/>
                <w:bCs/>
                <w:color w:val="000000"/>
                <w:sz w:val="24"/>
              </w:rPr>
              <w:t>（7）招标人在开标现场随机抽取投标报价基准价计算下浮点数；</w:t>
            </w:r>
          </w:p>
          <w:p>
            <w:pPr>
              <w:spacing w:line="300" w:lineRule="exact"/>
              <w:ind w:firstLine="240" w:firstLineChars="100"/>
              <w:jc w:val="left"/>
              <w:rPr>
                <w:rFonts w:eastAsia="仿宋"/>
                <w:color w:val="000000"/>
                <w:sz w:val="24"/>
              </w:rPr>
            </w:pPr>
            <w:r>
              <w:rPr>
                <w:rFonts w:eastAsia="仿宋"/>
                <w:color w:val="000000"/>
                <w:sz w:val="24"/>
              </w:rPr>
              <w:t>（8）招标人批量导入投标文件；</w:t>
            </w:r>
          </w:p>
          <w:p>
            <w:pPr>
              <w:spacing w:line="300" w:lineRule="exact"/>
              <w:ind w:firstLine="240" w:firstLineChars="100"/>
              <w:jc w:val="left"/>
              <w:rPr>
                <w:rFonts w:eastAsia="仿宋"/>
                <w:color w:val="000000"/>
                <w:sz w:val="24"/>
              </w:rPr>
            </w:pPr>
            <w:r>
              <w:rPr>
                <w:rFonts w:eastAsia="仿宋"/>
                <w:color w:val="000000"/>
                <w:sz w:val="24"/>
              </w:rPr>
              <w:t>（9）公布标段名称、投标人名称、投标报价、质量目标、工期及其它招标文件规定开标时公布的内容</w:t>
            </w:r>
            <w:r>
              <w:rPr>
                <w:rFonts w:hint="eastAsia" w:eastAsia="仿宋"/>
                <w:color w:val="000000"/>
                <w:sz w:val="24"/>
              </w:rPr>
              <w:t>，</w:t>
            </w:r>
            <w:r>
              <w:rPr>
                <w:rFonts w:eastAsia="仿宋"/>
                <w:color w:val="000000"/>
                <w:sz w:val="24"/>
              </w:rPr>
              <w:t>系统检查文件制作机器码。留存投标人联系人名称及联系方式；</w:t>
            </w:r>
          </w:p>
          <w:p>
            <w:pPr>
              <w:spacing w:line="300" w:lineRule="exact"/>
              <w:ind w:firstLine="240" w:firstLineChars="100"/>
              <w:jc w:val="left"/>
              <w:rPr>
                <w:rFonts w:eastAsia="仿宋"/>
                <w:color w:val="000000"/>
                <w:sz w:val="24"/>
              </w:rPr>
            </w:pPr>
            <w:r>
              <w:rPr>
                <w:rFonts w:eastAsia="仿宋"/>
                <w:color w:val="000000"/>
                <w:sz w:val="24"/>
              </w:rPr>
              <w:t>（10）投标人对开标有异议的，应当在开标现场或通过电子招标投标交易平台提出，招标人或招标代理机构当场作出答复；</w:t>
            </w:r>
          </w:p>
          <w:p>
            <w:pPr>
              <w:spacing w:line="300" w:lineRule="exact"/>
              <w:ind w:firstLine="240" w:firstLineChars="100"/>
              <w:jc w:val="left"/>
              <w:rPr>
                <w:rFonts w:eastAsia="仿宋"/>
                <w:color w:val="000000"/>
                <w:sz w:val="24"/>
              </w:rPr>
            </w:pPr>
            <w:r>
              <w:rPr>
                <w:rFonts w:eastAsia="仿宋"/>
                <w:color w:val="000000"/>
                <w:sz w:val="24"/>
              </w:rPr>
              <w:t>（11）招标人、投标人在交易平台上对开标结果进行电子签章、确认，如投标人在唱标后5分钟内不进行确认的视为已认可开标结果；</w:t>
            </w:r>
          </w:p>
          <w:p>
            <w:pPr>
              <w:spacing w:line="300" w:lineRule="exact"/>
              <w:ind w:firstLine="240" w:firstLineChars="100"/>
              <w:jc w:val="left"/>
              <w:rPr>
                <w:rFonts w:eastAsia="仿宋"/>
                <w:color w:val="000000"/>
                <w:sz w:val="24"/>
              </w:rPr>
            </w:pPr>
            <w:r>
              <w:rPr>
                <w:rFonts w:eastAsia="仿宋"/>
                <w:color w:val="000000"/>
                <w:sz w:val="24"/>
              </w:rPr>
              <w:t>（12）系统生成开标记录，开标结束。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3" w:hRule="atLeast"/>
          <w:jc w:val="center"/>
        </w:trPr>
        <w:tc>
          <w:tcPr>
            <w:tcW w:w="985" w:type="dxa"/>
            <w:noWrap w:val="0"/>
            <w:vAlign w:val="center"/>
          </w:tcPr>
          <w:p>
            <w:pPr>
              <w:spacing w:line="300" w:lineRule="exact"/>
              <w:jc w:val="center"/>
              <w:rPr>
                <w:rFonts w:eastAsia="仿宋"/>
                <w:color w:val="000000"/>
                <w:sz w:val="24"/>
              </w:rPr>
            </w:pPr>
            <w:r>
              <w:rPr>
                <w:rFonts w:eastAsia="仿宋"/>
                <w:color w:val="000000"/>
                <w:sz w:val="24"/>
              </w:rPr>
              <w:t>5.3</w:t>
            </w:r>
          </w:p>
        </w:tc>
        <w:tc>
          <w:tcPr>
            <w:tcW w:w="1948" w:type="dxa"/>
            <w:noWrap w:val="0"/>
            <w:vAlign w:val="center"/>
          </w:tcPr>
          <w:p>
            <w:pPr>
              <w:spacing w:line="300" w:lineRule="exact"/>
              <w:jc w:val="center"/>
              <w:rPr>
                <w:rFonts w:eastAsia="仿宋"/>
                <w:color w:val="000000"/>
                <w:sz w:val="24"/>
              </w:rPr>
            </w:pPr>
            <w:r>
              <w:rPr>
                <w:rFonts w:eastAsia="仿宋"/>
                <w:color w:val="000000"/>
                <w:sz w:val="24"/>
              </w:rPr>
              <w:t>解密失败的补救方案</w:t>
            </w:r>
          </w:p>
        </w:tc>
        <w:tc>
          <w:tcPr>
            <w:tcW w:w="6562" w:type="dxa"/>
            <w:noWrap w:val="0"/>
            <w:vAlign w:val="center"/>
          </w:tcPr>
          <w:p>
            <w:pPr>
              <w:spacing w:line="300" w:lineRule="exact"/>
              <w:ind w:firstLine="240" w:firstLineChars="100"/>
              <w:jc w:val="left"/>
              <w:rPr>
                <w:rFonts w:eastAsia="仿宋"/>
                <w:color w:val="000000"/>
                <w:sz w:val="24"/>
              </w:rPr>
            </w:pPr>
            <w:r>
              <w:rPr>
                <w:rFonts w:eastAsia="仿宋"/>
                <w:color w:val="000000"/>
                <w:sz w:val="24"/>
              </w:rPr>
              <w:t>（1）交易场所（</w:t>
            </w:r>
            <w:r>
              <w:rPr>
                <w:rFonts w:eastAsia="仿宋"/>
                <w:b/>
                <w:color w:val="000000"/>
                <w:sz w:val="24"/>
              </w:rPr>
              <w:t>电子交易平台）</w:t>
            </w:r>
            <w:r>
              <w:rPr>
                <w:rFonts w:eastAsia="仿宋"/>
                <w:color w:val="000000"/>
                <w:sz w:val="24"/>
              </w:rPr>
              <w:t>解密时断网、断电，解密时间推迟，推迟的具体时间根据现场情况确定。</w:t>
            </w:r>
          </w:p>
          <w:p>
            <w:pPr>
              <w:spacing w:line="300" w:lineRule="exact"/>
              <w:ind w:firstLine="240" w:firstLineChars="100"/>
              <w:jc w:val="left"/>
              <w:rPr>
                <w:rFonts w:eastAsia="仿宋"/>
                <w:color w:val="000000"/>
                <w:sz w:val="24"/>
              </w:rPr>
            </w:pPr>
            <w:r>
              <w:rPr>
                <w:rFonts w:eastAsia="仿宋"/>
                <w:color w:val="000000"/>
                <w:sz w:val="24"/>
              </w:rPr>
              <w:t>（2）其他原因，按以下原则处理：</w:t>
            </w:r>
          </w:p>
          <w:p>
            <w:pPr>
              <w:spacing w:line="300" w:lineRule="exact"/>
              <w:ind w:firstLine="240" w:firstLineChars="100"/>
              <w:jc w:val="left"/>
              <w:rPr>
                <w:rFonts w:eastAsia="仿宋"/>
                <w:color w:val="000000"/>
                <w:sz w:val="24"/>
              </w:rPr>
            </w:pPr>
            <w:r>
              <w:rPr>
                <w:rFonts w:hint="eastAsia" w:ascii="汉仪书宋二S" w:hAnsi="汉仪书宋二S" w:eastAsia="汉仪书宋二S" w:cs="汉仪书宋二S"/>
                <w:color w:val="000000"/>
                <w:sz w:val="24"/>
              </w:rPr>
              <w:t>①</w:t>
            </w:r>
            <w:r>
              <w:rPr>
                <w:rFonts w:eastAsia="仿宋"/>
                <w:color w:val="000000"/>
                <w:sz w:val="24"/>
              </w:rPr>
              <w:t>投标截止时间前未完成投标文件传输递交和在线签到的，视为撤回投标文件。</w:t>
            </w:r>
          </w:p>
          <w:p>
            <w:pPr>
              <w:spacing w:line="300" w:lineRule="exact"/>
              <w:ind w:firstLine="240" w:firstLineChars="100"/>
              <w:jc w:val="left"/>
              <w:rPr>
                <w:rFonts w:eastAsia="仿宋"/>
                <w:color w:val="000000"/>
                <w:sz w:val="24"/>
              </w:rPr>
            </w:pPr>
            <w:r>
              <w:rPr>
                <w:rFonts w:hint="eastAsia" w:ascii="汉仪书宋二S" w:hAnsi="汉仪书宋二S" w:eastAsia="汉仪书宋二S" w:cs="汉仪书宋二S"/>
                <w:color w:val="000000"/>
                <w:sz w:val="24"/>
              </w:rPr>
              <w:t>②</w:t>
            </w:r>
            <w:r>
              <w:rPr>
                <w:rFonts w:eastAsia="仿宋"/>
                <w:color w:val="000000"/>
                <w:sz w:val="24"/>
              </w:rPr>
              <w:t>因投标人原因造成投标文件未解密的，视为撤销其投标文件。</w:t>
            </w:r>
          </w:p>
          <w:p>
            <w:pPr>
              <w:spacing w:line="300" w:lineRule="exact"/>
              <w:ind w:firstLine="240" w:firstLineChars="100"/>
              <w:jc w:val="left"/>
              <w:rPr>
                <w:rFonts w:eastAsia="仿宋"/>
                <w:b/>
                <w:color w:val="000000"/>
                <w:sz w:val="24"/>
              </w:rPr>
            </w:pPr>
            <w:r>
              <w:rPr>
                <w:rFonts w:hint="eastAsia" w:ascii="汉仪书宋二S" w:hAnsi="汉仪书宋二S" w:eastAsia="汉仪书宋二S" w:cs="汉仪书宋二S"/>
                <w:color w:val="000000"/>
                <w:sz w:val="24"/>
              </w:rPr>
              <w:t>③</w:t>
            </w:r>
            <w:r>
              <w:rPr>
                <w:rFonts w:eastAsia="仿宋"/>
                <w:color w:val="000000"/>
                <w:sz w:val="24"/>
              </w:rPr>
              <w:t>因投标人之外的原因造成投标文件未解密的，视为撤回其投标文件，投标人有权要求责任方赔偿因此遭受的直接损失。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985" w:type="dxa"/>
            <w:noWrap w:val="0"/>
            <w:vAlign w:val="center"/>
          </w:tcPr>
          <w:p>
            <w:pPr>
              <w:spacing w:line="340" w:lineRule="exact"/>
              <w:jc w:val="center"/>
              <w:rPr>
                <w:rFonts w:eastAsia="仿宋"/>
                <w:color w:val="000000"/>
                <w:sz w:val="24"/>
              </w:rPr>
            </w:pPr>
            <w:r>
              <w:rPr>
                <w:rFonts w:eastAsia="仿宋"/>
                <w:color w:val="000000"/>
                <w:sz w:val="24"/>
              </w:rPr>
              <w:t>6.1.1</w:t>
            </w:r>
          </w:p>
        </w:tc>
        <w:tc>
          <w:tcPr>
            <w:tcW w:w="1948" w:type="dxa"/>
            <w:noWrap w:val="0"/>
            <w:vAlign w:val="center"/>
          </w:tcPr>
          <w:p>
            <w:pPr>
              <w:spacing w:line="340" w:lineRule="exact"/>
              <w:jc w:val="center"/>
              <w:rPr>
                <w:rFonts w:eastAsia="仿宋"/>
                <w:color w:val="000000"/>
                <w:sz w:val="24"/>
              </w:rPr>
            </w:pPr>
            <w:r>
              <w:rPr>
                <w:rFonts w:eastAsia="仿宋"/>
                <w:color w:val="000000"/>
                <w:sz w:val="24"/>
              </w:rPr>
              <w:t>评标委员会的组建</w:t>
            </w:r>
          </w:p>
        </w:tc>
        <w:tc>
          <w:tcPr>
            <w:tcW w:w="6562" w:type="dxa"/>
            <w:noWrap w:val="0"/>
            <w:vAlign w:val="center"/>
          </w:tcPr>
          <w:p>
            <w:pPr>
              <w:spacing w:line="340" w:lineRule="exact"/>
              <w:rPr>
                <w:rFonts w:eastAsia="仿宋"/>
                <w:color w:val="000000"/>
                <w:sz w:val="24"/>
              </w:rPr>
            </w:pPr>
            <w:r>
              <w:rPr>
                <w:rFonts w:eastAsia="仿宋"/>
                <w:color w:val="000000"/>
                <w:sz w:val="24"/>
              </w:rPr>
              <w:t>评标委员会构成：</w:t>
            </w:r>
            <w:r>
              <w:rPr>
                <w:rFonts w:eastAsia="仿宋"/>
                <w:color w:val="000000"/>
                <w:sz w:val="24"/>
                <w:u w:val="single"/>
              </w:rPr>
              <w:t xml:space="preserve">   </w:t>
            </w:r>
            <w:r>
              <w:rPr>
                <w:rFonts w:eastAsia="仿宋"/>
                <w:color w:val="000000"/>
                <w:sz w:val="24"/>
              </w:rPr>
              <w:t>人，其中招标人代表</w:t>
            </w:r>
            <w:r>
              <w:rPr>
                <w:rFonts w:eastAsia="仿宋"/>
                <w:color w:val="000000"/>
                <w:sz w:val="24"/>
                <w:u w:val="single"/>
              </w:rPr>
              <w:t xml:space="preserve">   </w:t>
            </w:r>
            <w:r>
              <w:rPr>
                <w:rFonts w:eastAsia="仿宋"/>
                <w:color w:val="000000"/>
                <w:sz w:val="24"/>
              </w:rPr>
              <w:t>人，专家</w:t>
            </w:r>
            <w:r>
              <w:rPr>
                <w:rFonts w:eastAsia="仿宋"/>
                <w:color w:val="000000"/>
                <w:sz w:val="24"/>
                <w:u w:val="single"/>
              </w:rPr>
              <w:t xml:space="preserve">   </w:t>
            </w:r>
            <w:r>
              <w:rPr>
                <w:rFonts w:eastAsia="仿宋"/>
                <w:color w:val="000000"/>
                <w:sz w:val="24"/>
              </w:rPr>
              <w:t>人；</w:t>
            </w:r>
          </w:p>
          <w:p>
            <w:pPr>
              <w:spacing w:line="340" w:lineRule="exact"/>
              <w:rPr>
                <w:rFonts w:eastAsia="仿宋"/>
                <w:color w:val="000000"/>
                <w:sz w:val="24"/>
              </w:rPr>
            </w:pPr>
            <w:r>
              <w:rPr>
                <w:rFonts w:eastAsia="仿宋"/>
                <w:color w:val="000000"/>
                <w:sz w:val="24"/>
              </w:rPr>
              <w:t>评标专家确定方式：在</w:t>
            </w:r>
            <w:r>
              <w:rPr>
                <w:rFonts w:eastAsia="仿宋"/>
                <w:color w:val="000000"/>
                <w:sz w:val="24"/>
                <w:u w:val="single"/>
              </w:rPr>
              <w:t xml:space="preserve">          </w:t>
            </w:r>
            <w:r>
              <w:rPr>
                <w:rFonts w:eastAsia="仿宋"/>
                <w:color w:val="000000"/>
                <w:sz w:val="24"/>
              </w:rPr>
              <w:t>评标专家库中随机抽取。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985" w:type="dxa"/>
            <w:noWrap w:val="0"/>
            <w:vAlign w:val="center"/>
          </w:tcPr>
          <w:p>
            <w:pPr>
              <w:spacing w:line="340" w:lineRule="exact"/>
              <w:jc w:val="center"/>
              <w:rPr>
                <w:rFonts w:eastAsia="仿宋"/>
                <w:color w:val="000000"/>
                <w:sz w:val="24"/>
              </w:rPr>
            </w:pPr>
            <w:r>
              <w:rPr>
                <w:rFonts w:eastAsia="仿宋"/>
                <w:color w:val="000000"/>
                <w:sz w:val="24"/>
              </w:rPr>
              <w:t>6.3.3</w:t>
            </w:r>
          </w:p>
        </w:tc>
        <w:tc>
          <w:tcPr>
            <w:tcW w:w="1948" w:type="dxa"/>
            <w:noWrap w:val="0"/>
            <w:vAlign w:val="center"/>
          </w:tcPr>
          <w:p>
            <w:pPr>
              <w:spacing w:line="340" w:lineRule="exact"/>
              <w:jc w:val="center"/>
              <w:rPr>
                <w:rFonts w:eastAsia="仿宋"/>
                <w:color w:val="000000"/>
                <w:sz w:val="24"/>
              </w:rPr>
            </w:pPr>
            <w:r>
              <w:rPr>
                <w:rFonts w:eastAsia="仿宋"/>
                <w:color w:val="000000"/>
                <w:sz w:val="24"/>
              </w:rPr>
              <w:t>评标委员会推荐中标候选人的人数</w:t>
            </w:r>
          </w:p>
        </w:tc>
        <w:tc>
          <w:tcPr>
            <w:tcW w:w="6562" w:type="dxa"/>
            <w:noWrap w:val="0"/>
            <w:vAlign w:val="center"/>
          </w:tcPr>
          <w:p>
            <w:pPr>
              <w:spacing w:line="340" w:lineRule="exact"/>
              <w:rPr>
                <w:rFonts w:eastAsia="仿宋"/>
                <w:color w:val="000000"/>
                <w:sz w:val="24"/>
              </w:rPr>
            </w:pPr>
            <w:r>
              <w:rPr>
                <w:rFonts w:eastAsia="仿宋"/>
                <w:color w:val="000000"/>
                <w:sz w:val="24"/>
                <w:u w:val="single" w:color="000000"/>
              </w:rPr>
              <w:t xml:space="preserve">       </w:t>
            </w:r>
            <w:r>
              <w:rPr>
                <w:rFonts w:eastAsia="仿宋"/>
                <w:color w:val="000000"/>
                <w:sz w:val="24"/>
              </w:rPr>
              <w:t>个（不超过3个）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985" w:type="dxa"/>
            <w:noWrap w:val="0"/>
            <w:vAlign w:val="center"/>
          </w:tcPr>
          <w:p>
            <w:pPr>
              <w:spacing w:line="340" w:lineRule="exact"/>
              <w:jc w:val="center"/>
              <w:rPr>
                <w:rFonts w:eastAsia="仿宋"/>
                <w:color w:val="000000"/>
                <w:sz w:val="24"/>
              </w:rPr>
            </w:pPr>
            <w:r>
              <w:rPr>
                <w:rFonts w:eastAsia="仿宋"/>
                <w:color w:val="000000"/>
                <w:sz w:val="24"/>
              </w:rPr>
              <w:t>7.1</w:t>
            </w:r>
          </w:p>
        </w:tc>
        <w:tc>
          <w:tcPr>
            <w:tcW w:w="1948" w:type="dxa"/>
            <w:noWrap w:val="0"/>
            <w:vAlign w:val="center"/>
          </w:tcPr>
          <w:p>
            <w:pPr>
              <w:spacing w:line="340" w:lineRule="exact"/>
              <w:jc w:val="center"/>
              <w:rPr>
                <w:rFonts w:eastAsia="仿宋"/>
                <w:color w:val="000000"/>
                <w:sz w:val="24"/>
              </w:rPr>
            </w:pPr>
            <w:r>
              <w:rPr>
                <w:rFonts w:eastAsia="仿宋"/>
                <w:color w:val="000000"/>
                <w:sz w:val="24"/>
              </w:rPr>
              <w:t>中标候选人公示时间、媒介及期限</w:t>
            </w:r>
          </w:p>
        </w:tc>
        <w:tc>
          <w:tcPr>
            <w:tcW w:w="6562" w:type="dxa"/>
            <w:noWrap w:val="0"/>
            <w:vAlign w:val="center"/>
          </w:tcPr>
          <w:p>
            <w:pPr>
              <w:spacing w:line="340" w:lineRule="exact"/>
              <w:rPr>
                <w:rFonts w:eastAsia="仿宋"/>
                <w:b/>
                <w:color w:val="000000"/>
                <w:sz w:val="24"/>
              </w:rPr>
            </w:pPr>
            <w:r>
              <w:rPr>
                <w:rFonts w:eastAsia="仿宋"/>
                <w:b/>
                <w:color w:val="000000"/>
                <w:sz w:val="24"/>
              </w:rPr>
              <w:t>公示时间：</w:t>
            </w:r>
            <w:r>
              <w:rPr>
                <w:rFonts w:eastAsia="仿宋"/>
                <w:color w:val="000000"/>
                <w:sz w:val="24"/>
              </w:rPr>
              <w:t>招标人在收到评标报告之日起</w:t>
            </w:r>
            <w:r>
              <w:rPr>
                <w:rFonts w:eastAsia="仿宋"/>
                <w:color w:val="000000"/>
                <w:sz w:val="24"/>
                <w:u w:val="single"/>
              </w:rPr>
              <w:t xml:space="preserve">     </w:t>
            </w:r>
            <w:r>
              <w:rPr>
                <w:rFonts w:eastAsia="仿宋"/>
                <w:color w:val="000000"/>
                <w:sz w:val="24"/>
              </w:rPr>
              <w:t>日内</w:t>
            </w:r>
            <w:r>
              <w:rPr>
                <w:rFonts w:hint="eastAsia" w:eastAsia="仿宋"/>
                <w:color w:val="000000"/>
                <w:sz w:val="24"/>
              </w:rPr>
              <w:t>（不大于3天）</w:t>
            </w:r>
            <w:r>
              <w:rPr>
                <w:rFonts w:eastAsia="仿宋"/>
                <w:color w:val="000000"/>
                <w:sz w:val="24"/>
              </w:rPr>
              <w:t>。</w:t>
            </w:r>
          </w:p>
          <w:p>
            <w:pPr>
              <w:spacing w:line="340" w:lineRule="exact"/>
              <w:rPr>
                <w:rFonts w:eastAsia="仿宋"/>
                <w:color w:val="000000"/>
                <w:sz w:val="24"/>
              </w:rPr>
            </w:pPr>
            <w:r>
              <w:rPr>
                <w:rFonts w:eastAsia="仿宋"/>
                <w:b/>
                <w:color w:val="000000"/>
                <w:sz w:val="24"/>
              </w:rPr>
              <w:t>公示媒介：</w:t>
            </w:r>
            <w:r>
              <w:rPr>
                <w:rFonts w:eastAsia="仿宋"/>
                <w:color w:val="000000"/>
                <w:sz w:val="24"/>
                <w:u w:val="single"/>
              </w:rPr>
              <w:t xml:space="preserve">  同招标公告发布媒介  </w:t>
            </w:r>
            <w:r>
              <w:rPr>
                <w:rFonts w:eastAsia="仿宋"/>
                <w:color w:val="000000"/>
                <w:sz w:val="24"/>
              </w:rPr>
              <w:t>。</w:t>
            </w:r>
          </w:p>
          <w:p>
            <w:pPr>
              <w:spacing w:line="340" w:lineRule="exact"/>
              <w:rPr>
                <w:rFonts w:eastAsia="仿宋"/>
                <w:color w:val="000000"/>
                <w:sz w:val="24"/>
                <w:u w:val="single" w:color="000000"/>
              </w:rPr>
            </w:pPr>
            <w:r>
              <w:rPr>
                <w:rFonts w:eastAsia="仿宋"/>
                <w:b/>
                <w:color w:val="000000"/>
                <w:sz w:val="24"/>
              </w:rPr>
              <w:t>公示期限：</w:t>
            </w:r>
            <w:r>
              <w:rPr>
                <w:rFonts w:eastAsia="仿宋"/>
                <w:color w:val="000000"/>
                <w:sz w:val="24"/>
                <w:u w:val="single"/>
              </w:rPr>
              <w:t xml:space="preserve">           </w:t>
            </w:r>
            <w:r>
              <w:rPr>
                <w:rFonts w:hint="eastAsia" w:eastAsia="仿宋"/>
                <w:color w:val="000000"/>
                <w:sz w:val="24"/>
              </w:rPr>
              <w:t>工作</w:t>
            </w:r>
            <w:r>
              <w:rPr>
                <w:rFonts w:eastAsia="仿宋"/>
                <w:color w:val="000000"/>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jc w:val="center"/>
        </w:trPr>
        <w:tc>
          <w:tcPr>
            <w:tcW w:w="985" w:type="dxa"/>
            <w:vMerge w:val="restart"/>
            <w:noWrap w:val="0"/>
            <w:vAlign w:val="center"/>
          </w:tcPr>
          <w:p>
            <w:pPr>
              <w:spacing w:line="340" w:lineRule="exact"/>
              <w:jc w:val="center"/>
              <w:rPr>
                <w:rFonts w:eastAsia="仿宋"/>
                <w:color w:val="000000"/>
                <w:sz w:val="24"/>
              </w:rPr>
            </w:pPr>
            <w:r>
              <w:rPr>
                <w:rFonts w:eastAsia="仿宋"/>
                <w:color w:val="000000"/>
                <w:sz w:val="24"/>
              </w:rPr>
              <w:t>7.2</w:t>
            </w:r>
          </w:p>
        </w:tc>
        <w:tc>
          <w:tcPr>
            <w:tcW w:w="1948" w:type="dxa"/>
            <w:noWrap w:val="0"/>
            <w:vAlign w:val="center"/>
          </w:tcPr>
          <w:p>
            <w:pPr>
              <w:spacing w:line="340" w:lineRule="exact"/>
              <w:jc w:val="center"/>
              <w:rPr>
                <w:rFonts w:eastAsia="仿宋"/>
                <w:color w:val="000000"/>
                <w:sz w:val="24"/>
              </w:rPr>
            </w:pPr>
            <w:r>
              <w:rPr>
                <w:rFonts w:eastAsia="仿宋"/>
                <w:color w:val="000000"/>
                <w:sz w:val="24"/>
              </w:rPr>
              <w:t>评标结果异议</w:t>
            </w:r>
          </w:p>
        </w:tc>
        <w:tc>
          <w:tcPr>
            <w:tcW w:w="6562" w:type="dxa"/>
            <w:noWrap w:val="0"/>
            <w:vAlign w:val="center"/>
          </w:tcPr>
          <w:p>
            <w:pPr>
              <w:spacing w:line="340" w:lineRule="exact"/>
              <w:ind w:firstLine="240"/>
              <w:jc w:val="left"/>
              <w:rPr>
                <w:rFonts w:eastAsia="仿宋"/>
                <w:color w:val="000000"/>
                <w:sz w:val="24"/>
              </w:rPr>
            </w:pPr>
            <w:r>
              <w:rPr>
                <w:rFonts w:eastAsia="仿宋"/>
                <w:color w:val="000000"/>
                <w:sz w:val="24"/>
              </w:rPr>
              <w:t>投标人或者其他利害关系人对评标结果有异议的，应当在中标候选人公示期间提出。</w:t>
            </w:r>
          </w:p>
          <w:p>
            <w:pPr>
              <w:spacing w:line="340" w:lineRule="exact"/>
              <w:ind w:firstLine="240"/>
              <w:jc w:val="left"/>
              <w:rPr>
                <w:rFonts w:eastAsia="仿宋"/>
                <w:color w:val="000000"/>
                <w:sz w:val="24"/>
              </w:rPr>
            </w:pPr>
            <w:r>
              <w:rPr>
                <w:rFonts w:eastAsia="仿宋"/>
                <w:color w:val="000000"/>
                <w:sz w:val="24"/>
              </w:rPr>
              <w:t>异议提出方式：书面形式或</w:t>
            </w:r>
            <w:r>
              <w:rPr>
                <w:rFonts w:eastAsia="仿宋"/>
                <w:color w:val="000000"/>
                <w:sz w:val="24"/>
                <w:u w:val="single"/>
              </w:rPr>
              <w:t xml:space="preserve">      （网址：     ）</w:t>
            </w:r>
            <w:r>
              <w:rPr>
                <w:rFonts w:eastAsia="仿宋"/>
                <w:color w:val="000000"/>
                <w:sz w:val="24"/>
              </w:rPr>
              <w:t>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985" w:type="dxa"/>
            <w:vMerge w:val="continue"/>
            <w:noWrap w:val="0"/>
            <w:vAlign w:val="center"/>
          </w:tcPr>
          <w:p>
            <w:pPr>
              <w:spacing w:line="340" w:lineRule="exact"/>
              <w:jc w:val="center"/>
              <w:rPr>
                <w:rFonts w:eastAsia="仿宋"/>
                <w:color w:val="000000"/>
                <w:sz w:val="24"/>
              </w:rPr>
            </w:pPr>
          </w:p>
        </w:tc>
        <w:tc>
          <w:tcPr>
            <w:tcW w:w="1948" w:type="dxa"/>
            <w:noWrap w:val="0"/>
            <w:vAlign w:val="center"/>
          </w:tcPr>
          <w:p>
            <w:pPr>
              <w:spacing w:line="340" w:lineRule="exact"/>
              <w:jc w:val="center"/>
              <w:rPr>
                <w:rFonts w:eastAsia="仿宋"/>
                <w:color w:val="000000"/>
                <w:sz w:val="24"/>
              </w:rPr>
            </w:pPr>
            <w:r>
              <w:rPr>
                <w:rFonts w:eastAsia="仿宋"/>
                <w:color w:val="000000"/>
                <w:sz w:val="24"/>
              </w:rPr>
              <w:t>异议答复</w:t>
            </w:r>
          </w:p>
        </w:tc>
        <w:tc>
          <w:tcPr>
            <w:tcW w:w="6562" w:type="dxa"/>
            <w:noWrap w:val="0"/>
            <w:vAlign w:val="center"/>
          </w:tcPr>
          <w:p>
            <w:pPr>
              <w:spacing w:line="340" w:lineRule="exact"/>
              <w:ind w:firstLine="360"/>
              <w:jc w:val="left"/>
              <w:rPr>
                <w:rFonts w:eastAsia="仿宋"/>
                <w:color w:val="000000"/>
                <w:sz w:val="24"/>
              </w:rPr>
            </w:pPr>
            <w:r>
              <w:rPr>
                <w:rFonts w:eastAsia="仿宋"/>
                <w:color w:val="000000"/>
                <w:sz w:val="24"/>
              </w:rPr>
              <w:t>招标人将在收到异议之日起</w:t>
            </w:r>
            <w:r>
              <w:rPr>
                <w:rFonts w:eastAsia="仿宋"/>
                <w:color w:val="000000"/>
                <w:sz w:val="24"/>
                <w:u w:val="single"/>
              </w:rPr>
              <w:t xml:space="preserve">        </w:t>
            </w:r>
            <w:r>
              <w:rPr>
                <w:rFonts w:eastAsia="仿宋"/>
                <w:color w:val="000000"/>
                <w:sz w:val="24"/>
              </w:rPr>
              <w:t>日内</w:t>
            </w:r>
            <w:r>
              <w:rPr>
                <w:rFonts w:hint="eastAsia" w:eastAsia="仿宋"/>
                <w:color w:val="000000"/>
                <w:sz w:val="24"/>
              </w:rPr>
              <w:t>（不大于3天）</w:t>
            </w:r>
            <w:r>
              <w:rPr>
                <w:rFonts w:eastAsia="仿宋"/>
                <w:color w:val="000000"/>
                <w:sz w:val="24"/>
              </w:rPr>
              <w:t>，以书面形式或</w:t>
            </w:r>
            <w:r>
              <w:rPr>
                <w:rFonts w:eastAsia="仿宋"/>
                <w:color w:val="000000"/>
                <w:sz w:val="24"/>
                <w:u w:val="single"/>
              </w:rPr>
              <w:t xml:space="preserve">      （网址：    ）</w:t>
            </w:r>
            <w:r>
              <w:rPr>
                <w:rFonts w:eastAsia="仿宋"/>
                <w:color w:val="000000"/>
                <w:sz w:val="24"/>
              </w:rPr>
              <w:t>作出答复。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noWrap w:val="0"/>
            <w:vAlign w:val="center"/>
          </w:tcPr>
          <w:p>
            <w:pPr>
              <w:spacing w:line="340" w:lineRule="exact"/>
              <w:jc w:val="center"/>
              <w:rPr>
                <w:rFonts w:eastAsia="仿宋"/>
                <w:color w:val="000000"/>
                <w:sz w:val="24"/>
              </w:rPr>
            </w:pPr>
            <w:r>
              <w:rPr>
                <w:rFonts w:eastAsia="仿宋"/>
                <w:color w:val="000000"/>
                <w:sz w:val="24"/>
              </w:rPr>
              <w:t>7.5</w:t>
            </w:r>
          </w:p>
        </w:tc>
        <w:tc>
          <w:tcPr>
            <w:tcW w:w="1948" w:type="dxa"/>
            <w:noWrap w:val="0"/>
            <w:vAlign w:val="center"/>
          </w:tcPr>
          <w:p>
            <w:pPr>
              <w:spacing w:line="340" w:lineRule="exact"/>
              <w:jc w:val="center"/>
              <w:rPr>
                <w:rFonts w:eastAsia="仿宋"/>
                <w:color w:val="000000"/>
                <w:sz w:val="24"/>
              </w:rPr>
            </w:pPr>
            <w:r>
              <w:rPr>
                <w:rFonts w:eastAsia="仿宋"/>
                <w:color w:val="000000"/>
                <w:sz w:val="24"/>
              </w:rPr>
              <w:t>中标结果发布媒介</w:t>
            </w:r>
          </w:p>
        </w:tc>
        <w:tc>
          <w:tcPr>
            <w:tcW w:w="6562" w:type="dxa"/>
            <w:noWrap w:val="0"/>
            <w:vAlign w:val="center"/>
          </w:tcPr>
          <w:p>
            <w:pPr>
              <w:spacing w:line="340" w:lineRule="exact"/>
              <w:rPr>
                <w:rFonts w:eastAsia="仿宋"/>
                <w:color w:val="000000"/>
                <w:sz w:val="24"/>
              </w:rPr>
            </w:pPr>
            <w:r>
              <w:rPr>
                <w:rFonts w:eastAsia="仿宋"/>
                <w:color w:val="000000"/>
                <w:sz w:val="24"/>
              </w:rPr>
              <w:t>中标结果发布媒介：</w:t>
            </w:r>
            <w:r>
              <w:rPr>
                <w:rFonts w:eastAsia="仿宋"/>
                <w:color w:val="000000"/>
                <w:sz w:val="24"/>
                <w:u w:val="single"/>
              </w:rPr>
              <w:t xml:space="preserve">           （网址：        ）</w:t>
            </w:r>
            <w:r>
              <w:rPr>
                <w:rFonts w:eastAsia="仿宋"/>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9" w:hRule="atLeast"/>
          <w:jc w:val="center"/>
        </w:trPr>
        <w:tc>
          <w:tcPr>
            <w:tcW w:w="985" w:type="dxa"/>
            <w:noWrap w:val="0"/>
            <w:vAlign w:val="center"/>
          </w:tcPr>
          <w:p>
            <w:pPr>
              <w:spacing w:line="340" w:lineRule="exact"/>
              <w:jc w:val="center"/>
              <w:rPr>
                <w:rFonts w:eastAsia="仿宋"/>
                <w:color w:val="000000"/>
                <w:sz w:val="24"/>
              </w:rPr>
            </w:pPr>
            <w:r>
              <w:rPr>
                <w:rFonts w:eastAsia="仿宋"/>
                <w:color w:val="000000"/>
                <w:sz w:val="24"/>
              </w:rPr>
              <w:t>7.6.1</w:t>
            </w:r>
          </w:p>
        </w:tc>
        <w:tc>
          <w:tcPr>
            <w:tcW w:w="1948" w:type="dxa"/>
            <w:noWrap w:val="0"/>
            <w:vAlign w:val="center"/>
          </w:tcPr>
          <w:p>
            <w:pPr>
              <w:spacing w:line="340" w:lineRule="exact"/>
              <w:jc w:val="center"/>
              <w:rPr>
                <w:rFonts w:eastAsia="仿宋"/>
                <w:color w:val="000000"/>
                <w:sz w:val="24"/>
              </w:rPr>
            </w:pPr>
            <w:r>
              <w:rPr>
                <w:rFonts w:eastAsia="仿宋"/>
                <w:color w:val="000000"/>
                <w:sz w:val="24"/>
              </w:rPr>
              <w:t>履约担保</w:t>
            </w:r>
          </w:p>
        </w:tc>
        <w:tc>
          <w:tcPr>
            <w:tcW w:w="6562" w:type="dxa"/>
            <w:noWrap w:val="0"/>
            <w:vAlign w:val="center"/>
          </w:tcPr>
          <w:p>
            <w:pPr>
              <w:pStyle w:val="2"/>
              <w:spacing w:line="340" w:lineRule="exact"/>
              <w:rPr>
                <w:color w:val="000000"/>
                <w:lang w:val="en-US" w:eastAsia="zh-CN"/>
              </w:rPr>
            </w:pPr>
            <w:r>
              <w:rPr>
                <w:rFonts w:hint="eastAsia" w:eastAsia="仿宋"/>
                <w:color w:val="000000"/>
                <w:kern w:val="0"/>
                <w:sz w:val="24"/>
                <w:lang w:val="en-US" w:eastAsia="zh-CN"/>
              </w:rPr>
              <w:t>□</w:t>
            </w:r>
            <w:r>
              <w:rPr>
                <w:rFonts w:eastAsia="仿宋"/>
                <w:b/>
                <w:color w:val="000000"/>
                <w:sz w:val="24"/>
                <w:lang w:val="en-US" w:eastAsia="zh-CN"/>
              </w:rPr>
              <w:t xml:space="preserve"> 不要求提交</w:t>
            </w:r>
          </w:p>
          <w:p>
            <w:pPr>
              <w:spacing w:line="340" w:lineRule="exact"/>
              <w:rPr>
                <w:rFonts w:eastAsia="仿宋"/>
                <w:color w:val="000000"/>
                <w:kern w:val="0"/>
                <w:sz w:val="24"/>
              </w:rPr>
            </w:pPr>
          </w:p>
          <w:p>
            <w:pPr>
              <w:spacing w:line="340" w:lineRule="exact"/>
              <w:rPr>
                <w:rFonts w:eastAsia="仿宋"/>
                <w:color w:val="000000"/>
                <w:sz w:val="24"/>
              </w:rPr>
            </w:pPr>
            <w:r>
              <w:rPr>
                <w:rFonts w:hint="eastAsia" w:eastAsia="仿宋"/>
                <w:color w:val="000000"/>
                <w:kern w:val="0"/>
                <w:sz w:val="24"/>
              </w:rPr>
              <w:t>□</w:t>
            </w:r>
            <w:r>
              <w:rPr>
                <w:rFonts w:eastAsia="仿宋"/>
                <w:b/>
                <w:color w:val="000000"/>
                <w:sz w:val="24"/>
              </w:rPr>
              <w:t>要求提交</w:t>
            </w:r>
          </w:p>
          <w:p>
            <w:pPr>
              <w:spacing w:line="340" w:lineRule="exact"/>
              <w:rPr>
                <w:rFonts w:eastAsia="仿宋"/>
                <w:color w:val="000000"/>
                <w:sz w:val="24"/>
              </w:rPr>
            </w:pPr>
            <w:r>
              <w:rPr>
                <w:rFonts w:eastAsia="仿宋"/>
                <w:color w:val="000000"/>
                <w:sz w:val="24"/>
              </w:rPr>
              <w:t>履约担保的形式：采用</w:t>
            </w:r>
            <w:r>
              <w:rPr>
                <w:rFonts w:eastAsia="仿宋"/>
                <w:color w:val="000000"/>
                <w:sz w:val="24"/>
                <w:u w:val="single"/>
              </w:rPr>
              <w:t xml:space="preserve">         </w:t>
            </w:r>
            <w:r>
              <w:rPr>
                <w:rFonts w:eastAsia="仿宋"/>
                <w:color w:val="000000"/>
                <w:sz w:val="24"/>
              </w:rPr>
              <w:t>形式。</w:t>
            </w:r>
          </w:p>
          <w:p>
            <w:pPr>
              <w:spacing w:line="340" w:lineRule="exact"/>
              <w:rPr>
                <w:rFonts w:eastAsia="仿宋"/>
                <w:color w:val="000000"/>
                <w:sz w:val="24"/>
              </w:rPr>
            </w:pPr>
            <w:r>
              <w:rPr>
                <w:rFonts w:eastAsia="仿宋"/>
                <w:color w:val="000000"/>
                <w:sz w:val="24"/>
              </w:rPr>
              <w:t>履约担保的金额：担保金额为</w:t>
            </w:r>
            <w:r>
              <w:rPr>
                <w:rFonts w:eastAsia="仿宋"/>
                <w:color w:val="000000"/>
                <w:sz w:val="24"/>
                <w:u w:val="single"/>
              </w:rPr>
              <w:t xml:space="preserve">         </w:t>
            </w:r>
            <w:r>
              <w:rPr>
                <w:rFonts w:eastAsia="仿宋"/>
                <w:color w:val="000000"/>
                <w:sz w:val="24"/>
              </w:rPr>
              <w:t>的</w:t>
            </w:r>
            <w:r>
              <w:rPr>
                <w:rFonts w:eastAsia="仿宋"/>
                <w:color w:val="000000"/>
                <w:sz w:val="24"/>
                <w:u w:val="single"/>
              </w:rPr>
              <w:t xml:space="preserve">     </w:t>
            </w:r>
            <w:r>
              <w:rPr>
                <w:rFonts w:eastAsia="仿宋"/>
                <w:color w:val="000000"/>
                <w:sz w:val="24"/>
              </w:rPr>
              <w:t>％。</w:t>
            </w:r>
          </w:p>
          <w:p>
            <w:pPr>
              <w:spacing w:line="340" w:lineRule="exact"/>
              <w:rPr>
                <w:rFonts w:eastAsia="仿宋"/>
                <w:color w:val="000000"/>
                <w:sz w:val="24"/>
              </w:rPr>
            </w:pPr>
            <w:r>
              <w:rPr>
                <w:rFonts w:eastAsia="仿宋"/>
                <w:color w:val="000000"/>
                <w:kern w:val="0"/>
                <w:sz w:val="24"/>
              </w:rPr>
              <w:t>□</w:t>
            </w:r>
            <w:r>
              <w:rPr>
                <w:rFonts w:hint="eastAsia" w:eastAsia="仿宋"/>
                <w:color w:val="000000"/>
                <w:kern w:val="0"/>
                <w:sz w:val="24"/>
              </w:rPr>
              <w:t xml:space="preserve"> </w:t>
            </w:r>
            <w:r>
              <w:rPr>
                <w:rFonts w:hint="eastAsia" w:eastAsia="仿宋"/>
                <w:b/>
                <w:bCs/>
                <w:color w:val="000000"/>
                <w:kern w:val="0"/>
                <w:sz w:val="24"/>
              </w:rPr>
              <w:t>采用经评审的最低投标价法的项目必须提供履约担保，担保金额为中标金额低于最高投标限价 10%以内的，不超过中标合同金额的 10%。中标金额低于最高投标限价10%以上的，为最高投标限价减去中标合同金额后的差额。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985" w:type="dxa"/>
            <w:noWrap w:val="0"/>
            <w:vAlign w:val="center"/>
          </w:tcPr>
          <w:p>
            <w:pPr>
              <w:spacing w:line="340" w:lineRule="exact"/>
              <w:jc w:val="center"/>
              <w:rPr>
                <w:rFonts w:eastAsia="仿宋"/>
                <w:color w:val="000000"/>
                <w:sz w:val="24"/>
              </w:rPr>
            </w:pPr>
            <w:r>
              <w:rPr>
                <w:rFonts w:eastAsia="仿宋"/>
                <w:color w:val="000000"/>
                <w:sz w:val="24"/>
              </w:rPr>
              <w:t>7.7.1</w:t>
            </w:r>
          </w:p>
        </w:tc>
        <w:tc>
          <w:tcPr>
            <w:tcW w:w="1948" w:type="dxa"/>
            <w:noWrap w:val="0"/>
            <w:vAlign w:val="center"/>
          </w:tcPr>
          <w:p>
            <w:pPr>
              <w:spacing w:line="340" w:lineRule="exact"/>
              <w:jc w:val="center"/>
              <w:rPr>
                <w:rFonts w:eastAsia="仿宋"/>
                <w:color w:val="000000"/>
                <w:sz w:val="24"/>
              </w:rPr>
            </w:pPr>
            <w:r>
              <w:rPr>
                <w:rFonts w:eastAsia="仿宋"/>
                <w:color w:val="000000"/>
                <w:sz w:val="24"/>
              </w:rPr>
              <w:t>签订合同</w:t>
            </w:r>
          </w:p>
        </w:tc>
        <w:tc>
          <w:tcPr>
            <w:tcW w:w="6562" w:type="dxa"/>
            <w:noWrap w:val="0"/>
            <w:vAlign w:val="top"/>
          </w:tcPr>
          <w:p>
            <w:pPr>
              <w:spacing w:line="340" w:lineRule="exact"/>
              <w:rPr>
                <w:rFonts w:eastAsia="仿宋"/>
                <w:color w:val="000000"/>
                <w:sz w:val="24"/>
              </w:rPr>
            </w:pPr>
            <w:r>
              <w:rPr>
                <w:rFonts w:eastAsia="仿宋"/>
                <w:color w:val="000000"/>
                <w:sz w:val="24"/>
              </w:rPr>
              <w:t>招标人和中标人应当在中标通知书发出之日起</w:t>
            </w:r>
            <w:r>
              <w:rPr>
                <w:rFonts w:eastAsia="仿宋"/>
                <w:color w:val="000000"/>
                <w:sz w:val="24"/>
                <w:u w:val="single"/>
              </w:rPr>
              <w:t xml:space="preserve">    </w:t>
            </w:r>
            <w:r>
              <w:rPr>
                <w:rFonts w:eastAsia="仿宋"/>
                <w:color w:val="000000"/>
                <w:sz w:val="24"/>
              </w:rPr>
              <w:t>日内，根据招标文件和中标人的投标文件订立书面合同。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985" w:type="dxa"/>
            <w:noWrap w:val="0"/>
            <w:vAlign w:val="center"/>
          </w:tcPr>
          <w:p>
            <w:pPr>
              <w:spacing w:line="340" w:lineRule="exact"/>
              <w:jc w:val="center"/>
              <w:rPr>
                <w:rFonts w:eastAsia="仿宋"/>
                <w:color w:val="000000"/>
                <w:sz w:val="24"/>
              </w:rPr>
            </w:pPr>
            <w:r>
              <w:rPr>
                <w:rFonts w:eastAsia="仿宋"/>
                <w:color w:val="000000"/>
                <w:sz w:val="24"/>
              </w:rPr>
              <w:t>7.8</w:t>
            </w:r>
          </w:p>
        </w:tc>
        <w:tc>
          <w:tcPr>
            <w:tcW w:w="1948" w:type="dxa"/>
            <w:noWrap w:val="0"/>
            <w:vAlign w:val="center"/>
          </w:tcPr>
          <w:p>
            <w:pPr>
              <w:spacing w:line="340" w:lineRule="exact"/>
              <w:jc w:val="center"/>
              <w:rPr>
                <w:rFonts w:eastAsia="仿宋"/>
                <w:color w:val="000000"/>
                <w:sz w:val="24"/>
              </w:rPr>
            </w:pPr>
            <w:r>
              <w:rPr>
                <w:rFonts w:eastAsia="仿宋"/>
                <w:color w:val="000000"/>
                <w:sz w:val="24"/>
              </w:rPr>
              <w:t>农民工工资保证金</w:t>
            </w:r>
          </w:p>
        </w:tc>
        <w:tc>
          <w:tcPr>
            <w:tcW w:w="6562" w:type="dxa"/>
            <w:noWrap w:val="0"/>
            <w:vAlign w:val="center"/>
          </w:tcPr>
          <w:p>
            <w:pPr>
              <w:spacing w:line="340" w:lineRule="exact"/>
              <w:jc w:val="left"/>
              <w:rPr>
                <w:rFonts w:eastAsia="仿宋"/>
                <w:color w:val="000000"/>
                <w:sz w:val="24"/>
              </w:rPr>
            </w:pPr>
            <w:r>
              <w:rPr>
                <w:rFonts w:eastAsia="仿宋"/>
                <w:color w:val="000000"/>
                <w:sz w:val="24"/>
              </w:rPr>
              <w:t>中标人应在开工前5个工作日内，按照</w:t>
            </w:r>
            <w:r>
              <w:rPr>
                <w:rFonts w:eastAsia="仿宋"/>
                <w:color w:val="000000"/>
                <w:sz w:val="24"/>
                <w:u w:val="single"/>
              </w:rPr>
              <w:t>《湖南省工程建设领域农民工工资保证金管理办法》（湘人社发〔2019〕53号）</w:t>
            </w:r>
            <w:r>
              <w:rPr>
                <w:rFonts w:eastAsia="仿宋"/>
                <w:color w:val="000000"/>
                <w:sz w:val="24"/>
              </w:rPr>
              <w:t>交存农民工工资保证金。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985" w:type="dxa"/>
            <w:noWrap w:val="0"/>
            <w:vAlign w:val="center"/>
          </w:tcPr>
          <w:p>
            <w:pPr>
              <w:spacing w:line="340" w:lineRule="exact"/>
              <w:jc w:val="center"/>
              <w:rPr>
                <w:rFonts w:eastAsia="仿宋"/>
                <w:color w:val="000000"/>
                <w:sz w:val="24"/>
              </w:rPr>
            </w:pPr>
            <w:r>
              <w:rPr>
                <w:rFonts w:eastAsia="仿宋"/>
                <w:color w:val="000000"/>
                <w:sz w:val="24"/>
              </w:rPr>
              <w:t>7.9</w:t>
            </w:r>
          </w:p>
        </w:tc>
        <w:tc>
          <w:tcPr>
            <w:tcW w:w="1948" w:type="dxa"/>
            <w:noWrap w:val="0"/>
            <w:vAlign w:val="center"/>
          </w:tcPr>
          <w:p>
            <w:pPr>
              <w:spacing w:line="340" w:lineRule="exact"/>
              <w:jc w:val="center"/>
              <w:rPr>
                <w:rFonts w:eastAsia="仿宋"/>
                <w:color w:val="000000"/>
                <w:sz w:val="24"/>
              </w:rPr>
            </w:pPr>
            <w:r>
              <w:rPr>
                <w:rFonts w:eastAsia="仿宋"/>
                <w:color w:val="000000"/>
                <w:sz w:val="24"/>
              </w:rPr>
              <w:t>工程款支付担保</w:t>
            </w:r>
          </w:p>
        </w:tc>
        <w:tc>
          <w:tcPr>
            <w:tcW w:w="6562" w:type="dxa"/>
            <w:noWrap w:val="0"/>
            <w:vAlign w:val="center"/>
          </w:tcPr>
          <w:p>
            <w:pPr>
              <w:spacing w:line="340" w:lineRule="exact"/>
              <w:rPr>
                <w:rFonts w:eastAsia="仿宋"/>
                <w:color w:val="000000"/>
                <w:sz w:val="24"/>
              </w:rPr>
            </w:pPr>
            <w:r>
              <w:rPr>
                <w:rFonts w:eastAsia="仿宋"/>
                <w:color w:val="000000"/>
                <w:sz w:val="24"/>
              </w:rPr>
              <w:t>工程款支付担保的形式：采用</w:t>
            </w:r>
            <w:r>
              <w:rPr>
                <w:rFonts w:eastAsia="仿宋"/>
                <w:color w:val="000000"/>
                <w:sz w:val="24"/>
                <w:u w:val="single"/>
              </w:rPr>
              <w:t xml:space="preserve">         </w:t>
            </w:r>
            <w:r>
              <w:rPr>
                <w:rFonts w:eastAsia="仿宋"/>
                <w:color w:val="000000"/>
                <w:sz w:val="24"/>
              </w:rPr>
              <w:t>形式。</w:t>
            </w:r>
          </w:p>
          <w:p>
            <w:pPr>
              <w:spacing w:line="340" w:lineRule="exact"/>
              <w:rPr>
                <w:rFonts w:eastAsia="仿宋"/>
                <w:color w:val="000000"/>
                <w:sz w:val="24"/>
              </w:rPr>
            </w:pPr>
            <w:r>
              <w:rPr>
                <w:rFonts w:eastAsia="仿宋"/>
                <w:color w:val="000000"/>
                <w:sz w:val="24"/>
              </w:rPr>
              <w:t xml:space="preserve">工程款支付担保的金额： </w:t>
            </w:r>
            <w:r>
              <w:rPr>
                <w:rFonts w:eastAsia="仿宋"/>
                <w:color w:val="000000"/>
                <w:sz w:val="24"/>
                <w:u w:val="single"/>
              </w:rPr>
              <w:t xml:space="preserve">                </w:t>
            </w:r>
            <w:r>
              <w:rPr>
                <w:rFonts w:eastAsia="仿宋"/>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noWrap w:val="0"/>
            <w:vAlign w:val="center"/>
          </w:tcPr>
          <w:p>
            <w:pPr>
              <w:spacing w:line="320" w:lineRule="exact"/>
              <w:jc w:val="center"/>
              <w:rPr>
                <w:rFonts w:eastAsia="仿宋"/>
                <w:color w:val="000000"/>
                <w:sz w:val="24"/>
              </w:rPr>
            </w:pPr>
            <w:r>
              <w:rPr>
                <w:rFonts w:eastAsia="仿宋"/>
                <w:color w:val="000000"/>
                <w:sz w:val="24"/>
              </w:rPr>
              <w:t>10</w:t>
            </w:r>
          </w:p>
        </w:tc>
        <w:tc>
          <w:tcPr>
            <w:tcW w:w="8510" w:type="dxa"/>
            <w:gridSpan w:val="2"/>
            <w:noWrap w:val="0"/>
            <w:vAlign w:val="center"/>
          </w:tcPr>
          <w:p>
            <w:pPr>
              <w:spacing w:line="320" w:lineRule="exact"/>
              <w:jc w:val="center"/>
              <w:rPr>
                <w:rFonts w:eastAsia="仿宋"/>
                <w:color w:val="000000"/>
                <w:sz w:val="24"/>
              </w:rPr>
            </w:pPr>
            <w:r>
              <w:rPr>
                <w:rFonts w:eastAsia="仿宋"/>
                <w:color w:val="000000"/>
                <w:sz w:val="24"/>
              </w:rPr>
              <w:t>需要补充的其它内容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6" w:hRule="atLeast"/>
          <w:jc w:val="center"/>
        </w:trPr>
        <w:tc>
          <w:tcPr>
            <w:tcW w:w="985" w:type="dxa"/>
            <w:noWrap w:val="0"/>
            <w:vAlign w:val="center"/>
          </w:tcPr>
          <w:p>
            <w:pPr>
              <w:spacing w:line="300" w:lineRule="exact"/>
              <w:jc w:val="center"/>
              <w:rPr>
                <w:rFonts w:eastAsia="仿宋"/>
                <w:color w:val="000000"/>
                <w:sz w:val="24"/>
              </w:rPr>
            </w:pPr>
            <w:r>
              <w:rPr>
                <w:rFonts w:eastAsia="仿宋"/>
                <w:color w:val="000000"/>
                <w:sz w:val="24"/>
              </w:rPr>
              <w:t>10.1</w:t>
            </w:r>
          </w:p>
        </w:tc>
        <w:tc>
          <w:tcPr>
            <w:tcW w:w="1948" w:type="dxa"/>
            <w:noWrap w:val="0"/>
            <w:vAlign w:val="center"/>
          </w:tcPr>
          <w:p>
            <w:pPr>
              <w:spacing w:line="300" w:lineRule="exact"/>
              <w:jc w:val="center"/>
              <w:rPr>
                <w:rFonts w:eastAsia="仿宋"/>
                <w:color w:val="000000"/>
                <w:sz w:val="24"/>
              </w:rPr>
            </w:pPr>
            <w:r>
              <w:rPr>
                <w:rFonts w:eastAsia="仿宋"/>
                <w:b/>
                <w:bCs/>
                <w:color w:val="000000"/>
                <w:sz w:val="24"/>
              </w:rPr>
              <w:t>类似项目</w:t>
            </w:r>
          </w:p>
        </w:tc>
        <w:tc>
          <w:tcPr>
            <w:tcW w:w="6562" w:type="dxa"/>
            <w:noWrap w:val="0"/>
            <w:vAlign w:val="center"/>
          </w:tcPr>
          <w:p>
            <w:pPr>
              <w:spacing w:line="300" w:lineRule="exact"/>
              <w:ind w:firstLine="240" w:firstLineChars="100"/>
              <w:jc w:val="left"/>
              <w:rPr>
                <w:rFonts w:eastAsia="仿宋"/>
                <w:color w:val="000000"/>
                <w:sz w:val="24"/>
              </w:rPr>
            </w:pPr>
            <w:r>
              <w:rPr>
                <w:rFonts w:hint="eastAsia" w:eastAsia="仿宋"/>
                <w:color w:val="000000"/>
                <w:sz w:val="24"/>
              </w:rPr>
              <w:t>（1）</w:t>
            </w:r>
            <w:r>
              <w:rPr>
                <w:rFonts w:eastAsia="仿宋"/>
                <w:color w:val="000000"/>
                <w:sz w:val="24"/>
              </w:rPr>
              <w:t>资格要求投标人类似工程业绩：</w:t>
            </w:r>
          </w:p>
          <w:p>
            <w:pPr>
              <w:spacing w:line="300" w:lineRule="exact"/>
              <w:ind w:firstLine="240" w:firstLineChars="100"/>
              <w:jc w:val="left"/>
              <w:rPr>
                <w:rFonts w:eastAsia="仿宋"/>
                <w:color w:val="000000"/>
                <w:sz w:val="24"/>
              </w:rPr>
            </w:pPr>
            <w:r>
              <w:rPr>
                <w:rFonts w:eastAsia="仿宋"/>
                <w:color w:val="000000"/>
                <w:sz w:val="24"/>
              </w:rPr>
              <w:t>具体要求详见本表第1.4.1项。</w:t>
            </w:r>
          </w:p>
          <w:p>
            <w:pPr>
              <w:spacing w:line="300" w:lineRule="exact"/>
              <w:ind w:firstLine="240" w:firstLineChars="100"/>
              <w:jc w:val="left"/>
              <w:rPr>
                <w:rFonts w:eastAsia="仿宋"/>
                <w:color w:val="000000"/>
                <w:sz w:val="24"/>
              </w:rPr>
            </w:pPr>
            <w:r>
              <w:rPr>
                <w:rFonts w:hint="eastAsia" w:eastAsia="仿宋"/>
                <w:color w:val="000000"/>
                <w:sz w:val="24"/>
              </w:rPr>
              <w:t>（2）</w:t>
            </w:r>
            <w:r>
              <w:rPr>
                <w:rFonts w:eastAsia="仿宋"/>
                <w:color w:val="000000"/>
                <w:sz w:val="24"/>
              </w:rPr>
              <w:t>评分要求投标人类似工程业绩：</w:t>
            </w:r>
          </w:p>
          <w:p>
            <w:pPr>
              <w:spacing w:line="300" w:lineRule="exact"/>
              <w:ind w:firstLine="240" w:firstLineChars="100"/>
              <w:jc w:val="left"/>
              <w:rPr>
                <w:rFonts w:hint="eastAsia" w:eastAsia="仿宋"/>
                <w:color w:val="000000"/>
                <w:sz w:val="24"/>
              </w:rPr>
            </w:pPr>
            <w:r>
              <w:rPr>
                <w:rFonts w:hint="eastAsia" w:eastAsia="仿宋"/>
                <w:color w:val="000000"/>
                <w:sz w:val="24"/>
              </w:rPr>
              <w:t>投标人投标截止时间前</w:t>
            </w:r>
            <w:r>
              <w:rPr>
                <w:rFonts w:eastAsia="仿宋"/>
                <w:color w:val="000000"/>
                <w:sz w:val="24"/>
              </w:rPr>
              <w:t xml:space="preserve"> </w:t>
            </w:r>
            <w:r>
              <w:rPr>
                <w:rFonts w:hint="eastAsia" w:eastAsia="仿宋"/>
                <w:color w:val="000000"/>
                <w:sz w:val="24"/>
              </w:rPr>
              <w:t>36个月</w:t>
            </w:r>
            <w:r>
              <w:rPr>
                <w:rFonts w:eastAsia="仿宋"/>
                <w:color w:val="000000"/>
                <w:sz w:val="24"/>
              </w:rPr>
              <w:t>内（指</w:t>
            </w:r>
            <w:r>
              <w:rPr>
                <w:rFonts w:hint="eastAsia" w:ascii="仿宋" w:hAnsi="仿宋" w:eastAsia="仿宋" w:cs="仿宋"/>
                <w:color w:val="000000"/>
                <w:sz w:val="24"/>
                <w:u w:val="single"/>
              </w:rPr>
              <w:t xml:space="preserve">   </w:t>
            </w:r>
            <w:r>
              <w:rPr>
                <w:rFonts w:eastAsia="仿宋"/>
                <w:color w:val="000000"/>
                <w:sz w:val="24"/>
              </w:rPr>
              <w:t>年</w:t>
            </w:r>
            <w:r>
              <w:rPr>
                <w:rFonts w:hint="eastAsia" w:ascii="方正仿宋_GB18030" w:hAnsi="方正仿宋_GB18030" w:eastAsia="方正仿宋_GB18030" w:cs="方正仿宋_GB18030"/>
                <w:color w:val="000000"/>
                <w:sz w:val="24"/>
                <w:u w:val="single"/>
              </w:rPr>
              <w:t xml:space="preserve">   </w:t>
            </w:r>
            <w:r>
              <w:rPr>
                <w:rFonts w:eastAsia="仿宋"/>
                <w:color w:val="000000"/>
                <w:sz w:val="24"/>
              </w:rPr>
              <w:t>月～至投标截止时间止）完成过</w:t>
            </w:r>
            <w:r>
              <w:rPr>
                <w:rFonts w:hint="eastAsia" w:eastAsia="仿宋"/>
                <w:color w:val="000000"/>
                <w:sz w:val="24"/>
                <w:u w:val="single"/>
              </w:rPr>
              <w:t xml:space="preserve">   </w:t>
            </w:r>
            <w:r>
              <w:rPr>
                <w:rFonts w:eastAsia="仿宋"/>
                <w:color w:val="000000"/>
                <w:sz w:val="24"/>
              </w:rPr>
              <w:t>个</w:t>
            </w:r>
            <w:r>
              <w:rPr>
                <w:rFonts w:hint="eastAsia" w:eastAsia="仿宋"/>
                <w:color w:val="000000"/>
                <w:sz w:val="24"/>
              </w:rPr>
              <w:t>（不超过招标控制价上限金额70%）万元类似</w:t>
            </w:r>
            <w:r>
              <w:rPr>
                <w:rFonts w:eastAsia="仿宋"/>
                <w:color w:val="000000"/>
                <w:sz w:val="24"/>
              </w:rPr>
              <w:t>施工业绩</w:t>
            </w:r>
            <w:r>
              <w:rPr>
                <w:rFonts w:hint="eastAsia" w:eastAsia="仿宋"/>
                <w:color w:val="000000"/>
                <w:sz w:val="24"/>
              </w:rPr>
              <w:t>（类似项目是指农田建设项目、灌区建设项目、小型农田水利建设项目、土地综合整治项目、农业综合开发土地治理项目、田间工程项目、烟田基本建设项目，以上项目包括新建、改建、扩建、改造等）；</w:t>
            </w:r>
          </w:p>
          <w:p>
            <w:pPr>
              <w:spacing w:line="300" w:lineRule="exact"/>
              <w:ind w:firstLine="240" w:firstLineChars="100"/>
              <w:jc w:val="left"/>
              <w:rPr>
                <w:rFonts w:eastAsia="仿宋"/>
                <w:color w:val="000000"/>
                <w:sz w:val="24"/>
              </w:rPr>
            </w:pPr>
            <w:r>
              <w:rPr>
                <w:rFonts w:eastAsia="仿宋"/>
                <w:color w:val="000000"/>
                <w:sz w:val="24"/>
              </w:rPr>
              <w:t>类似工程业绩必须</w:t>
            </w:r>
            <w:r>
              <w:rPr>
                <w:rFonts w:hint="eastAsia" w:eastAsia="仿宋"/>
                <w:color w:val="000000"/>
                <w:sz w:val="24"/>
              </w:rPr>
              <w:t>在“全国建筑市场监管公共服务平台”或“湖南省智慧住建云”或“水利部水利建设市场监管平台”或“湖南省水利建设市场综合监管系统”中可查询，并附中标通知书、合同协议书、合同工程竣工或完工验收文件（由建设单位、施工单位、监理单位、设计单位盖章认可）的原件扫描件、“全国建筑市场监管公共服务平台”或“湖南省智慧住建云”或“水利建设市场监管平台”或“湖南省水利建设市场综合监管系统”的网页截图。完成时间以合同工程竣工或完工验收文件</w:t>
            </w:r>
            <w:r>
              <w:rPr>
                <w:rFonts w:eastAsia="仿宋"/>
                <w:color w:val="000000"/>
                <w:sz w:val="24"/>
              </w:rPr>
              <w:t>中建设单位签字之日为准。类似工程业绩完成时间在招标文件要求期限内的即为合格。</w:t>
            </w:r>
          </w:p>
          <w:p>
            <w:pPr>
              <w:spacing w:line="300" w:lineRule="exact"/>
              <w:ind w:firstLine="240" w:firstLineChars="100"/>
              <w:jc w:val="left"/>
              <w:rPr>
                <w:rFonts w:eastAsia="仿宋"/>
                <w:color w:val="000000"/>
                <w:sz w:val="24"/>
              </w:rPr>
            </w:pPr>
            <w:r>
              <w:rPr>
                <w:rFonts w:hint="eastAsia" w:eastAsia="仿宋"/>
                <w:color w:val="000000"/>
                <w:sz w:val="24"/>
              </w:rPr>
              <w:t>（3）</w:t>
            </w:r>
            <w:r>
              <w:rPr>
                <w:rFonts w:eastAsia="仿宋"/>
                <w:color w:val="000000"/>
                <w:sz w:val="24"/>
              </w:rPr>
              <w:t>项目管理机构评审要求的类似工程业绩</w:t>
            </w:r>
          </w:p>
          <w:p>
            <w:pPr>
              <w:spacing w:line="300" w:lineRule="exact"/>
              <w:ind w:firstLine="240" w:firstLineChars="100"/>
              <w:jc w:val="left"/>
              <w:rPr>
                <w:rFonts w:eastAsia="仿宋"/>
                <w:color w:val="000000"/>
                <w:sz w:val="24"/>
              </w:rPr>
            </w:pPr>
            <w:r>
              <w:rPr>
                <w:rFonts w:hint="eastAsia" w:eastAsia="仿宋"/>
                <w:color w:val="000000"/>
                <w:sz w:val="24"/>
              </w:rPr>
              <w:t>①</w:t>
            </w:r>
            <w:r>
              <w:rPr>
                <w:rFonts w:eastAsia="仿宋"/>
                <w:color w:val="000000"/>
                <w:sz w:val="24"/>
              </w:rPr>
              <w:t>拟任项目负责人</w:t>
            </w:r>
          </w:p>
          <w:p>
            <w:pPr>
              <w:spacing w:line="300" w:lineRule="exact"/>
              <w:ind w:firstLine="480" w:firstLineChars="200"/>
              <w:jc w:val="left"/>
              <w:rPr>
                <w:rFonts w:hint="eastAsia" w:eastAsia="仿宋"/>
                <w:color w:val="000000"/>
                <w:sz w:val="24"/>
              </w:rPr>
            </w:pPr>
            <w:r>
              <w:rPr>
                <w:rFonts w:eastAsia="仿宋"/>
                <w:color w:val="000000"/>
                <w:sz w:val="24"/>
              </w:rPr>
              <w:t>类似经验业绩要求：</w:t>
            </w:r>
            <w:r>
              <w:rPr>
                <w:rFonts w:hint="eastAsia" w:eastAsia="仿宋"/>
                <w:color w:val="000000"/>
                <w:sz w:val="24"/>
              </w:rPr>
              <w:t>投标截止时间前36个月内</w:t>
            </w:r>
            <w:r>
              <w:rPr>
                <w:rFonts w:eastAsia="仿宋"/>
                <w:color w:val="000000"/>
                <w:sz w:val="24"/>
              </w:rPr>
              <w:t>（指</w:t>
            </w:r>
            <w:r>
              <w:rPr>
                <w:rFonts w:eastAsia="仿宋"/>
                <w:color w:val="000000"/>
                <w:sz w:val="24"/>
                <w:u w:val="single"/>
              </w:rPr>
              <w:t xml:space="preserve"> </w:t>
            </w:r>
            <w:r>
              <w:rPr>
                <w:rFonts w:hint="eastAsia" w:eastAsia="仿宋"/>
                <w:color w:val="000000"/>
                <w:sz w:val="24"/>
                <w:u w:val="single"/>
              </w:rPr>
              <w:t xml:space="preserve">  </w:t>
            </w:r>
            <w:r>
              <w:rPr>
                <w:rFonts w:eastAsia="仿宋"/>
                <w:color w:val="000000"/>
                <w:sz w:val="24"/>
                <w:u w:val="single"/>
              </w:rPr>
              <w:t xml:space="preserve"> </w:t>
            </w:r>
            <w:r>
              <w:rPr>
                <w:rFonts w:eastAsia="仿宋"/>
                <w:color w:val="000000"/>
                <w:sz w:val="24"/>
              </w:rPr>
              <w:t>年</w:t>
            </w:r>
            <w:r>
              <w:rPr>
                <w:rFonts w:hint="eastAsia" w:eastAsia="仿宋"/>
                <w:color w:val="000000"/>
                <w:sz w:val="24"/>
              </w:rPr>
              <w:t xml:space="preserve">  </w:t>
            </w:r>
            <w:r>
              <w:rPr>
                <w:rFonts w:eastAsia="仿宋"/>
                <w:color w:val="000000"/>
                <w:sz w:val="24"/>
              </w:rPr>
              <w:t xml:space="preserve"> 月～至投标截止时间止）</w:t>
            </w:r>
            <w:r>
              <w:rPr>
                <w:rFonts w:hint="eastAsia" w:eastAsia="仿宋"/>
                <w:color w:val="000000"/>
                <w:sz w:val="24"/>
              </w:rPr>
              <w:t>以项目负责人身份承担过单个合同金额（不超过招标控制价上限金额70%）万元的类似施工项目。（类似项目是指农田建设项目、灌区建设项目、小型农田水利建设项目、土地综合整治项目、农业综合开发土地治理项目、田间工程项目、烟田基本建设项目，以上项目包括新建、改建、扩建、改造等）</w:t>
            </w:r>
          </w:p>
          <w:p>
            <w:pPr>
              <w:spacing w:line="300" w:lineRule="exact"/>
              <w:ind w:firstLine="240" w:firstLineChars="100"/>
              <w:jc w:val="left"/>
              <w:rPr>
                <w:rFonts w:eastAsia="仿宋"/>
                <w:color w:val="000000"/>
                <w:sz w:val="24"/>
              </w:rPr>
            </w:pPr>
            <w:r>
              <w:rPr>
                <w:rFonts w:eastAsia="仿宋"/>
                <w:color w:val="000000"/>
                <w:sz w:val="24"/>
              </w:rPr>
              <w:t>类似工程业绩必须</w:t>
            </w:r>
            <w:r>
              <w:rPr>
                <w:rFonts w:hint="eastAsia" w:eastAsia="仿宋"/>
                <w:color w:val="000000"/>
                <w:sz w:val="24"/>
              </w:rPr>
              <w:t>在“全国建筑市场监管公共服务平台”或“湖南省智慧住建云”或“水利部水利建设市场监管平台”或“湖南省水利建设市场综合监管系统”中可查询，并附中标通知书、合同协议书、合同工程竣工或完工验收文件（由建设单位、施工单位、监理单位、设计单位盖章认可）的原件扫描件、“全国建筑市场监管公共服务平台”或“湖南省智慧住建云”或“水利建设市场监管平台”或“湖南省水利建设市场综合监管系统”的网页截图。完成时间以合同工程竣工或完工验收文件</w:t>
            </w:r>
            <w:r>
              <w:rPr>
                <w:rFonts w:eastAsia="仿宋"/>
                <w:color w:val="000000"/>
                <w:sz w:val="24"/>
              </w:rPr>
              <w:t>中建设单位签字之日为准。类似工程业绩完成时间在招标文件要求期限内的即为合格。</w:t>
            </w:r>
          </w:p>
          <w:p>
            <w:pPr>
              <w:spacing w:line="300" w:lineRule="exact"/>
              <w:ind w:firstLine="240" w:firstLineChars="100"/>
              <w:jc w:val="left"/>
              <w:rPr>
                <w:rFonts w:hint="eastAsia" w:eastAsia="仿宋"/>
                <w:color w:val="000000"/>
                <w:sz w:val="24"/>
              </w:rPr>
            </w:pPr>
            <w:r>
              <w:rPr>
                <w:rFonts w:hint="eastAsia" w:eastAsia="仿宋"/>
                <w:color w:val="000000"/>
                <w:sz w:val="24"/>
              </w:rPr>
              <w:t>项目负责人姓名不一致时，依次按照合同工程竣工或完工验收文件资料、合同和中标通知书的顺序认定。合同工程竣工或完工验收文件资料、合同和中标通知书等任一考核依据上标明的项目负责人超过一个的，仅对排序第一的项目负责人计分。相关指标不一致时，依次按照中标通知书、合同、合同工程竣工或完工验收文件资料的顺序认定。</w:t>
            </w:r>
          </w:p>
          <w:p>
            <w:pPr>
              <w:spacing w:line="300" w:lineRule="exact"/>
              <w:ind w:firstLine="240" w:firstLineChars="100"/>
              <w:jc w:val="left"/>
              <w:rPr>
                <w:rFonts w:eastAsia="仿宋"/>
                <w:color w:val="000000"/>
                <w:sz w:val="24"/>
              </w:rPr>
            </w:pPr>
            <w:r>
              <w:rPr>
                <w:rFonts w:hint="eastAsia" w:eastAsia="仿宋"/>
                <w:color w:val="000000"/>
                <w:sz w:val="24"/>
              </w:rPr>
              <w:t>变更业绩认定说明：投标截止时间前36个月内（指</w:t>
            </w:r>
            <w:r>
              <w:rPr>
                <w:rFonts w:hint="eastAsia" w:eastAsia="仿宋"/>
                <w:color w:val="000000"/>
                <w:sz w:val="24"/>
                <w:u w:val="single"/>
              </w:rPr>
              <w:t xml:space="preserve">   </w:t>
            </w:r>
            <w:r>
              <w:rPr>
                <w:rFonts w:hint="eastAsia" w:eastAsia="仿宋"/>
                <w:color w:val="000000"/>
                <w:sz w:val="24"/>
              </w:rPr>
              <w:t xml:space="preserve">年   </w:t>
            </w:r>
            <w:r>
              <w:rPr>
                <w:rFonts w:hint="eastAsia" w:eastAsia="仿宋"/>
                <w:color w:val="000000"/>
                <w:sz w:val="24"/>
                <w:u w:val="single"/>
              </w:rPr>
              <w:t xml:space="preserve">    </w:t>
            </w:r>
            <w:r>
              <w:rPr>
                <w:rFonts w:hint="eastAsia" w:eastAsia="仿宋"/>
                <w:color w:val="000000"/>
                <w:sz w:val="24"/>
              </w:rPr>
              <w:t>月～至投标截止时间止），拟任项目负责人在其他项目担任项目负责人期间发生过变更撤换且在该项目完成合同约定工作量或合同约定本职工作之前，参与本项目投标的，不对该项目负责人的类似工程业绩和奖项等计分；存在上述情形的，投标人应当在投标文件中如实说明，未如实说明的，招标人取消其中标候选人资格，并提请相关行政主管部门按规定予以信用评价扣分。（适用于：项目负责人业绩、奖项计分的项目，且投标人在投标文件中已按招标文件规定提供符合计分的项目负责人业绩或奖项证明材料。）</w:t>
            </w:r>
          </w:p>
          <w:p>
            <w:pPr>
              <w:spacing w:line="240" w:lineRule="exact"/>
              <w:ind w:firstLine="480" w:firstLineChars="200"/>
              <w:rPr>
                <w:rFonts w:hint="eastAsia" w:eastAsia="仿宋"/>
                <w:color w:val="000000"/>
                <w:sz w:val="24"/>
              </w:rPr>
            </w:pPr>
            <w:r>
              <w:rPr>
                <w:rFonts w:hint="eastAsia" w:ascii="汉仪书宋二S" w:hAnsi="汉仪书宋二S" w:eastAsia="汉仪书宋二S" w:cs="汉仪书宋二S"/>
                <w:color w:val="000000"/>
                <w:sz w:val="24"/>
              </w:rPr>
              <w:t>②</w:t>
            </w:r>
            <w:r>
              <w:rPr>
                <w:rFonts w:hint="eastAsia" w:eastAsia="仿宋"/>
                <w:color w:val="000000"/>
                <w:sz w:val="24"/>
              </w:rPr>
              <w:t>拟任技术负责人</w:t>
            </w:r>
          </w:p>
          <w:p>
            <w:pPr>
              <w:spacing w:line="240" w:lineRule="exact"/>
              <w:ind w:firstLine="480" w:firstLineChars="200"/>
              <w:rPr>
                <w:rFonts w:hint="eastAsia" w:eastAsia="仿宋"/>
                <w:color w:val="000000"/>
                <w:sz w:val="24"/>
              </w:rPr>
            </w:pPr>
            <w:r>
              <w:rPr>
                <w:rFonts w:hint="eastAsia" w:eastAsia="仿宋"/>
                <w:color w:val="000000"/>
                <w:sz w:val="24"/>
              </w:rPr>
              <w:t>类似经验业绩要求：投标截止时间前36个月内（指   年   月～至投标截止时间止）以技术负责人身份承担过单个合同金额（不超过招标控制价上限金额70%）万元的类似施工项目。（类似项目是指农田建设项目、灌区建设项目、小型农田水利建设项目、土地综合整治项目、农业综合开发土地治理项目、田间工程项目、烟田基本建设项目，以上项目包括新建、改建、扩建、改造等）</w:t>
            </w:r>
          </w:p>
          <w:p>
            <w:pPr>
              <w:spacing w:line="240" w:lineRule="exact"/>
              <w:ind w:firstLine="480" w:firstLineChars="200"/>
              <w:rPr>
                <w:rFonts w:hint="eastAsia" w:eastAsia="仿宋"/>
                <w:color w:val="000000"/>
                <w:sz w:val="24"/>
              </w:rPr>
            </w:pPr>
            <w:r>
              <w:rPr>
                <w:rFonts w:hint="eastAsia" w:eastAsia="仿宋"/>
                <w:color w:val="000000"/>
                <w:sz w:val="24"/>
              </w:rPr>
              <w:t>类似工程业绩必须在“全国建筑市场监管公共服务平台”或“湖南省智慧住建云”或“水利部水利建设市场监管平台”或“湖南省水利建设市场综合监管系统”中可查询，并附中标通知书、合同协议书、合同工程竣工或完工验收文件（由建设单位、施工单位、监理单位、设计单位盖章认可）的原件扫描件、“全国建筑市场监管公共服务平台”或“湖南省智慧住建云”或“水利建设市场监管平台”或“湖南省水利建设市场综合监管系统”的网页截图。完成时间以合同工程竣工或完工验收文件中建设单位签字之日为准。类似工程业绩完成时间在招标文件要求期限内的即为合格。</w:t>
            </w:r>
          </w:p>
          <w:p>
            <w:pPr>
              <w:spacing w:line="300" w:lineRule="exact"/>
              <w:ind w:firstLine="240" w:firstLineChars="100"/>
              <w:jc w:val="left"/>
              <w:rPr>
                <w:rFonts w:hint="eastAsia" w:eastAsia="仿宋"/>
                <w:color w:val="000000"/>
                <w:sz w:val="24"/>
              </w:rPr>
            </w:pPr>
            <w:r>
              <w:rPr>
                <w:rFonts w:hint="eastAsia" w:eastAsia="仿宋"/>
                <w:color w:val="000000"/>
                <w:sz w:val="24"/>
              </w:rPr>
              <w:t>（4）类似业绩需提供资料：</w:t>
            </w:r>
          </w:p>
          <w:p>
            <w:pPr>
              <w:spacing w:line="300" w:lineRule="exact"/>
              <w:ind w:firstLine="240" w:firstLineChars="100"/>
              <w:jc w:val="left"/>
              <w:rPr>
                <w:rFonts w:hint="eastAsia" w:eastAsia="仿宋"/>
                <w:color w:val="000000"/>
                <w:sz w:val="24"/>
              </w:rPr>
            </w:pPr>
            <w:r>
              <w:rPr>
                <w:rFonts w:hint="eastAsia" w:eastAsia="仿宋"/>
                <w:color w:val="000000"/>
                <w:sz w:val="24"/>
              </w:rPr>
              <w:t>①中标通知书</w:t>
            </w:r>
          </w:p>
          <w:p>
            <w:pPr>
              <w:spacing w:line="300" w:lineRule="exact"/>
              <w:ind w:firstLine="240" w:firstLineChars="100"/>
              <w:jc w:val="left"/>
              <w:rPr>
                <w:rFonts w:hint="eastAsia" w:eastAsia="仿宋"/>
                <w:color w:val="000000"/>
                <w:sz w:val="24"/>
              </w:rPr>
            </w:pPr>
            <w:r>
              <w:rPr>
                <w:rFonts w:hint="eastAsia" w:eastAsia="仿宋"/>
                <w:color w:val="000000"/>
                <w:sz w:val="24"/>
              </w:rPr>
              <w:t>②合同协议书</w:t>
            </w:r>
          </w:p>
          <w:p>
            <w:pPr>
              <w:spacing w:line="300" w:lineRule="exact"/>
              <w:ind w:firstLine="240" w:firstLineChars="100"/>
              <w:jc w:val="left"/>
              <w:rPr>
                <w:rFonts w:hint="eastAsia" w:eastAsia="仿宋"/>
                <w:color w:val="000000"/>
                <w:sz w:val="24"/>
              </w:rPr>
            </w:pPr>
            <w:r>
              <w:rPr>
                <w:rFonts w:hint="eastAsia" w:eastAsia="仿宋"/>
                <w:color w:val="000000"/>
                <w:sz w:val="24"/>
              </w:rPr>
              <w:t>③合同工程竣工或完工验收文件（由建设单位、施工单位、监理单位、设计单位盖章认可）的原件扫描件</w:t>
            </w:r>
          </w:p>
          <w:p>
            <w:pPr>
              <w:spacing w:line="300" w:lineRule="exact"/>
              <w:ind w:firstLine="240" w:firstLineChars="100"/>
              <w:jc w:val="left"/>
              <w:rPr>
                <w:rFonts w:hint="eastAsia" w:eastAsia="仿宋"/>
                <w:color w:val="000000"/>
                <w:sz w:val="24"/>
              </w:rPr>
            </w:pPr>
            <w:r>
              <w:rPr>
                <w:rFonts w:hint="eastAsia" w:eastAsia="仿宋"/>
                <w:color w:val="000000"/>
                <w:sz w:val="24"/>
              </w:rPr>
              <w:t>④“全国建筑市场监管公共服务平台”或“湖南省智慧住建云”或“水利建设市场监管平台”或“湖南省水利建设市场综合监管系统”的网页截图。</w:t>
            </w:r>
          </w:p>
          <w:p>
            <w:pPr>
              <w:spacing w:line="300" w:lineRule="exact"/>
              <w:ind w:firstLine="240" w:firstLineChars="100"/>
              <w:jc w:val="left"/>
              <w:rPr>
                <w:rFonts w:eastAsia="仿宋"/>
                <w:color w:val="000000"/>
                <w:sz w:val="24"/>
              </w:rPr>
            </w:pPr>
            <w:r>
              <w:rPr>
                <w:rFonts w:hint="eastAsia" w:eastAsia="仿宋"/>
                <w:color w:val="000000"/>
                <w:sz w:val="24"/>
              </w:rPr>
              <w:t xml:space="preserve"> 以上四项缺任何一项视为其类似业绩不合格。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noWrap w:val="0"/>
            <w:vAlign w:val="center"/>
          </w:tcPr>
          <w:p>
            <w:pPr>
              <w:spacing w:line="300" w:lineRule="exact"/>
              <w:jc w:val="center"/>
              <w:rPr>
                <w:rFonts w:eastAsia="仿宋"/>
                <w:color w:val="000000"/>
                <w:sz w:val="24"/>
              </w:rPr>
            </w:pPr>
            <w:r>
              <w:rPr>
                <w:rFonts w:eastAsia="仿宋"/>
                <w:color w:val="000000"/>
                <w:sz w:val="24"/>
              </w:rPr>
              <w:t>10.2</w:t>
            </w:r>
          </w:p>
        </w:tc>
        <w:tc>
          <w:tcPr>
            <w:tcW w:w="1948" w:type="dxa"/>
            <w:noWrap w:val="0"/>
            <w:vAlign w:val="center"/>
          </w:tcPr>
          <w:p>
            <w:pPr>
              <w:spacing w:line="300" w:lineRule="exact"/>
              <w:jc w:val="center"/>
              <w:rPr>
                <w:rFonts w:eastAsia="仿宋"/>
                <w:color w:val="000000"/>
                <w:sz w:val="24"/>
              </w:rPr>
            </w:pPr>
            <w:r>
              <w:rPr>
                <w:rFonts w:eastAsia="仿宋"/>
                <w:color w:val="000000"/>
                <w:sz w:val="24"/>
              </w:rPr>
              <w:t>原件</w:t>
            </w:r>
          </w:p>
        </w:tc>
        <w:tc>
          <w:tcPr>
            <w:tcW w:w="6562" w:type="dxa"/>
            <w:noWrap w:val="0"/>
            <w:vAlign w:val="center"/>
          </w:tcPr>
          <w:p>
            <w:pPr>
              <w:spacing w:line="300" w:lineRule="exact"/>
              <w:ind w:left="360"/>
              <w:rPr>
                <w:rFonts w:eastAsia="仿宋"/>
                <w:color w:val="000000"/>
                <w:sz w:val="24"/>
              </w:rPr>
            </w:pPr>
            <w:r>
              <w:rPr>
                <w:rFonts w:eastAsia="仿宋"/>
                <w:b/>
                <w:color w:val="000000"/>
                <w:sz w:val="24"/>
              </w:rPr>
              <w:t>不提交</w:t>
            </w:r>
            <w:r>
              <w:rPr>
                <w:rFonts w:eastAsia="仿宋"/>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985" w:type="dxa"/>
            <w:noWrap w:val="0"/>
            <w:vAlign w:val="center"/>
          </w:tcPr>
          <w:p>
            <w:pPr>
              <w:snapToGrid w:val="0"/>
              <w:spacing w:line="300" w:lineRule="exact"/>
              <w:jc w:val="center"/>
              <w:rPr>
                <w:rFonts w:eastAsia="仿宋"/>
                <w:color w:val="000000"/>
                <w:sz w:val="24"/>
              </w:rPr>
            </w:pPr>
            <w:r>
              <w:rPr>
                <w:rFonts w:eastAsia="仿宋"/>
                <w:color w:val="000000"/>
                <w:sz w:val="24"/>
              </w:rPr>
              <w:t>10.3</w:t>
            </w:r>
          </w:p>
        </w:tc>
        <w:tc>
          <w:tcPr>
            <w:tcW w:w="1948" w:type="dxa"/>
            <w:noWrap w:val="0"/>
            <w:vAlign w:val="center"/>
          </w:tcPr>
          <w:p>
            <w:pPr>
              <w:pStyle w:val="106"/>
              <w:spacing w:line="300" w:lineRule="exact"/>
              <w:jc w:val="center"/>
              <w:rPr>
                <w:rFonts w:ascii="Times New Roman" w:eastAsia="仿宋" w:cs="Times New Roman"/>
              </w:rPr>
            </w:pPr>
            <w:r>
              <w:rPr>
                <w:rFonts w:ascii="Times New Roman" w:eastAsia="仿宋" w:cs="Times New Roman"/>
              </w:rPr>
              <w:t>工程结算款支付账户</w:t>
            </w:r>
          </w:p>
        </w:tc>
        <w:tc>
          <w:tcPr>
            <w:tcW w:w="6562" w:type="dxa"/>
            <w:noWrap w:val="0"/>
            <w:vAlign w:val="center"/>
          </w:tcPr>
          <w:p>
            <w:pPr>
              <w:pStyle w:val="106"/>
              <w:spacing w:line="300" w:lineRule="exact"/>
              <w:ind w:firstLine="480" w:firstLineChars="200"/>
              <w:jc w:val="both"/>
              <w:rPr>
                <w:rFonts w:ascii="Times New Roman" w:eastAsia="仿宋" w:cs="Times New Roman"/>
              </w:rPr>
            </w:pPr>
            <w:r>
              <w:rPr>
                <w:rFonts w:ascii="Times New Roman" w:eastAsia="仿宋" w:cs="Times New Roman"/>
              </w:rPr>
              <w:t>投标人必须在投标文件中列明工程结算款支付账户</w:t>
            </w:r>
            <w:r>
              <w:rPr>
                <w:rFonts w:hint="eastAsia" w:ascii="Times New Roman" w:eastAsia="仿宋" w:cs="Times New Roman"/>
              </w:rPr>
              <w:t>，</w:t>
            </w:r>
            <w:r>
              <w:rPr>
                <w:rFonts w:ascii="Times New Roman" w:eastAsia="仿宋" w:cs="Times New Roman"/>
              </w:rPr>
              <w:t>该账户应是投标人的基本账户，项目法人支付工程款（工程款中的农民工工资与其他工程款项实行分账管理，每月足额拨付至农民工工资专用账户）必须拨付到中标人基本账户。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noWrap w:val="0"/>
            <w:vAlign w:val="center"/>
          </w:tcPr>
          <w:p>
            <w:pPr>
              <w:snapToGrid w:val="0"/>
              <w:spacing w:line="300" w:lineRule="exact"/>
              <w:jc w:val="center"/>
              <w:rPr>
                <w:rFonts w:eastAsia="仿宋"/>
                <w:color w:val="000000"/>
                <w:sz w:val="24"/>
              </w:rPr>
            </w:pPr>
            <w:r>
              <w:rPr>
                <w:rFonts w:eastAsia="仿宋"/>
                <w:color w:val="000000"/>
                <w:sz w:val="24"/>
              </w:rPr>
              <w:t>10.4</w:t>
            </w:r>
          </w:p>
        </w:tc>
        <w:tc>
          <w:tcPr>
            <w:tcW w:w="1948" w:type="dxa"/>
            <w:noWrap w:val="0"/>
            <w:vAlign w:val="center"/>
          </w:tcPr>
          <w:p>
            <w:pPr>
              <w:pStyle w:val="106"/>
              <w:spacing w:line="300" w:lineRule="exact"/>
              <w:jc w:val="center"/>
              <w:rPr>
                <w:rFonts w:ascii="Times New Roman" w:eastAsia="仿宋" w:cs="Times New Roman"/>
              </w:rPr>
            </w:pPr>
            <w:r>
              <w:rPr>
                <w:rFonts w:ascii="Times New Roman" w:eastAsia="仿宋" w:cs="Times New Roman"/>
              </w:rPr>
              <w:t>招标代理费及建设工程交易费等</w:t>
            </w:r>
          </w:p>
        </w:tc>
        <w:tc>
          <w:tcPr>
            <w:tcW w:w="6562" w:type="dxa"/>
            <w:noWrap w:val="0"/>
            <w:vAlign w:val="center"/>
          </w:tcPr>
          <w:p>
            <w:pPr>
              <w:autoSpaceDE w:val="0"/>
              <w:autoSpaceDN w:val="0"/>
              <w:adjustRightInd w:val="0"/>
              <w:spacing w:line="300" w:lineRule="exact"/>
              <w:ind w:left="120" w:hanging="120" w:hangingChars="50"/>
              <w:jc w:val="left"/>
              <w:rPr>
                <w:rFonts w:eastAsia="仿宋"/>
                <w:color w:val="000000"/>
                <w:sz w:val="24"/>
              </w:rPr>
            </w:pPr>
            <w:r>
              <w:rPr>
                <w:rFonts w:eastAsia="仿宋"/>
                <w:color w:val="000000"/>
                <w:sz w:val="24"/>
              </w:rPr>
              <w:t>（1）招标代理费：</w:t>
            </w:r>
            <w:r>
              <w:rPr>
                <w:rFonts w:eastAsia="仿宋"/>
                <w:color w:val="000000"/>
                <w:kern w:val="0"/>
                <w:sz w:val="24"/>
                <w:u w:val="single"/>
              </w:rPr>
              <w:t xml:space="preserve">                </w:t>
            </w:r>
            <w:r>
              <w:rPr>
                <w:rFonts w:eastAsia="仿宋"/>
                <w:color w:val="000000"/>
                <w:sz w:val="24"/>
              </w:rPr>
              <w:t>。</w:t>
            </w:r>
          </w:p>
          <w:p>
            <w:pPr>
              <w:pStyle w:val="106"/>
              <w:snapToGrid w:val="0"/>
              <w:spacing w:line="300" w:lineRule="exact"/>
              <w:rPr>
                <w:rFonts w:ascii="Times New Roman" w:eastAsia="仿宋" w:cs="Times New Roman"/>
              </w:rPr>
            </w:pPr>
            <w:r>
              <w:rPr>
                <w:rFonts w:ascii="Times New Roman" w:eastAsia="仿宋" w:cs="Times New Roman"/>
              </w:rPr>
              <w:t>（2）建设工程交易费：</w:t>
            </w:r>
            <w:r>
              <w:rPr>
                <w:rFonts w:ascii="Times New Roman" w:eastAsia="仿宋" w:cs="Times New Roman"/>
                <w:u w:val="single"/>
              </w:rPr>
              <w:t xml:space="preserve">            </w:t>
            </w:r>
            <w:r>
              <w:rPr>
                <w:rFonts w:ascii="Times New Roman" w:eastAsia="仿宋" w:cs="Times New Roman"/>
              </w:rPr>
              <w:t>。</w:t>
            </w:r>
          </w:p>
          <w:p>
            <w:pPr>
              <w:pStyle w:val="106"/>
              <w:snapToGrid w:val="0"/>
              <w:spacing w:line="300" w:lineRule="exact"/>
              <w:rPr>
                <w:rFonts w:ascii="Times New Roman" w:eastAsia="仿宋" w:cs="Times New Roman"/>
              </w:rPr>
            </w:pPr>
            <w:r>
              <w:rPr>
                <w:rFonts w:ascii="Times New Roman" w:eastAsia="仿宋" w:cs="Times New Roman"/>
              </w:rPr>
              <w:t>（3）</w:t>
            </w:r>
            <w:r>
              <w:rPr>
                <w:rFonts w:ascii="Times New Roman" w:eastAsia="仿宋" w:cs="Times New Roman"/>
                <w:u w:val="single"/>
              </w:rPr>
              <w:t xml:space="preserve">                            </w:t>
            </w:r>
            <w:r>
              <w:rPr>
                <w:rFonts w:ascii="Times New Roman" w:eastAsia="仿宋"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6" w:hRule="atLeast"/>
          <w:jc w:val="center"/>
        </w:trPr>
        <w:tc>
          <w:tcPr>
            <w:tcW w:w="985" w:type="dxa"/>
            <w:noWrap w:val="0"/>
            <w:vAlign w:val="center"/>
          </w:tcPr>
          <w:p>
            <w:pPr>
              <w:snapToGrid w:val="0"/>
              <w:spacing w:line="300" w:lineRule="exact"/>
              <w:jc w:val="center"/>
              <w:rPr>
                <w:rFonts w:eastAsia="仿宋"/>
                <w:color w:val="000000"/>
                <w:sz w:val="24"/>
              </w:rPr>
            </w:pPr>
            <w:r>
              <w:rPr>
                <w:rFonts w:eastAsia="仿宋"/>
                <w:color w:val="000000"/>
                <w:sz w:val="24"/>
              </w:rPr>
              <w:t>10.5</w:t>
            </w:r>
          </w:p>
        </w:tc>
        <w:tc>
          <w:tcPr>
            <w:tcW w:w="1948" w:type="dxa"/>
            <w:noWrap w:val="0"/>
            <w:vAlign w:val="center"/>
          </w:tcPr>
          <w:p>
            <w:pPr>
              <w:pStyle w:val="106"/>
              <w:spacing w:line="300" w:lineRule="exact"/>
              <w:jc w:val="center"/>
              <w:rPr>
                <w:rFonts w:ascii="Times New Roman" w:eastAsia="仿宋" w:cs="Times New Roman"/>
              </w:rPr>
            </w:pPr>
            <w:r>
              <w:rPr>
                <w:rFonts w:ascii="Times New Roman" w:eastAsia="仿宋" w:cs="Times New Roman"/>
                <w:b/>
              </w:rPr>
              <w:t>最高投标限价</w:t>
            </w:r>
          </w:p>
        </w:tc>
        <w:tc>
          <w:tcPr>
            <w:tcW w:w="6562" w:type="dxa"/>
            <w:noWrap w:val="0"/>
            <w:vAlign w:val="center"/>
          </w:tcPr>
          <w:p>
            <w:pPr>
              <w:pStyle w:val="106"/>
              <w:spacing w:line="300" w:lineRule="exact"/>
              <w:jc w:val="both"/>
              <w:rPr>
                <w:rFonts w:ascii="Times New Roman" w:eastAsia="仿宋" w:cs="Times New Roman"/>
              </w:rPr>
            </w:pPr>
          </w:p>
          <w:p>
            <w:pPr>
              <w:pStyle w:val="106"/>
              <w:spacing w:line="300" w:lineRule="exact"/>
              <w:jc w:val="both"/>
              <w:rPr>
                <w:rFonts w:ascii="Times New Roman" w:eastAsia="仿宋" w:cs="Times New Roman"/>
              </w:rPr>
            </w:pPr>
            <w:r>
              <w:rPr>
                <w:rFonts w:ascii="Times New Roman" w:eastAsia="仿宋" w:cs="Times New Roman"/>
              </w:rPr>
              <w:t>□</w:t>
            </w:r>
            <w:r>
              <w:rPr>
                <w:rFonts w:ascii="Times New Roman" w:eastAsia="仿宋" w:cs="Times New Roman"/>
                <w:b/>
              </w:rPr>
              <w:t xml:space="preserve"> 设投标总价</w:t>
            </w:r>
            <w:r>
              <w:rPr>
                <w:rFonts w:hint="eastAsia" w:ascii="Times New Roman" w:eastAsia="仿宋" w:cs="Times New Roman"/>
                <w:b/>
              </w:rPr>
              <w:t>和单价</w:t>
            </w:r>
            <w:r>
              <w:rPr>
                <w:rFonts w:ascii="Times New Roman" w:eastAsia="仿宋" w:cs="Times New Roman"/>
                <w:b/>
              </w:rPr>
              <w:t>最高投标限价：</w:t>
            </w:r>
            <w:r>
              <w:rPr>
                <w:rFonts w:ascii="Times New Roman" w:eastAsia="仿宋" w:cs="Times New Roman"/>
                <w:b/>
                <w:u w:val="single"/>
              </w:rPr>
              <w:t xml:space="preserve">                   </w:t>
            </w:r>
            <w:r>
              <w:rPr>
                <w:rFonts w:ascii="Times New Roman" w:eastAsia="仿宋" w:cs="Times New Roman"/>
              </w:rPr>
              <w:t>。</w:t>
            </w:r>
          </w:p>
          <w:p>
            <w:pPr>
              <w:pStyle w:val="106"/>
              <w:spacing w:line="300" w:lineRule="exact"/>
              <w:jc w:val="both"/>
              <w:rPr>
                <w:rFonts w:ascii="Times New Roman" w:eastAsia="仿宋" w:cs="Times New Roman"/>
              </w:rPr>
            </w:pPr>
          </w:p>
          <w:p>
            <w:pPr>
              <w:pStyle w:val="106"/>
              <w:spacing w:line="300" w:lineRule="exact"/>
              <w:jc w:val="both"/>
              <w:rPr>
                <w:rFonts w:ascii="Times New Roman" w:eastAsia="仿宋" w:cs="Times New Roman"/>
              </w:rPr>
            </w:pPr>
            <w:r>
              <w:rPr>
                <w:rFonts w:ascii="Times New Roman" w:eastAsia="仿宋" w:cs="Times New Roman"/>
              </w:rPr>
              <w:t>□</w:t>
            </w:r>
            <w:r>
              <w:rPr>
                <w:rFonts w:ascii="Times New Roman" w:eastAsia="仿宋" w:cs="Times New Roman"/>
                <w:b/>
              </w:rPr>
              <w:t xml:space="preserve"> 设投标总价和/或分项总价（报价）和/或单价最高投标限价：</w:t>
            </w:r>
            <w:r>
              <w:rPr>
                <w:rFonts w:ascii="Times New Roman" w:eastAsia="仿宋" w:cs="Times New Roman"/>
                <w:b/>
                <w:u w:val="single"/>
              </w:rPr>
              <w:t xml:space="preserve">    详见投标人须知正文第10.5款    </w:t>
            </w:r>
            <w:r>
              <w:rPr>
                <w:rFonts w:ascii="Times New Roman" w:eastAsia="仿宋" w:cs="Times New Roman"/>
              </w:rPr>
              <w:t>。</w:t>
            </w:r>
          </w:p>
          <w:p>
            <w:pPr>
              <w:pStyle w:val="106"/>
              <w:spacing w:line="300" w:lineRule="exact"/>
              <w:jc w:val="both"/>
              <w:rPr>
                <w:rFonts w:ascii="Times New Roman" w:eastAsia="仿宋" w:cs="Times New Roman"/>
              </w:rPr>
            </w:pPr>
          </w:p>
          <w:p>
            <w:pPr>
              <w:pStyle w:val="106"/>
              <w:spacing w:line="300" w:lineRule="exact"/>
              <w:jc w:val="both"/>
              <w:rPr>
                <w:rFonts w:ascii="Times New Roman" w:eastAsia="仿宋" w:cs="Times New Roman"/>
              </w:rPr>
            </w:pPr>
            <w:r>
              <w:rPr>
                <w:rFonts w:ascii="Times New Roman" w:eastAsia="仿宋" w:cs="Times New Roman"/>
              </w:rPr>
              <w:t xml:space="preserve">□ </w:t>
            </w:r>
            <w:r>
              <w:rPr>
                <w:rFonts w:ascii="Times New Roman" w:eastAsia="仿宋" w:cs="Times New Roman"/>
                <w:b/>
              </w:rPr>
              <w:t>最高投标限价计算方法：</w:t>
            </w:r>
            <w:r>
              <w:rPr>
                <w:rFonts w:ascii="Times New Roman" w:eastAsia="仿宋" w:cs="Times New Roman"/>
                <w:b/>
                <w:u w:val="single"/>
              </w:rPr>
              <w:t xml:space="preserve">                     </w:t>
            </w:r>
            <w:r>
              <w:rPr>
                <w:rFonts w:ascii="Times New Roman" w:eastAsia="仿宋" w:cs="Times New Roman"/>
              </w:rPr>
              <w:t>。</w:t>
            </w:r>
          </w:p>
          <w:p>
            <w:pPr>
              <w:pStyle w:val="106"/>
              <w:spacing w:line="300" w:lineRule="exact"/>
              <w:jc w:val="both"/>
              <w:rPr>
                <w:rFonts w:ascii="Times New Roman" w:eastAsia="仿宋" w:cs="Times New Roman"/>
              </w:rPr>
            </w:pPr>
          </w:p>
          <w:p>
            <w:pPr>
              <w:pStyle w:val="106"/>
              <w:spacing w:line="300" w:lineRule="exact"/>
              <w:ind w:firstLine="482" w:firstLineChars="200"/>
              <w:jc w:val="both"/>
              <w:rPr>
                <w:rFonts w:ascii="Times New Roman" w:eastAsia="仿宋" w:cs="Times New Roman"/>
              </w:rPr>
            </w:pPr>
            <w:r>
              <w:rPr>
                <w:rFonts w:eastAsia="仿宋"/>
                <w:b/>
                <w:bCs/>
              </w:rPr>
              <w:t>安全生产费用以招标人最高投标限价（不含安全生产费用及建筑工程一切险和第三者责任险等保险费用）的2.0％标准计取，并在招标文件《其它项目清单计价表》中以固定值单列，投标人投标文件中均以该固定值报价，不得作为竞争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985" w:type="dxa"/>
            <w:noWrap w:val="0"/>
            <w:vAlign w:val="center"/>
          </w:tcPr>
          <w:p>
            <w:pPr>
              <w:snapToGrid w:val="0"/>
              <w:spacing w:line="300" w:lineRule="exact"/>
              <w:jc w:val="center"/>
              <w:rPr>
                <w:rFonts w:eastAsia="仿宋"/>
                <w:color w:val="000000"/>
                <w:sz w:val="24"/>
              </w:rPr>
            </w:pPr>
            <w:r>
              <w:rPr>
                <w:rFonts w:eastAsia="仿宋"/>
                <w:color w:val="000000"/>
                <w:sz w:val="24"/>
              </w:rPr>
              <w:t>10.6</w:t>
            </w:r>
          </w:p>
        </w:tc>
        <w:tc>
          <w:tcPr>
            <w:tcW w:w="1948" w:type="dxa"/>
            <w:noWrap w:val="0"/>
            <w:vAlign w:val="center"/>
          </w:tcPr>
          <w:p>
            <w:pPr>
              <w:pStyle w:val="106"/>
              <w:adjustRightInd/>
              <w:spacing w:line="300" w:lineRule="exact"/>
              <w:jc w:val="center"/>
              <w:rPr>
                <w:rFonts w:ascii="Times New Roman" w:eastAsia="仿宋" w:cs="Times New Roman"/>
              </w:rPr>
            </w:pPr>
            <w:r>
              <w:rPr>
                <w:rFonts w:ascii="Times New Roman" w:eastAsia="仿宋" w:cs="Times New Roman"/>
              </w:rPr>
              <w:t>技术投标文件（施工组织设计）</w:t>
            </w:r>
          </w:p>
        </w:tc>
        <w:tc>
          <w:tcPr>
            <w:tcW w:w="6562" w:type="dxa"/>
            <w:noWrap w:val="0"/>
            <w:vAlign w:val="center"/>
          </w:tcPr>
          <w:p>
            <w:pPr>
              <w:spacing w:line="300" w:lineRule="exact"/>
              <w:ind w:firstLine="480" w:firstLineChars="200"/>
              <w:rPr>
                <w:rFonts w:eastAsia="仿宋"/>
                <w:color w:val="000000"/>
                <w:sz w:val="24"/>
              </w:rPr>
            </w:pPr>
            <w:r>
              <w:rPr>
                <w:rFonts w:eastAsia="仿宋"/>
                <w:color w:val="000000"/>
                <w:sz w:val="24"/>
              </w:rPr>
              <w:t>投标人应严格按照第八章“投标文件格式”第二部分技术投标文件格式的要求编制技术投标文件。</w:t>
            </w:r>
          </w:p>
          <w:p>
            <w:pPr>
              <w:spacing w:line="300" w:lineRule="exact"/>
              <w:ind w:firstLine="482" w:firstLineChars="200"/>
              <w:rPr>
                <w:rFonts w:eastAsia="仿宋"/>
                <w:b/>
                <w:color w:val="000000"/>
                <w:sz w:val="24"/>
              </w:rPr>
            </w:pPr>
            <w:r>
              <w:rPr>
                <w:rFonts w:eastAsia="仿宋"/>
                <w:b/>
                <w:color w:val="000000"/>
                <w:sz w:val="24"/>
              </w:rPr>
              <w:t>技术投标文件采用“暗标”评审方式。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1" w:hRule="atLeast"/>
          <w:jc w:val="center"/>
        </w:trPr>
        <w:tc>
          <w:tcPr>
            <w:tcW w:w="985" w:type="dxa"/>
            <w:noWrap w:val="0"/>
            <w:vAlign w:val="center"/>
          </w:tcPr>
          <w:p>
            <w:pPr>
              <w:snapToGrid w:val="0"/>
              <w:spacing w:line="300" w:lineRule="exact"/>
              <w:jc w:val="center"/>
              <w:rPr>
                <w:rFonts w:eastAsia="仿宋"/>
                <w:color w:val="000000"/>
                <w:sz w:val="24"/>
              </w:rPr>
            </w:pPr>
            <w:r>
              <w:rPr>
                <w:rFonts w:eastAsia="仿宋"/>
                <w:color w:val="000000"/>
                <w:sz w:val="24"/>
              </w:rPr>
              <w:t>10.7</w:t>
            </w:r>
          </w:p>
        </w:tc>
        <w:tc>
          <w:tcPr>
            <w:tcW w:w="1948" w:type="dxa"/>
            <w:noWrap w:val="0"/>
            <w:vAlign w:val="center"/>
          </w:tcPr>
          <w:p>
            <w:pPr>
              <w:pStyle w:val="106"/>
              <w:spacing w:line="300" w:lineRule="exact"/>
              <w:jc w:val="center"/>
              <w:rPr>
                <w:rFonts w:ascii="Times New Roman" w:eastAsia="仿宋" w:cs="Times New Roman"/>
              </w:rPr>
            </w:pPr>
            <w:r>
              <w:rPr>
                <w:rFonts w:ascii="Times New Roman" w:eastAsia="仿宋" w:cs="Times New Roman"/>
              </w:rPr>
              <w:t>资料核查</w:t>
            </w:r>
          </w:p>
        </w:tc>
        <w:tc>
          <w:tcPr>
            <w:tcW w:w="6562" w:type="dxa"/>
            <w:noWrap w:val="0"/>
            <w:vAlign w:val="center"/>
          </w:tcPr>
          <w:p>
            <w:pPr>
              <w:pStyle w:val="106"/>
              <w:adjustRightInd/>
              <w:spacing w:line="300" w:lineRule="exact"/>
              <w:ind w:firstLine="480" w:firstLineChars="200"/>
              <w:rPr>
                <w:rFonts w:ascii="Times New Roman" w:eastAsia="仿宋" w:cs="Times New Roman"/>
              </w:rPr>
            </w:pPr>
            <w:r>
              <w:rPr>
                <w:rFonts w:ascii="Times New Roman" w:eastAsia="仿宋" w:cs="Times New Roman"/>
              </w:rPr>
              <w:t>投标人以他人名义投标或者以其他方式弄虚作假</w:t>
            </w:r>
            <w:r>
              <w:rPr>
                <w:rFonts w:hint="eastAsia" w:ascii="Times New Roman" w:eastAsia="仿宋" w:cs="Times New Roman"/>
              </w:rPr>
              <w:t>等</w:t>
            </w:r>
            <w:r>
              <w:rPr>
                <w:rFonts w:ascii="Times New Roman" w:eastAsia="仿宋" w:cs="Times New Roman"/>
              </w:rPr>
              <w:t>骗取中标的，中标无效，招标人有权按招标文件有关规定追究其责任，同时将上述情况报送</w:t>
            </w:r>
            <w:r>
              <w:rPr>
                <w:rFonts w:hint="eastAsia" w:ascii="Times New Roman" w:eastAsia="仿宋" w:cs="Times New Roman"/>
              </w:rPr>
              <w:t>相应</w:t>
            </w:r>
            <w:r>
              <w:rPr>
                <w:rFonts w:ascii="Times New Roman" w:eastAsia="仿宋" w:cs="Times New Roman"/>
              </w:rPr>
              <w:t>监管部门，由行政主管部门依法对其进行处罚和实施信用惩戒。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1" w:hRule="atLeast"/>
          <w:jc w:val="center"/>
        </w:trPr>
        <w:tc>
          <w:tcPr>
            <w:tcW w:w="985" w:type="dxa"/>
            <w:noWrap w:val="0"/>
            <w:vAlign w:val="center"/>
          </w:tcPr>
          <w:p>
            <w:pPr>
              <w:snapToGrid w:val="0"/>
              <w:spacing w:line="300" w:lineRule="exact"/>
              <w:jc w:val="center"/>
              <w:rPr>
                <w:rFonts w:eastAsia="仿宋"/>
                <w:color w:val="000000"/>
                <w:sz w:val="24"/>
              </w:rPr>
            </w:pPr>
            <w:r>
              <w:rPr>
                <w:rFonts w:hint="eastAsia" w:eastAsia="仿宋"/>
                <w:color w:val="000000"/>
                <w:sz w:val="24"/>
              </w:rPr>
              <w:t>10.8</w:t>
            </w:r>
          </w:p>
        </w:tc>
        <w:tc>
          <w:tcPr>
            <w:tcW w:w="1948" w:type="dxa"/>
            <w:noWrap w:val="0"/>
            <w:vAlign w:val="center"/>
          </w:tcPr>
          <w:p>
            <w:pPr>
              <w:pStyle w:val="106"/>
              <w:spacing w:line="300" w:lineRule="exact"/>
              <w:jc w:val="both"/>
              <w:rPr>
                <w:rFonts w:ascii="Times New Roman" w:eastAsia="仿宋" w:cs="Times New Roman"/>
              </w:rPr>
            </w:pPr>
            <w:r>
              <w:rPr>
                <w:rFonts w:hint="eastAsia" w:ascii="Times New Roman" w:eastAsia="仿宋" w:cs="Times New Roman"/>
              </w:rPr>
              <w:t>技术负责人相关专业</w:t>
            </w:r>
          </w:p>
        </w:tc>
        <w:tc>
          <w:tcPr>
            <w:tcW w:w="6562" w:type="dxa"/>
            <w:noWrap w:val="0"/>
            <w:vAlign w:val="center"/>
          </w:tcPr>
          <w:p>
            <w:pPr>
              <w:pStyle w:val="106"/>
              <w:adjustRightInd/>
              <w:spacing w:line="300" w:lineRule="exact"/>
              <w:ind w:firstLine="480" w:firstLineChars="200"/>
              <w:rPr>
                <w:rFonts w:ascii="Times New Roman" w:eastAsia="仿宋" w:cs="Times New Roman"/>
              </w:rPr>
            </w:pPr>
            <w:r>
              <w:rPr>
                <w:rFonts w:ascii="Times New Roman" w:eastAsia="仿宋" w:cs="Times New Roman"/>
              </w:rPr>
              <w:t>建筑工程相关专业职称包括土木工程、工民建、结构、建筑施工、建筑工程、给排水、电气等</w:t>
            </w:r>
            <w:r>
              <w:rPr>
                <w:rFonts w:hint="eastAsia" w:ascii="Times New Roman" w:eastAsia="仿宋" w:cs="Times New Roman"/>
              </w:rPr>
              <w:t>相关</w:t>
            </w:r>
            <w:r>
              <w:rPr>
                <w:rFonts w:ascii="Times New Roman" w:eastAsia="仿宋" w:cs="Times New Roman"/>
              </w:rPr>
              <w:t>专业职称</w:t>
            </w:r>
            <w:r>
              <w:rPr>
                <w:rFonts w:hint="eastAsia" w:ascii="Times New Roman" w:eastAsia="仿宋" w:cs="Times New Roman"/>
              </w:rPr>
              <w:t>。</w:t>
            </w:r>
          </w:p>
          <w:p>
            <w:pPr>
              <w:pStyle w:val="106"/>
              <w:adjustRightInd/>
              <w:spacing w:line="300" w:lineRule="exact"/>
              <w:ind w:firstLine="480" w:firstLineChars="200"/>
              <w:rPr>
                <w:rFonts w:ascii="Times New Roman" w:eastAsia="仿宋" w:cs="Times New Roman"/>
              </w:rPr>
            </w:pPr>
            <w:r>
              <w:rPr>
                <w:rFonts w:hint="eastAsia" w:ascii="Times New Roman" w:eastAsia="仿宋" w:cs="Times New Roman"/>
              </w:rPr>
              <w:t>市政公用工程</w:t>
            </w:r>
            <w:r>
              <w:rPr>
                <w:rFonts w:ascii="Times New Roman" w:eastAsia="仿宋" w:cs="Times New Roman"/>
              </w:rPr>
              <w:t>相关专业职称包括道路与桥梁、给排水、土木工程、工民建、结构、建筑施工、建筑工程等</w:t>
            </w:r>
            <w:r>
              <w:rPr>
                <w:rFonts w:hint="eastAsia" w:ascii="Times New Roman" w:eastAsia="仿宋" w:cs="Times New Roman"/>
              </w:rPr>
              <w:t>相关</w:t>
            </w:r>
            <w:r>
              <w:rPr>
                <w:rFonts w:ascii="Times New Roman" w:eastAsia="仿宋" w:cs="Times New Roman"/>
              </w:rPr>
              <w:t>专业职称。</w:t>
            </w:r>
          </w:p>
          <w:p>
            <w:pPr>
              <w:pStyle w:val="106"/>
              <w:adjustRightInd/>
              <w:spacing w:line="300" w:lineRule="exact"/>
              <w:ind w:firstLine="480" w:firstLineChars="200"/>
              <w:rPr>
                <w:rFonts w:ascii="Times New Roman" w:eastAsia="仿宋" w:cs="Times New Roman"/>
              </w:rPr>
            </w:pPr>
            <w:r>
              <w:rPr>
                <w:rFonts w:ascii="Times New Roman" w:eastAsia="仿宋" w:cs="Times New Roman"/>
              </w:rPr>
              <w:t>水利水电工程相关专业职称包括水利水电工程建筑、水利</w:t>
            </w:r>
            <w:r>
              <w:rPr>
                <w:rFonts w:hint="eastAsia" w:ascii="Times New Roman" w:eastAsia="仿宋" w:cs="Times New Roman"/>
              </w:rPr>
              <w:t>水电</w:t>
            </w:r>
            <w:r>
              <w:rPr>
                <w:rFonts w:ascii="Times New Roman" w:eastAsia="仿宋" w:cs="Times New Roman"/>
              </w:rPr>
              <w:t>工程</w:t>
            </w:r>
            <w:r>
              <w:rPr>
                <w:rFonts w:hint="eastAsia" w:ascii="Times New Roman" w:eastAsia="仿宋" w:cs="Times New Roman"/>
              </w:rPr>
              <w:t>管理、工程施工与概预算、</w:t>
            </w:r>
            <w:r>
              <w:rPr>
                <w:rFonts w:ascii="Times New Roman" w:eastAsia="仿宋" w:cs="Times New Roman"/>
              </w:rPr>
              <w:t>水利工程施工、农田水利工程等水利水电类相关专业职称。</w:t>
            </w:r>
          </w:p>
          <w:p>
            <w:pPr>
              <w:pStyle w:val="106"/>
              <w:adjustRightInd/>
              <w:spacing w:line="300" w:lineRule="exact"/>
              <w:ind w:firstLine="480" w:firstLineChars="200"/>
              <w:rPr>
                <w:rFonts w:ascii="Times New Roman" w:eastAsia="仿宋" w:cs="Times New Roman"/>
              </w:rPr>
            </w:pPr>
            <w:r>
              <w:rPr>
                <w:rFonts w:hint="eastAsia" w:ascii="Times New Roman" w:eastAsia="仿宋" w:cs="Times New Roman"/>
              </w:rPr>
              <w:t>人力资源和社会保障部门有相关规定的从其规定。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noWrap w:val="0"/>
            <w:vAlign w:val="center"/>
          </w:tcPr>
          <w:p>
            <w:pPr>
              <w:tabs>
                <w:tab w:val="left" w:pos="328"/>
              </w:tabs>
              <w:snapToGrid w:val="0"/>
              <w:spacing w:line="300" w:lineRule="exact"/>
              <w:jc w:val="center"/>
              <w:rPr>
                <w:rFonts w:eastAsia="仿宋"/>
                <w:b/>
                <w:bCs/>
                <w:color w:val="000000"/>
                <w:szCs w:val="21"/>
              </w:rPr>
            </w:pPr>
            <w:r>
              <w:rPr>
                <w:rFonts w:hint="eastAsia" w:eastAsia="仿宋"/>
                <w:b/>
                <w:bCs/>
                <w:color w:val="000000"/>
                <w:sz w:val="24"/>
              </w:rPr>
              <w:t>10.9</w:t>
            </w:r>
          </w:p>
        </w:tc>
        <w:tc>
          <w:tcPr>
            <w:tcW w:w="1948" w:type="dxa"/>
            <w:noWrap w:val="0"/>
            <w:vAlign w:val="center"/>
          </w:tcPr>
          <w:p>
            <w:pPr>
              <w:pStyle w:val="106"/>
              <w:spacing w:line="300" w:lineRule="exact"/>
              <w:jc w:val="center"/>
              <w:rPr>
                <w:rFonts w:hint="eastAsia" w:ascii="仿宋" w:hAnsi="仿宋" w:eastAsia="仿宋" w:cs="仿宋"/>
                <w:b/>
                <w:bCs/>
              </w:rPr>
            </w:pPr>
            <w:r>
              <w:rPr>
                <w:rFonts w:hint="eastAsia" w:ascii="仿宋" w:hAnsi="仿宋" w:eastAsia="仿宋" w:cs="仿宋"/>
                <w:b/>
                <w:bCs/>
              </w:rPr>
              <w:t>多标段投标，中标标段确定方法</w:t>
            </w:r>
          </w:p>
        </w:tc>
        <w:tc>
          <w:tcPr>
            <w:tcW w:w="6562" w:type="dxa"/>
            <w:noWrap w:val="0"/>
            <w:vAlign w:val="center"/>
          </w:tcPr>
          <w:p>
            <w:pPr>
              <w:pStyle w:val="106"/>
              <w:spacing w:line="300" w:lineRule="exact"/>
              <w:ind w:firstLine="482" w:firstLineChars="200"/>
              <w:jc w:val="both"/>
              <w:rPr>
                <w:rFonts w:hint="eastAsia" w:ascii="仿宋" w:hAnsi="仿宋" w:eastAsia="仿宋" w:cs="仿宋"/>
                <w:b/>
                <w:bCs/>
              </w:rPr>
            </w:pPr>
            <w:r>
              <w:rPr>
                <w:rFonts w:hint="eastAsia" w:ascii="仿宋" w:hAnsi="仿宋" w:eastAsia="仿宋" w:cs="仿宋"/>
                <w:b/>
                <w:bCs/>
              </w:rPr>
              <w:t>投标人可以就本招标项目的多个标段投标（适用于分标段的招标项目），须按招标文件要求分别配备相关人员（如未分别配备相关人员，则所投标段全按废标处理）。投标人最多允许中标1个标段（如若多标段同时综合排名第一，则按招标上限价金额由大到小依次类推确定中标标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noWrap w:val="0"/>
            <w:vAlign w:val="center"/>
          </w:tcPr>
          <w:p>
            <w:pPr>
              <w:snapToGrid w:val="0"/>
              <w:spacing w:line="300" w:lineRule="exact"/>
              <w:jc w:val="center"/>
              <w:rPr>
                <w:rFonts w:eastAsia="仿宋"/>
                <w:b/>
                <w:bCs/>
                <w:color w:val="000000"/>
                <w:sz w:val="24"/>
              </w:rPr>
            </w:pPr>
            <w:r>
              <w:rPr>
                <w:rFonts w:hint="eastAsia" w:eastAsia="仿宋"/>
                <w:color w:val="000000"/>
                <w:sz w:val="24"/>
              </w:rPr>
              <w:t>10.10</w:t>
            </w:r>
          </w:p>
        </w:tc>
        <w:tc>
          <w:tcPr>
            <w:tcW w:w="1948" w:type="dxa"/>
            <w:noWrap w:val="0"/>
            <w:vAlign w:val="center"/>
          </w:tcPr>
          <w:p>
            <w:pPr>
              <w:pStyle w:val="106"/>
              <w:spacing w:line="300" w:lineRule="exact"/>
              <w:jc w:val="center"/>
              <w:rPr>
                <w:rFonts w:hint="eastAsia" w:ascii="Times New Roman" w:eastAsia="仿宋" w:cs="Times New Roman"/>
              </w:rPr>
            </w:pPr>
            <w:r>
              <w:rPr>
                <w:rFonts w:hint="eastAsia" w:ascii="Times New Roman" w:eastAsia="仿宋" w:cs="Times New Roman"/>
                <w:b/>
                <w:bCs/>
              </w:rPr>
              <w:t>其他</w:t>
            </w:r>
          </w:p>
        </w:tc>
        <w:tc>
          <w:tcPr>
            <w:tcW w:w="6562" w:type="dxa"/>
            <w:noWrap w:val="0"/>
            <w:vAlign w:val="center"/>
          </w:tcPr>
          <w:p>
            <w:pPr>
              <w:pStyle w:val="106"/>
              <w:spacing w:line="300" w:lineRule="exact"/>
              <w:ind w:firstLine="482" w:firstLineChars="200"/>
              <w:jc w:val="both"/>
              <w:rPr>
                <w:rFonts w:ascii="Times New Roman" w:eastAsia="仿宋" w:cs="Times New Roman"/>
              </w:rPr>
            </w:pPr>
            <w:r>
              <w:rPr>
                <w:rFonts w:hint="eastAsia" w:ascii="Times New Roman" w:eastAsia="仿宋" w:cs="Times New Roman"/>
                <w:b/>
                <w:bCs/>
              </w:rPr>
              <w:t>投标人必须提供与投标使用资质类别相配套的建造师、技术负责人、安全员、其他项目管理人员及信用评价等相关资料。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noWrap w:val="0"/>
            <w:vAlign w:val="center"/>
          </w:tcPr>
          <w:p>
            <w:pPr>
              <w:snapToGrid w:val="0"/>
              <w:spacing w:line="300" w:lineRule="exact"/>
              <w:jc w:val="center"/>
              <w:rPr>
                <w:rFonts w:eastAsia="仿宋"/>
                <w:color w:val="000000"/>
                <w:sz w:val="24"/>
              </w:rPr>
            </w:pPr>
            <w:bookmarkStart w:id="69" w:name="_Toc259698603"/>
            <w:bookmarkStart w:id="70" w:name="_Toc51091844"/>
            <w:bookmarkStart w:id="71" w:name="_Toc269742703"/>
            <w:bookmarkStart w:id="72" w:name="_Toc144974565"/>
            <w:bookmarkStart w:id="73" w:name="_Toc10386"/>
            <w:bookmarkStart w:id="74" w:name="_Toc222029495"/>
            <w:bookmarkStart w:id="75" w:name="_Toc1957934938"/>
            <w:bookmarkStart w:id="76" w:name="_Toc7290"/>
            <w:bookmarkStart w:id="77" w:name="_Toc168476116"/>
            <w:bookmarkStart w:id="78" w:name="_Toc221950443"/>
            <w:bookmarkStart w:id="79" w:name="_Toc1619"/>
            <w:bookmarkStart w:id="80" w:name="_Toc222030997"/>
            <w:bookmarkStart w:id="81" w:name="_Toc81213500"/>
            <w:bookmarkStart w:id="82" w:name="_Toc229305355"/>
            <w:bookmarkStart w:id="83" w:name="_Toc16078"/>
            <w:bookmarkStart w:id="84" w:name="_Toc6939"/>
            <w:bookmarkStart w:id="85" w:name="_Toc168475713"/>
            <w:bookmarkStart w:id="86" w:name="_Toc387753573"/>
            <w:bookmarkStart w:id="87" w:name="_Toc222032664"/>
            <w:bookmarkStart w:id="88" w:name="_Toc222033846"/>
            <w:r>
              <w:rPr>
                <w:rFonts w:hint="eastAsia" w:eastAsia="仿宋"/>
                <w:color w:val="000000"/>
              </w:rPr>
              <w:t>…</w:t>
            </w:r>
          </w:p>
        </w:tc>
        <w:tc>
          <w:tcPr>
            <w:tcW w:w="1948" w:type="dxa"/>
            <w:noWrap w:val="0"/>
            <w:vAlign w:val="center"/>
          </w:tcPr>
          <w:p>
            <w:pPr>
              <w:pStyle w:val="106"/>
              <w:spacing w:line="300" w:lineRule="exact"/>
              <w:jc w:val="center"/>
              <w:rPr>
                <w:rFonts w:ascii="Times New Roman" w:cs="Times New Roman"/>
                <w:b/>
                <w:sz w:val="21"/>
                <w:szCs w:val="21"/>
              </w:rPr>
            </w:pPr>
            <w:r>
              <w:rPr>
                <w:rFonts w:hint="eastAsia" w:ascii="Times New Roman" w:eastAsia="仿宋" w:cs="Times New Roman"/>
              </w:rPr>
              <w:t>……</w:t>
            </w:r>
          </w:p>
        </w:tc>
        <w:tc>
          <w:tcPr>
            <w:tcW w:w="6562" w:type="dxa"/>
            <w:noWrap w:val="0"/>
            <w:vAlign w:val="center"/>
          </w:tcPr>
          <w:p>
            <w:pPr>
              <w:pStyle w:val="106"/>
              <w:adjustRightInd/>
              <w:spacing w:line="300" w:lineRule="exact"/>
              <w:ind w:firstLine="2400" w:firstLineChars="1000"/>
              <w:rPr>
                <w:rFonts w:ascii="Times New Roman" w:eastAsia="仿宋" w:cs="Times New Roman"/>
              </w:rPr>
            </w:pPr>
            <w:r>
              <w:rPr>
                <w:rFonts w:hint="eastAsia" w:ascii="Times New Roman" w:eastAsia="仿宋" w:cs="Times New Roman"/>
              </w:rPr>
              <w:t>……</w:t>
            </w:r>
          </w:p>
        </w:tc>
      </w:tr>
      <w:bookmarkEnd w:id="29"/>
      <w:bookmarkEnd w:id="30"/>
      <w:bookmarkEnd w:id="31"/>
      <w:bookmarkEnd w:id="32"/>
    </w:tbl>
    <w:p>
      <w:pPr>
        <w:spacing w:line="490" w:lineRule="exact"/>
        <w:ind w:firstLine="560" w:firstLineChars="200"/>
        <w:rPr>
          <w:rFonts w:eastAsia="黑体"/>
          <w:color w:val="000000"/>
          <w:sz w:val="28"/>
        </w:rPr>
      </w:pPr>
    </w:p>
    <w:p>
      <w:pPr>
        <w:spacing w:line="490" w:lineRule="exact"/>
        <w:ind w:firstLine="560" w:firstLineChars="200"/>
        <w:rPr>
          <w:rFonts w:eastAsia="黑体"/>
          <w:color w:val="000000"/>
          <w:sz w:val="28"/>
        </w:rPr>
      </w:pPr>
    </w:p>
    <w:p>
      <w:pPr>
        <w:spacing w:line="490" w:lineRule="exact"/>
        <w:ind w:firstLine="560" w:firstLineChars="200"/>
        <w:rPr>
          <w:rFonts w:eastAsia="黑体"/>
          <w:color w:val="000000"/>
          <w:sz w:val="28"/>
        </w:rPr>
      </w:pPr>
    </w:p>
    <w:p>
      <w:pPr>
        <w:pStyle w:val="2"/>
        <w:rPr>
          <w:rFonts w:eastAsia="黑体"/>
          <w:color w:val="000000"/>
          <w:sz w:val="28"/>
        </w:rPr>
      </w:pPr>
    </w:p>
    <w:p>
      <w:pPr>
        <w:pStyle w:val="2"/>
        <w:rPr>
          <w:rFonts w:eastAsia="黑体"/>
          <w:color w:val="000000"/>
          <w:sz w:val="28"/>
        </w:rPr>
      </w:pPr>
    </w:p>
    <w:p>
      <w:pPr>
        <w:pStyle w:val="2"/>
        <w:rPr>
          <w:rFonts w:eastAsia="黑体"/>
          <w:color w:val="000000"/>
          <w:sz w:val="28"/>
        </w:rPr>
      </w:pPr>
    </w:p>
    <w:p>
      <w:pPr>
        <w:pStyle w:val="2"/>
        <w:rPr>
          <w:rFonts w:eastAsia="黑体"/>
          <w:color w:val="000000"/>
          <w:sz w:val="28"/>
        </w:rPr>
      </w:pPr>
    </w:p>
    <w:p>
      <w:pPr>
        <w:pStyle w:val="2"/>
        <w:rPr>
          <w:rFonts w:eastAsia="黑体"/>
          <w:color w:val="000000"/>
          <w:sz w:val="28"/>
        </w:rPr>
      </w:pPr>
    </w:p>
    <w:p>
      <w:pPr>
        <w:pStyle w:val="2"/>
        <w:rPr>
          <w:rFonts w:eastAsia="黑体"/>
          <w:color w:val="000000"/>
          <w:sz w:val="28"/>
        </w:rPr>
      </w:pPr>
    </w:p>
    <w:p>
      <w:pPr>
        <w:pStyle w:val="2"/>
        <w:rPr>
          <w:rFonts w:eastAsia="黑体"/>
          <w:color w:val="000000"/>
          <w:sz w:val="28"/>
        </w:rPr>
      </w:pPr>
    </w:p>
    <w:p>
      <w:pPr>
        <w:pStyle w:val="2"/>
        <w:rPr>
          <w:rFonts w:eastAsia="黑体"/>
          <w:color w:val="000000"/>
          <w:sz w:val="28"/>
        </w:rPr>
      </w:pPr>
    </w:p>
    <w:p>
      <w:pPr>
        <w:pStyle w:val="2"/>
        <w:rPr>
          <w:rFonts w:eastAsia="黑体"/>
          <w:color w:val="000000"/>
          <w:sz w:val="28"/>
        </w:rPr>
      </w:pPr>
    </w:p>
    <w:p>
      <w:pPr>
        <w:pStyle w:val="2"/>
        <w:rPr>
          <w:rFonts w:eastAsia="黑体"/>
          <w:color w:val="000000"/>
          <w:sz w:val="28"/>
        </w:rPr>
      </w:pPr>
    </w:p>
    <w:p>
      <w:pPr>
        <w:pStyle w:val="2"/>
        <w:rPr>
          <w:rFonts w:eastAsia="黑体"/>
          <w:color w:val="000000"/>
          <w:sz w:val="28"/>
        </w:rPr>
      </w:pPr>
    </w:p>
    <w:p>
      <w:pPr>
        <w:pStyle w:val="2"/>
        <w:rPr>
          <w:rFonts w:eastAsia="黑体"/>
          <w:color w:val="000000"/>
          <w:sz w:val="28"/>
        </w:rPr>
      </w:pPr>
    </w:p>
    <w:p>
      <w:pPr>
        <w:pStyle w:val="2"/>
        <w:rPr>
          <w:rFonts w:eastAsia="黑体"/>
          <w:color w:val="000000"/>
          <w:sz w:val="28"/>
        </w:rPr>
      </w:pPr>
    </w:p>
    <w:p>
      <w:pPr>
        <w:pStyle w:val="2"/>
        <w:rPr>
          <w:rFonts w:eastAsia="黑体"/>
          <w:color w:val="000000"/>
          <w:sz w:val="28"/>
        </w:rPr>
      </w:pPr>
    </w:p>
    <w:p>
      <w:pPr>
        <w:pStyle w:val="2"/>
        <w:rPr>
          <w:rFonts w:eastAsia="黑体"/>
          <w:color w:val="000000"/>
          <w:sz w:val="28"/>
        </w:rPr>
      </w:pPr>
    </w:p>
    <w:p>
      <w:pPr>
        <w:pStyle w:val="2"/>
        <w:rPr>
          <w:rFonts w:eastAsia="黑体"/>
          <w:color w:val="000000"/>
          <w:sz w:val="28"/>
        </w:rPr>
      </w:pPr>
    </w:p>
    <w:p>
      <w:pPr>
        <w:pStyle w:val="2"/>
        <w:rPr>
          <w:rFonts w:eastAsia="黑体"/>
          <w:color w:val="000000"/>
          <w:sz w:val="28"/>
        </w:rPr>
      </w:pPr>
    </w:p>
    <w:p>
      <w:pPr>
        <w:pStyle w:val="2"/>
        <w:rPr>
          <w:rFonts w:eastAsia="黑体"/>
          <w:color w:val="000000"/>
          <w:sz w:val="28"/>
        </w:rPr>
      </w:pPr>
    </w:p>
    <w:p>
      <w:pPr>
        <w:spacing w:line="490" w:lineRule="exact"/>
        <w:ind w:firstLine="560" w:firstLineChars="200"/>
        <w:rPr>
          <w:rFonts w:eastAsia="黑体"/>
          <w:color w:val="000000"/>
          <w:sz w:val="28"/>
        </w:rPr>
      </w:pPr>
    </w:p>
    <w:p>
      <w:pPr>
        <w:pStyle w:val="2"/>
        <w:rPr>
          <w:rFonts w:eastAsia="黑体"/>
          <w:color w:val="000000"/>
          <w:sz w:val="28"/>
        </w:rPr>
      </w:pPr>
    </w:p>
    <w:p>
      <w:pPr>
        <w:pStyle w:val="6"/>
        <w:keepNext w:val="0"/>
        <w:keepLines w:val="0"/>
        <w:spacing w:before="0" w:after="0" w:line="490" w:lineRule="exact"/>
        <w:ind w:firstLine="562" w:firstLineChars="200"/>
        <w:rPr>
          <w:rFonts w:ascii="Times New Roman" w:hAnsi="Times New Roman" w:eastAsia="黑体"/>
          <w:bCs w:val="0"/>
          <w:color w:val="000000"/>
          <w:sz w:val="28"/>
        </w:rPr>
      </w:pPr>
      <w:bookmarkStart w:id="89" w:name="_Toc17664"/>
      <w:bookmarkStart w:id="90" w:name="_Toc2717"/>
      <w:r>
        <w:rPr>
          <w:rFonts w:ascii="Times New Roman" w:hAnsi="Times New Roman" w:eastAsia="黑体"/>
          <w:bCs w:val="0"/>
          <w:color w:val="000000"/>
          <w:sz w:val="28"/>
        </w:rPr>
        <w:t>1．总则</w:t>
      </w:r>
      <w:bookmarkEnd w:id="69"/>
      <w:bookmarkEnd w:id="70"/>
      <w:bookmarkEnd w:id="71"/>
      <w:bookmarkEnd w:id="89"/>
      <w:bookmarkEnd w:id="90"/>
    </w:p>
    <w:p>
      <w:pPr>
        <w:pStyle w:val="7"/>
        <w:keepNext w:val="0"/>
        <w:keepLines w:val="0"/>
        <w:spacing w:before="0" w:after="0" w:line="490" w:lineRule="exact"/>
        <w:ind w:firstLine="562" w:firstLineChars="200"/>
        <w:rPr>
          <w:rFonts w:ascii="Times New Roman" w:hAnsi="Times New Roman" w:eastAsia="楷体_GB2312"/>
          <w:color w:val="000000"/>
          <w:szCs w:val="32"/>
        </w:rPr>
      </w:pPr>
      <w:bookmarkStart w:id="91" w:name="_Toc259698604"/>
      <w:bookmarkStart w:id="92" w:name="_Toc269742704"/>
      <w:r>
        <w:rPr>
          <w:rFonts w:ascii="Times New Roman" w:hAnsi="Times New Roman" w:eastAsia="楷体_GB2312"/>
          <w:color w:val="000000"/>
          <w:szCs w:val="32"/>
        </w:rPr>
        <w:t>1.1 项目概况</w:t>
      </w:r>
      <w:bookmarkEnd w:id="91"/>
      <w:bookmarkEnd w:id="92"/>
    </w:p>
    <w:p>
      <w:pPr>
        <w:spacing w:line="490" w:lineRule="exact"/>
        <w:ind w:firstLine="560" w:firstLineChars="200"/>
        <w:rPr>
          <w:rFonts w:eastAsia="仿宋_GB2312"/>
          <w:color w:val="000000"/>
          <w:sz w:val="28"/>
          <w:szCs w:val="32"/>
        </w:rPr>
      </w:pPr>
      <w:r>
        <w:rPr>
          <w:rFonts w:eastAsia="仿宋_GB2312"/>
          <w:color w:val="000000"/>
          <w:sz w:val="28"/>
          <w:szCs w:val="32"/>
        </w:rPr>
        <w:t>1.1.1  根据《中华人民共和国招标投标法》等有关法律、法规和规章的规定，本招标项目已具备招标条件，现对本标段施工进行招标。</w:t>
      </w:r>
    </w:p>
    <w:p>
      <w:pPr>
        <w:spacing w:line="490" w:lineRule="exact"/>
        <w:ind w:firstLine="560" w:firstLineChars="200"/>
        <w:rPr>
          <w:rFonts w:eastAsia="仿宋_GB2312"/>
          <w:color w:val="000000"/>
          <w:sz w:val="28"/>
          <w:szCs w:val="32"/>
        </w:rPr>
      </w:pPr>
      <w:r>
        <w:rPr>
          <w:rFonts w:eastAsia="仿宋_GB2312"/>
          <w:color w:val="000000"/>
          <w:sz w:val="28"/>
          <w:szCs w:val="32"/>
        </w:rPr>
        <w:t>1.1.2  本招标项目招标人：见投标人须知前附表。</w:t>
      </w:r>
    </w:p>
    <w:p>
      <w:pPr>
        <w:spacing w:line="490" w:lineRule="exact"/>
        <w:ind w:firstLine="560" w:firstLineChars="200"/>
        <w:rPr>
          <w:rFonts w:eastAsia="仿宋_GB2312"/>
          <w:color w:val="000000"/>
          <w:sz w:val="28"/>
          <w:szCs w:val="32"/>
        </w:rPr>
      </w:pPr>
      <w:r>
        <w:rPr>
          <w:rFonts w:eastAsia="仿宋_GB2312"/>
          <w:color w:val="000000"/>
          <w:sz w:val="28"/>
          <w:szCs w:val="32"/>
        </w:rPr>
        <w:t>1.1.3  本标段招标代理机构：见投标人须知前附表。</w:t>
      </w:r>
    </w:p>
    <w:p>
      <w:pPr>
        <w:spacing w:line="490" w:lineRule="exact"/>
        <w:ind w:firstLine="560" w:firstLineChars="200"/>
        <w:rPr>
          <w:rFonts w:eastAsia="仿宋_GB2312"/>
          <w:color w:val="000000"/>
          <w:sz w:val="28"/>
          <w:szCs w:val="32"/>
        </w:rPr>
      </w:pPr>
      <w:r>
        <w:rPr>
          <w:rFonts w:eastAsia="仿宋_GB2312"/>
          <w:color w:val="000000"/>
          <w:sz w:val="28"/>
          <w:szCs w:val="32"/>
        </w:rPr>
        <w:t>1.1.4  本招标项目名称：见投标人须知前附表。</w:t>
      </w:r>
    </w:p>
    <w:p>
      <w:pPr>
        <w:spacing w:line="490" w:lineRule="exact"/>
        <w:ind w:firstLine="560" w:firstLineChars="200"/>
        <w:rPr>
          <w:rFonts w:eastAsia="仿宋_GB2312"/>
          <w:color w:val="000000"/>
          <w:sz w:val="28"/>
          <w:szCs w:val="32"/>
        </w:rPr>
      </w:pPr>
      <w:r>
        <w:rPr>
          <w:rFonts w:eastAsia="仿宋_GB2312"/>
          <w:color w:val="000000"/>
          <w:sz w:val="28"/>
          <w:szCs w:val="32"/>
        </w:rPr>
        <w:t>1.1.5  本标段建设地点：见投标人须知前附表。</w:t>
      </w:r>
    </w:p>
    <w:p>
      <w:pPr>
        <w:spacing w:line="490" w:lineRule="exact"/>
        <w:ind w:firstLine="560" w:firstLineChars="200"/>
        <w:rPr>
          <w:rFonts w:eastAsia="仿宋_GB2312"/>
          <w:color w:val="000000"/>
          <w:sz w:val="28"/>
          <w:szCs w:val="32"/>
        </w:rPr>
      </w:pPr>
      <w:r>
        <w:rPr>
          <w:rFonts w:eastAsia="仿宋_GB2312"/>
          <w:color w:val="000000"/>
          <w:sz w:val="28"/>
          <w:szCs w:val="32"/>
        </w:rPr>
        <w:t>1.1.6  本</w:t>
      </w:r>
      <w:r>
        <w:rPr>
          <w:rFonts w:eastAsia="仿宋_GB2312"/>
          <w:color w:val="000000"/>
          <w:kern w:val="0"/>
          <w:sz w:val="28"/>
          <w:szCs w:val="32"/>
        </w:rPr>
        <w:t>招标</w:t>
      </w:r>
      <w:r>
        <w:rPr>
          <w:rFonts w:eastAsia="仿宋_GB2312"/>
          <w:color w:val="000000"/>
          <w:sz w:val="28"/>
          <w:szCs w:val="32"/>
        </w:rPr>
        <w:t>项目现场管理机构：见投标人须知前附表。</w:t>
      </w:r>
    </w:p>
    <w:p>
      <w:pPr>
        <w:spacing w:line="490" w:lineRule="exact"/>
        <w:ind w:firstLine="560" w:firstLineChars="200"/>
        <w:rPr>
          <w:rFonts w:eastAsia="仿宋_GB2312"/>
          <w:color w:val="000000"/>
          <w:sz w:val="28"/>
          <w:szCs w:val="32"/>
        </w:rPr>
      </w:pPr>
      <w:r>
        <w:rPr>
          <w:rFonts w:eastAsia="仿宋_GB2312"/>
          <w:color w:val="000000"/>
          <w:sz w:val="28"/>
          <w:szCs w:val="32"/>
        </w:rPr>
        <w:t>1.1.7  本招标项目设计人：见投标人须知前附表。</w:t>
      </w:r>
    </w:p>
    <w:p>
      <w:pPr>
        <w:spacing w:line="490" w:lineRule="exact"/>
        <w:ind w:firstLine="560" w:firstLineChars="200"/>
        <w:rPr>
          <w:rFonts w:eastAsia="仿宋_GB2312"/>
          <w:color w:val="000000"/>
          <w:sz w:val="28"/>
          <w:szCs w:val="32"/>
        </w:rPr>
      </w:pPr>
      <w:r>
        <w:rPr>
          <w:rFonts w:eastAsia="仿宋_GB2312"/>
          <w:color w:val="000000"/>
          <w:sz w:val="28"/>
          <w:szCs w:val="32"/>
        </w:rPr>
        <w:t>1.1.8  本招标项目监理人：见投标人须知前附表。</w:t>
      </w:r>
    </w:p>
    <w:p>
      <w:pPr>
        <w:spacing w:line="490" w:lineRule="exact"/>
        <w:ind w:firstLine="560" w:firstLineChars="200"/>
        <w:rPr>
          <w:rFonts w:eastAsia="仿宋_GB2312"/>
          <w:color w:val="000000"/>
          <w:sz w:val="28"/>
          <w:szCs w:val="32"/>
        </w:rPr>
      </w:pPr>
      <w:r>
        <w:rPr>
          <w:rFonts w:eastAsia="仿宋_GB2312"/>
          <w:color w:val="000000"/>
          <w:sz w:val="28"/>
          <w:szCs w:val="32"/>
        </w:rPr>
        <w:t>1.1.9  本招标项目</w:t>
      </w:r>
      <w:r>
        <w:rPr>
          <w:rFonts w:hint="eastAsia" w:eastAsia="仿宋_GB2312"/>
          <w:color w:val="000000"/>
          <w:sz w:val="28"/>
          <w:szCs w:val="32"/>
        </w:rPr>
        <w:t>代建人</w:t>
      </w:r>
      <w:r>
        <w:rPr>
          <w:rFonts w:eastAsia="仿宋_GB2312"/>
          <w:color w:val="000000"/>
          <w:sz w:val="28"/>
          <w:szCs w:val="32"/>
        </w:rPr>
        <w:t>：见投标人须知前附表。</w:t>
      </w:r>
    </w:p>
    <w:p>
      <w:pPr>
        <w:pStyle w:val="7"/>
        <w:keepNext w:val="0"/>
        <w:keepLines w:val="0"/>
        <w:spacing w:before="0" w:after="0" w:line="490" w:lineRule="exact"/>
        <w:ind w:firstLine="562" w:firstLineChars="200"/>
        <w:rPr>
          <w:rFonts w:ascii="Times New Roman" w:hAnsi="Times New Roman" w:eastAsia="楷体_GB2312"/>
          <w:color w:val="000000"/>
          <w:szCs w:val="32"/>
        </w:rPr>
      </w:pPr>
      <w:bookmarkStart w:id="93" w:name="_Toc189386022"/>
      <w:r>
        <w:rPr>
          <w:rFonts w:ascii="Times New Roman" w:hAnsi="Times New Roman" w:eastAsia="楷体_GB2312"/>
          <w:color w:val="000000"/>
          <w:szCs w:val="32"/>
        </w:rPr>
        <w:t>1.2 资金来源和落实情况</w:t>
      </w:r>
      <w:bookmarkEnd w:id="93"/>
    </w:p>
    <w:p>
      <w:pPr>
        <w:spacing w:line="490" w:lineRule="exact"/>
        <w:ind w:firstLine="560" w:firstLineChars="200"/>
        <w:rPr>
          <w:rFonts w:eastAsia="仿宋_GB2312"/>
          <w:color w:val="000000"/>
          <w:sz w:val="28"/>
          <w:szCs w:val="32"/>
        </w:rPr>
      </w:pPr>
      <w:r>
        <w:rPr>
          <w:rFonts w:eastAsia="仿宋_GB2312"/>
          <w:color w:val="000000"/>
          <w:sz w:val="28"/>
          <w:szCs w:val="32"/>
        </w:rPr>
        <w:t>1.2.1  本招标项目的资金来源：见投标人须知前附表。</w:t>
      </w:r>
    </w:p>
    <w:p>
      <w:pPr>
        <w:spacing w:line="490" w:lineRule="exact"/>
        <w:ind w:firstLine="560" w:firstLineChars="200"/>
        <w:rPr>
          <w:rFonts w:eastAsia="仿宋_GB2312"/>
          <w:color w:val="000000"/>
          <w:sz w:val="28"/>
          <w:szCs w:val="32"/>
        </w:rPr>
      </w:pPr>
      <w:r>
        <w:rPr>
          <w:rFonts w:eastAsia="仿宋_GB2312"/>
          <w:color w:val="000000"/>
          <w:sz w:val="28"/>
          <w:szCs w:val="32"/>
        </w:rPr>
        <w:t>1.2.2  本招标项目的出资比例：见投标人须知前附表。</w:t>
      </w:r>
    </w:p>
    <w:p>
      <w:pPr>
        <w:spacing w:line="490" w:lineRule="exact"/>
        <w:ind w:firstLine="560" w:firstLineChars="200"/>
        <w:rPr>
          <w:rFonts w:eastAsia="仿宋_GB2312"/>
          <w:color w:val="000000"/>
          <w:sz w:val="28"/>
          <w:szCs w:val="32"/>
        </w:rPr>
      </w:pPr>
      <w:r>
        <w:rPr>
          <w:rFonts w:eastAsia="仿宋_GB2312"/>
          <w:color w:val="000000"/>
          <w:sz w:val="28"/>
          <w:szCs w:val="32"/>
        </w:rPr>
        <w:t>1.2.3  本招标项目的资金落实情况：见投标人须知前附表。</w:t>
      </w:r>
    </w:p>
    <w:p>
      <w:pPr>
        <w:pStyle w:val="7"/>
        <w:keepNext w:val="0"/>
        <w:keepLines w:val="0"/>
        <w:spacing w:before="0" w:after="0" w:line="490" w:lineRule="exact"/>
        <w:ind w:firstLine="562" w:firstLineChars="200"/>
        <w:rPr>
          <w:rFonts w:ascii="Times New Roman" w:hAnsi="Times New Roman" w:eastAsia="楷体_GB2312"/>
          <w:color w:val="000000"/>
          <w:szCs w:val="32"/>
        </w:rPr>
      </w:pPr>
      <w:bookmarkStart w:id="94" w:name="_Toc189386023"/>
      <w:r>
        <w:rPr>
          <w:rFonts w:ascii="Times New Roman" w:hAnsi="Times New Roman" w:eastAsia="楷体_GB2312"/>
          <w:color w:val="000000"/>
          <w:szCs w:val="32"/>
        </w:rPr>
        <w:t>1.3 招标范围、计划工期和质量要求</w:t>
      </w:r>
      <w:bookmarkEnd w:id="94"/>
    </w:p>
    <w:p>
      <w:pPr>
        <w:spacing w:line="490" w:lineRule="exact"/>
        <w:ind w:firstLine="560" w:firstLineChars="200"/>
        <w:rPr>
          <w:rFonts w:eastAsia="仿宋_GB2312"/>
          <w:color w:val="000000"/>
          <w:sz w:val="28"/>
          <w:szCs w:val="32"/>
        </w:rPr>
      </w:pPr>
      <w:r>
        <w:rPr>
          <w:rFonts w:eastAsia="仿宋_GB2312"/>
          <w:color w:val="000000"/>
          <w:sz w:val="28"/>
          <w:szCs w:val="32"/>
        </w:rPr>
        <w:t>1.3.1  本次招标范围：见投标人须知前附表。</w:t>
      </w:r>
    </w:p>
    <w:p>
      <w:pPr>
        <w:spacing w:line="490" w:lineRule="exact"/>
        <w:ind w:firstLine="560" w:firstLineChars="200"/>
        <w:rPr>
          <w:rFonts w:eastAsia="仿宋_GB2312"/>
          <w:color w:val="000000"/>
          <w:sz w:val="28"/>
          <w:szCs w:val="32"/>
        </w:rPr>
      </w:pPr>
      <w:r>
        <w:rPr>
          <w:rFonts w:eastAsia="仿宋_GB2312"/>
          <w:color w:val="000000"/>
          <w:sz w:val="28"/>
          <w:szCs w:val="32"/>
        </w:rPr>
        <w:t>1.3.2  本标段的计划工期：见投标人须知前附表。</w:t>
      </w:r>
    </w:p>
    <w:p>
      <w:pPr>
        <w:spacing w:line="490" w:lineRule="exact"/>
        <w:ind w:firstLine="560" w:firstLineChars="200"/>
        <w:rPr>
          <w:rFonts w:eastAsia="仿宋_GB2312"/>
          <w:color w:val="000000"/>
          <w:sz w:val="28"/>
          <w:szCs w:val="32"/>
        </w:rPr>
      </w:pPr>
      <w:r>
        <w:rPr>
          <w:rFonts w:eastAsia="仿宋_GB2312"/>
          <w:color w:val="000000"/>
          <w:sz w:val="28"/>
          <w:szCs w:val="32"/>
        </w:rPr>
        <w:t>1.3.3  本标段的质量要求：见投标人须知前附表。</w:t>
      </w:r>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1.4 投标人资格要求</w:t>
      </w:r>
    </w:p>
    <w:p>
      <w:pPr>
        <w:spacing w:line="490" w:lineRule="exact"/>
        <w:ind w:firstLine="560" w:firstLineChars="200"/>
        <w:rPr>
          <w:rFonts w:eastAsia="仿宋_GB2312"/>
          <w:color w:val="000000"/>
          <w:sz w:val="28"/>
          <w:szCs w:val="32"/>
        </w:rPr>
      </w:pPr>
      <w:r>
        <w:rPr>
          <w:rFonts w:eastAsia="仿宋_GB2312"/>
          <w:color w:val="000000"/>
          <w:sz w:val="28"/>
          <w:szCs w:val="32"/>
        </w:rPr>
        <w:t>1.4.1  投标人应具备承担本标段施工的资质条件、能力和信誉。</w:t>
      </w:r>
    </w:p>
    <w:p>
      <w:pPr>
        <w:spacing w:line="490" w:lineRule="exact"/>
        <w:ind w:firstLine="560" w:firstLineChars="200"/>
        <w:rPr>
          <w:rFonts w:eastAsia="仿宋_GB2312"/>
          <w:color w:val="000000"/>
          <w:sz w:val="28"/>
          <w:szCs w:val="32"/>
        </w:rPr>
      </w:pPr>
      <w:r>
        <w:rPr>
          <w:rFonts w:eastAsia="仿宋_GB2312"/>
          <w:color w:val="000000"/>
          <w:sz w:val="28"/>
          <w:szCs w:val="32"/>
        </w:rPr>
        <w:t xml:space="preserve">（1）资质条件：见投标人须知前附表； </w:t>
      </w:r>
    </w:p>
    <w:p>
      <w:pPr>
        <w:spacing w:line="490" w:lineRule="exact"/>
        <w:ind w:firstLine="560" w:firstLineChars="200"/>
        <w:rPr>
          <w:rFonts w:eastAsia="仿宋_GB2312"/>
          <w:color w:val="000000"/>
          <w:sz w:val="28"/>
          <w:szCs w:val="32"/>
        </w:rPr>
      </w:pPr>
      <w:r>
        <w:rPr>
          <w:rFonts w:eastAsia="仿宋_GB2312"/>
          <w:color w:val="000000"/>
          <w:sz w:val="28"/>
          <w:szCs w:val="32"/>
        </w:rPr>
        <w:t>（2）业绩要求：见投标人须知前附表；</w:t>
      </w:r>
    </w:p>
    <w:p>
      <w:pPr>
        <w:spacing w:line="490" w:lineRule="exact"/>
        <w:ind w:firstLine="560" w:firstLineChars="200"/>
        <w:rPr>
          <w:rFonts w:eastAsia="仿宋_GB2312"/>
          <w:color w:val="000000"/>
          <w:sz w:val="28"/>
          <w:szCs w:val="32"/>
        </w:rPr>
      </w:pPr>
      <w:r>
        <w:rPr>
          <w:rFonts w:eastAsia="仿宋_GB2312"/>
          <w:color w:val="000000"/>
          <w:sz w:val="28"/>
          <w:szCs w:val="32"/>
        </w:rPr>
        <w:t>（3）信誉要求：见投标人须知前附表；</w:t>
      </w:r>
    </w:p>
    <w:p>
      <w:pPr>
        <w:spacing w:line="490" w:lineRule="exact"/>
        <w:ind w:firstLine="560" w:firstLineChars="200"/>
        <w:rPr>
          <w:rFonts w:eastAsia="仿宋_GB2312"/>
          <w:color w:val="000000"/>
          <w:sz w:val="28"/>
          <w:szCs w:val="32"/>
        </w:rPr>
      </w:pPr>
      <w:r>
        <w:rPr>
          <w:rFonts w:eastAsia="仿宋_GB2312"/>
          <w:color w:val="000000"/>
          <w:sz w:val="28"/>
          <w:szCs w:val="32"/>
        </w:rPr>
        <w:t>（4）项目负责人资格：见投标人须知前附表；</w:t>
      </w:r>
    </w:p>
    <w:p>
      <w:pPr>
        <w:spacing w:line="490" w:lineRule="exact"/>
        <w:ind w:firstLine="560" w:firstLineChars="200"/>
        <w:rPr>
          <w:rFonts w:eastAsia="仿宋_GB2312"/>
          <w:color w:val="000000"/>
          <w:sz w:val="28"/>
          <w:szCs w:val="32"/>
        </w:rPr>
      </w:pPr>
      <w:r>
        <w:rPr>
          <w:rFonts w:eastAsia="仿宋_GB2312"/>
          <w:color w:val="000000"/>
          <w:sz w:val="28"/>
          <w:szCs w:val="32"/>
        </w:rPr>
        <w:t>（5）技术负责人资格：见投标人须知前附表；</w:t>
      </w:r>
    </w:p>
    <w:p>
      <w:pPr>
        <w:spacing w:line="490" w:lineRule="exact"/>
        <w:ind w:firstLine="560" w:firstLineChars="200"/>
        <w:rPr>
          <w:rFonts w:eastAsia="仿宋_GB2312"/>
          <w:color w:val="000000"/>
          <w:sz w:val="28"/>
          <w:szCs w:val="32"/>
        </w:rPr>
      </w:pPr>
      <w:r>
        <w:rPr>
          <w:rFonts w:eastAsia="仿宋_GB2312"/>
          <w:color w:val="000000"/>
          <w:sz w:val="28"/>
          <w:szCs w:val="32"/>
        </w:rPr>
        <w:t>（6）其他要求：见投标人须知前附表。</w:t>
      </w:r>
    </w:p>
    <w:p>
      <w:pPr>
        <w:spacing w:line="490" w:lineRule="exact"/>
        <w:ind w:left="279" w:leftChars="133" w:firstLine="280" w:firstLineChars="100"/>
        <w:rPr>
          <w:rFonts w:eastAsia="仿宋_GB2312"/>
          <w:color w:val="000000"/>
          <w:sz w:val="28"/>
          <w:szCs w:val="32"/>
        </w:rPr>
      </w:pPr>
      <w:r>
        <w:rPr>
          <w:rFonts w:eastAsia="仿宋_GB2312"/>
          <w:color w:val="000000"/>
          <w:sz w:val="28"/>
          <w:szCs w:val="32"/>
        </w:rPr>
        <w:t xml:space="preserve">1.4.2  </w:t>
      </w:r>
      <w:r>
        <w:rPr>
          <w:rFonts w:hint="eastAsia" w:eastAsia="仿宋_GB2312"/>
          <w:color w:val="000000"/>
          <w:sz w:val="28"/>
          <w:szCs w:val="32"/>
        </w:rPr>
        <w:t>根据联合体各单位在联合体协议中所明确的对应分工确认</w:t>
      </w:r>
      <w:r>
        <w:rPr>
          <w:rFonts w:eastAsia="仿宋_GB2312"/>
          <w:color w:val="000000"/>
          <w:sz w:val="28"/>
          <w:szCs w:val="32"/>
        </w:rPr>
        <w:t>投标人须知前附表规定接受联合体投标的，除应符合本章第1.4.1项和投标人须知前附表的要求外，还应遵守以下规定：</w:t>
      </w:r>
    </w:p>
    <w:p>
      <w:pPr>
        <w:spacing w:line="490" w:lineRule="exact"/>
        <w:ind w:firstLine="560" w:firstLineChars="200"/>
        <w:rPr>
          <w:rFonts w:eastAsia="仿宋_GB2312"/>
          <w:color w:val="000000"/>
          <w:sz w:val="28"/>
          <w:szCs w:val="32"/>
        </w:rPr>
      </w:pPr>
      <w:r>
        <w:rPr>
          <w:rFonts w:eastAsia="仿宋_GB2312"/>
          <w:color w:val="000000"/>
          <w:sz w:val="28"/>
          <w:szCs w:val="32"/>
        </w:rPr>
        <w:t>（1）联合体各方应按招标文件提供的格式签订联合体协议书，明确联合体牵头人和各方权利义务；</w:t>
      </w:r>
    </w:p>
    <w:p>
      <w:pPr>
        <w:spacing w:line="490" w:lineRule="exact"/>
        <w:ind w:firstLine="560" w:firstLineChars="200"/>
        <w:rPr>
          <w:rFonts w:eastAsia="仿宋_GB2312"/>
          <w:color w:val="000000"/>
          <w:sz w:val="28"/>
          <w:szCs w:val="32"/>
        </w:rPr>
      </w:pPr>
      <w:r>
        <w:rPr>
          <w:rFonts w:eastAsia="仿宋_GB2312"/>
          <w:color w:val="000000"/>
          <w:sz w:val="28"/>
          <w:szCs w:val="32"/>
        </w:rPr>
        <w:t>（2）由同一专业的单位组成的联合体，按照资质等级较低的单位确定资质等级；</w:t>
      </w:r>
    </w:p>
    <w:p>
      <w:pPr>
        <w:spacing w:line="490" w:lineRule="exact"/>
        <w:ind w:firstLine="560" w:firstLineChars="200"/>
        <w:rPr>
          <w:rFonts w:eastAsia="仿宋_GB2312"/>
          <w:color w:val="000000"/>
          <w:sz w:val="28"/>
          <w:szCs w:val="32"/>
        </w:rPr>
      </w:pPr>
      <w:r>
        <w:rPr>
          <w:rFonts w:eastAsia="仿宋_GB2312"/>
          <w:color w:val="000000"/>
          <w:sz w:val="28"/>
          <w:szCs w:val="32"/>
        </w:rPr>
        <w:t>（3）联合体各方不得再以自己名义单独或参加其他联合体在同一标段中投标。</w:t>
      </w:r>
    </w:p>
    <w:p>
      <w:pPr>
        <w:spacing w:line="490" w:lineRule="exact"/>
        <w:ind w:firstLine="560" w:firstLineChars="200"/>
        <w:rPr>
          <w:rFonts w:eastAsia="仿宋_GB2312"/>
          <w:color w:val="000000"/>
          <w:sz w:val="28"/>
          <w:szCs w:val="32"/>
        </w:rPr>
      </w:pPr>
      <w:r>
        <w:rPr>
          <w:rFonts w:eastAsia="仿宋_GB2312"/>
          <w:color w:val="000000"/>
          <w:sz w:val="28"/>
          <w:szCs w:val="32"/>
        </w:rPr>
        <w:t>1.4.3  投标人不得存在下列情形之一：</w:t>
      </w:r>
    </w:p>
    <w:p>
      <w:pPr>
        <w:spacing w:line="490" w:lineRule="exact"/>
        <w:ind w:firstLine="560" w:firstLineChars="200"/>
        <w:rPr>
          <w:rFonts w:eastAsia="仿宋_GB2312"/>
          <w:color w:val="000000"/>
          <w:sz w:val="28"/>
          <w:szCs w:val="32"/>
        </w:rPr>
      </w:pPr>
      <w:r>
        <w:rPr>
          <w:rFonts w:eastAsia="仿宋_GB2312"/>
          <w:color w:val="000000"/>
          <w:sz w:val="28"/>
          <w:szCs w:val="32"/>
        </w:rPr>
        <w:t xml:space="preserve">（1）为招标人不具有独立法人资格的附属机构（单位）； </w:t>
      </w:r>
    </w:p>
    <w:p>
      <w:pPr>
        <w:spacing w:line="490" w:lineRule="exact"/>
        <w:ind w:firstLine="560" w:firstLineChars="200"/>
        <w:rPr>
          <w:rFonts w:eastAsia="仿宋_GB2312"/>
          <w:color w:val="000000"/>
          <w:sz w:val="28"/>
          <w:szCs w:val="32"/>
        </w:rPr>
      </w:pPr>
      <w:r>
        <w:rPr>
          <w:rFonts w:eastAsia="仿宋_GB2312"/>
          <w:color w:val="000000"/>
          <w:sz w:val="28"/>
          <w:szCs w:val="32"/>
        </w:rPr>
        <w:t>（2）与招标人存在利害关系且可能影响招标公正性；</w:t>
      </w:r>
    </w:p>
    <w:p>
      <w:pPr>
        <w:spacing w:line="490" w:lineRule="exact"/>
        <w:ind w:firstLine="560" w:firstLineChars="200"/>
        <w:rPr>
          <w:rFonts w:eastAsia="仿宋_GB2312"/>
          <w:color w:val="000000"/>
          <w:sz w:val="28"/>
          <w:szCs w:val="32"/>
        </w:rPr>
      </w:pPr>
      <w:r>
        <w:rPr>
          <w:rFonts w:eastAsia="仿宋_GB2312"/>
          <w:color w:val="000000"/>
          <w:sz w:val="28"/>
          <w:szCs w:val="32"/>
        </w:rPr>
        <w:t>（3）为本标段前期准备提供设计或咨询服务的，但设计施工总承包的除外；</w:t>
      </w:r>
    </w:p>
    <w:p>
      <w:pPr>
        <w:spacing w:line="490" w:lineRule="exact"/>
        <w:ind w:firstLine="560" w:firstLineChars="200"/>
        <w:rPr>
          <w:rFonts w:eastAsia="仿宋_GB2312"/>
          <w:color w:val="000000"/>
          <w:sz w:val="28"/>
          <w:szCs w:val="32"/>
        </w:rPr>
      </w:pPr>
      <w:r>
        <w:rPr>
          <w:rFonts w:eastAsia="仿宋_GB2312"/>
          <w:color w:val="000000"/>
          <w:sz w:val="28"/>
          <w:szCs w:val="32"/>
        </w:rPr>
        <w:t>（4）为本标段的监理人；</w:t>
      </w:r>
    </w:p>
    <w:p>
      <w:pPr>
        <w:spacing w:line="490" w:lineRule="exact"/>
        <w:ind w:firstLine="560" w:firstLineChars="200"/>
        <w:rPr>
          <w:rFonts w:eastAsia="仿宋_GB2312"/>
          <w:color w:val="000000"/>
          <w:sz w:val="28"/>
          <w:szCs w:val="32"/>
        </w:rPr>
      </w:pPr>
      <w:r>
        <w:rPr>
          <w:rFonts w:eastAsia="仿宋_GB2312"/>
          <w:color w:val="000000"/>
          <w:sz w:val="28"/>
          <w:szCs w:val="32"/>
        </w:rPr>
        <w:t>（5）为本标段的代建人；</w:t>
      </w:r>
    </w:p>
    <w:p>
      <w:pPr>
        <w:spacing w:line="490" w:lineRule="exact"/>
        <w:ind w:firstLine="560" w:firstLineChars="200"/>
        <w:rPr>
          <w:rFonts w:eastAsia="仿宋_GB2312"/>
          <w:color w:val="000000"/>
          <w:sz w:val="28"/>
          <w:szCs w:val="32"/>
        </w:rPr>
      </w:pPr>
      <w:r>
        <w:rPr>
          <w:rFonts w:eastAsia="仿宋_GB2312"/>
          <w:color w:val="000000"/>
          <w:sz w:val="28"/>
          <w:szCs w:val="32"/>
        </w:rPr>
        <w:t>（6）为本标段提供招标代理服务的；</w:t>
      </w:r>
    </w:p>
    <w:p>
      <w:pPr>
        <w:spacing w:line="490" w:lineRule="exact"/>
        <w:ind w:firstLine="560" w:firstLineChars="200"/>
        <w:rPr>
          <w:rFonts w:eastAsia="仿宋_GB2312"/>
          <w:color w:val="000000"/>
          <w:sz w:val="28"/>
          <w:szCs w:val="32"/>
        </w:rPr>
      </w:pPr>
      <w:r>
        <w:rPr>
          <w:rFonts w:eastAsia="仿宋_GB2312"/>
          <w:color w:val="000000"/>
          <w:sz w:val="28"/>
          <w:szCs w:val="32"/>
        </w:rPr>
        <w:t>（7）与本标段的监理人或代建人或招标代理机构为同一法定代表人的；</w:t>
      </w:r>
    </w:p>
    <w:p>
      <w:pPr>
        <w:spacing w:line="490" w:lineRule="exact"/>
        <w:ind w:firstLine="560" w:firstLineChars="200"/>
        <w:rPr>
          <w:rFonts w:eastAsia="仿宋_GB2312"/>
          <w:color w:val="000000"/>
          <w:sz w:val="28"/>
          <w:szCs w:val="32"/>
        </w:rPr>
      </w:pPr>
      <w:r>
        <w:rPr>
          <w:rFonts w:eastAsia="仿宋_GB2312"/>
          <w:color w:val="000000"/>
          <w:sz w:val="28"/>
          <w:szCs w:val="32"/>
        </w:rPr>
        <w:t>（8）与本标段的监理人或代建人或招标代理机构相互控股或参股的；</w:t>
      </w:r>
    </w:p>
    <w:p>
      <w:pPr>
        <w:spacing w:line="490" w:lineRule="exact"/>
        <w:ind w:firstLine="560" w:firstLineChars="200"/>
        <w:rPr>
          <w:rFonts w:eastAsia="仿宋_GB2312"/>
          <w:color w:val="000000"/>
          <w:sz w:val="28"/>
          <w:szCs w:val="32"/>
        </w:rPr>
      </w:pPr>
      <w:r>
        <w:rPr>
          <w:rFonts w:eastAsia="仿宋_GB2312"/>
          <w:color w:val="000000"/>
          <w:sz w:val="28"/>
          <w:szCs w:val="32"/>
        </w:rPr>
        <w:t>（9）与本标段的监理人或代建人或招标代理机构相互任职或工作的；</w:t>
      </w:r>
    </w:p>
    <w:p>
      <w:pPr>
        <w:spacing w:line="490" w:lineRule="exact"/>
        <w:ind w:firstLine="560" w:firstLineChars="200"/>
        <w:rPr>
          <w:rFonts w:eastAsia="仿宋_GB2312"/>
          <w:color w:val="000000"/>
          <w:sz w:val="28"/>
          <w:szCs w:val="32"/>
        </w:rPr>
      </w:pPr>
      <w:r>
        <w:rPr>
          <w:rFonts w:eastAsia="仿宋_GB2312"/>
          <w:color w:val="000000"/>
          <w:sz w:val="28"/>
          <w:szCs w:val="32"/>
        </w:rPr>
        <w:t>（10）被责令停业的；</w:t>
      </w:r>
    </w:p>
    <w:p>
      <w:pPr>
        <w:spacing w:line="490" w:lineRule="exact"/>
        <w:ind w:firstLine="560" w:firstLineChars="200"/>
        <w:rPr>
          <w:rFonts w:eastAsia="仿宋_GB2312"/>
          <w:color w:val="000000"/>
          <w:sz w:val="28"/>
          <w:szCs w:val="32"/>
        </w:rPr>
      </w:pPr>
      <w:r>
        <w:rPr>
          <w:rFonts w:eastAsia="仿宋_GB2312"/>
          <w:color w:val="000000"/>
          <w:sz w:val="28"/>
          <w:szCs w:val="32"/>
        </w:rPr>
        <w:t>（11）被暂停或取消投标资格的；</w:t>
      </w:r>
    </w:p>
    <w:p>
      <w:pPr>
        <w:spacing w:line="490" w:lineRule="exact"/>
        <w:ind w:firstLine="560" w:firstLineChars="200"/>
        <w:rPr>
          <w:rFonts w:eastAsia="仿宋_GB2312"/>
          <w:color w:val="000000"/>
          <w:sz w:val="28"/>
          <w:szCs w:val="32"/>
        </w:rPr>
      </w:pPr>
      <w:r>
        <w:rPr>
          <w:rFonts w:eastAsia="仿宋_GB2312"/>
          <w:color w:val="000000"/>
          <w:sz w:val="28"/>
          <w:szCs w:val="32"/>
        </w:rPr>
        <w:t>（12）财产被接管或冻结</w:t>
      </w:r>
      <w:r>
        <w:rPr>
          <w:rFonts w:hint="eastAsia" w:eastAsia="仿宋_GB2312"/>
          <w:color w:val="000000"/>
          <w:sz w:val="28"/>
          <w:szCs w:val="32"/>
        </w:rPr>
        <w:t>对合同履约可能造成实质性影响的</w:t>
      </w:r>
      <w:r>
        <w:rPr>
          <w:rFonts w:eastAsia="仿宋_GB2312"/>
          <w:color w:val="000000"/>
          <w:sz w:val="28"/>
          <w:szCs w:val="32"/>
        </w:rPr>
        <w:t>；</w:t>
      </w:r>
    </w:p>
    <w:p>
      <w:pPr>
        <w:spacing w:line="490" w:lineRule="exact"/>
        <w:ind w:firstLine="560" w:firstLineChars="200"/>
        <w:rPr>
          <w:rFonts w:eastAsia="仿宋_GB2312"/>
          <w:color w:val="000000"/>
          <w:sz w:val="28"/>
          <w:szCs w:val="32"/>
        </w:rPr>
      </w:pPr>
      <w:r>
        <w:rPr>
          <w:rFonts w:eastAsia="仿宋_GB2312"/>
          <w:color w:val="000000"/>
          <w:sz w:val="28"/>
          <w:szCs w:val="32"/>
        </w:rPr>
        <w:t>（1</w:t>
      </w:r>
      <w:r>
        <w:rPr>
          <w:rFonts w:hint="eastAsia" w:eastAsia="仿宋_GB2312"/>
          <w:color w:val="000000"/>
          <w:sz w:val="28"/>
          <w:szCs w:val="32"/>
        </w:rPr>
        <w:t>3</w:t>
      </w:r>
      <w:r>
        <w:rPr>
          <w:rFonts w:eastAsia="仿宋_GB2312"/>
          <w:color w:val="000000"/>
          <w:sz w:val="28"/>
          <w:szCs w:val="32"/>
        </w:rPr>
        <w:t>）被</w:t>
      </w:r>
      <w:r>
        <w:rPr>
          <w:rFonts w:hint="eastAsia" w:eastAsia="仿宋_GB2312"/>
          <w:color w:val="000000"/>
          <w:sz w:val="28"/>
          <w:szCs w:val="32"/>
        </w:rPr>
        <w:t>市场监督</w:t>
      </w:r>
      <w:r>
        <w:rPr>
          <w:rFonts w:eastAsia="仿宋_GB2312"/>
          <w:color w:val="000000"/>
          <w:sz w:val="28"/>
          <w:szCs w:val="32"/>
        </w:rPr>
        <w:t xml:space="preserve">管理机关在全国企业信用信息公示系统中列入严重违法失信企业名单； </w:t>
      </w:r>
    </w:p>
    <w:p>
      <w:pPr>
        <w:spacing w:line="490" w:lineRule="exact"/>
        <w:ind w:firstLine="560" w:firstLineChars="200"/>
        <w:rPr>
          <w:rFonts w:eastAsia="仿宋_GB2312"/>
          <w:color w:val="000000"/>
          <w:sz w:val="28"/>
          <w:szCs w:val="32"/>
        </w:rPr>
      </w:pPr>
      <w:r>
        <w:rPr>
          <w:rFonts w:eastAsia="仿宋_GB2312"/>
          <w:color w:val="000000"/>
          <w:sz w:val="28"/>
          <w:szCs w:val="32"/>
        </w:rPr>
        <w:t>（1</w:t>
      </w:r>
      <w:r>
        <w:rPr>
          <w:rFonts w:hint="eastAsia" w:eastAsia="仿宋_GB2312"/>
          <w:color w:val="000000"/>
          <w:sz w:val="28"/>
          <w:szCs w:val="32"/>
        </w:rPr>
        <w:t>4</w:t>
      </w:r>
      <w:r>
        <w:rPr>
          <w:rFonts w:eastAsia="仿宋_GB2312"/>
          <w:color w:val="000000"/>
          <w:sz w:val="28"/>
          <w:szCs w:val="32"/>
        </w:rPr>
        <w:t>）法律法规或投标人须知前附表规定的其他情形。</w:t>
      </w:r>
    </w:p>
    <w:p>
      <w:pPr>
        <w:pStyle w:val="7"/>
        <w:keepNext w:val="0"/>
        <w:keepLines w:val="0"/>
        <w:spacing w:before="0" w:after="0" w:line="490" w:lineRule="exact"/>
        <w:ind w:firstLine="562" w:firstLineChars="200"/>
        <w:rPr>
          <w:rFonts w:ascii="Times New Roman" w:hAnsi="Times New Roman" w:eastAsia="楷体_GB2312"/>
          <w:color w:val="000000"/>
          <w:szCs w:val="32"/>
        </w:rPr>
      </w:pPr>
      <w:bookmarkStart w:id="95" w:name="_Toc189386026"/>
      <w:r>
        <w:rPr>
          <w:rFonts w:ascii="Times New Roman" w:hAnsi="Times New Roman" w:eastAsia="楷体_GB2312"/>
          <w:color w:val="000000"/>
          <w:szCs w:val="32"/>
        </w:rPr>
        <w:t>1.5 费用承担</w:t>
      </w:r>
      <w:bookmarkEnd w:id="95"/>
    </w:p>
    <w:p>
      <w:pPr>
        <w:spacing w:line="490" w:lineRule="exact"/>
        <w:ind w:firstLine="560" w:firstLineChars="200"/>
        <w:rPr>
          <w:rFonts w:eastAsia="仿宋_GB2312"/>
          <w:color w:val="000000"/>
          <w:sz w:val="28"/>
          <w:szCs w:val="32"/>
        </w:rPr>
      </w:pPr>
      <w:r>
        <w:rPr>
          <w:rFonts w:eastAsia="仿宋_GB2312"/>
          <w:color w:val="000000"/>
          <w:sz w:val="28"/>
          <w:szCs w:val="32"/>
        </w:rPr>
        <w:t>投标人准备和参加投标活动发生的费用自理。</w:t>
      </w:r>
    </w:p>
    <w:p>
      <w:pPr>
        <w:pStyle w:val="7"/>
        <w:keepNext w:val="0"/>
        <w:keepLines w:val="0"/>
        <w:spacing w:before="0" w:after="0" w:line="490" w:lineRule="exact"/>
        <w:ind w:firstLine="562" w:firstLineChars="200"/>
        <w:rPr>
          <w:rFonts w:ascii="Times New Roman" w:hAnsi="Times New Roman" w:eastAsia="楷体_GB2312"/>
          <w:color w:val="000000"/>
          <w:szCs w:val="32"/>
        </w:rPr>
      </w:pPr>
      <w:bookmarkStart w:id="96" w:name="_Toc189386027"/>
      <w:r>
        <w:rPr>
          <w:rFonts w:ascii="Times New Roman" w:hAnsi="Times New Roman" w:eastAsia="楷体_GB2312"/>
          <w:color w:val="000000"/>
          <w:szCs w:val="32"/>
        </w:rPr>
        <w:t>1.6 保密</w:t>
      </w:r>
      <w:bookmarkEnd w:id="96"/>
    </w:p>
    <w:p>
      <w:pPr>
        <w:spacing w:line="490" w:lineRule="exact"/>
        <w:ind w:firstLine="560" w:firstLineChars="200"/>
        <w:rPr>
          <w:rFonts w:eastAsia="仿宋_GB2312"/>
          <w:color w:val="000000"/>
          <w:sz w:val="28"/>
          <w:szCs w:val="32"/>
        </w:rPr>
      </w:pPr>
      <w:r>
        <w:rPr>
          <w:rFonts w:eastAsia="仿宋_GB2312"/>
          <w:color w:val="000000"/>
          <w:sz w:val="28"/>
          <w:szCs w:val="32"/>
        </w:rPr>
        <w:t>参与招标投标活动的各方应对招标文件和投标文件中的商业和技术等秘密保密，违者应对由此造成的后果承担法律责任。</w:t>
      </w:r>
    </w:p>
    <w:p>
      <w:pPr>
        <w:pStyle w:val="7"/>
        <w:keepNext w:val="0"/>
        <w:keepLines w:val="0"/>
        <w:spacing w:before="0" w:after="0" w:line="490" w:lineRule="exact"/>
        <w:ind w:firstLine="562" w:firstLineChars="200"/>
        <w:rPr>
          <w:rFonts w:ascii="Times New Roman" w:hAnsi="Times New Roman" w:eastAsia="楷体_GB2312"/>
          <w:color w:val="000000"/>
          <w:szCs w:val="32"/>
        </w:rPr>
      </w:pPr>
      <w:bookmarkStart w:id="97" w:name="_Toc189386028"/>
      <w:r>
        <w:rPr>
          <w:rFonts w:ascii="Times New Roman" w:hAnsi="Times New Roman" w:eastAsia="楷体_GB2312"/>
          <w:color w:val="000000"/>
          <w:szCs w:val="32"/>
        </w:rPr>
        <w:t>1.7 语言文字</w:t>
      </w:r>
      <w:bookmarkEnd w:id="97"/>
    </w:p>
    <w:p>
      <w:pPr>
        <w:spacing w:line="490" w:lineRule="exact"/>
        <w:ind w:firstLine="560" w:firstLineChars="200"/>
        <w:rPr>
          <w:rFonts w:eastAsia="仿宋_GB2312"/>
          <w:color w:val="000000"/>
          <w:sz w:val="28"/>
          <w:szCs w:val="32"/>
        </w:rPr>
      </w:pPr>
      <w:r>
        <w:rPr>
          <w:rFonts w:eastAsia="仿宋_GB2312"/>
          <w:color w:val="000000"/>
          <w:sz w:val="28"/>
          <w:szCs w:val="32"/>
        </w:rPr>
        <w:t>除专用术语外，与招标投标有关的语言均使用中文。必要时专用术语应附有中文注释。</w:t>
      </w:r>
    </w:p>
    <w:p>
      <w:pPr>
        <w:pStyle w:val="7"/>
        <w:keepNext w:val="0"/>
        <w:keepLines w:val="0"/>
        <w:spacing w:before="0" w:after="0" w:line="490" w:lineRule="exact"/>
        <w:ind w:firstLine="562" w:firstLineChars="200"/>
        <w:rPr>
          <w:rFonts w:ascii="Times New Roman" w:hAnsi="Times New Roman" w:eastAsia="楷体_GB2312"/>
          <w:color w:val="000000"/>
          <w:szCs w:val="32"/>
        </w:rPr>
      </w:pPr>
      <w:bookmarkStart w:id="98" w:name="_Toc189386029"/>
      <w:r>
        <w:rPr>
          <w:rFonts w:ascii="Times New Roman" w:hAnsi="Times New Roman" w:eastAsia="楷体_GB2312"/>
          <w:color w:val="000000"/>
          <w:szCs w:val="32"/>
        </w:rPr>
        <w:t>1.8 计量单位</w:t>
      </w:r>
      <w:bookmarkEnd w:id="98"/>
    </w:p>
    <w:p>
      <w:pPr>
        <w:spacing w:line="490" w:lineRule="exact"/>
        <w:ind w:firstLine="560" w:firstLineChars="200"/>
        <w:rPr>
          <w:rFonts w:eastAsia="仿宋_GB2312"/>
          <w:color w:val="000000"/>
          <w:sz w:val="28"/>
          <w:szCs w:val="32"/>
        </w:rPr>
      </w:pPr>
      <w:r>
        <w:rPr>
          <w:rFonts w:eastAsia="仿宋_GB2312"/>
          <w:color w:val="000000"/>
          <w:sz w:val="28"/>
          <w:szCs w:val="32"/>
        </w:rPr>
        <w:t>所有计量均采用中华人民共和国法定计量单位。</w:t>
      </w:r>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1.9 踏勘现场（组织）</w:t>
      </w:r>
    </w:p>
    <w:p>
      <w:pPr>
        <w:spacing w:line="490" w:lineRule="exact"/>
        <w:ind w:firstLine="560" w:firstLineChars="200"/>
        <w:rPr>
          <w:rFonts w:eastAsia="仿宋_GB2312"/>
          <w:color w:val="000000"/>
          <w:sz w:val="28"/>
          <w:szCs w:val="32"/>
        </w:rPr>
      </w:pPr>
      <w:r>
        <w:rPr>
          <w:rFonts w:eastAsia="仿宋_GB2312"/>
          <w:color w:val="000000"/>
          <w:sz w:val="28"/>
          <w:szCs w:val="32"/>
        </w:rPr>
        <w:t>1.9.1  投标人须知前附表规定组织踏勘现场的，招标人按照投标人须知前附表规定的时间和地点组织踏勘现场。</w:t>
      </w:r>
    </w:p>
    <w:p>
      <w:pPr>
        <w:spacing w:line="490" w:lineRule="exact"/>
        <w:ind w:firstLine="560" w:firstLineChars="200"/>
        <w:rPr>
          <w:rFonts w:eastAsia="仿宋_GB2312"/>
          <w:color w:val="000000"/>
          <w:sz w:val="28"/>
          <w:szCs w:val="32"/>
        </w:rPr>
      </w:pPr>
      <w:r>
        <w:rPr>
          <w:rFonts w:eastAsia="仿宋_GB2312"/>
          <w:color w:val="000000"/>
          <w:sz w:val="28"/>
          <w:szCs w:val="32"/>
        </w:rPr>
        <w:t>1.9.2  投标人踏勘现场发生的费用自理。</w:t>
      </w:r>
    </w:p>
    <w:p>
      <w:pPr>
        <w:spacing w:line="490" w:lineRule="exact"/>
        <w:ind w:firstLine="560" w:firstLineChars="200"/>
        <w:rPr>
          <w:rFonts w:eastAsia="仿宋_GB2312"/>
          <w:color w:val="000000"/>
          <w:sz w:val="28"/>
          <w:szCs w:val="32"/>
        </w:rPr>
      </w:pPr>
      <w:r>
        <w:rPr>
          <w:rFonts w:eastAsia="仿宋_GB2312"/>
          <w:color w:val="000000"/>
          <w:sz w:val="28"/>
          <w:szCs w:val="32"/>
        </w:rPr>
        <w:t>1.9.3  除招标人的原因外，投标人自行负责在踏勘现场中所发生的人员伤亡和财产损失。</w:t>
      </w:r>
    </w:p>
    <w:p>
      <w:pPr>
        <w:spacing w:line="490" w:lineRule="exact"/>
        <w:ind w:firstLine="560" w:firstLineChars="200"/>
        <w:rPr>
          <w:rFonts w:eastAsia="仿宋_GB2312"/>
          <w:color w:val="000000"/>
          <w:sz w:val="28"/>
          <w:szCs w:val="32"/>
        </w:rPr>
      </w:pPr>
      <w:r>
        <w:rPr>
          <w:rFonts w:eastAsia="仿宋_GB2312"/>
          <w:color w:val="000000"/>
          <w:sz w:val="28"/>
          <w:szCs w:val="32"/>
        </w:rPr>
        <w:t>1.9.4  招标人在踏勘现场中介绍的工程场地和相关的周边环境情况，供投标人在编制投标文件时参考，招标人不对投标人据此作出的判断和决策负责。</w:t>
      </w:r>
    </w:p>
    <w:p>
      <w:pPr>
        <w:spacing w:line="490" w:lineRule="exact"/>
        <w:ind w:firstLine="560" w:firstLineChars="200"/>
        <w:rPr>
          <w:rFonts w:eastAsia="仿宋_GB2312"/>
          <w:color w:val="000000"/>
          <w:sz w:val="28"/>
          <w:szCs w:val="32"/>
        </w:rPr>
      </w:pPr>
      <w:r>
        <w:rPr>
          <w:rFonts w:eastAsia="仿宋_GB2312"/>
          <w:color w:val="000000"/>
          <w:sz w:val="28"/>
          <w:szCs w:val="32"/>
        </w:rPr>
        <w:t>1.9.5  招标人提供的本合同工程的水文、地质、气象和料场分布、取土场、弃土场位置等参考资料，投标人应对自己对上述资料的解释、推论和应用负责，招标人不对投标人据此作出的判断和决策承担任何责任。</w:t>
      </w:r>
    </w:p>
    <w:p>
      <w:pPr>
        <w:pStyle w:val="7"/>
        <w:keepNext w:val="0"/>
        <w:keepLines w:val="0"/>
        <w:spacing w:before="0" w:after="0" w:line="490" w:lineRule="exact"/>
        <w:ind w:firstLine="562" w:firstLineChars="200"/>
        <w:rPr>
          <w:rFonts w:ascii="Times New Roman" w:hAnsi="Times New Roman" w:eastAsia="楷体_GB2312"/>
          <w:color w:val="000000"/>
          <w:szCs w:val="32"/>
        </w:rPr>
      </w:pPr>
      <w:bookmarkStart w:id="99" w:name="_Toc269742705"/>
      <w:bookmarkStart w:id="100" w:name="_Toc259698605"/>
      <w:r>
        <w:rPr>
          <w:rFonts w:ascii="Times New Roman" w:hAnsi="Times New Roman" w:eastAsia="楷体_GB2312"/>
          <w:color w:val="000000"/>
          <w:szCs w:val="32"/>
        </w:rPr>
        <w:t>1.9 踏勘现场</w:t>
      </w:r>
      <w:bookmarkEnd w:id="99"/>
      <w:bookmarkEnd w:id="100"/>
      <w:r>
        <w:rPr>
          <w:rFonts w:ascii="Times New Roman" w:hAnsi="Times New Roman" w:eastAsia="楷体_GB2312"/>
          <w:color w:val="000000"/>
          <w:szCs w:val="32"/>
        </w:rPr>
        <w:t>（不组织）</w:t>
      </w:r>
    </w:p>
    <w:p>
      <w:pPr>
        <w:spacing w:line="490" w:lineRule="exact"/>
        <w:ind w:firstLine="560" w:firstLineChars="200"/>
        <w:rPr>
          <w:rFonts w:eastAsia="仿宋_GB2312"/>
          <w:color w:val="000000"/>
          <w:sz w:val="28"/>
          <w:szCs w:val="32"/>
        </w:rPr>
      </w:pPr>
      <w:r>
        <w:rPr>
          <w:rFonts w:eastAsia="仿宋_GB2312"/>
          <w:color w:val="000000"/>
          <w:sz w:val="28"/>
          <w:szCs w:val="32"/>
        </w:rPr>
        <w:t>1.9.1  投标人须知前附表规定不组织踏勘现场的，投标人可自行对工程现场和周围环境进行现场踏勘，以便编制投标文件。踏勘现场的费用由投标人自行承担。</w:t>
      </w:r>
    </w:p>
    <w:p>
      <w:pPr>
        <w:spacing w:line="490" w:lineRule="exact"/>
        <w:ind w:firstLine="560" w:firstLineChars="200"/>
        <w:rPr>
          <w:rFonts w:eastAsia="仿宋_GB2312"/>
          <w:color w:val="000000"/>
          <w:sz w:val="28"/>
          <w:szCs w:val="32"/>
        </w:rPr>
      </w:pPr>
      <w:r>
        <w:rPr>
          <w:rFonts w:eastAsia="仿宋_GB2312"/>
          <w:color w:val="000000"/>
          <w:sz w:val="28"/>
          <w:szCs w:val="32"/>
        </w:rPr>
        <w:t>1.9.2  投标人的任何人员为了踏勘现场而需要进入招标人所管辖的场地时，需事先经招标人同意。除由于招标人的原因外，在现场踏勘中所发生的人员伤亡和财产损失应由投标人自行负责。</w:t>
      </w:r>
    </w:p>
    <w:p>
      <w:pPr>
        <w:spacing w:line="490" w:lineRule="exact"/>
        <w:ind w:firstLine="560" w:firstLineChars="200"/>
        <w:rPr>
          <w:rFonts w:eastAsia="仿宋_GB2312"/>
          <w:color w:val="000000"/>
          <w:sz w:val="28"/>
          <w:szCs w:val="32"/>
        </w:rPr>
      </w:pPr>
      <w:r>
        <w:rPr>
          <w:rFonts w:eastAsia="仿宋_GB2312"/>
          <w:color w:val="000000"/>
          <w:sz w:val="28"/>
          <w:szCs w:val="32"/>
        </w:rPr>
        <w:t>1.9.3  招标人提供的本合同工程的水文、地质、气象和料场分布、取土场、弃土场位置等参考资料，投标人应对自己对上述资料的解释、推论和应用负责，招标人不对投标人据此作出的判断和决策承担任何责任。</w:t>
      </w:r>
    </w:p>
    <w:p>
      <w:pPr>
        <w:pStyle w:val="7"/>
        <w:keepNext w:val="0"/>
        <w:keepLines w:val="0"/>
        <w:spacing w:before="0" w:after="0" w:line="490" w:lineRule="exact"/>
        <w:ind w:firstLine="562" w:firstLineChars="200"/>
        <w:rPr>
          <w:rFonts w:ascii="Times New Roman" w:hAnsi="Times New Roman" w:eastAsia="楷体_GB2312"/>
          <w:color w:val="000000"/>
          <w:szCs w:val="32"/>
        </w:rPr>
      </w:pPr>
      <w:bookmarkStart w:id="101" w:name="_Toc189386031"/>
      <w:r>
        <w:rPr>
          <w:rFonts w:ascii="Times New Roman" w:hAnsi="Times New Roman" w:eastAsia="楷体_GB2312"/>
          <w:color w:val="000000"/>
          <w:szCs w:val="32"/>
        </w:rPr>
        <w:t>1.10 投标预备会</w:t>
      </w:r>
      <w:bookmarkEnd w:id="101"/>
      <w:r>
        <w:rPr>
          <w:rFonts w:ascii="Times New Roman" w:hAnsi="Times New Roman" w:eastAsia="楷体_GB2312"/>
          <w:color w:val="000000"/>
          <w:szCs w:val="32"/>
        </w:rPr>
        <w:t>（召开）</w:t>
      </w:r>
    </w:p>
    <w:p>
      <w:pPr>
        <w:spacing w:line="490" w:lineRule="exact"/>
        <w:ind w:firstLine="560" w:firstLineChars="200"/>
        <w:rPr>
          <w:rFonts w:eastAsia="仿宋_GB2312"/>
          <w:color w:val="000000"/>
          <w:sz w:val="28"/>
          <w:szCs w:val="32"/>
        </w:rPr>
      </w:pPr>
      <w:r>
        <w:rPr>
          <w:rFonts w:eastAsia="仿宋_GB2312"/>
          <w:color w:val="000000"/>
          <w:sz w:val="28"/>
          <w:szCs w:val="32"/>
        </w:rPr>
        <w:t>1.10.1  投标人须知前附表规定召开投标预备会的，招标人按照投标人须知前附表规定的时间和地点召开投标预备会。</w:t>
      </w:r>
    </w:p>
    <w:p>
      <w:pPr>
        <w:spacing w:line="490" w:lineRule="exact"/>
        <w:ind w:firstLine="560" w:firstLineChars="200"/>
        <w:rPr>
          <w:rFonts w:eastAsia="仿宋_GB2312"/>
          <w:color w:val="000000"/>
          <w:sz w:val="28"/>
          <w:szCs w:val="32"/>
        </w:rPr>
      </w:pPr>
      <w:r>
        <w:rPr>
          <w:rFonts w:eastAsia="仿宋_GB2312"/>
          <w:color w:val="000000"/>
          <w:sz w:val="28"/>
          <w:szCs w:val="32"/>
        </w:rPr>
        <w:t>1.10.2  投标人应按投标人须知前附表规定的时间和形式将提出的问题送达招标人，以便招标人在会议期间澄清。</w:t>
      </w:r>
    </w:p>
    <w:p>
      <w:pPr>
        <w:spacing w:line="490" w:lineRule="exact"/>
        <w:ind w:firstLine="560" w:firstLineChars="200"/>
        <w:rPr>
          <w:rFonts w:eastAsia="仿宋_GB2312"/>
          <w:color w:val="000000"/>
          <w:sz w:val="28"/>
          <w:szCs w:val="32"/>
        </w:rPr>
      </w:pPr>
      <w:r>
        <w:rPr>
          <w:rFonts w:eastAsia="仿宋_GB2312"/>
          <w:color w:val="000000"/>
          <w:sz w:val="28"/>
          <w:szCs w:val="32"/>
        </w:rPr>
        <w:t>1.10.3  在投标人须知前附表规定的时间，招标人将对投标人所提问题的澄清在投标人须知前附表第2.2.2款规定的网站上发布，但不指明澄清问题的来源，投标人自行下载，招标人不另行通知。该澄清通知为招标文件的组成部分。</w:t>
      </w:r>
    </w:p>
    <w:p>
      <w:pPr>
        <w:pStyle w:val="7"/>
        <w:keepNext w:val="0"/>
        <w:keepLines w:val="0"/>
        <w:spacing w:before="0" w:after="0" w:line="490" w:lineRule="exact"/>
        <w:ind w:firstLine="562" w:firstLineChars="200"/>
        <w:rPr>
          <w:rFonts w:ascii="Times New Roman" w:hAnsi="Times New Roman" w:eastAsia="楷体_GB2312"/>
          <w:color w:val="000000"/>
          <w:szCs w:val="32"/>
        </w:rPr>
      </w:pPr>
      <w:bookmarkStart w:id="102" w:name="_Toc269742706"/>
      <w:bookmarkStart w:id="103" w:name="_Toc259698606"/>
      <w:r>
        <w:rPr>
          <w:rFonts w:ascii="Times New Roman" w:hAnsi="Times New Roman" w:eastAsia="楷体_GB2312"/>
          <w:color w:val="000000"/>
          <w:szCs w:val="32"/>
        </w:rPr>
        <w:t>1.10 投标预备会</w:t>
      </w:r>
      <w:bookmarkEnd w:id="102"/>
      <w:bookmarkEnd w:id="103"/>
      <w:r>
        <w:rPr>
          <w:rFonts w:ascii="Times New Roman" w:hAnsi="Times New Roman" w:eastAsia="楷体_GB2312"/>
          <w:color w:val="000000"/>
          <w:szCs w:val="32"/>
        </w:rPr>
        <w:t>（不召开）</w:t>
      </w:r>
    </w:p>
    <w:p>
      <w:pPr>
        <w:spacing w:line="490" w:lineRule="exact"/>
        <w:ind w:firstLine="560" w:firstLineChars="200"/>
        <w:rPr>
          <w:rFonts w:eastAsia="仿宋_GB2312"/>
          <w:color w:val="000000"/>
          <w:sz w:val="28"/>
          <w:szCs w:val="32"/>
        </w:rPr>
      </w:pPr>
      <w:r>
        <w:rPr>
          <w:rFonts w:eastAsia="仿宋_GB2312"/>
          <w:color w:val="000000"/>
          <w:sz w:val="28"/>
          <w:szCs w:val="32"/>
        </w:rPr>
        <w:t>1.10.1  本项目招标人不组织召开投标预备会。</w:t>
      </w:r>
    </w:p>
    <w:p>
      <w:pPr>
        <w:spacing w:line="490" w:lineRule="exact"/>
        <w:ind w:firstLine="560" w:firstLineChars="200"/>
        <w:rPr>
          <w:rFonts w:eastAsia="仿宋_GB2312"/>
          <w:color w:val="000000"/>
          <w:sz w:val="28"/>
          <w:szCs w:val="32"/>
        </w:rPr>
      </w:pPr>
      <w:r>
        <w:rPr>
          <w:rFonts w:eastAsia="仿宋_GB2312"/>
          <w:color w:val="000000"/>
          <w:sz w:val="28"/>
          <w:szCs w:val="32"/>
        </w:rPr>
        <w:t>1.10.2  对投标人提出的问题，招标人将按第2.2条和第2.3条的规定处理。</w:t>
      </w:r>
    </w:p>
    <w:p>
      <w:pPr>
        <w:spacing w:line="490" w:lineRule="exact"/>
        <w:ind w:firstLine="560" w:firstLineChars="200"/>
        <w:rPr>
          <w:rFonts w:eastAsia="仿宋_GB2312"/>
          <w:color w:val="000000"/>
          <w:sz w:val="28"/>
          <w:szCs w:val="32"/>
        </w:rPr>
      </w:pPr>
      <w:r>
        <w:rPr>
          <w:rFonts w:eastAsia="仿宋_GB2312"/>
          <w:color w:val="000000"/>
          <w:sz w:val="28"/>
          <w:szCs w:val="32"/>
        </w:rPr>
        <w:t>1.10.3  在投标人须知前附表规定时间，招标人将对投标人所提问题的澄清在投标人须知前附表第2.2.2款规定的网站上发布，但不指明澄清问题的来源，投标人自行下载，招标人不另行通知。该澄清通知为招标文件的组成部分。</w:t>
      </w:r>
    </w:p>
    <w:p>
      <w:pPr>
        <w:pStyle w:val="7"/>
        <w:keepNext w:val="0"/>
        <w:keepLines w:val="0"/>
        <w:spacing w:before="0" w:after="0" w:line="490" w:lineRule="exact"/>
        <w:ind w:firstLine="562" w:firstLineChars="200"/>
        <w:rPr>
          <w:rFonts w:ascii="Times New Roman" w:hAnsi="Times New Roman" w:eastAsia="楷体_GB2312"/>
          <w:color w:val="000000"/>
          <w:szCs w:val="32"/>
        </w:rPr>
      </w:pPr>
      <w:bookmarkStart w:id="104" w:name="_Toc259698607"/>
      <w:bookmarkStart w:id="105" w:name="_Toc269742707"/>
      <w:bookmarkStart w:id="106" w:name="_Toc259698608"/>
      <w:bookmarkStart w:id="107" w:name="_Toc269742708"/>
      <w:r>
        <w:rPr>
          <w:rFonts w:ascii="Times New Roman" w:hAnsi="Times New Roman" w:eastAsia="楷体_GB2312"/>
          <w:color w:val="000000"/>
          <w:szCs w:val="32"/>
        </w:rPr>
        <w:t>1.11 分包</w:t>
      </w:r>
      <w:bookmarkEnd w:id="104"/>
      <w:bookmarkEnd w:id="105"/>
    </w:p>
    <w:p>
      <w:pPr>
        <w:spacing w:line="490" w:lineRule="exact"/>
        <w:ind w:firstLine="560" w:firstLineChars="200"/>
        <w:rPr>
          <w:rFonts w:eastAsia="仿宋_GB2312"/>
          <w:color w:val="000000"/>
          <w:sz w:val="28"/>
          <w:szCs w:val="32"/>
        </w:rPr>
      </w:pPr>
      <w:r>
        <w:rPr>
          <w:rFonts w:eastAsia="仿宋_GB2312"/>
          <w:color w:val="000000"/>
          <w:sz w:val="28"/>
          <w:szCs w:val="32"/>
        </w:rPr>
        <w:t>投标人须知前附表规定允许分包的，分包的内容，分包金额，接受分包的第三人资质要求见投标人须知前附表。投标人应在投标文件中明确是否在中标后将中标项目的部分非主体、非关键性工作进行分包。投标人拟分包时，分包人应具备与分包工程的标准和规模相适应的资质和业绩，在人力、设备、资金等方面具有承担分包工程的能力。投标人应在投标文件中提供分包协议、分包人的</w:t>
      </w:r>
      <w:r>
        <w:rPr>
          <w:rFonts w:eastAsia="仿宋_GB2312"/>
          <w:color w:val="000000"/>
          <w:kern w:val="0"/>
          <w:sz w:val="28"/>
          <w:szCs w:val="32"/>
        </w:rPr>
        <w:t>资质证书及营业执照副本</w:t>
      </w:r>
      <w:r>
        <w:rPr>
          <w:rFonts w:hint="eastAsia" w:eastAsia="仿宋_GB2312"/>
          <w:color w:val="000000"/>
          <w:kern w:val="0"/>
          <w:sz w:val="28"/>
          <w:szCs w:val="32"/>
        </w:rPr>
        <w:t>原件扫描件</w:t>
      </w:r>
      <w:r>
        <w:rPr>
          <w:rFonts w:eastAsia="仿宋_GB2312"/>
          <w:color w:val="000000"/>
          <w:kern w:val="0"/>
          <w:sz w:val="28"/>
          <w:szCs w:val="32"/>
        </w:rPr>
        <w:t>、人员和设备资料表、分包的工程项目和工程量。</w:t>
      </w:r>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1.12 偏离</w:t>
      </w:r>
      <w:bookmarkEnd w:id="106"/>
      <w:bookmarkEnd w:id="107"/>
    </w:p>
    <w:p>
      <w:pPr>
        <w:spacing w:line="490" w:lineRule="exact"/>
        <w:ind w:firstLine="560" w:firstLineChars="200"/>
        <w:rPr>
          <w:rFonts w:eastAsia="仿宋_GB2312"/>
          <w:color w:val="000000"/>
          <w:sz w:val="28"/>
          <w:szCs w:val="32"/>
        </w:rPr>
      </w:pPr>
      <w:r>
        <w:rPr>
          <w:rFonts w:eastAsia="仿宋_GB2312"/>
          <w:color w:val="000000"/>
          <w:sz w:val="28"/>
          <w:szCs w:val="32"/>
        </w:rPr>
        <w:t>1.12.1  投标文件不允许偏离招标文件的实质性要求和条件。投标文件偏离招标文件的非实质性要求和条件的，其处理方式见投标人须知前附表。</w:t>
      </w:r>
    </w:p>
    <w:p>
      <w:pPr>
        <w:pStyle w:val="6"/>
        <w:keepNext w:val="0"/>
        <w:keepLines w:val="0"/>
        <w:spacing w:before="0" w:after="0" w:line="490" w:lineRule="exact"/>
        <w:ind w:firstLine="562" w:firstLineChars="200"/>
        <w:rPr>
          <w:rFonts w:ascii="Times New Roman" w:hAnsi="Times New Roman" w:eastAsia="黑体"/>
          <w:bCs w:val="0"/>
          <w:color w:val="000000"/>
          <w:sz w:val="28"/>
        </w:rPr>
      </w:pPr>
      <w:bookmarkStart w:id="108" w:name="_Toc51091845"/>
      <w:bookmarkStart w:id="109" w:name="_Toc259698609"/>
      <w:bookmarkStart w:id="110" w:name="_Toc23038"/>
      <w:bookmarkStart w:id="111" w:name="_Toc269742709"/>
      <w:bookmarkStart w:id="112" w:name="_Toc24938"/>
      <w:r>
        <w:rPr>
          <w:rFonts w:ascii="Times New Roman" w:hAnsi="Times New Roman" w:eastAsia="黑体"/>
          <w:bCs w:val="0"/>
          <w:color w:val="000000"/>
          <w:sz w:val="28"/>
        </w:rPr>
        <w:t>2．招标文件</w:t>
      </w:r>
      <w:bookmarkEnd w:id="108"/>
      <w:bookmarkEnd w:id="109"/>
      <w:bookmarkEnd w:id="110"/>
      <w:bookmarkEnd w:id="111"/>
      <w:bookmarkEnd w:id="112"/>
    </w:p>
    <w:p>
      <w:pPr>
        <w:pStyle w:val="7"/>
        <w:keepNext w:val="0"/>
        <w:keepLines w:val="0"/>
        <w:spacing w:before="0" w:after="0" w:line="490" w:lineRule="exact"/>
        <w:ind w:firstLine="562" w:firstLineChars="200"/>
        <w:rPr>
          <w:rFonts w:ascii="Times New Roman" w:hAnsi="Times New Roman" w:eastAsia="楷体_GB2312"/>
          <w:color w:val="000000"/>
          <w:szCs w:val="32"/>
        </w:rPr>
      </w:pPr>
      <w:bookmarkStart w:id="113" w:name="_Toc189386035"/>
      <w:r>
        <w:rPr>
          <w:rFonts w:ascii="Times New Roman" w:hAnsi="Times New Roman" w:eastAsia="楷体_GB2312"/>
          <w:color w:val="000000"/>
          <w:szCs w:val="32"/>
        </w:rPr>
        <w:t>2.1 招标文件的组成</w:t>
      </w:r>
      <w:bookmarkEnd w:id="113"/>
    </w:p>
    <w:p>
      <w:pPr>
        <w:spacing w:line="490" w:lineRule="exact"/>
        <w:ind w:firstLine="560" w:firstLineChars="200"/>
        <w:rPr>
          <w:rFonts w:eastAsia="仿宋_GB2312"/>
          <w:color w:val="000000"/>
          <w:sz w:val="28"/>
          <w:szCs w:val="32"/>
        </w:rPr>
      </w:pPr>
      <w:r>
        <w:rPr>
          <w:rFonts w:eastAsia="仿宋_GB2312"/>
          <w:color w:val="000000"/>
          <w:sz w:val="28"/>
          <w:szCs w:val="32"/>
        </w:rPr>
        <w:t>2.1.1  本招标文件包括：</w:t>
      </w:r>
    </w:p>
    <w:p>
      <w:pPr>
        <w:spacing w:line="490" w:lineRule="exact"/>
        <w:ind w:firstLine="560" w:firstLineChars="200"/>
        <w:rPr>
          <w:rFonts w:eastAsia="仿宋_GB2312"/>
          <w:color w:val="000000"/>
          <w:sz w:val="28"/>
          <w:szCs w:val="32"/>
        </w:rPr>
      </w:pPr>
      <w:r>
        <w:rPr>
          <w:rFonts w:eastAsia="仿宋_GB2312"/>
          <w:color w:val="000000"/>
          <w:sz w:val="28"/>
          <w:szCs w:val="32"/>
        </w:rPr>
        <w:t xml:space="preserve">（1）招标公告； </w:t>
      </w:r>
    </w:p>
    <w:p>
      <w:pPr>
        <w:spacing w:line="490" w:lineRule="exact"/>
        <w:ind w:firstLine="560" w:firstLineChars="200"/>
        <w:rPr>
          <w:rFonts w:eastAsia="仿宋_GB2312"/>
          <w:color w:val="000000"/>
          <w:sz w:val="28"/>
          <w:szCs w:val="32"/>
        </w:rPr>
      </w:pPr>
      <w:r>
        <w:rPr>
          <w:rFonts w:eastAsia="仿宋_GB2312"/>
          <w:color w:val="000000"/>
          <w:sz w:val="28"/>
          <w:szCs w:val="32"/>
        </w:rPr>
        <w:t>（2）投标人须知；</w:t>
      </w:r>
    </w:p>
    <w:p>
      <w:pPr>
        <w:spacing w:line="490" w:lineRule="exact"/>
        <w:ind w:firstLine="560" w:firstLineChars="200"/>
        <w:rPr>
          <w:rFonts w:eastAsia="仿宋_GB2312"/>
          <w:color w:val="000000"/>
          <w:sz w:val="28"/>
          <w:szCs w:val="32"/>
        </w:rPr>
      </w:pPr>
      <w:r>
        <w:rPr>
          <w:rFonts w:eastAsia="仿宋_GB2312"/>
          <w:color w:val="000000"/>
          <w:sz w:val="28"/>
          <w:szCs w:val="32"/>
        </w:rPr>
        <w:t>（3）评标办法；</w:t>
      </w:r>
    </w:p>
    <w:p>
      <w:pPr>
        <w:spacing w:line="490" w:lineRule="exact"/>
        <w:ind w:firstLine="560" w:firstLineChars="200"/>
        <w:rPr>
          <w:rFonts w:eastAsia="仿宋_GB2312"/>
          <w:color w:val="000000"/>
          <w:sz w:val="28"/>
          <w:szCs w:val="32"/>
        </w:rPr>
      </w:pPr>
      <w:r>
        <w:rPr>
          <w:rFonts w:eastAsia="仿宋_GB2312"/>
          <w:color w:val="000000"/>
          <w:sz w:val="28"/>
          <w:szCs w:val="32"/>
        </w:rPr>
        <w:t>（4）合同条款及格式；</w:t>
      </w:r>
    </w:p>
    <w:p>
      <w:pPr>
        <w:spacing w:line="490" w:lineRule="exact"/>
        <w:ind w:firstLine="560" w:firstLineChars="200"/>
        <w:rPr>
          <w:rFonts w:eastAsia="仿宋_GB2312"/>
          <w:color w:val="000000"/>
          <w:sz w:val="28"/>
          <w:szCs w:val="32"/>
        </w:rPr>
      </w:pPr>
      <w:r>
        <w:rPr>
          <w:rFonts w:eastAsia="仿宋_GB2312"/>
          <w:color w:val="000000"/>
          <w:sz w:val="28"/>
          <w:szCs w:val="32"/>
        </w:rPr>
        <w:t>（5）工程量清单；</w:t>
      </w:r>
    </w:p>
    <w:p>
      <w:pPr>
        <w:spacing w:line="490" w:lineRule="exact"/>
        <w:ind w:firstLine="560" w:firstLineChars="200"/>
        <w:rPr>
          <w:rFonts w:eastAsia="仿宋_GB2312"/>
          <w:color w:val="000000"/>
          <w:sz w:val="28"/>
          <w:szCs w:val="32"/>
        </w:rPr>
      </w:pPr>
      <w:r>
        <w:rPr>
          <w:rFonts w:eastAsia="仿宋_GB2312"/>
          <w:color w:val="000000"/>
          <w:sz w:val="28"/>
          <w:szCs w:val="32"/>
        </w:rPr>
        <w:t>（6）图纸；</w:t>
      </w:r>
    </w:p>
    <w:p>
      <w:pPr>
        <w:spacing w:line="490" w:lineRule="exact"/>
        <w:ind w:firstLine="560" w:firstLineChars="200"/>
        <w:rPr>
          <w:rFonts w:eastAsia="仿宋_GB2312"/>
          <w:color w:val="000000"/>
          <w:sz w:val="28"/>
          <w:szCs w:val="32"/>
        </w:rPr>
      </w:pPr>
      <w:r>
        <w:rPr>
          <w:rFonts w:eastAsia="仿宋_GB2312"/>
          <w:color w:val="000000"/>
          <w:sz w:val="28"/>
          <w:szCs w:val="32"/>
        </w:rPr>
        <w:t>（7）技术标准和要求；</w:t>
      </w:r>
    </w:p>
    <w:p>
      <w:pPr>
        <w:spacing w:line="490" w:lineRule="exact"/>
        <w:ind w:firstLine="560" w:firstLineChars="200"/>
        <w:rPr>
          <w:rFonts w:eastAsia="仿宋_GB2312"/>
          <w:color w:val="000000"/>
          <w:sz w:val="28"/>
          <w:szCs w:val="32"/>
        </w:rPr>
      </w:pPr>
      <w:r>
        <w:rPr>
          <w:rFonts w:eastAsia="仿宋_GB2312"/>
          <w:color w:val="000000"/>
          <w:sz w:val="28"/>
          <w:szCs w:val="32"/>
        </w:rPr>
        <w:t>（8）投标文件格式；</w:t>
      </w:r>
    </w:p>
    <w:p>
      <w:pPr>
        <w:spacing w:line="490" w:lineRule="exact"/>
        <w:ind w:firstLine="560" w:firstLineChars="200"/>
        <w:rPr>
          <w:rFonts w:eastAsia="仿宋_GB2312"/>
          <w:color w:val="000000"/>
          <w:sz w:val="28"/>
          <w:szCs w:val="32"/>
        </w:rPr>
      </w:pPr>
      <w:r>
        <w:rPr>
          <w:rFonts w:eastAsia="仿宋_GB2312"/>
          <w:color w:val="000000"/>
          <w:sz w:val="28"/>
          <w:szCs w:val="32"/>
        </w:rPr>
        <w:t>（9）投标人须知前附表规定的其他材料。</w:t>
      </w:r>
    </w:p>
    <w:p>
      <w:pPr>
        <w:spacing w:line="490" w:lineRule="exact"/>
        <w:ind w:firstLine="560" w:firstLineChars="200"/>
        <w:rPr>
          <w:rFonts w:eastAsia="仿宋_GB2312"/>
          <w:color w:val="000000"/>
          <w:sz w:val="28"/>
          <w:szCs w:val="32"/>
        </w:rPr>
      </w:pPr>
      <w:r>
        <w:rPr>
          <w:rFonts w:eastAsia="仿宋_GB2312"/>
          <w:color w:val="000000"/>
          <w:sz w:val="28"/>
          <w:szCs w:val="32"/>
        </w:rPr>
        <w:t>2.1.2  根据本章第1.10款、第2.2款和第2.3款对招标文件所作的澄清、修改，构成招标文件的组成部分。</w:t>
      </w:r>
    </w:p>
    <w:p>
      <w:pPr>
        <w:spacing w:line="490" w:lineRule="exact"/>
        <w:ind w:firstLine="560" w:firstLineChars="200"/>
        <w:rPr>
          <w:rFonts w:eastAsia="仿宋_GB2312"/>
          <w:color w:val="000000"/>
          <w:sz w:val="28"/>
          <w:szCs w:val="32"/>
        </w:rPr>
      </w:pPr>
      <w:r>
        <w:rPr>
          <w:rFonts w:eastAsia="仿宋_GB2312"/>
          <w:color w:val="000000"/>
          <w:sz w:val="28"/>
          <w:szCs w:val="32"/>
        </w:rPr>
        <w:t xml:space="preserve">2.1.3  </w:t>
      </w:r>
      <w:r>
        <w:rPr>
          <w:rFonts w:eastAsia="仿宋_GB2312"/>
          <w:b/>
          <w:color w:val="000000"/>
          <w:sz w:val="28"/>
          <w:szCs w:val="32"/>
        </w:rPr>
        <w:t>当招标文件、招标文件的澄清或修改等在同一内容的表述上不一致时，</w:t>
      </w:r>
      <w:r>
        <w:rPr>
          <w:rFonts w:hint="eastAsia" w:eastAsia="仿宋_GB2312"/>
          <w:b/>
          <w:color w:val="000000"/>
          <w:sz w:val="28"/>
          <w:szCs w:val="32"/>
        </w:rPr>
        <w:t>以最后网上公布的澄清或补遗文件为准</w:t>
      </w:r>
      <w:r>
        <w:rPr>
          <w:rFonts w:eastAsia="仿宋_GB2312"/>
          <w:b/>
          <w:color w:val="000000"/>
          <w:sz w:val="28"/>
          <w:szCs w:val="32"/>
        </w:rPr>
        <w:t>。</w:t>
      </w:r>
    </w:p>
    <w:p>
      <w:pPr>
        <w:pStyle w:val="7"/>
        <w:keepNext w:val="0"/>
        <w:keepLines w:val="0"/>
        <w:spacing w:before="0" w:after="0" w:line="490" w:lineRule="exact"/>
        <w:ind w:firstLine="562" w:firstLineChars="200"/>
        <w:rPr>
          <w:rFonts w:ascii="Times New Roman" w:hAnsi="Times New Roman" w:eastAsia="楷体_GB2312"/>
          <w:color w:val="000000"/>
          <w:szCs w:val="32"/>
        </w:rPr>
      </w:pPr>
      <w:bookmarkStart w:id="114" w:name="_Toc269742710"/>
      <w:bookmarkStart w:id="115" w:name="_Toc259698610"/>
      <w:r>
        <w:rPr>
          <w:rFonts w:ascii="Times New Roman" w:hAnsi="Times New Roman" w:eastAsia="楷体_GB2312"/>
          <w:color w:val="000000"/>
          <w:szCs w:val="32"/>
        </w:rPr>
        <w:t>2.2 招标文件的澄清</w:t>
      </w:r>
      <w:bookmarkEnd w:id="114"/>
      <w:bookmarkEnd w:id="115"/>
    </w:p>
    <w:p>
      <w:pPr>
        <w:spacing w:line="490" w:lineRule="exact"/>
        <w:ind w:firstLine="560" w:firstLineChars="200"/>
        <w:rPr>
          <w:rFonts w:eastAsia="仿宋_GB2312"/>
          <w:color w:val="000000"/>
          <w:sz w:val="28"/>
          <w:szCs w:val="32"/>
        </w:rPr>
      </w:pPr>
      <w:r>
        <w:rPr>
          <w:rFonts w:eastAsia="仿宋_GB2312"/>
          <w:color w:val="000000"/>
          <w:sz w:val="28"/>
          <w:szCs w:val="32"/>
        </w:rPr>
        <w:t>2.2.1  投标人应仔细阅读和检查招标文件的全部内容。如发现缺页或附件不全，应及时向招标人提出，以便补齐。如有疑问，应在投标人须知前附表规定的时间按投标人须知前附表规定的方式提出澄清申请，要求招标人对招标文件予以澄清。</w:t>
      </w:r>
    </w:p>
    <w:p>
      <w:pPr>
        <w:pStyle w:val="15"/>
        <w:spacing w:line="490" w:lineRule="exact"/>
        <w:ind w:firstLine="560"/>
        <w:rPr>
          <w:rFonts w:eastAsia="仿宋_GB2312"/>
          <w:color w:val="000000"/>
          <w:sz w:val="28"/>
          <w:szCs w:val="32"/>
        </w:rPr>
      </w:pPr>
      <w:r>
        <w:rPr>
          <w:rFonts w:eastAsia="仿宋_GB2312"/>
          <w:color w:val="000000"/>
          <w:sz w:val="28"/>
          <w:szCs w:val="32"/>
        </w:rPr>
        <w:t>2.2.2  招标文件的澄清将在投标人须知前附表规定的时间在投标人须知前附表规定的网站上发布，但不指明澄清问题的来源，投标人自行下载，招标人不另行通知。该澄清作为招标文件的组成部分。澄清发出的时间不满足投标人须知前附表规定时间的，并且澄清内容影响投标文件编制的，相应延长投标截止时间。</w:t>
      </w:r>
    </w:p>
    <w:p>
      <w:pPr>
        <w:pStyle w:val="15"/>
        <w:spacing w:line="490" w:lineRule="exact"/>
        <w:ind w:firstLine="560"/>
        <w:rPr>
          <w:rFonts w:eastAsia="仿宋_GB2312"/>
          <w:color w:val="000000"/>
          <w:sz w:val="28"/>
          <w:szCs w:val="32"/>
        </w:rPr>
      </w:pPr>
      <w:r>
        <w:rPr>
          <w:rFonts w:eastAsia="仿宋_GB2312"/>
          <w:color w:val="000000"/>
          <w:sz w:val="28"/>
          <w:szCs w:val="32"/>
        </w:rPr>
        <w:t>2.2.3  投标人须留意投标人须知前附表第2.2.2款所列网站发布的澄清通知，在浏览澄清通知后，投标人自行下载该澄清通知，不需要确认。投标人未留意该澄清通知而造成的后果由投标人自行承担。</w:t>
      </w:r>
    </w:p>
    <w:p>
      <w:pPr>
        <w:pStyle w:val="15"/>
        <w:spacing w:line="490" w:lineRule="exact"/>
        <w:ind w:firstLine="560"/>
        <w:rPr>
          <w:rFonts w:eastAsia="仿宋_GB2312"/>
          <w:color w:val="000000"/>
          <w:sz w:val="28"/>
          <w:szCs w:val="32"/>
        </w:rPr>
      </w:pPr>
      <w:r>
        <w:rPr>
          <w:rFonts w:eastAsia="仿宋_GB2312"/>
          <w:color w:val="000000"/>
          <w:sz w:val="28"/>
          <w:szCs w:val="32"/>
        </w:rPr>
        <w:t>2.2.4 除非招标人认为确有必要答复，否则，招标人有权拒绝回复投标人在本章第2.2.1项规定的时间后的任何澄清要求。</w:t>
      </w:r>
    </w:p>
    <w:p>
      <w:pPr>
        <w:pStyle w:val="7"/>
        <w:keepNext w:val="0"/>
        <w:keepLines w:val="0"/>
        <w:spacing w:before="0" w:after="0" w:line="490" w:lineRule="exact"/>
        <w:ind w:firstLine="562" w:firstLineChars="200"/>
        <w:rPr>
          <w:rFonts w:ascii="Times New Roman" w:hAnsi="Times New Roman" w:eastAsia="楷体_GB2312"/>
          <w:color w:val="000000"/>
          <w:szCs w:val="32"/>
        </w:rPr>
      </w:pPr>
      <w:bookmarkStart w:id="116" w:name="_Toc259698611"/>
      <w:bookmarkStart w:id="117" w:name="_Toc269742711"/>
      <w:r>
        <w:rPr>
          <w:rFonts w:ascii="Times New Roman" w:hAnsi="Times New Roman" w:eastAsia="楷体_GB2312"/>
          <w:color w:val="000000"/>
          <w:szCs w:val="32"/>
        </w:rPr>
        <w:t>2.3 招标文件的修改</w:t>
      </w:r>
      <w:bookmarkEnd w:id="116"/>
      <w:bookmarkEnd w:id="117"/>
    </w:p>
    <w:p>
      <w:pPr>
        <w:spacing w:line="490" w:lineRule="exact"/>
        <w:ind w:firstLine="560" w:firstLineChars="200"/>
        <w:rPr>
          <w:rFonts w:eastAsia="仿宋_GB2312"/>
          <w:color w:val="000000"/>
          <w:sz w:val="28"/>
          <w:szCs w:val="32"/>
        </w:rPr>
      </w:pPr>
      <w:r>
        <w:rPr>
          <w:rFonts w:eastAsia="仿宋_GB2312"/>
          <w:color w:val="000000"/>
          <w:sz w:val="28"/>
          <w:szCs w:val="32"/>
        </w:rPr>
        <w:t>2.3.1  在投标人须知前附表规定的时间，招标人可以修改招标文件，并在投标人须知前附表规定的网站上发布，投标人自行下载，招标代理机构不另行通知且不需投标人确认。该修改内容作为招标文件的组成部分。修改通知发出的时间不满足投标人须知前附表规定时间要求的，并且修改内容影响投标文件编制的，将相应延长投标截止时间。</w:t>
      </w:r>
    </w:p>
    <w:p>
      <w:pPr>
        <w:spacing w:line="490" w:lineRule="exact"/>
        <w:ind w:firstLine="560" w:firstLineChars="200"/>
        <w:rPr>
          <w:rFonts w:eastAsia="仿宋_GB2312"/>
          <w:color w:val="000000"/>
          <w:sz w:val="28"/>
          <w:szCs w:val="32"/>
        </w:rPr>
      </w:pPr>
      <w:r>
        <w:rPr>
          <w:rFonts w:eastAsia="仿宋_GB2312"/>
          <w:color w:val="000000"/>
          <w:sz w:val="28"/>
          <w:szCs w:val="32"/>
        </w:rPr>
        <w:t>2.3.2  投标人须留意投标人须知前附表第2.3.1款所列网站发布的修改通知，在浏览修改通知后，投标人自行下载该修改通知，不需要确认。投标人未留意该修改通知而造成的后果由投标人自行承担。</w:t>
      </w:r>
    </w:p>
    <w:p>
      <w:pPr>
        <w:pStyle w:val="7"/>
        <w:keepNext w:val="0"/>
        <w:keepLines w:val="0"/>
        <w:spacing w:before="0" w:after="0" w:line="490" w:lineRule="exact"/>
        <w:ind w:firstLine="562" w:firstLineChars="200"/>
        <w:rPr>
          <w:rFonts w:ascii="Times New Roman" w:hAnsi="Times New Roman" w:eastAsia="楷体_GB2312"/>
          <w:color w:val="000000"/>
          <w:szCs w:val="32"/>
        </w:rPr>
      </w:pPr>
      <w:bookmarkStart w:id="118" w:name="_Toc13059"/>
      <w:r>
        <w:rPr>
          <w:rFonts w:ascii="Times New Roman" w:hAnsi="Times New Roman" w:eastAsia="楷体_GB2312"/>
          <w:color w:val="000000"/>
          <w:szCs w:val="32"/>
        </w:rPr>
        <w:t>2.4 招标文件的异议</w:t>
      </w:r>
      <w:bookmarkEnd w:id="118"/>
      <w:r>
        <w:rPr>
          <w:rFonts w:ascii="Times New Roman" w:hAnsi="Times New Roman" w:eastAsia="楷体_GB2312"/>
          <w:color w:val="000000"/>
          <w:szCs w:val="32"/>
        </w:rPr>
        <w:t xml:space="preserve"> </w:t>
      </w:r>
    </w:p>
    <w:p>
      <w:pPr>
        <w:spacing w:line="490" w:lineRule="exact"/>
        <w:ind w:firstLine="560" w:firstLineChars="200"/>
        <w:rPr>
          <w:rFonts w:eastAsia="仿宋_GB2312"/>
          <w:color w:val="000000"/>
          <w:sz w:val="28"/>
          <w:szCs w:val="32"/>
        </w:rPr>
      </w:pPr>
      <w:r>
        <w:rPr>
          <w:rFonts w:eastAsia="仿宋_GB2312"/>
          <w:color w:val="000000"/>
          <w:sz w:val="28"/>
          <w:szCs w:val="32"/>
        </w:rPr>
        <w:t>投标人或者其他利害关系人对招标文件有异议的，应在投标人须知前附表规定的时间，按投标人须知前附表规定的方式提出。招标人将在投标人须知前附表规定的时间内作出答复；作出答复前，将暂停招标投标活动。</w:t>
      </w:r>
    </w:p>
    <w:p>
      <w:pPr>
        <w:pStyle w:val="6"/>
        <w:keepNext w:val="0"/>
        <w:keepLines w:val="0"/>
        <w:spacing w:before="0" w:after="0" w:line="490" w:lineRule="exact"/>
        <w:ind w:firstLine="562" w:firstLineChars="200"/>
        <w:rPr>
          <w:rFonts w:ascii="Times New Roman" w:hAnsi="Times New Roman" w:eastAsia="黑体"/>
          <w:bCs w:val="0"/>
          <w:color w:val="000000"/>
          <w:sz w:val="28"/>
        </w:rPr>
      </w:pPr>
      <w:bookmarkStart w:id="119" w:name="_Toc31076"/>
      <w:bookmarkStart w:id="120" w:name="_Toc259698612"/>
      <w:bookmarkStart w:id="121" w:name="_Toc51091846"/>
      <w:bookmarkStart w:id="122" w:name="_Toc20898"/>
      <w:bookmarkStart w:id="123" w:name="_Toc269742712"/>
      <w:r>
        <w:rPr>
          <w:rFonts w:ascii="Times New Roman" w:hAnsi="Times New Roman" w:eastAsia="黑体"/>
          <w:bCs w:val="0"/>
          <w:color w:val="000000"/>
          <w:sz w:val="28"/>
        </w:rPr>
        <w:t>3．投标文件</w:t>
      </w:r>
      <w:bookmarkEnd w:id="119"/>
      <w:bookmarkEnd w:id="120"/>
      <w:bookmarkEnd w:id="121"/>
      <w:bookmarkEnd w:id="122"/>
      <w:bookmarkEnd w:id="123"/>
    </w:p>
    <w:p>
      <w:pPr>
        <w:pStyle w:val="7"/>
        <w:keepNext w:val="0"/>
        <w:keepLines w:val="0"/>
        <w:spacing w:before="0" w:after="0" w:line="490" w:lineRule="exact"/>
        <w:ind w:firstLine="562" w:firstLineChars="200"/>
        <w:rPr>
          <w:rFonts w:ascii="Times New Roman" w:hAnsi="Times New Roman" w:eastAsia="楷体_GB2312"/>
          <w:color w:val="000000"/>
          <w:szCs w:val="32"/>
        </w:rPr>
      </w:pPr>
      <w:bookmarkStart w:id="124" w:name="_Toc189386039"/>
      <w:bookmarkStart w:id="125" w:name="_Toc259698613"/>
      <w:bookmarkStart w:id="126" w:name="_Toc269742713"/>
      <w:r>
        <w:rPr>
          <w:rFonts w:ascii="Times New Roman" w:hAnsi="Times New Roman" w:eastAsia="楷体_GB2312"/>
          <w:color w:val="000000"/>
          <w:szCs w:val="32"/>
        </w:rPr>
        <w:t>3.1 投标文件的组成</w:t>
      </w:r>
      <w:bookmarkEnd w:id="124"/>
    </w:p>
    <w:p>
      <w:pPr>
        <w:spacing w:line="490" w:lineRule="exact"/>
        <w:ind w:firstLine="560" w:firstLineChars="200"/>
        <w:rPr>
          <w:rFonts w:eastAsia="仿宋_GB2312"/>
          <w:color w:val="000000"/>
          <w:sz w:val="28"/>
          <w:szCs w:val="32"/>
        </w:rPr>
      </w:pPr>
      <w:r>
        <w:rPr>
          <w:rFonts w:eastAsia="仿宋_GB2312"/>
          <w:color w:val="000000"/>
          <w:sz w:val="28"/>
          <w:szCs w:val="32"/>
        </w:rPr>
        <w:t>3.1.1  投标文件</w:t>
      </w:r>
      <w:r>
        <w:rPr>
          <w:rFonts w:eastAsia="仿宋_GB2312"/>
          <w:bCs/>
          <w:color w:val="000000"/>
          <w:sz w:val="28"/>
          <w:szCs w:val="32"/>
        </w:rPr>
        <w:t>由商务投标文件和技术投标文件（</w:t>
      </w:r>
      <w:r>
        <w:rPr>
          <w:rFonts w:eastAsia="仿宋_GB2312"/>
          <w:color w:val="000000"/>
          <w:sz w:val="28"/>
          <w:szCs w:val="32"/>
        </w:rPr>
        <w:t>施工组织设计</w:t>
      </w:r>
      <w:r>
        <w:rPr>
          <w:rFonts w:eastAsia="仿宋_GB2312"/>
          <w:bCs/>
          <w:color w:val="000000"/>
          <w:sz w:val="28"/>
          <w:szCs w:val="32"/>
        </w:rPr>
        <w:t>）组成</w:t>
      </w:r>
      <w:r>
        <w:rPr>
          <w:rFonts w:eastAsia="仿宋_GB2312"/>
          <w:color w:val="000000"/>
          <w:sz w:val="28"/>
          <w:szCs w:val="32"/>
        </w:rPr>
        <w:t>：</w:t>
      </w:r>
    </w:p>
    <w:p>
      <w:pPr>
        <w:spacing w:line="490" w:lineRule="exact"/>
        <w:ind w:firstLine="562" w:firstLineChars="200"/>
        <w:rPr>
          <w:rFonts w:eastAsia="仿宋_GB2312"/>
          <w:b/>
          <w:color w:val="000000"/>
          <w:sz w:val="28"/>
          <w:szCs w:val="32"/>
        </w:rPr>
      </w:pPr>
      <w:r>
        <w:rPr>
          <w:rFonts w:eastAsia="仿宋_GB2312"/>
          <w:b/>
          <w:color w:val="000000"/>
          <w:sz w:val="28"/>
          <w:szCs w:val="32"/>
        </w:rPr>
        <w:t>（一）商务投标文件部分：</w:t>
      </w:r>
    </w:p>
    <w:p>
      <w:pPr>
        <w:spacing w:line="490" w:lineRule="exact"/>
        <w:ind w:firstLine="560" w:firstLineChars="200"/>
        <w:rPr>
          <w:rFonts w:eastAsia="仿宋_GB2312"/>
          <w:color w:val="000000"/>
          <w:sz w:val="28"/>
          <w:szCs w:val="32"/>
        </w:rPr>
      </w:pPr>
      <w:r>
        <w:rPr>
          <w:rFonts w:eastAsia="仿宋_GB2312"/>
          <w:color w:val="000000"/>
          <w:sz w:val="28"/>
          <w:szCs w:val="32"/>
        </w:rPr>
        <w:t>（1）投标函</w:t>
      </w:r>
      <w:r>
        <w:rPr>
          <w:rFonts w:hint="eastAsia" w:eastAsia="仿宋_GB2312"/>
          <w:color w:val="000000"/>
          <w:sz w:val="28"/>
          <w:szCs w:val="32"/>
        </w:rPr>
        <w:t>及</w:t>
      </w:r>
      <w:r>
        <w:rPr>
          <w:rFonts w:eastAsia="仿宋_GB2312"/>
          <w:color w:val="000000"/>
          <w:sz w:val="28"/>
          <w:szCs w:val="32"/>
        </w:rPr>
        <w:t>投标函附录；</w:t>
      </w:r>
    </w:p>
    <w:p>
      <w:pPr>
        <w:spacing w:line="490" w:lineRule="exact"/>
        <w:ind w:firstLine="560" w:firstLineChars="200"/>
        <w:rPr>
          <w:rFonts w:hint="eastAsia" w:eastAsia="仿宋_GB2312"/>
          <w:color w:val="000000"/>
          <w:sz w:val="28"/>
          <w:szCs w:val="32"/>
        </w:rPr>
      </w:pPr>
      <w:r>
        <w:rPr>
          <w:rFonts w:eastAsia="仿宋_GB2312"/>
          <w:color w:val="000000"/>
          <w:sz w:val="28"/>
          <w:szCs w:val="32"/>
        </w:rPr>
        <w:t>（2）法定代表人身份证明</w:t>
      </w:r>
      <w:r>
        <w:rPr>
          <w:rFonts w:hint="eastAsia" w:eastAsia="仿宋_GB2312"/>
          <w:color w:val="000000"/>
          <w:sz w:val="28"/>
          <w:szCs w:val="32"/>
        </w:rPr>
        <w:t>；</w:t>
      </w:r>
    </w:p>
    <w:p>
      <w:pPr>
        <w:spacing w:line="490" w:lineRule="exact"/>
        <w:ind w:firstLine="560" w:firstLineChars="200"/>
        <w:rPr>
          <w:rFonts w:eastAsia="仿宋_GB2312"/>
          <w:color w:val="000000"/>
          <w:sz w:val="28"/>
          <w:szCs w:val="32"/>
        </w:rPr>
      </w:pPr>
      <w:r>
        <w:rPr>
          <w:rFonts w:eastAsia="仿宋_GB2312"/>
          <w:color w:val="000000"/>
          <w:sz w:val="28"/>
          <w:szCs w:val="32"/>
        </w:rPr>
        <w:t>（3）附有法定代表人身份证明的委托代理人授权委托书、投标联系人授权委托书；</w:t>
      </w:r>
    </w:p>
    <w:p>
      <w:pPr>
        <w:spacing w:line="490" w:lineRule="exact"/>
        <w:ind w:firstLine="560" w:firstLineChars="200"/>
        <w:rPr>
          <w:rFonts w:eastAsia="仿宋_GB2312"/>
          <w:color w:val="000000"/>
          <w:sz w:val="28"/>
          <w:szCs w:val="32"/>
        </w:rPr>
      </w:pPr>
      <w:r>
        <w:rPr>
          <w:rFonts w:eastAsia="仿宋_GB2312"/>
          <w:color w:val="000000"/>
          <w:sz w:val="28"/>
          <w:szCs w:val="32"/>
        </w:rPr>
        <w:t>（4）联合体投标协议（如有）；</w:t>
      </w:r>
    </w:p>
    <w:p>
      <w:pPr>
        <w:spacing w:line="490" w:lineRule="exact"/>
        <w:ind w:firstLine="560" w:firstLineChars="200"/>
        <w:rPr>
          <w:rFonts w:eastAsia="仿宋_GB2312"/>
          <w:color w:val="000000"/>
          <w:sz w:val="28"/>
          <w:szCs w:val="32"/>
        </w:rPr>
      </w:pPr>
      <w:r>
        <w:rPr>
          <w:rFonts w:eastAsia="仿宋_GB2312"/>
          <w:color w:val="000000"/>
          <w:sz w:val="28"/>
          <w:szCs w:val="32"/>
        </w:rPr>
        <w:t>（5）投标担保；</w:t>
      </w:r>
    </w:p>
    <w:p>
      <w:pPr>
        <w:spacing w:line="490" w:lineRule="exact"/>
        <w:ind w:firstLine="560" w:firstLineChars="200"/>
        <w:rPr>
          <w:rFonts w:eastAsia="仿宋_GB2312"/>
          <w:color w:val="000000"/>
          <w:sz w:val="28"/>
          <w:szCs w:val="32"/>
        </w:rPr>
      </w:pPr>
      <w:r>
        <w:rPr>
          <w:rFonts w:eastAsia="仿宋_GB2312"/>
          <w:color w:val="000000"/>
          <w:sz w:val="28"/>
          <w:szCs w:val="32"/>
        </w:rPr>
        <w:t>（6）工程结算款支付账户；</w:t>
      </w:r>
    </w:p>
    <w:p>
      <w:pPr>
        <w:spacing w:line="490" w:lineRule="exact"/>
        <w:ind w:firstLine="560" w:firstLineChars="200"/>
        <w:rPr>
          <w:rFonts w:eastAsia="仿宋_GB2312"/>
          <w:color w:val="000000"/>
          <w:sz w:val="28"/>
          <w:szCs w:val="32"/>
        </w:rPr>
      </w:pPr>
      <w:r>
        <w:rPr>
          <w:rFonts w:eastAsia="仿宋_GB2312"/>
          <w:color w:val="000000"/>
          <w:sz w:val="28"/>
          <w:szCs w:val="32"/>
        </w:rPr>
        <w:t>（7）已标价工程量清单；</w:t>
      </w:r>
    </w:p>
    <w:p>
      <w:pPr>
        <w:spacing w:line="490" w:lineRule="exact"/>
        <w:ind w:firstLine="560" w:firstLineChars="200"/>
        <w:rPr>
          <w:rFonts w:eastAsia="仿宋_GB2312"/>
          <w:color w:val="000000"/>
          <w:sz w:val="28"/>
          <w:szCs w:val="32"/>
        </w:rPr>
      </w:pPr>
      <w:r>
        <w:rPr>
          <w:rFonts w:eastAsia="仿宋_GB2312"/>
          <w:color w:val="000000"/>
          <w:sz w:val="28"/>
          <w:szCs w:val="32"/>
        </w:rPr>
        <w:t>（8）项目管理机构；</w:t>
      </w:r>
    </w:p>
    <w:p>
      <w:pPr>
        <w:spacing w:line="490" w:lineRule="exact"/>
        <w:ind w:firstLine="560" w:firstLineChars="200"/>
        <w:rPr>
          <w:rFonts w:eastAsia="仿宋_GB2312"/>
          <w:color w:val="000000"/>
          <w:sz w:val="28"/>
          <w:szCs w:val="32"/>
        </w:rPr>
      </w:pPr>
      <w:r>
        <w:rPr>
          <w:rFonts w:eastAsia="仿宋_GB2312"/>
          <w:color w:val="000000"/>
          <w:sz w:val="28"/>
          <w:szCs w:val="32"/>
        </w:rPr>
        <w:t>（9）</w:t>
      </w:r>
      <w:r>
        <w:rPr>
          <w:rFonts w:hint="eastAsia" w:eastAsia="仿宋_GB2312"/>
          <w:color w:val="000000"/>
          <w:sz w:val="28"/>
          <w:szCs w:val="32"/>
        </w:rPr>
        <w:t>企业资信及履约能力（业绩及信用）自评表；</w:t>
      </w:r>
    </w:p>
    <w:p>
      <w:pPr>
        <w:spacing w:line="490" w:lineRule="exact"/>
        <w:ind w:firstLine="560" w:firstLineChars="200"/>
        <w:rPr>
          <w:rFonts w:eastAsia="仿宋_GB2312"/>
          <w:color w:val="000000"/>
          <w:sz w:val="28"/>
          <w:szCs w:val="32"/>
        </w:rPr>
      </w:pPr>
      <w:r>
        <w:rPr>
          <w:rFonts w:hint="eastAsia" w:eastAsia="仿宋_GB2312"/>
          <w:color w:val="000000"/>
          <w:sz w:val="28"/>
          <w:szCs w:val="32"/>
        </w:rPr>
        <w:t>（10）</w:t>
      </w:r>
      <w:r>
        <w:rPr>
          <w:rFonts w:eastAsia="仿宋_GB2312"/>
          <w:color w:val="000000"/>
          <w:sz w:val="28"/>
          <w:szCs w:val="32"/>
        </w:rPr>
        <w:t>拟分包项目情况表；</w:t>
      </w:r>
    </w:p>
    <w:p>
      <w:pPr>
        <w:spacing w:line="490" w:lineRule="exact"/>
        <w:ind w:firstLine="560" w:firstLineChars="200"/>
        <w:rPr>
          <w:rFonts w:eastAsia="仿宋_GB2312"/>
          <w:color w:val="000000"/>
          <w:sz w:val="28"/>
          <w:szCs w:val="32"/>
        </w:rPr>
      </w:pPr>
      <w:r>
        <w:rPr>
          <w:rFonts w:eastAsia="仿宋_GB2312"/>
          <w:color w:val="000000"/>
          <w:sz w:val="28"/>
          <w:szCs w:val="32"/>
        </w:rPr>
        <w:t>（1</w:t>
      </w:r>
      <w:r>
        <w:rPr>
          <w:rFonts w:hint="eastAsia" w:eastAsia="仿宋_GB2312"/>
          <w:color w:val="000000"/>
          <w:sz w:val="28"/>
          <w:szCs w:val="32"/>
        </w:rPr>
        <w:t>1</w:t>
      </w:r>
      <w:r>
        <w:rPr>
          <w:rFonts w:eastAsia="仿宋_GB2312"/>
          <w:color w:val="000000"/>
          <w:sz w:val="28"/>
          <w:szCs w:val="32"/>
        </w:rPr>
        <w:t>）资格审查资料；</w:t>
      </w:r>
    </w:p>
    <w:p>
      <w:pPr>
        <w:spacing w:line="490" w:lineRule="exact"/>
        <w:ind w:firstLine="560" w:firstLineChars="200"/>
        <w:rPr>
          <w:rFonts w:eastAsia="仿宋_GB2312"/>
          <w:color w:val="000000"/>
          <w:sz w:val="28"/>
          <w:szCs w:val="32"/>
        </w:rPr>
      </w:pPr>
      <w:r>
        <w:rPr>
          <w:rFonts w:eastAsia="仿宋_GB2312"/>
          <w:color w:val="000000"/>
          <w:sz w:val="28"/>
          <w:szCs w:val="32"/>
        </w:rPr>
        <w:t>（1</w:t>
      </w:r>
      <w:r>
        <w:rPr>
          <w:rFonts w:hint="eastAsia" w:eastAsia="仿宋_GB2312"/>
          <w:color w:val="000000"/>
          <w:sz w:val="28"/>
          <w:szCs w:val="32"/>
        </w:rPr>
        <w:t>2</w:t>
      </w:r>
      <w:r>
        <w:rPr>
          <w:rFonts w:eastAsia="仿宋_GB2312"/>
          <w:color w:val="000000"/>
          <w:sz w:val="28"/>
          <w:szCs w:val="32"/>
        </w:rPr>
        <w:t>）原件的扫描件；</w:t>
      </w:r>
    </w:p>
    <w:p>
      <w:pPr>
        <w:spacing w:line="490" w:lineRule="exact"/>
        <w:ind w:firstLine="560" w:firstLineChars="200"/>
        <w:rPr>
          <w:rFonts w:eastAsia="仿宋_GB2312"/>
          <w:color w:val="000000"/>
          <w:sz w:val="28"/>
          <w:szCs w:val="32"/>
        </w:rPr>
      </w:pPr>
      <w:r>
        <w:rPr>
          <w:rFonts w:eastAsia="仿宋_GB2312"/>
          <w:color w:val="000000"/>
          <w:sz w:val="28"/>
          <w:szCs w:val="32"/>
        </w:rPr>
        <w:t>（1</w:t>
      </w:r>
      <w:r>
        <w:rPr>
          <w:rFonts w:hint="eastAsia" w:eastAsia="仿宋_GB2312"/>
          <w:color w:val="000000"/>
          <w:sz w:val="28"/>
          <w:szCs w:val="32"/>
        </w:rPr>
        <w:t>3</w:t>
      </w:r>
      <w:r>
        <w:rPr>
          <w:rFonts w:eastAsia="仿宋_GB2312"/>
          <w:color w:val="000000"/>
          <w:sz w:val="28"/>
          <w:szCs w:val="32"/>
        </w:rPr>
        <w:t>）其它材料。</w:t>
      </w:r>
    </w:p>
    <w:p>
      <w:pPr>
        <w:spacing w:line="490" w:lineRule="exact"/>
        <w:ind w:firstLine="562" w:firstLineChars="200"/>
        <w:rPr>
          <w:rFonts w:eastAsia="仿宋_GB2312"/>
          <w:b/>
          <w:color w:val="000000"/>
          <w:sz w:val="28"/>
          <w:szCs w:val="32"/>
        </w:rPr>
      </w:pPr>
      <w:r>
        <w:rPr>
          <w:rFonts w:eastAsia="仿宋_GB2312"/>
          <w:b/>
          <w:color w:val="000000"/>
          <w:sz w:val="28"/>
          <w:szCs w:val="32"/>
        </w:rPr>
        <w:t>（二）技术投标文件（施工组织设计）部分：</w:t>
      </w:r>
    </w:p>
    <w:p>
      <w:pPr>
        <w:spacing w:line="490" w:lineRule="exact"/>
        <w:ind w:firstLine="560" w:firstLineChars="200"/>
        <w:rPr>
          <w:rFonts w:eastAsia="仿宋_GB2312"/>
          <w:color w:val="000000"/>
          <w:sz w:val="28"/>
          <w:szCs w:val="32"/>
        </w:rPr>
      </w:pPr>
      <w:r>
        <w:rPr>
          <w:rFonts w:eastAsia="仿宋_GB2312"/>
          <w:color w:val="000000"/>
          <w:sz w:val="28"/>
          <w:szCs w:val="32"/>
        </w:rPr>
        <w:t>具体内容详见招标文件第八章投标文件的格式（即第二部分技术投标文件格式）。</w:t>
      </w:r>
    </w:p>
    <w:p>
      <w:pPr>
        <w:spacing w:line="490" w:lineRule="exact"/>
        <w:ind w:firstLine="560" w:firstLineChars="200"/>
        <w:rPr>
          <w:rFonts w:eastAsia="仿宋_GB2312"/>
          <w:color w:val="000000"/>
          <w:sz w:val="28"/>
          <w:szCs w:val="32"/>
        </w:rPr>
      </w:pPr>
      <w:r>
        <w:rPr>
          <w:rFonts w:eastAsia="仿宋_GB2312"/>
          <w:color w:val="000000"/>
          <w:sz w:val="28"/>
          <w:szCs w:val="32"/>
        </w:rPr>
        <w:t>3.1.2 投标人须知前附表规定不接受联合体投标的，或投标人没有组成联合体的，投标文件不包括本章第3.1.1（一）目所指的联合体协议书。</w:t>
      </w:r>
    </w:p>
    <w:p>
      <w:pPr>
        <w:pStyle w:val="7"/>
        <w:keepNext w:val="0"/>
        <w:keepLines w:val="0"/>
        <w:spacing w:before="0" w:after="0" w:line="490" w:lineRule="exact"/>
        <w:ind w:firstLine="562" w:firstLineChars="200"/>
        <w:rPr>
          <w:rFonts w:ascii="Times New Roman" w:hAnsi="Times New Roman" w:eastAsia="楷体_GB2312"/>
          <w:color w:val="000000"/>
          <w:szCs w:val="32"/>
        </w:rPr>
      </w:pPr>
      <w:bookmarkStart w:id="127" w:name="_Toc189386040"/>
      <w:r>
        <w:rPr>
          <w:rFonts w:ascii="Times New Roman" w:hAnsi="Times New Roman" w:eastAsia="楷体_GB2312"/>
          <w:color w:val="000000"/>
          <w:szCs w:val="32"/>
        </w:rPr>
        <w:t>3.2 投标报价</w:t>
      </w:r>
      <w:bookmarkEnd w:id="127"/>
    </w:p>
    <w:p>
      <w:pPr>
        <w:spacing w:line="490" w:lineRule="exact"/>
        <w:ind w:firstLine="560" w:firstLineChars="200"/>
        <w:rPr>
          <w:rFonts w:eastAsia="仿宋_GB2312"/>
          <w:color w:val="000000"/>
          <w:sz w:val="28"/>
          <w:szCs w:val="32"/>
        </w:rPr>
      </w:pPr>
      <w:r>
        <w:rPr>
          <w:rFonts w:eastAsia="仿宋_GB2312"/>
          <w:color w:val="000000"/>
          <w:sz w:val="28"/>
          <w:szCs w:val="32"/>
        </w:rPr>
        <w:t>3.2.1  投标人应按第五章“工程量清单”的要求填写相应表格。</w:t>
      </w:r>
    </w:p>
    <w:p>
      <w:pPr>
        <w:spacing w:line="490" w:lineRule="exact"/>
        <w:ind w:firstLine="560" w:firstLineChars="200"/>
        <w:rPr>
          <w:rFonts w:eastAsia="仿宋_GB2312"/>
          <w:color w:val="000000"/>
          <w:sz w:val="28"/>
          <w:szCs w:val="32"/>
        </w:rPr>
      </w:pPr>
      <w:r>
        <w:rPr>
          <w:rFonts w:eastAsia="仿宋_GB2312"/>
          <w:color w:val="000000"/>
          <w:sz w:val="28"/>
          <w:szCs w:val="32"/>
        </w:rPr>
        <w:t>3.2.2  投标人在投标截止时间前修改投标函中的投标总报价，应同时修改第五章“工程量清单”中的相应报价。此修改须符合本章第4.3款的有关要求。</w:t>
      </w:r>
    </w:p>
    <w:p>
      <w:pPr>
        <w:spacing w:line="490" w:lineRule="exact"/>
        <w:ind w:firstLine="560" w:firstLineChars="200"/>
        <w:rPr>
          <w:rFonts w:eastAsia="仿宋_GB2312"/>
          <w:color w:val="000000"/>
          <w:sz w:val="28"/>
          <w:szCs w:val="32"/>
        </w:rPr>
      </w:pPr>
      <w:r>
        <w:rPr>
          <w:rFonts w:eastAsia="仿宋_GB2312"/>
          <w:color w:val="000000"/>
          <w:sz w:val="28"/>
          <w:szCs w:val="32"/>
        </w:rPr>
        <w:t>3.2.3  对投标报价的其他规定：见投标须知前附表。</w:t>
      </w:r>
    </w:p>
    <w:p>
      <w:pPr>
        <w:pStyle w:val="7"/>
        <w:keepNext w:val="0"/>
        <w:keepLines w:val="0"/>
        <w:spacing w:before="0" w:after="0" w:line="490" w:lineRule="exact"/>
        <w:ind w:firstLine="562" w:firstLineChars="200"/>
        <w:rPr>
          <w:rFonts w:ascii="Times New Roman" w:hAnsi="Times New Roman" w:eastAsia="楷体_GB2312"/>
          <w:color w:val="000000"/>
          <w:szCs w:val="32"/>
        </w:rPr>
      </w:pPr>
      <w:bookmarkStart w:id="128" w:name="_Toc189386041"/>
      <w:r>
        <w:rPr>
          <w:rFonts w:ascii="Times New Roman" w:hAnsi="Times New Roman" w:eastAsia="楷体_GB2312"/>
          <w:color w:val="000000"/>
          <w:szCs w:val="32"/>
        </w:rPr>
        <w:t>3.3 投标有效期</w:t>
      </w:r>
      <w:bookmarkEnd w:id="128"/>
    </w:p>
    <w:p>
      <w:pPr>
        <w:spacing w:line="360" w:lineRule="auto"/>
        <w:ind w:firstLine="560" w:firstLineChars="200"/>
        <w:rPr>
          <w:rFonts w:hint="eastAsia" w:eastAsia="仿宋_GB2312"/>
          <w:color w:val="000000"/>
          <w:sz w:val="28"/>
          <w:szCs w:val="32"/>
        </w:rPr>
      </w:pPr>
      <w:r>
        <w:rPr>
          <w:rFonts w:hint="eastAsia" w:eastAsia="仿宋_GB2312"/>
          <w:color w:val="000000"/>
          <w:sz w:val="28"/>
          <w:szCs w:val="32"/>
        </w:rPr>
        <w:t>3.3.1  在投标人须知前附表规定的投标有效期内，投标人撤销投标文件的，招标人可以不退还投标担保，给招标人造成损失的，投标人将依法承担相应责任。</w:t>
      </w:r>
    </w:p>
    <w:p>
      <w:pPr>
        <w:spacing w:line="490" w:lineRule="exact"/>
        <w:ind w:firstLine="560" w:firstLineChars="200"/>
        <w:rPr>
          <w:rFonts w:eastAsia="仿宋_GB2312"/>
          <w:color w:val="000000"/>
          <w:sz w:val="28"/>
          <w:szCs w:val="32"/>
        </w:rPr>
      </w:pPr>
      <w:r>
        <w:rPr>
          <w:rFonts w:eastAsia="仿宋_GB2312"/>
          <w:color w:val="000000"/>
          <w:sz w:val="28"/>
          <w:szCs w:val="32"/>
        </w:rPr>
        <w:t>3.3.2  出现特殊情况需要延长投标有效期的，招标人以</w:t>
      </w:r>
      <w:r>
        <w:rPr>
          <w:rFonts w:hint="eastAsia" w:eastAsia="仿宋_GB2312"/>
          <w:color w:val="000000"/>
          <w:sz w:val="28"/>
          <w:szCs w:val="32"/>
        </w:rPr>
        <w:t>澄清或补遗形式网上进行公告</w:t>
      </w:r>
      <w:r>
        <w:rPr>
          <w:rFonts w:eastAsia="仿宋_GB2312"/>
          <w:color w:val="000000"/>
          <w:sz w:val="28"/>
          <w:szCs w:val="32"/>
        </w:rPr>
        <w:t>通知</w:t>
      </w:r>
      <w:r>
        <w:rPr>
          <w:rFonts w:hint="eastAsia" w:eastAsia="仿宋_GB2312"/>
          <w:color w:val="000000"/>
          <w:sz w:val="28"/>
          <w:szCs w:val="32"/>
        </w:rPr>
        <w:t>，相应延长其投标担保的有效期，不得撤销其投标文件</w:t>
      </w:r>
      <w:r>
        <w:rPr>
          <w:rFonts w:eastAsia="仿宋_GB2312"/>
          <w:color w:val="000000"/>
          <w:sz w:val="28"/>
          <w:szCs w:val="32"/>
        </w:rPr>
        <w:t>；投标人拒绝延长的，</w:t>
      </w:r>
      <w:r>
        <w:rPr>
          <w:rFonts w:hint="eastAsia" w:eastAsia="仿宋_GB2312"/>
          <w:color w:val="000000"/>
          <w:sz w:val="28"/>
          <w:szCs w:val="32"/>
        </w:rPr>
        <w:t>须书面致函招标人或代理机构，</w:t>
      </w:r>
      <w:r>
        <w:rPr>
          <w:rFonts w:eastAsia="仿宋_GB2312"/>
          <w:color w:val="000000"/>
          <w:sz w:val="28"/>
          <w:szCs w:val="32"/>
        </w:rPr>
        <w:t>其投标失效，投标人有权收回其投标担保。</w:t>
      </w:r>
    </w:p>
    <w:p>
      <w:pPr>
        <w:pStyle w:val="7"/>
        <w:keepNext w:val="0"/>
        <w:keepLines w:val="0"/>
        <w:spacing w:before="0" w:after="0" w:line="490" w:lineRule="exact"/>
        <w:ind w:firstLine="562" w:firstLineChars="200"/>
        <w:rPr>
          <w:rFonts w:ascii="Times New Roman" w:hAnsi="Times New Roman" w:eastAsia="楷体_GB2312"/>
          <w:color w:val="000000"/>
          <w:szCs w:val="32"/>
        </w:rPr>
      </w:pPr>
      <w:bookmarkStart w:id="129" w:name="_Toc189386042"/>
      <w:r>
        <w:rPr>
          <w:rFonts w:ascii="Times New Roman" w:hAnsi="Times New Roman" w:eastAsia="楷体_GB2312"/>
          <w:color w:val="000000"/>
          <w:szCs w:val="32"/>
        </w:rPr>
        <w:t xml:space="preserve">3.4 </w:t>
      </w:r>
      <w:bookmarkEnd w:id="129"/>
      <w:r>
        <w:rPr>
          <w:rFonts w:ascii="Times New Roman" w:hAnsi="Times New Roman" w:eastAsia="楷体_GB2312"/>
          <w:color w:val="000000"/>
          <w:szCs w:val="32"/>
        </w:rPr>
        <w:t>投标担保</w:t>
      </w:r>
    </w:p>
    <w:p>
      <w:pPr>
        <w:spacing w:line="490" w:lineRule="exact"/>
        <w:ind w:firstLine="560" w:firstLineChars="200"/>
        <w:rPr>
          <w:rFonts w:eastAsia="仿宋_GB2312"/>
          <w:color w:val="000000"/>
          <w:sz w:val="28"/>
          <w:szCs w:val="32"/>
        </w:rPr>
      </w:pPr>
      <w:r>
        <w:rPr>
          <w:rFonts w:eastAsia="仿宋_GB2312"/>
          <w:color w:val="000000"/>
          <w:sz w:val="28"/>
          <w:szCs w:val="32"/>
        </w:rPr>
        <w:t>3.4.1  投标人在递交投标文件的同时，应按投标人须知前附表规定的金额、担保形式和第八章“投标文件格式”规定的投标担保格式递交投标担保，并作为其投标文件的组成部分。联合体投标的，其投标担保由牵头人递交，并应符合投标人须知前附表的规定。</w:t>
      </w:r>
    </w:p>
    <w:p>
      <w:pPr>
        <w:spacing w:line="490" w:lineRule="exact"/>
        <w:ind w:firstLine="560" w:firstLineChars="200"/>
        <w:rPr>
          <w:rFonts w:eastAsia="仿宋_GB2312"/>
          <w:color w:val="000000"/>
          <w:sz w:val="28"/>
          <w:szCs w:val="32"/>
        </w:rPr>
      </w:pPr>
      <w:r>
        <w:rPr>
          <w:rFonts w:eastAsia="仿宋_GB2312"/>
          <w:color w:val="000000"/>
          <w:sz w:val="28"/>
          <w:szCs w:val="32"/>
        </w:rPr>
        <w:t>3.4.2  投标人不按本章第3.4.1项要求提交投标担保的，评标委员会将否决其投标。</w:t>
      </w:r>
    </w:p>
    <w:p>
      <w:pPr>
        <w:spacing w:line="490" w:lineRule="exact"/>
        <w:ind w:firstLine="560" w:firstLineChars="200"/>
        <w:rPr>
          <w:rFonts w:eastAsia="仿宋_GB2312"/>
          <w:color w:val="000000"/>
          <w:sz w:val="28"/>
          <w:szCs w:val="32"/>
        </w:rPr>
      </w:pPr>
      <w:r>
        <w:rPr>
          <w:rFonts w:eastAsia="仿宋_GB2312"/>
          <w:color w:val="000000"/>
          <w:sz w:val="28"/>
          <w:szCs w:val="32"/>
        </w:rPr>
        <w:t>3.4.3  招标人与中标人签订合同后，招标人将在投标人须知前附表第3.4.1项规定的时间内，向未中标的投标人和中标人退还投标担保。投标担保以现金或者支票形式递交的，还应退还银行同期存款利息。</w:t>
      </w:r>
    </w:p>
    <w:p>
      <w:pPr>
        <w:spacing w:line="490" w:lineRule="exact"/>
        <w:ind w:firstLine="560" w:firstLineChars="200"/>
        <w:rPr>
          <w:rFonts w:eastAsia="仿宋_GB2312"/>
          <w:color w:val="000000"/>
          <w:sz w:val="28"/>
          <w:szCs w:val="32"/>
        </w:rPr>
      </w:pPr>
      <w:r>
        <w:rPr>
          <w:rFonts w:eastAsia="仿宋_GB2312"/>
          <w:color w:val="000000"/>
          <w:sz w:val="28"/>
          <w:szCs w:val="32"/>
        </w:rPr>
        <w:t>3.4.4  有下列情形之一的，将对投标人采用电汇或企业网银转账形式提交的</w:t>
      </w:r>
      <w:r>
        <w:rPr>
          <w:rFonts w:hint="eastAsia" w:eastAsia="仿宋_GB2312"/>
          <w:color w:val="000000"/>
          <w:sz w:val="28"/>
          <w:szCs w:val="32"/>
        </w:rPr>
        <w:t>投标担保</w:t>
      </w:r>
      <w:r>
        <w:rPr>
          <w:rFonts w:eastAsia="仿宋_GB2312"/>
          <w:color w:val="000000"/>
          <w:sz w:val="28"/>
          <w:szCs w:val="32"/>
        </w:rPr>
        <w:t>将不予退还；采用保函或投标保证保险的，将要求保函开立人或保险人承担保证责任；采用投标承诺的，</w:t>
      </w:r>
      <w:r>
        <w:rPr>
          <w:rFonts w:hint="eastAsia" w:eastAsia="仿宋_GB2312"/>
          <w:color w:val="000000"/>
          <w:sz w:val="28"/>
          <w:szCs w:val="32"/>
        </w:rPr>
        <w:t>将提请建设、水行政等主管部门给予投标人不良行为记录</w:t>
      </w:r>
      <w:r>
        <w:rPr>
          <w:rFonts w:eastAsia="仿宋_GB2312"/>
          <w:color w:val="000000"/>
          <w:sz w:val="28"/>
          <w:szCs w:val="32"/>
        </w:rPr>
        <w:t>：</w:t>
      </w:r>
    </w:p>
    <w:p>
      <w:pPr>
        <w:spacing w:line="490" w:lineRule="exact"/>
        <w:ind w:firstLine="560" w:firstLineChars="200"/>
        <w:rPr>
          <w:rFonts w:eastAsia="仿宋_GB2312"/>
          <w:color w:val="000000"/>
          <w:sz w:val="28"/>
          <w:szCs w:val="32"/>
        </w:rPr>
      </w:pPr>
      <w:r>
        <w:rPr>
          <w:rFonts w:eastAsia="仿宋_GB2312"/>
          <w:color w:val="000000"/>
          <w:sz w:val="28"/>
          <w:szCs w:val="32"/>
        </w:rPr>
        <w:t>（1）投标人在规定的投标有效期内撤销或修改其投标文件；</w:t>
      </w:r>
    </w:p>
    <w:p>
      <w:pPr>
        <w:spacing w:line="490" w:lineRule="exact"/>
        <w:ind w:firstLine="560" w:firstLineChars="200"/>
        <w:rPr>
          <w:rFonts w:eastAsia="仿宋_GB2312"/>
          <w:color w:val="000000"/>
          <w:sz w:val="28"/>
          <w:szCs w:val="32"/>
        </w:rPr>
      </w:pPr>
      <w:r>
        <w:rPr>
          <w:rFonts w:eastAsia="仿宋_GB2312"/>
          <w:color w:val="000000"/>
          <w:sz w:val="28"/>
          <w:szCs w:val="32"/>
        </w:rPr>
        <w:t>（2）中标人在收到中标通知书后，无正当理由拒签合同协议书或未按招标文件规定提交履约担保。</w:t>
      </w:r>
    </w:p>
    <w:p>
      <w:pPr>
        <w:spacing w:line="490" w:lineRule="exact"/>
        <w:ind w:firstLine="560" w:firstLineChars="200"/>
        <w:rPr>
          <w:rFonts w:eastAsia="仿宋_GB2312"/>
          <w:color w:val="000000"/>
          <w:sz w:val="28"/>
          <w:szCs w:val="32"/>
        </w:rPr>
      </w:pPr>
      <w:r>
        <w:rPr>
          <w:rFonts w:eastAsia="仿宋_GB2312"/>
          <w:color w:val="000000"/>
          <w:sz w:val="28"/>
          <w:szCs w:val="32"/>
        </w:rPr>
        <w:t>（3）发生投标人须知前附表规定的其他可以不予退还投标保证的情形。</w:t>
      </w:r>
    </w:p>
    <w:bookmarkEnd w:id="125"/>
    <w:bookmarkEnd w:id="126"/>
    <w:p>
      <w:pPr>
        <w:pStyle w:val="7"/>
        <w:keepNext w:val="0"/>
        <w:keepLines w:val="0"/>
        <w:spacing w:before="0" w:after="0" w:line="490" w:lineRule="exact"/>
        <w:ind w:firstLine="562" w:firstLineChars="200"/>
        <w:rPr>
          <w:rFonts w:ascii="Times New Roman" w:hAnsi="Times New Roman" w:eastAsia="楷体_GB2312"/>
          <w:color w:val="000000"/>
          <w:szCs w:val="32"/>
        </w:rPr>
      </w:pPr>
      <w:bookmarkStart w:id="130" w:name="_Toc259698614"/>
      <w:bookmarkStart w:id="131" w:name="_Toc269742714"/>
      <w:r>
        <w:rPr>
          <w:rFonts w:ascii="Times New Roman" w:hAnsi="Times New Roman" w:eastAsia="楷体_GB2312"/>
          <w:color w:val="000000"/>
          <w:szCs w:val="32"/>
        </w:rPr>
        <w:t>3.5 资格审查资料</w:t>
      </w:r>
      <w:bookmarkEnd w:id="130"/>
      <w:bookmarkEnd w:id="131"/>
      <w:r>
        <w:rPr>
          <w:rFonts w:ascii="Times New Roman" w:hAnsi="Times New Roman" w:eastAsia="楷体_GB2312"/>
          <w:color w:val="000000"/>
          <w:szCs w:val="32"/>
        </w:rPr>
        <w:t>（适用于资格后审的）</w:t>
      </w:r>
    </w:p>
    <w:p>
      <w:pPr>
        <w:spacing w:line="490" w:lineRule="exact"/>
        <w:ind w:firstLine="560" w:firstLineChars="200"/>
        <w:rPr>
          <w:rFonts w:eastAsia="仿宋_GB2312"/>
          <w:b/>
          <w:color w:val="000000"/>
          <w:sz w:val="28"/>
          <w:szCs w:val="32"/>
        </w:rPr>
      </w:pPr>
      <w:r>
        <w:rPr>
          <w:rFonts w:eastAsia="仿宋_GB2312"/>
          <w:color w:val="000000"/>
          <w:sz w:val="28"/>
          <w:szCs w:val="32"/>
        </w:rPr>
        <w:t>3.5.1  “投标人基本情况表”应附企业法人营业执照副本（全本）的</w:t>
      </w:r>
      <w:r>
        <w:rPr>
          <w:rFonts w:hint="eastAsia" w:eastAsia="仿宋_GB2312"/>
          <w:color w:val="000000"/>
          <w:sz w:val="28"/>
          <w:szCs w:val="32"/>
        </w:rPr>
        <w:t>原件扫描件</w:t>
      </w:r>
      <w:r>
        <w:rPr>
          <w:rFonts w:eastAsia="仿宋_GB2312"/>
          <w:color w:val="000000"/>
          <w:sz w:val="28"/>
          <w:szCs w:val="32"/>
        </w:rPr>
        <w:t>、施工资质证书副本（全本）的</w:t>
      </w:r>
      <w:r>
        <w:rPr>
          <w:rFonts w:hint="eastAsia" w:eastAsia="仿宋_GB2312"/>
          <w:color w:val="000000"/>
          <w:sz w:val="28"/>
          <w:szCs w:val="32"/>
        </w:rPr>
        <w:t>原件扫描件</w:t>
      </w:r>
      <w:r>
        <w:rPr>
          <w:rFonts w:eastAsia="仿宋_GB2312"/>
          <w:color w:val="000000"/>
          <w:sz w:val="28"/>
          <w:szCs w:val="32"/>
        </w:rPr>
        <w:t>、安全生产许可证副本（全本）的</w:t>
      </w:r>
      <w:r>
        <w:rPr>
          <w:rFonts w:hint="eastAsia" w:eastAsia="仿宋_GB2312"/>
          <w:color w:val="000000"/>
          <w:sz w:val="28"/>
          <w:szCs w:val="32"/>
        </w:rPr>
        <w:t>原件扫描件</w:t>
      </w:r>
      <w:r>
        <w:rPr>
          <w:rFonts w:eastAsia="仿宋_GB2312"/>
          <w:color w:val="000000"/>
          <w:sz w:val="28"/>
          <w:szCs w:val="32"/>
        </w:rPr>
        <w:t>、国家或湖南省</w:t>
      </w:r>
      <w:r>
        <w:rPr>
          <w:rFonts w:eastAsia="仿宋_GB2312"/>
          <w:bCs/>
          <w:color w:val="000000"/>
          <w:sz w:val="28"/>
          <w:szCs w:val="32"/>
        </w:rPr>
        <w:t>水利建设市场主体信用评价</w:t>
      </w:r>
      <w:r>
        <w:rPr>
          <w:rFonts w:eastAsia="仿宋_GB2312"/>
          <w:color w:val="000000"/>
          <w:sz w:val="28"/>
          <w:szCs w:val="32"/>
        </w:rPr>
        <w:t>证书（如有）</w:t>
      </w:r>
      <w:r>
        <w:rPr>
          <w:rFonts w:hint="eastAsia" w:eastAsia="仿宋_GB2312"/>
          <w:color w:val="000000"/>
          <w:sz w:val="28"/>
          <w:szCs w:val="32"/>
        </w:rPr>
        <w:t>原件扫描件</w:t>
      </w:r>
      <w:r>
        <w:rPr>
          <w:rFonts w:eastAsia="仿宋_GB2312"/>
          <w:color w:val="000000"/>
          <w:sz w:val="28"/>
          <w:szCs w:val="32"/>
        </w:rPr>
        <w:t>、在中国裁判文书网上查询投标人和投标人法定代表人及拟任项目负责人近3年行贿受贿犯罪行为记录的截图（依法不予公开的裁判文书在中国裁判文书网无法查询的，投标人应自行在投标文件中如实声明行贿受贿犯罪行为，否则视为弄虚作假）。</w:t>
      </w:r>
    </w:p>
    <w:p>
      <w:pPr>
        <w:spacing w:line="490" w:lineRule="exact"/>
        <w:ind w:firstLine="560" w:firstLineChars="200"/>
        <w:rPr>
          <w:rFonts w:eastAsia="仿宋_GB2312"/>
          <w:color w:val="000000"/>
          <w:sz w:val="28"/>
          <w:szCs w:val="32"/>
        </w:rPr>
      </w:pPr>
      <w:r>
        <w:rPr>
          <w:rFonts w:eastAsia="仿宋_GB2312"/>
          <w:color w:val="000000"/>
          <w:sz w:val="28"/>
          <w:szCs w:val="32"/>
        </w:rPr>
        <w:t>3.5.2  “近年财务状况”应附经会计师事务所或审计机构审计的财务会计报表，包括资产负债表、现金流量表、利润表和财务情况说明书的</w:t>
      </w:r>
      <w:r>
        <w:rPr>
          <w:rFonts w:hint="eastAsia" w:eastAsia="仿宋_GB2312"/>
          <w:color w:val="000000"/>
          <w:sz w:val="28"/>
          <w:szCs w:val="32"/>
        </w:rPr>
        <w:t>原件扫描件</w:t>
      </w:r>
      <w:r>
        <w:rPr>
          <w:rFonts w:eastAsia="仿宋_GB2312"/>
          <w:color w:val="000000"/>
          <w:sz w:val="28"/>
          <w:szCs w:val="32"/>
        </w:rPr>
        <w:t>。具体年份要求见投标人须知前附表。</w:t>
      </w:r>
      <w:r>
        <w:rPr>
          <w:rFonts w:eastAsia="仿宋_GB2312"/>
          <w:b/>
          <w:color w:val="000000"/>
          <w:sz w:val="28"/>
          <w:szCs w:val="32"/>
        </w:rPr>
        <w:t>（本条内容不作为资格审查内容）</w:t>
      </w:r>
    </w:p>
    <w:p>
      <w:pPr>
        <w:spacing w:line="490" w:lineRule="exact"/>
        <w:ind w:firstLine="560" w:firstLineChars="200"/>
        <w:rPr>
          <w:rFonts w:eastAsia="仿宋_GB2312"/>
          <w:b/>
          <w:color w:val="000000"/>
          <w:kern w:val="0"/>
          <w:sz w:val="28"/>
          <w:szCs w:val="32"/>
        </w:rPr>
      </w:pPr>
      <w:r>
        <w:rPr>
          <w:rFonts w:eastAsia="仿宋_GB2312"/>
          <w:color w:val="000000"/>
          <w:sz w:val="28"/>
          <w:szCs w:val="32"/>
        </w:rPr>
        <w:t>3.5.3  “近年完成的类似项目情况表”应附中标通知书、合同协议书、合同工程竣工或完工验收文件（由建设单位、施工单位、监理单位、设计单位盖章认可）的</w:t>
      </w:r>
      <w:r>
        <w:rPr>
          <w:rFonts w:hint="eastAsia" w:eastAsia="仿宋_GB2312"/>
          <w:color w:val="000000"/>
          <w:kern w:val="0"/>
          <w:sz w:val="28"/>
          <w:szCs w:val="32"/>
        </w:rPr>
        <w:t>原件扫描件</w:t>
      </w:r>
      <w:r>
        <w:rPr>
          <w:rFonts w:eastAsia="仿宋_GB2312"/>
          <w:color w:val="000000"/>
          <w:sz w:val="28"/>
          <w:szCs w:val="32"/>
        </w:rPr>
        <w:t>。每张表格只填写一个项目，并标明序号。</w:t>
      </w:r>
      <w:r>
        <w:rPr>
          <w:rFonts w:eastAsia="仿宋_GB2312"/>
          <w:b/>
          <w:color w:val="000000"/>
          <w:sz w:val="28"/>
          <w:szCs w:val="32"/>
        </w:rPr>
        <w:t>类似项目必须在</w:t>
      </w:r>
      <w:r>
        <w:rPr>
          <w:rFonts w:hint="eastAsia" w:eastAsia="仿宋_GB2312"/>
          <w:b/>
          <w:color w:val="000000"/>
          <w:sz w:val="28"/>
          <w:szCs w:val="32"/>
        </w:rPr>
        <w:t>“全国建筑市场监管公共服务平台”或“湖南省智慧住建云”或“水利部水利建设市场监管平台”或“湖南省水利建设市场综合监管系统”</w:t>
      </w:r>
      <w:r>
        <w:rPr>
          <w:rFonts w:eastAsia="仿宋_GB2312"/>
          <w:b/>
          <w:color w:val="000000"/>
          <w:sz w:val="28"/>
          <w:szCs w:val="32"/>
        </w:rPr>
        <w:t>中可查</w:t>
      </w:r>
      <w:r>
        <w:rPr>
          <w:rFonts w:eastAsia="仿宋_GB2312"/>
          <w:b/>
          <w:color w:val="000000"/>
          <w:kern w:val="0"/>
          <w:sz w:val="28"/>
          <w:szCs w:val="32"/>
        </w:rPr>
        <w:t>询，否则不予认定，投标人对提供的类似项目的真实性负责。</w:t>
      </w:r>
      <w:r>
        <w:rPr>
          <w:rFonts w:eastAsia="仿宋_GB2312"/>
          <w:color w:val="000000"/>
          <w:kern w:val="0"/>
          <w:sz w:val="28"/>
          <w:szCs w:val="32"/>
        </w:rPr>
        <w:t>具体年份要求见投标人须知前附表。</w:t>
      </w:r>
    </w:p>
    <w:p>
      <w:pPr>
        <w:spacing w:line="490" w:lineRule="exact"/>
        <w:ind w:firstLine="560" w:firstLineChars="200"/>
        <w:rPr>
          <w:rFonts w:eastAsia="仿宋_GB2312"/>
          <w:color w:val="000000"/>
          <w:sz w:val="28"/>
          <w:szCs w:val="32"/>
        </w:rPr>
      </w:pPr>
      <w:r>
        <w:rPr>
          <w:rFonts w:eastAsia="仿宋_GB2312"/>
          <w:color w:val="000000"/>
          <w:sz w:val="28"/>
          <w:szCs w:val="32"/>
        </w:rPr>
        <w:t>3.5.4  “正在施工和新承接的项目情况表”应附中标通知书和（或）合同协议书</w:t>
      </w:r>
      <w:r>
        <w:rPr>
          <w:rFonts w:hint="eastAsia" w:eastAsia="仿宋_GB2312"/>
          <w:color w:val="000000"/>
          <w:sz w:val="28"/>
          <w:szCs w:val="32"/>
        </w:rPr>
        <w:t>原件扫描件</w:t>
      </w:r>
      <w:r>
        <w:rPr>
          <w:rFonts w:eastAsia="仿宋_GB2312"/>
          <w:color w:val="000000"/>
          <w:sz w:val="28"/>
          <w:szCs w:val="32"/>
        </w:rPr>
        <w:t>。每张表格只填写一个项目，并标明序号。</w:t>
      </w:r>
    </w:p>
    <w:p>
      <w:pPr>
        <w:spacing w:line="490" w:lineRule="exact"/>
        <w:ind w:firstLine="560" w:firstLineChars="200"/>
        <w:rPr>
          <w:rFonts w:eastAsia="仿宋_GB2312"/>
          <w:color w:val="000000"/>
          <w:sz w:val="28"/>
          <w:szCs w:val="32"/>
        </w:rPr>
      </w:pPr>
      <w:r>
        <w:rPr>
          <w:rFonts w:eastAsia="仿宋_GB2312"/>
          <w:color w:val="000000"/>
          <w:sz w:val="28"/>
          <w:szCs w:val="32"/>
        </w:rPr>
        <w:t>3.5.5  “近年发生的诉讼及仲裁情况表”应说明相关情况，并附法院或仲裁机构作出的判决、裁决等有关法律文书</w:t>
      </w:r>
      <w:r>
        <w:rPr>
          <w:rFonts w:hint="eastAsia" w:eastAsia="仿宋_GB2312"/>
          <w:color w:val="000000"/>
          <w:sz w:val="28"/>
          <w:szCs w:val="32"/>
        </w:rPr>
        <w:t>原件扫描件</w:t>
      </w:r>
      <w:r>
        <w:rPr>
          <w:rFonts w:eastAsia="仿宋_GB2312"/>
          <w:color w:val="000000"/>
          <w:sz w:val="28"/>
          <w:szCs w:val="32"/>
        </w:rPr>
        <w:t>。</w:t>
      </w:r>
      <w:r>
        <w:rPr>
          <w:rFonts w:eastAsia="仿宋_GB2312"/>
          <w:color w:val="000000"/>
          <w:kern w:val="0"/>
          <w:sz w:val="28"/>
          <w:szCs w:val="32"/>
        </w:rPr>
        <w:t>具体年份要求见投标人须知前附表。</w:t>
      </w:r>
    </w:p>
    <w:p>
      <w:pPr>
        <w:spacing w:line="490" w:lineRule="exact"/>
        <w:ind w:firstLine="560" w:firstLineChars="200"/>
        <w:rPr>
          <w:rFonts w:eastAsia="仿宋_GB2312"/>
          <w:color w:val="000000"/>
          <w:sz w:val="28"/>
          <w:szCs w:val="32"/>
        </w:rPr>
      </w:pPr>
      <w:r>
        <w:rPr>
          <w:rFonts w:eastAsia="仿宋_GB2312"/>
          <w:color w:val="000000"/>
          <w:sz w:val="28"/>
          <w:szCs w:val="32"/>
        </w:rPr>
        <w:t>3.5.6  投标人须知前附表规定接受联合体投标的，本章第3.5.1项至第3.5.5项规定的表格和资料应包括联合体各方相关情况。</w:t>
      </w:r>
    </w:p>
    <w:p>
      <w:pPr>
        <w:pStyle w:val="7"/>
        <w:keepNext w:val="0"/>
        <w:keepLines w:val="0"/>
        <w:spacing w:before="0" w:after="0" w:line="490" w:lineRule="exact"/>
        <w:ind w:firstLine="562" w:firstLineChars="200"/>
        <w:rPr>
          <w:rFonts w:ascii="Times New Roman" w:hAnsi="Times New Roman" w:eastAsia="楷体_GB2312"/>
          <w:color w:val="000000"/>
          <w:szCs w:val="32"/>
        </w:rPr>
      </w:pPr>
      <w:bookmarkStart w:id="132" w:name="_Toc269742715"/>
      <w:bookmarkStart w:id="133" w:name="_Toc259698615"/>
      <w:r>
        <w:rPr>
          <w:rFonts w:ascii="Times New Roman" w:hAnsi="Times New Roman" w:eastAsia="楷体_GB2312"/>
          <w:color w:val="000000"/>
          <w:szCs w:val="32"/>
        </w:rPr>
        <w:t>3.6 备选投标方案</w:t>
      </w:r>
      <w:bookmarkEnd w:id="132"/>
      <w:bookmarkEnd w:id="133"/>
    </w:p>
    <w:p>
      <w:pPr>
        <w:spacing w:line="490" w:lineRule="exact"/>
        <w:ind w:firstLine="560" w:firstLineChars="200"/>
        <w:rPr>
          <w:rFonts w:eastAsia="仿宋_GB2312"/>
          <w:color w:val="000000"/>
          <w:sz w:val="28"/>
          <w:szCs w:val="32"/>
        </w:rPr>
      </w:pPr>
      <w:r>
        <w:rPr>
          <w:rFonts w:eastAsia="仿宋_GB2312"/>
          <w:color w:val="000000"/>
          <w:sz w:val="28"/>
          <w:szCs w:val="32"/>
        </w:rPr>
        <w:t xml:space="preserve">3.6.1 除投标人须知前附表规定允许外，投标人不得递交备选投标方案，否则其投标将被否决。 </w:t>
      </w:r>
    </w:p>
    <w:p>
      <w:pPr>
        <w:spacing w:line="490" w:lineRule="exact"/>
        <w:ind w:firstLine="560" w:firstLineChars="200"/>
        <w:rPr>
          <w:rFonts w:eastAsia="仿宋_GB2312"/>
          <w:b/>
          <w:color w:val="000000"/>
          <w:sz w:val="28"/>
          <w:szCs w:val="32"/>
        </w:rPr>
      </w:pPr>
      <w:r>
        <w:rPr>
          <w:rFonts w:eastAsia="仿宋_GB2312"/>
          <w:color w:val="000000"/>
          <w:sz w:val="28"/>
          <w:szCs w:val="32"/>
        </w:rPr>
        <w:t>3.6.2 允许投标人递交备选投标方案的，只有中标人所递交的备选投标方案方可予以考虑。评标委员会认为中标人的备选投标方案优于其按照招标文件要求编制的投标方案的，招标人可以接受该备选投标方案。</w:t>
      </w:r>
    </w:p>
    <w:p>
      <w:pPr>
        <w:pStyle w:val="7"/>
        <w:keepNext w:val="0"/>
        <w:keepLines w:val="0"/>
        <w:spacing w:before="0" w:after="0" w:line="490" w:lineRule="exact"/>
        <w:ind w:firstLine="562" w:firstLineChars="200"/>
        <w:rPr>
          <w:rFonts w:ascii="Times New Roman" w:hAnsi="Times New Roman" w:eastAsia="楷体_GB2312"/>
          <w:color w:val="000000"/>
          <w:szCs w:val="32"/>
        </w:rPr>
      </w:pPr>
      <w:bookmarkStart w:id="134" w:name="_Toc269742716"/>
      <w:bookmarkStart w:id="135" w:name="_Toc259698616"/>
      <w:r>
        <w:rPr>
          <w:rFonts w:ascii="Times New Roman" w:hAnsi="Times New Roman" w:eastAsia="楷体_GB2312"/>
          <w:color w:val="000000"/>
          <w:szCs w:val="32"/>
        </w:rPr>
        <w:t>3.7 投标文件的编制</w:t>
      </w:r>
      <w:bookmarkEnd w:id="134"/>
      <w:bookmarkEnd w:id="135"/>
    </w:p>
    <w:p>
      <w:pPr>
        <w:spacing w:line="490" w:lineRule="exact"/>
        <w:ind w:firstLine="560" w:firstLineChars="200"/>
        <w:rPr>
          <w:rFonts w:eastAsia="仿宋_GB2312"/>
          <w:color w:val="000000"/>
          <w:sz w:val="28"/>
          <w:szCs w:val="32"/>
        </w:rPr>
      </w:pPr>
      <w:r>
        <w:rPr>
          <w:rFonts w:eastAsia="仿宋_GB2312"/>
          <w:color w:val="000000"/>
          <w:sz w:val="28"/>
          <w:szCs w:val="32"/>
        </w:rPr>
        <w:t>3.7.1  投标文件应按第八章“投标文件格式”进行编写，如有必要，可以增加附页，作为投标文件的组成部分。其中，投标函附录在满足招标文件实质性要求的基础上，可以提出比招标文件要求更有利于招标人的承诺。</w:t>
      </w:r>
    </w:p>
    <w:p>
      <w:pPr>
        <w:spacing w:line="490" w:lineRule="exact"/>
        <w:ind w:firstLine="560" w:firstLineChars="200"/>
        <w:rPr>
          <w:rFonts w:eastAsia="仿宋_GB2312"/>
          <w:color w:val="000000"/>
          <w:sz w:val="28"/>
          <w:szCs w:val="32"/>
        </w:rPr>
      </w:pPr>
      <w:r>
        <w:rPr>
          <w:rFonts w:eastAsia="仿宋_GB2312"/>
          <w:color w:val="000000"/>
          <w:sz w:val="28"/>
          <w:szCs w:val="32"/>
        </w:rPr>
        <w:t>3.7.2  投标文件应当对招标文件有关工期、投标有效期、质量要求、技术标准和要求、招标范围等实质性内容作出响应。</w:t>
      </w:r>
    </w:p>
    <w:p>
      <w:pPr>
        <w:spacing w:line="490" w:lineRule="exact"/>
        <w:ind w:firstLine="560" w:firstLineChars="200"/>
        <w:rPr>
          <w:rFonts w:eastAsia="仿宋_GB2312"/>
          <w:color w:val="000000"/>
          <w:sz w:val="28"/>
          <w:szCs w:val="32"/>
        </w:rPr>
      </w:pPr>
      <w:r>
        <w:rPr>
          <w:rFonts w:eastAsia="仿宋_GB2312"/>
          <w:color w:val="000000"/>
          <w:sz w:val="28"/>
          <w:szCs w:val="32"/>
        </w:rPr>
        <w:t>3.7.3  投标文件签字或盖章的要求见投标人须知前附表。</w:t>
      </w:r>
    </w:p>
    <w:p>
      <w:pPr>
        <w:spacing w:line="490" w:lineRule="exact"/>
        <w:ind w:firstLine="560" w:firstLineChars="200"/>
        <w:rPr>
          <w:rFonts w:eastAsia="仿宋_GB2312"/>
          <w:color w:val="000000"/>
          <w:sz w:val="28"/>
          <w:szCs w:val="32"/>
        </w:rPr>
      </w:pPr>
      <w:r>
        <w:rPr>
          <w:rFonts w:eastAsia="仿宋_GB2312"/>
          <w:color w:val="000000"/>
          <w:sz w:val="28"/>
          <w:szCs w:val="32"/>
        </w:rPr>
        <w:t>3.7.4  投标文件及中标人的纸质版投标文件要求见投标人须知前附表的规定。</w:t>
      </w:r>
    </w:p>
    <w:p>
      <w:pPr>
        <w:spacing w:line="490" w:lineRule="exact"/>
        <w:ind w:firstLine="560" w:firstLineChars="200"/>
        <w:rPr>
          <w:rFonts w:eastAsia="仿宋_GB2312"/>
          <w:color w:val="000000"/>
          <w:sz w:val="28"/>
          <w:szCs w:val="32"/>
        </w:rPr>
      </w:pPr>
      <w:r>
        <w:rPr>
          <w:rFonts w:eastAsia="仿宋_GB2312"/>
          <w:color w:val="000000"/>
          <w:sz w:val="28"/>
          <w:szCs w:val="32"/>
        </w:rPr>
        <w:t>3.7.5  投标技术文件采用暗标评审。投标技术文件应按以下要求编制，否则，将否决其投标。</w:t>
      </w:r>
    </w:p>
    <w:p>
      <w:pPr>
        <w:spacing w:line="490" w:lineRule="exact"/>
        <w:ind w:firstLine="560" w:firstLineChars="200"/>
        <w:rPr>
          <w:rFonts w:eastAsia="仿宋_GB2312"/>
          <w:color w:val="000000"/>
          <w:sz w:val="28"/>
          <w:szCs w:val="32"/>
        </w:rPr>
      </w:pPr>
      <w:r>
        <w:rPr>
          <w:rFonts w:eastAsia="仿宋_GB2312"/>
          <w:color w:val="000000"/>
          <w:sz w:val="28"/>
          <w:szCs w:val="32"/>
        </w:rPr>
        <w:t>（1）技术投标文件</w:t>
      </w:r>
      <w:r>
        <w:rPr>
          <w:rFonts w:eastAsia="仿宋_GB2312"/>
          <w:bCs/>
          <w:color w:val="000000"/>
          <w:sz w:val="28"/>
          <w:szCs w:val="32"/>
        </w:rPr>
        <w:t>内不得出现投标人名称或者出现任何能直接判断出投标人和其相关人员信息的内容。</w:t>
      </w:r>
    </w:p>
    <w:p>
      <w:pPr>
        <w:spacing w:line="490" w:lineRule="exact"/>
        <w:ind w:firstLine="560" w:firstLineChars="200"/>
        <w:rPr>
          <w:rFonts w:eastAsia="仿宋_GB2312"/>
          <w:color w:val="000000"/>
          <w:sz w:val="28"/>
          <w:szCs w:val="32"/>
        </w:rPr>
      </w:pPr>
      <w:r>
        <w:rPr>
          <w:rFonts w:eastAsia="仿宋_GB2312"/>
          <w:color w:val="000000"/>
          <w:sz w:val="28"/>
          <w:szCs w:val="32"/>
        </w:rPr>
        <w:t>（2）图纸按规范要求绘制，不设图签，不得注明</w:t>
      </w:r>
      <w:r>
        <w:rPr>
          <w:rFonts w:eastAsia="仿宋_GB2312"/>
          <w:bCs/>
          <w:color w:val="000000"/>
          <w:sz w:val="28"/>
          <w:szCs w:val="32"/>
        </w:rPr>
        <w:t>投标人和其相关人员信息或</w:t>
      </w:r>
      <w:r>
        <w:rPr>
          <w:rFonts w:eastAsia="仿宋_GB2312"/>
          <w:color w:val="000000"/>
          <w:sz w:val="28"/>
          <w:szCs w:val="32"/>
        </w:rPr>
        <w:t>设计单位及设计人信息。</w:t>
      </w:r>
    </w:p>
    <w:p>
      <w:pPr>
        <w:pStyle w:val="6"/>
        <w:keepNext w:val="0"/>
        <w:keepLines w:val="0"/>
        <w:spacing w:before="0" w:after="0" w:line="490" w:lineRule="exact"/>
        <w:ind w:firstLine="562" w:firstLineChars="200"/>
        <w:rPr>
          <w:rFonts w:ascii="Times New Roman" w:hAnsi="Times New Roman" w:eastAsia="黑体"/>
          <w:bCs w:val="0"/>
          <w:color w:val="000000"/>
          <w:sz w:val="28"/>
        </w:rPr>
      </w:pPr>
      <w:bookmarkStart w:id="136" w:name="_Toc716"/>
      <w:bookmarkStart w:id="137" w:name="_Toc259698617"/>
      <w:bookmarkStart w:id="138" w:name="_Toc15621"/>
      <w:bookmarkStart w:id="139" w:name="_Toc269742717"/>
      <w:bookmarkStart w:id="140" w:name="_Toc51091847"/>
      <w:r>
        <w:rPr>
          <w:rFonts w:ascii="Times New Roman" w:hAnsi="Times New Roman" w:eastAsia="黑体"/>
          <w:bCs w:val="0"/>
          <w:color w:val="000000"/>
          <w:sz w:val="28"/>
        </w:rPr>
        <w:t>4．投标</w:t>
      </w:r>
      <w:bookmarkEnd w:id="136"/>
      <w:bookmarkEnd w:id="137"/>
      <w:bookmarkEnd w:id="138"/>
      <w:bookmarkEnd w:id="139"/>
      <w:bookmarkEnd w:id="140"/>
    </w:p>
    <w:p>
      <w:pPr>
        <w:pStyle w:val="7"/>
        <w:keepNext w:val="0"/>
        <w:keepLines w:val="0"/>
        <w:spacing w:before="0" w:after="0" w:line="490" w:lineRule="exact"/>
        <w:ind w:firstLine="562" w:firstLineChars="200"/>
        <w:rPr>
          <w:rFonts w:ascii="Times New Roman" w:hAnsi="Times New Roman" w:eastAsia="楷体_GB2312"/>
          <w:color w:val="000000"/>
          <w:szCs w:val="32"/>
        </w:rPr>
      </w:pPr>
      <w:bookmarkStart w:id="141" w:name="_Toc269742718"/>
      <w:bookmarkStart w:id="142" w:name="_Toc259698618"/>
      <w:r>
        <w:rPr>
          <w:rFonts w:ascii="Times New Roman" w:hAnsi="Times New Roman" w:eastAsia="楷体_GB2312"/>
          <w:color w:val="000000"/>
          <w:szCs w:val="32"/>
        </w:rPr>
        <w:t>4.1 投标文件的密封和标识</w:t>
      </w:r>
      <w:bookmarkEnd w:id="141"/>
      <w:bookmarkEnd w:id="142"/>
    </w:p>
    <w:p>
      <w:pPr>
        <w:spacing w:line="490" w:lineRule="exact"/>
        <w:ind w:firstLine="560" w:firstLineChars="200"/>
        <w:rPr>
          <w:rFonts w:eastAsia="仿宋_GB2312"/>
          <w:color w:val="000000"/>
          <w:sz w:val="28"/>
          <w:szCs w:val="32"/>
        </w:rPr>
      </w:pPr>
      <w:r>
        <w:rPr>
          <w:rFonts w:eastAsia="仿宋_GB2312"/>
          <w:color w:val="000000"/>
          <w:sz w:val="28"/>
          <w:szCs w:val="32"/>
        </w:rPr>
        <w:t xml:space="preserve">4.1.1  </w:t>
      </w:r>
      <w:r>
        <w:rPr>
          <w:rFonts w:hint="eastAsia" w:eastAsia="仿宋_GB2312"/>
          <w:color w:val="000000"/>
          <w:sz w:val="28"/>
          <w:szCs w:val="32"/>
        </w:rPr>
        <w:t>投标人在电子投标文件制作系统中生成唯一标识的加密电子投标文件，并在规定时间内上传至交易平台</w:t>
      </w:r>
      <w:r>
        <w:rPr>
          <w:rFonts w:eastAsia="仿宋_GB2312"/>
          <w:color w:val="000000"/>
          <w:sz w:val="28"/>
          <w:szCs w:val="32"/>
        </w:rPr>
        <w:t>。</w:t>
      </w:r>
    </w:p>
    <w:p>
      <w:pPr>
        <w:pStyle w:val="7"/>
        <w:keepNext w:val="0"/>
        <w:keepLines w:val="0"/>
        <w:spacing w:before="0" w:after="0" w:line="490" w:lineRule="exact"/>
        <w:ind w:firstLine="562" w:firstLineChars="200"/>
        <w:rPr>
          <w:rFonts w:ascii="Times New Roman" w:hAnsi="Times New Roman" w:eastAsia="楷体_GB2312"/>
          <w:color w:val="000000"/>
          <w:szCs w:val="32"/>
        </w:rPr>
      </w:pPr>
      <w:bookmarkStart w:id="143" w:name="_Toc189386049"/>
      <w:r>
        <w:rPr>
          <w:rFonts w:ascii="Times New Roman" w:hAnsi="Times New Roman" w:eastAsia="楷体_GB2312"/>
          <w:color w:val="000000"/>
          <w:szCs w:val="32"/>
        </w:rPr>
        <w:t>4.2 投标文件的递交</w:t>
      </w:r>
      <w:bookmarkEnd w:id="143"/>
    </w:p>
    <w:p>
      <w:pPr>
        <w:spacing w:line="490" w:lineRule="exact"/>
        <w:ind w:firstLine="560" w:firstLineChars="200"/>
        <w:rPr>
          <w:rFonts w:eastAsia="仿宋_GB2312"/>
          <w:color w:val="000000"/>
          <w:sz w:val="28"/>
          <w:szCs w:val="32"/>
        </w:rPr>
      </w:pPr>
      <w:r>
        <w:rPr>
          <w:rFonts w:eastAsia="仿宋_GB2312"/>
          <w:color w:val="000000"/>
          <w:sz w:val="28"/>
          <w:szCs w:val="32"/>
        </w:rPr>
        <w:t>4.2.1  投标人应在投标人须知前附表规定的投标截止时间前传输递交电子投标文件。</w:t>
      </w:r>
    </w:p>
    <w:p>
      <w:pPr>
        <w:pStyle w:val="7"/>
        <w:keepNext w:val="0"/>
        <w:keepLines w:val="0"/>
        <w:spacing w:before="0" w:after="0" w:line="490" w:lineRule="exact"/>
        <w:ind w:firstLine="562" w:firstLineChars="200"/>
        <w:rPr>
          <w:rFonts w:ascii="Times New Roman" w:hAnsi="Times New Roman" w:eastAsia="楷体_GB2312"/>
          <w:color w:val="000000"/>
          <w:szCs w:val="32"/>
        </w:rPr>
      </w:pPr>
      <w:bookmarkStart w:id="144" w:name="_Toc189386050"/>
      <w:r>
        <w:rPr>
          <w:rFonts w:ascii="Times New Roman" w:hAnsi="Times New Roman" w:eastAsia="楷体_GB2312"/>
          <w:color w:val="000000"/>
          <w:szCs w:val="32"/>
        </w:rPr>
        <w:t>4.3 投标文件的修改与撤回</w:t>
      </w:r>
      <w:bookmarkEnd w:id="144"/>
    </w:p>
    <w:p>
      <w:pPr>
        <w:spacing w:line="490" w:lineRule="exact"/>
        <w:ind w:firstLine="560" w:firstLineChars="200"/>
        <w:rPr>
          <w:rFonts w:eastAsia="仿宋_GB2312"/>
          <w:color w:val="000000"/>
          <w:sz w:val="28"/>
          <w:szCs w:val="32"/>
        </w:rPr>
      </w:pPr>
      <w:r>
        <w:rPr>
          <w:rFonts w:eastAsia="仿宋_GB2312"/>
          <w:color w:val="000000"/>
          <w:sz w:val="28"/>
          <w:szCs w:val="32"/>
        </w:rPr>
        <w:t>投标文件的修改与撤回见投标人须知前附表规定。</w:t>
      </w:r>
    </w:p>
    <w:p>
      <w:pPr>
        <w:pStyle w:val="6"/>
        <w:keepNext w:val="0"/>
        <w:keepLines w:val="0"/>
        <w:spacing w:before="0" w:after="0" w:line="490" w:lineRule="exact"/>
        <w:ind w:firstLine="562" w:firstLineChars="200"/>
        <w:rPr>
          <w:rFonts w:ascii="Times New Roman" w:hAnsi="Times New Roman" w:eastAsia="黑体"/>
          <w:bCs w:val="0"/>
          <w:color w:val="000000"/>
          <w:sz w:val="28"/>
        </w:rPr>
      </w:pPr>
      <w:bookmarkStart w:id="145" w:name="_Toc269742719"/>
      <w:bookmarkStart w:id="146" w:name="_Toc259698619"/>
      <w:bookmarkStart w:id="147" w:name="_Toc13117"/>
      <w:bookmarkStart w:id="148" w:name="_Toc28005"/>
      <w:bookmarkStart w:id="149" w:name="_Toc51091848"/>
      <w:r>
        <w:rPr>
          <w:rFonts w:ascii="Times New Roman" w:hAnsi="Times New Roman" w:eastAsia="黑体"/>
          <w:bCs w:val="0"/>
          <w:color w:val="000000"/>
          <w:sz w:val="28"/>
        </w:rPr>
        <w:t>5．开标</w:t>
      </w:r>
      <w:bookmarkEnd w:id="145"/>
      <w:bookmarkEnd w:id="146"/>
      <w:bookmarkEnd w:id="147"/>
      <w:bookmarkEnd w:id="148"/>
      <w:bookmarkEnd w:id="149"/>
    </w:p>
    <w:p>
      <w:pPr>
        <w:pStyle w:val="7"/>
        <w:keepNext w:val="0"/>
        <w:keepLines w:val="0"/>
        <w:spacing w:before="0" w:after="0" w:line="490" w:lineRule="exact"/>
        <w:ind w:firstLine="562" w:firstLineChars="200"/>
        <w:rPr>
          <w:rFonts w:ascii="Times New Roman" w:hAnsi="Times New Roman" w:eastAsia="楷体_GB2312"/>
          <w:color w:val="000000"/>
          <w:szCs w:val="32"/>
        </w:rPr>
      </w:pPr>
      <w:bookmarkStart w:id="150" w:name="_Toc259698620"/>
      <w:bookmarkStart w:id="151" w:name="_Toc269742720"/>
      <w:r>
        <w:rPr>
          <w:rFonts w:ascii="Times New Roman" w:hAnsi="Times New Roman" w:eastAsia="楷体_GB2312"/>
          <w:color w:val="000000"/>
          <w:szCs w:val="32"/>
        </w:rPr>
        <w:t>5.1 投标截止时间、投标人在线签到时间、电子投标文件解密截止时间、开标地点</w:t>
      </w:r>
    </w:p>
    <w:bookmarkEnd w:id="150"/>
    <w:bookmarkEnd w:id="151"/>
    <w:p>
      <w:pPr>
        <w:spacing w:line="490" w:lineRule="exact"/>
        <w:ind w:firstLine="560" w:firstLineChars="200"/>
        <w:rPr>
          <w:rFonts w:eastAsia="仿宋_GB2312"/>
          <w:color w:val="000000"/>
          <w:sz w:val="28"/>
          <w:szCs w:val="32"/>
        </w:rPr>
      </w:pPr>
      <w:r>
        <w:rPr>
          <w:rFonts w:eastAsia="仿宋_GB2312"/>
          <w:color w:val="000000"/>
          <w:sz w:val="28"/>
          <w:szCs w:val="32"/>
        </w:rPr>
        <w:t>5.1.1  投标截止时间</w:t>
      </w:r>
      <w:r>
        <w:rPr>
          <w:rFonts w:hint="eastAsia" w:eastAsia="仿宋_GB2312"/>
          <w:color w:val="000000"/>
          <w:sz w:val="28"/>
          <w:szCs w:val="32"/>
        </w:rPr>
        <w:t>：</w:t>
      </w:r>
      <w:r>
        <w:rPr>
          <w:rFonts w:eastAsia="仿宋_GB2312"/>
          <w:color w:val="000000"/>
          <w:sz w:val="28"/>
          <w:szCs w:val="32"/>
        </w:rPr>
        <w:t xml:space="preserve"> 见投标人须知前附表规定。</w:t>
      </w:r>
    </w:p>
    <w:p>
      <w:pPr>
        <w:spacing w:line="490" w:lineRule="exact"/>
        <w:ind w:firstLine="560" w:firstLineChars="200"/>
        <w:rPr>
          <w:rFonts w:eastAsia="仿宋_GB2312"/>
          <w:color w:val="000000"/>
          <w:sz w:val="28"/>
          <w:szCs w:val="32"/>
        </w:rPr>
      </w:pPr>
      <w:r>
        <w:rPr>
          <w:rFonts w:eastAsia="仿宋_GB2312"/>
          <w:color w:val="000000"/>
          <w:sz w:val="28"/>
          <w:szCs w:val="32"/>
        </w:rPr>
        <w:t>5.1.2  投标人在线签到时间：见投标人须知前附表规定。</w:t>
      </w:r>
    </w:p>
    <w:p>
      <w:pPr>
        <w:spacing w:line="490" w:lineRule="exact"/>
        <w:ind w:firstLine="560" w:firstLineChars="200"/>
        <w:rPr>
          <w:rFonts w:eastAsia="仿宋_GB2312"/>
          <w:color w:val="000000"/>
          <w:sz w:val="28"/>
          <w:szCs w:val="32"/>
        </w:rPr>
      </w:pPr>
      <w:r>
        <w:rPr>
          <w:rFonts w:eastAsia="仿宋_GB2312"/>
          <w:color w:val="000000"/>
          <w:sz w:val="28"/>
          <w:szCs w:val="32"/>
        </w:rPr>
        <w:t>5.1.3  电子投标文件解密时间：见投标人须知前附表规定。</w:t>
      </w:r>
    </w:p>
    <w:p>
      <w:pPr>
        <w:spacing w:line="490" w:lineRule="exact"/>
        <w:ind w:firstLine="560" w:firstLineChars="200"/>
        <w:rPr>
          <w:rFonts w:eastAsia="仿宋_GB2312"/>
          <w:color w:val="000000"/>
          <w:sz w:val="28"/>
          <w:szCs w:val="32"/>
        </w:rPr>
      </w:pPr>
      <w:r>
        <w:rPr>
          <w:rFonts w:eastAsia="仿宋_GB2312"/>
          <w:color w:val="000000"/>
          <w:sz w:val="28"/>
          <w:szCs w:val="32"/>
        </w:rPr>
        <w:t>5.1.4  开标地点：见投标人须知前附表规定。</w:t>
      </w:r>
    </w:p>
    <w:p>
      <w:pPr>
        <w:pStyle w:val="7"/>
        <w:keepNext w:val="0"/>
        <w:keepLines w:val="0"/>
        <w:spacing w:before="0" w:after="0" w:line="490" w:lineRule="exact"/>
        <w:ind w:firstLine="562" w:firstLineChars="200"/>
        <w:rPr>
          <w:rFonts w:ascii="Times New Roman" w:hAnsi="Times New Roman" w:eastAsia="楷体_GB2312"/>
          <w:color w:val="000000"/>
          <w:szCs w:val="32"/>
        </w:rPr>
      </w:pPr>
      <w:bookmarkStart w:id="152" w:name="_Toc269742721"/>
      <w:bookmarkStart w:id="153" w:name="_Toc259698621"/>
      <w:r>
        <w:rPr>
          <w:rFonts w:ascii="Times New Roman" w:hAnsi="Times New Roman" w:eastAsia="楷体_GB2312"/>
          <w:color w:val="000000"/>
          <w:szCs w:val="32"/>
        </w:rPr>
        <w:t>5.2 开标程序</w:t>
      </w:r>
      <w:bookmarkEnd w:id="152"/>
      <w:bookmarkEnd w:id="153"/>
    </w:p>
    <w:p>
      <w:pPr>
        <w:spacing w:line="490" w:lineRule="exact"/>
        <w:ind w:firstLine="560" w:firstLineChars="200"/>
        <w:rPr>
          <w:rFonts w:eastAsia="仿宋_GB2312"/>
          <w:color w:val="000000"/>
          <w:sz w:val="28"/>
          <w:szCs w:val="32"/>
        </w:rPr>
      </w:pPr>
      <w:r>
        <w:rPr>
          <w:rFonts w:eastAsia="仿宋_GB2312"/>
          <w:color w:val="000000"/>
          <w:sz w:val="28"/>
          <w:szCs w:val="32"/>
        </w:rPr>
        <w:t>按照投标人须知前附表规定的程序进行开标。</w:t>
      </w:r>
    </w:p>
    <w:p>
      <w:pPr>
        <w:pStyle w:val="7"/>
        <w:keepNext w:val="0"/>
        <w:keepLines w:val="0"/>
        <w:spacing w:before="0" w:after="0" w:line="490" w:lineRule="exact"/>
        <w:ind w:firstLine="562" w:firstLineChars="200"/>
        <w:rPr>
          <w:rFonts w:ascii="Times New Roman" w:hAnsi="Times New Roman" w:eastAsia="楷体_GB2312"/>
          <w:color w:val="000000"/>
          <w:szCs w:val="32"/>
        </w:rPr>
      </w:pPr>
      <w:bookmarkStart w:id="154" w:name="_Toc269742722"/>
      <w:bookmarkStart w:id="155" w:name="_Toc259698622"/>
      <w:r>
        <w:rPr>
          <w:rFonts w:ascii="Times New Roman" w:hAnsi="Times New Roman" w:eastAsia="楷体_GB2312"/>
          <w:color w:val="000000"/>
          <w:szCs w:val="32"/>
        </w:rPr>
        <w:t>5.3 解密失败的补救方案</w:t>
      </w:r>
    </w:p>
    <w:p>
      <w:pPr>
        <w:spacing w:line="490" w:lineRule="exact"/>
        <w:ind w:firstLine="560" w:firstLineChars="200"/>
        <w:rPr>
          <w:rFonts w:eastAsia="仿宋_GB2312"/>
          <w:color w:val="000000"/>
          <w:sz w:val="28"/>
          <w:szCs w:val="32"/>
        </w:rPr>
      </w:pPr>
      <w:r>
        <w:rPr>
          <w:rFonts w:eastAsia="仿宋_GB2312"/>
          <w:color w:val="000000"/>
          <w:sz w:val="28"/>
          <w:szCs w:val="32"/>
        </w:rPr>
        <w:t>解密失败的补救方案见投标人须知前附表。</w:t>
      </w:r>
    </w:p>
    <w:p>
      <w:pPr>
        <w:pStyle w:val="6"/>
        <w:keepNext w:val="0"/>
        <w:keepLines w:val="0"/>
        <w:spacing w:before="0" w:after="0" w:line="490" w:lineRule="exact"/>
        <w:ind w:firstLine="562" w:firstLineChars="200"/>
        <w:rPr>
          <w:rFonts w:ascii="Times New Roman" w:hAnsi="Times New Roman" w:eastAsia="黑体"/>
          <w:bCs w:val="0"/>
          <w:color w:val="000000"/>
          <w:sz w:val="28"/>
        </w:rPr>
      </w:pPr>
      <w:bookmarkStart w:id="156" w:name="_Toc20652"/>
      <w:bookmarkStart w:id="157" w:name="_Toc51091849"/>
      <w:bookmarkStart w:id="158" w:name="_Toc29068"/>
      <w:r>
        <w:rPr>
          <w:rFonts w:ascii="Times New Roman" w:hAnsi="Times New Roman" w:eastAsia="黑体"/>
          <w:bCs w:val="0"/>
          <w:color w:val="000000"/>
          <w:sz w:val="28"/>
        </w:rPr>
        <w:t>6．评标</w:t>
      </w:r>
      <w:bookmarkEnd w:id="154"/>
      <w:bookmarkEnd w:id="155"/>
      <w:bookmarkEnd w:id="156"/>
      <w:bookmarkEnd w:id="157"/>
      <w:bookmarkEnd w:id="158"/>
    </w:p>
    <w:p>
      <w:pPr>
        <w:pStyle w:val="7"/>
        <w:keepNext w:val="0"/>
        <w:keepLines w:val="0"/>
        <w:spacing w:before="0" w:after="0" w:line="490" w:lineRule="exact"/>
        <w:ind w:firstLine="562" w:firstLineChars="200"/>
        <w:rPr>
          <w:rFonts w:ascii="Times New Roman" w:hAnsi="Times New Roman" w:eastAsia="楷体_GB2312"/>
          <w:color w:val="000000"/>
          <w:szCs w:val="32"/>
        </w:rPr>
      </w:pPr>
      <w:bookmarkStart w:id="159" w:name="_Toc189386055"/>
      <w:bookmarkStart w:id="160" w:name="_Toc269742723"/>
      <w:bookmarkStart w:id="161" w:name="_Toc259698623"/>
      <w:r>
        <w:rPr>
          <w:rFonts w:ascii="Times New Roman" w:hAnsi="Times New Roman" w:eastAsia="楷体_GB2312"/>
          <w:color w:val="000000"/>
          <w:szCs w:val="32"/>
        </w:rPr>
        <w:t>6.1 评标委员会</w:t>
      </w:r>
      <w:bookmarkEnd w:id="159"/>
    </w:p>
    <w:p>
      <w:pPr>
        <w:spacing w:line="490" w:lineRule="exact"/>
        <w:ind w:firstLine="560" w:firstLineChars="200"/>
        <w:rPr>
          <w:rFonts w:eastAsia="仿宋_GB2312"/>
          <w:color w:val="000000"/>
          <w:sz w:val="28"/>
          <w:szCs w:val="32"/>
        </w:rPr>
      </w:pPr>
      <w:r>
        <w:rPr>
          <w:rFonts w:eastAsia="仿宋_GB2312"/>
          <w:color w:val="000000"/>
          <w:sz w:val="28"/>
          <w:szCs w:val="32"/>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pPr>
        <w:spacing w:line="490" w:lineRule="exact"/>
        <w:ind w:firstLine="560" w:firstLineChars="200"/>
        <w:rPr>
          <w:rFonts w:eastAsia="仿宋_GB2312"/>
          <w:color w:val="000000"/>
          <w:sz w:val="28"/>
          <w:szCs w:val="32"/>
        </w:rPr>
      </w:pPr>
      <w:r>
        <w:rPr>
          <w:rFonts w:eastAsia="仿宋_GB2312"/>
          <w:color w:val="000000"/>
          <w:sz w:val="28"/>
          <w:szCs w:val="32"/>
        </w:rPr>
        <w:t>6.1.2  评标委员会成员有下列情形之一的，应当回避：</w:t>
      </w:r>
    </w:p>
    <w:p>
      <w:pPr>
        <w:spacing w:line="490" w:lineRule="exact"/>
        <w:ind w:firstLine="560" w:firstLineChars="200"/>
        <w:rPr>
          <w:rFonts w:eastAsia="仿宋_GB2312"/>
          <w:color w:val="000000"/>
          <w:sz w:val="28"/>
          <w:szCs w:val="32"/>
        </w:rPr>
      </w:pPr>
      <w:r>
        <w:rPr>
          <w:rFonts w:eastAsia="仿宋_GB2312"/>
          <w:color w:val="000000"/>
          <w:sz w:val="28"/>
          <w:szCs w:val="32"/>
        </w:rPr>
        <w:t>（1）招标人或投标人的主要负责人的近亲属；</w:t>
      </w:r>
    </w:p>
    <w:p>
      <w:pPr>
        <w:spacing w:line="490" w:lineRule="exact"/>
        <w:ind w:firstLine="560" w:firstLineChars="200"/>
        <w:rPr>
          <w:rFonts w:eastAsia="仿宋_GB2312"/>
          <w:color w:val="000000"/>
          <w:sz w:val="28"/>
          <w:szCs w:val="32"/>
        </w:rPr>
      </w:pPr>
      <w:r>
        <w:rPr>
          <w:rFonts w:eastAsia="仿宋_GB2312"/>
          <w:color w:val="000000"/>
          <w:sz w:val="28"/>
          <w:szCs w:val="32"/>
        </w:rPr>
        <w:t>（2）项目主管部门或者行政监督部门的人员；</w:t>
      </w:r>
    </w:p>
    <w:p>
      <w:pPr>
        <w:spacing w:line="490" w:lineRule="exact"/>
        <w:ind w:firstLine="560" w:firstLineChars="200"/>
        <w:rPr>
          <w:rFonts w:eastAsia="仿宋_GB2312"/>
          <w:color w:val="000000"/>
          <w:sz w:val="28"/>
          <w:szCs w:val="32"/>
        </w:rPr>
      </w:pPr>
      <w:r>
        <w:rPr>
          <w:rFonts w:eastAsia="仿宋_GB2312"/>
          <w:color w:val="000000"/>
          <w:sz w:val="28"/>
          <w:szCs w:val="32"/>
        </w:rPr>
        <w:t>（3）与投标人有经济利益关系，可能影响对投标公正评审的；</w:t>
      </w:r>
    </w:p>
    <w:p>
      <w:pPr>
        <w:spacing w:line="490" w:lineRule="exact"/>
        <w:ind w:firstLine="560" w:firstLineChars="200"/>
        <w:rPr>
          <w:rFonts w:eastAsia="仿宋_GB2312"/>
          <w:color w:val="000000"/>
          <w:sz w:val="28"/>
          <w:szCs w:val="32"/>
        </w:rPr>
      </w:pPr>
      <w:r>
        <w:rPr>
          <w:rFonts w:eastAsia="仿宋_GB2312"/>
          <w:color w:val="000000"/>
          <w:sz w:val="28"/>
          <w:szCs w:val="32"/>
        </w:rPr>
        <w:t>（4）曾因在招标、评标以及其他与招标投标有关活动中从事违法行为而受过行政处罚或刑事处罚的。</w:t>
      </w:r>
    </w:p>
    <w:p>
      <w:pPr>
        <w:pStyle w:val="7"/>
        <w:keepNext w:val="0"/>
        <w:keepLines w:val="0"/>
        <w:spacing w:before="0" w:after="0" w:line="490" w:lineRule="exact"/>
        <w:ind w:firstLine="562" w:firstLineChars="200"/>
        <w:rPr>
          <w:rFonts w:ascii="Times New Roman" w:hAnsi="Times New Roman" w:eastAsia="楷体_GB2312"/>
          <w:color w:val="000000"/>
          <w:szCs w:val="32"/>
        </w:rPr>
      </w:pPr>
      <w:bookmarkStart w:id="162" w:name="_Toc189386056"/>
      <w:r>
        <w:rPr>
          <w:rFonts w:ascii="Times New Roman" w:hAnsi="Times New Roman" w:eastAsia="楷体_GB2312"/>
          <w:color w:val="000000"/>
          <w:szCs w:val="32"/>
        </w:rPr>
        <w:t>6.2 评标原则</w:t>
      </w:r>
      <w:bookmarkEnd w:id="162"/>
    </w:p>
    <w:p>
      <w:pPr>
        <w:spacing w:line="490" w:lineRule="exact"/>
        <w:ind w:firstLine="560" w:firstLineChars="200"/>
        <w:rPr>
          <w:rFonts w:eastAsia="仿宋_GB2312"/>
          <w:color w:val="000000"/>
          <w:sz w:val="28"/>
          <w:szCs w:val="32"/>
        </w:rPr>
      </w:pPr>
      <w:r>
        <w:rPr>
          <w:rFonts w:eastAsia="仿宋_GB2312"/>
          <w:color w:val="000000"/>
          <w:sz w:val="28"/>
          <w:szCs w:val="32"/>
        </w:rPr>
        <w:t>6.2.1  评标活动遵循公平、公正、科学和择优的原则。</w:t>
      </w:r>
    </w:p>
    <w:p>
      <w:pPr>
        <w:spacing w:line="490" w:lineRule="exact"/>
        <w:ind w:firstLine="560" w:firstLineChars="200"/>
        <w:rPr>
          <w:rFonts w:hint="eastAsia" w:ascii="仿宋" w:hAnsi="仿宋" w:eastAsia="仿宋" w:cs="仿宋"/>
          <w:color w:val="000000"/>
          <w:sz w:val="28"/>
          <w:szCs w:val="28"/>
          <w:shd w:val="clear" w:color="FFFFFF" w:fill="D9D9D9"/>
        </w:rPr>
      </w:pPr>
      <w:r>
        <w:rPr>
          <w:rFonts w:eastAsia="仿宋_GB2312"/>
          <w:color w:val="000000"/>
          <w:kern w:val="0"/>
          <w:sz w:val="28"/>
          <w:szCs w:val="32"/>
        </w:rPr>
        <w:t xml:space="preserve">6.2.2  </w:t>
      </w:r>
      <w:r>
        <w:rPr>
          <w:rFonts w:eastAsia="仿宋_GB2312"/>
          <w:color w:val="000000"/>
          <w:sz w:val="28"/>
          <w:szCs w:val="32"/>
        </w:rPr>
        <w:t>评标委员会对同一招标项目只能做出一种评标结论，评标委员会成员对评标结论如有异议，按照</w:t>
      </w:r>
      <w:r>
        <w:rPr>
          <w:rFonts w:eastAsia="仿宋_GB2312"/>
          <w:b/>
          <w:color w:val="000000"/>
          <w:sz w:val="28"/>
          <w:szCs w:val="32"/>
        </w:rPr>
        <w:t>少数服从多数的原则投票表决，实行一人一票，并经评标委员会成员半数以上表决通过。</w:t>
      </w:r>
      <w:r>
        <w:rPr>
          <w:rFonts w:hint="eastAsia" w:eastAsia="仿宋_GB2312"/>
          <w:color w:val="000000"/>
          <w:sz w:val="28"/>
          <w:szCs w:val="32"/>
        </w:rPr>
        <w:t>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pPr>
        <w:pStyle w:val="7"/>
        <w:keepNext w:val="0"/>
        <w:keepLines w:val="0"/>
        <w:spacing w:before="0" w:after="0" w:line="490" w:lineRule="exact"/>
        <w:ind w:firstLine="562" w:firstLineChars="200"/>
        <w:rPr>
          <w:rFonts w:ascii="Times New Roman" w:hAnsi="Times New Roman" w:eastAsia="楷体_GB2312"/>
          <w:color w:val="000000"/>
          <w:szCs w:val="32"/>
        </w:rPr>
      </w:pPr>
      <w:bookmarkStart w:id="163" w:name="_Toc189386057"/>
      <w:r>
        <w:rPr>
          <w:rFonts w:ascii="Times New Roman" w:hAnsi="Times New Roman" w:eastAsia="楷体_GB2312"/>
          <w:color w:val="000000"/>
          <w:szCs w:val="32"/>
        </w:rPr>
        <w:t>6.3 评标</w:t>
      </w:r>
      <w:bookmarkEnd w:id="163"/>
    </w:p>
    <w:p>
      <w:pPr>
        <w:spacing w:line="490" w:lineRule="exact"/>
        <w:ind w:firstLine="560" w:firstLineChars="200"/>
        <w:rPr>
          <w:rFonts w:eastAsia="仿宋_GB2312"/>
          <w:color w:val="000000"/>
          <w:sz w:val="28"/>
          <w:szCs w:val="32"/>
        </w:rPr>
      </w:pPr>
      <w:r>
        <w:rPr>
          <w:rFonts w:eastAsia="仿宋_GB2312"/>
          <w:color w:val="000000"/>
          <w:sz w:val="28"/>
          <w:szCs w:val="32"/>
        </w:rPr>
        <w:t>6.3.1  评标开始前，招标人有要求的，可以在评标委员会成员全部到齐后，派人介绍招标项目的情况。</w:t>
      </w:r>
    </w:p>
    <w:p>
      <w:pPr>
        <w:spacing w:line="490" w:lineRule="exact"/>
        <w:ind w:firstLine="560" w:firstLineChars="200"/>
        <w:rPr>
          <w:rFonts w:eastAsia="仿宋_GB2312"/>
          <w:color w:val="000000"/>
          <w:sz w:val="28"/>
          <w:szCs w:val="32"/>
        </w:rPr>
      </w:pPr>
      <w:r>
        <w:rPr>
          <w:rFonts w:eastAsia="仿宋_GB2312"/>
          <w:color w:val="000000"/>
          <w:sz w:val="28"/>
          <w:szCs w:val="32"/>
        </w:rPr>
        <w:t>6.3.2  评标委员会按照第三章“评标办法”规定的方法、评审因素、标准和程序对投标文件进行评审。第三章“评标办法”没有规定的方法、评审因素和标准，不作为评标依据。</w:t>
      </w:r>
    </w:p>
    <w:p>
      <w:pPr>
        <w:spacing w:line="490" w:lineRule="exact"/>
        <w:ind w:firstLine="560" w:firstLineChars="200"/>
        <w:rPr>
          <w:rFonts w:eastAsia="仿宋_GB2312"/>
          <w:color w:val="000000"/>
          <w:sz w:val="28"/>
          <w:szCs w:val="32"/>
        </w:rPr>
      </w:pPr>
      <w:r>
        <w:rPr>
          <w:rFonts w:eastAsia="仿宋_GB2312"/>
          <w:color w:val="000000"/>
          <w:sz w:val="28"/>
          <w:szCs w:val="32"/>
        </w:rPr>
        <w:t>6.3.3 评标完成后，评标委员会应当向招标人提交书面评标报告和中标候选人名单。评标委员会推荐中标候选人的人数见投标人须知前附表。</w:t>
      </w:r>
    </w:p>
    <w:p>
      <w:pPr>
        <w:pStyle w:val="6"/>
        <w:keepNext w:val="0"/>
        <w:keepLines w:val="0"/>
        <w:spacing w:before="0" w:after="0" w:line="490" w:lineRule="exact"/>
        <w:ind w:firstLine="562" w:firstLineChars="200"/>
        <w:rPr>
          <w:rFonts w:ascii="Times New Roman" w:hAnsi="Times New Roman" w:eastAsia="黑体"/>
          <w:bCs w:val="0"/>
          <w:color w:val="000000"/>
          <w:sz w:val="28"/>
        </w:rPr>
      </w:pPr>
      <w:bookmarkStart w:id="164" w:name="_Toc51091850"/>
      <w:bookmarkStart w:id="165" w:name="_Toc22297"/>
      <w:bookmarkStart w:id="166" w:name="_Toc13679"/>
      <w:r>
        <w:rPr>
          <w:rFonts w:ascii="Times New Roman" w:hAnsi="Times New Roman" w:eastAsia="黑体"/>
          <w:bCs w:val="0"/>
          <w:color w:val="000000"/>
          <w:sz w:val="28"/>
        </w:rPr>
        <w:t>7．合同授予</w:t>
      </w:r>
      <w:bookmarkEnd w:id="160"/>
      <w:bookmarkEnd w:id="161"/>
      <w:bookmarkEnd w:id="164"/>
      <w:bookmarkEnd w:id="165"/>
      <w:bookmarkEnd w:id="166"/>
    </w:p>
    <w:p>
      <w:pPr>
        <w:pStyle w:val="7"/>
        <w:keepNext w:val="0"/>
        <w:keepLines w:val="0"/>
        <w:spacing w:before="0" w:after="0" w:line="490" w:lineRule="exact"/>
        <w:ind w:firstLine="562" w:firstLineChars="200"/>
        <w:rPr>
          <w:rFonts w:ascii="Times New Roman" w:hAnsi="Times New Roman" w:eastAsia="楷体_GB2312"/>
          <w:color w:val="000000"/>
          <w:szCs w:val="32"/>
        </w:rPr>
      </w:pPr>
      <w:bookmarkStart w:id="167" w:name="_Toc30330"/>
      <w:bookmarkStart w:id="168" w:name="_Toc259698624"/>
      <w:bookmarkStart w:id="169" w:name="_Toc269742724"/>
      <w:r>
        <w:rPr>
          <w:rFonts w:ascii="Times New Roman" w:hAnsi="Times New Roman" w:eastAsia="楷体_GB2312"/>
          <w:color w:val="000000"/>
          <w:szCs w:val="32"/>
        </w:rPr>
        <w:t>7.1 中标候选人公示</w:t>
      </w:r>
      <w:bookmarkEnd w:id="167"/>
      <w:r>
        <w:rPr>
          <w:rFonts w:ascii="Times New Roman" w:hAnsi="Times New Roman" w:eastAsia="楷体_GB2312"/>
          <w:color w:val="000000"/>
          <w:szCs w:val="32"/>
        </w:rPr>
        <w:t xml:space="preserve"> </w:t>
      </w:r>
    </w:p>
    <w:p>
      <w:pPr>
        <w:spacing w:line="490" w:lineRule="exact"/>
        <w:ind w:firstLine="560" w:firstLineChars="200"/>
        <w:rPr>
          <w:rFonts w:eastAsia="仿宋_GB2312"/>
          <w:color w:val="000000"/>
          <w:sz w:val="28"/>
          <w:szCs w:val="32"/>
        </w:rPr>
      </w:pPr>
      <w:r>
        <w:rPr>
          <w:rFonts w:eastAsia="仿宋_GB2312"/>
          <w:color w:val="000000"/>
          <w:sz w:val="28"/>
          <w:szCs w:val="32"/>
        </w:rPr>
        <w:t xml:space="preserve">招标人在投标人须知前附表规定的时间内，按照投标人须知前附表规定的公示媒介和期限公示中标候选人，公示期不得少于投标人须知前附表规定的时间。 </w:t>
      </w:r>
    </w:p>
    <w:p>
      <w:pPr>
        <w:pStyle w:val="7"/>
        <w:keepNext w:val="0"/>
        <w:keepLines w:val="0"/>
        <w:spacing w:before="0" w:after="0" w:line="490" w:lineRule="exact"/>
        <w:ind w:firstLine="562" w:firstLineChars="200"/>
        <w:rPr>
          <w:rFonts w:ascii="Times New Roman" w:hAnsi="Times New Roman" w:eastAsia="楷体_GB2312"/>
          <w:color w:val="000000"/>
          <w:szCs w:val="32"/>
        </w:rPr>
      </w:pPr>
      <w:bookmarkStart w:id="170" w:name="_Toc23948"/>
      <w:r>
        <w:rPr>
          <w:rFonts w:ascii="Times New Roman" w:hAnsi="Times New Roman" w:eastAsia="楷体_GB2312"/>
          <w:color w:val="000000"/>
          <w:szCs w:val="32"/>
        </w:rPr>
        <w:t>7.2 评标结果异议</w:t>
      </w:r>
      <w:bookmarkEnd w:id="170"/>
      <w:r>
        <w:rPr>
          <w:rFonts w:ascii="Times New Roman" w:hAnsi="Times New Roman" w:eastAsia="楷体_GB2312"/>
          <w:color w:val="000000"/>
          <w:szCs w:val="32"/>
        </w:rPr>
        <w:t xml:space="preserve"> </w:t>
      </w:r>
    </w:p>
    <w:p>
      <w:pPr>
        <w:spacing w:line="490" w:lineRule="exact"/>
        <w:ind w:firstLine="560" w:firstLineChars="200"/>
        <w:rPr>
          <w:rFonts w:eastAsia="仿宋_GB2312"/>
          <w:color w:val="000000"/>
          <w:sz w:val="28"/>
          <w:szCs w:val="32"/>
        </w:rPr>
      </w:pPr>
      <w:r>
        <w:rPr>
          <w:rFonts w:eastAsia="仿宋_GB2312"/>
          <w:color w:val="000000"/>
          <w:sz w:val="28"/>
          <w:szCs w:val="32"/>
        </w:rPr>
        <w:t xml:space="preserve">投标人或者其他利害关系人对评标结果有异议的，应当在中标候选人公示期间提出。招标人将在投标人须知前附表规定的时间内作出答复；作出答复前，将暂停招标投标活动。 </w:t>
      </w:r>
    </w:p>
    <w:p>
      <w:pPr>
        <w:pStyle w:val="7"/>
        <w:keepNext w:val="0"/>
        <w:keepLines w:val="0"/>
        <w:spacing w:before="0" w:after="0" w:line="490" w:lineRule="exact"/>
        <w:ind w:firstLine="562" w:firstLineChars="200"/>
        <w:rPr>
          <w:rFonts w:ascii="Times New Roman" w:hAnsi="Times New Roman" w:eastAsia="楷体_GB2312"/>
          <w:color w:val="000000"/>
          <w:szCs w:val="32"/>
        </w:rPr>
      </w:pPr>
      <w:bookmarkStart w:id="171" w:name="_Toc17730"/>
      <w:r>
        <w:rPr>
          <w:rFonts w:ascii="Times New Roman" w:hAnsi="Times New Roman" w:eastAsia="楷体_GB2312"/>
          <w:color w:val="000000"/>
          <w:szCs w:val="32"/>
        </w:rPr>
        <w:t>7.3 中标候选人履约能力审查</w:t>
      </w:r>
      <w:bookmarkEnd w:id="171"/>
      <w:r>
        <w:rPr>
          <w:rFonts w:ascii="Times New Roman" w:hAnsi="Times New Roman" w:eastAsia="楷体_GB2312"/>
          <w:color w:val="000000"/>
          <w:szCs w:val="32"/>
        </w:rPr>
        <w:t xml:space="preserve"> </w:t>
      </w:r>
    </w:p>
    <w:p>
      <w:pPr>
        <w:spacing w:line="490" w:lineRule="exact"/>
        <w:ind w:firstLine="560" w:firstLineChars="200"/>
        <w:rPr>
          <w:rFonts w:eastAsia="楷体_GB2312"/>
          <w:color w:val="000000"/>
          <w:szCs w:val="32"/>
        </w:rPr>
      </w:pPr>
      <w:r>
        <w:rPr>
          <w:rFonts w:eastAsia="仿宋_GB2312"/>
          <w:color w:val="000000"/>
          <w:sz w:val="28"/>
          <w:szCs w:val="32"/>
        </w:rPr>
        <w:t>招标人在收到评标报告之日至中标通知书发出之日期间，中标候选人的经营、财务状况发生较大变化或存在违法行为，招标人认为可能影响其履约能力的，招标人将提请原评标委员会按照招标文件规定的标准和方法进行审查确认。</w:t>
      </w:r>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7.4 定标方式</w:t>
      </w:r>
      <w:bookmarkEnd w:id="168"/>
      <w:bookmarkEnd w:id="169"/>
    </w:p>
    <w:p>
      <w:pPr>
        <w:spacing w:line="490" w:lineRule="exact"/>
        <w:ind w:firstLine="560" w:firstLineChars="200"/>
        <w:rPr>
          <w:rFonts w:eastAsia="仿宋_GB2312"/>
          <w:color w:val="000000"/>
          <w:sz w:val="28"/>
          <w:szCs w:val="32"/>
        </w:rPr>
      </w:pPr>
      <w:r>
        <w:rPr>
          <w:rFonts w:eastAsia="仿宋_GB2312"/>
          <w:color w:val="000000"/>
          <w:sz w:val="28"/>
          <w:szCs w:val="32"/>
        </w:rPr>
        <w:t>评标委员会推荐中标候选人的人数见投标人须知前附表，并标明推荐顺序。招标人依据评标委员会推荐的中标候选人确定中标人。</w:t>
      </w:r>
    </w:p>
    <w:p>
      <w:pPr>
        <w:pStyle w:val="7"/>
        <w:keepNext w:val="0"/>
        <w:keepLines w:val="0"/>
        <w:spacing w:before="0" w:after="0" w:line="490" w:lineRule="exact"/>
        <w:ind w:firstLine="562" w:firstLineChars="200"/>
        <w:rPr>
          <w:rFonts w:ascii="Times New Roman" w:hAnsi="Times New Roman" w:eastAsia="楷体_GB2312"/>
          <w:color w:val="000000"/>
          <w:szCs w:val="32"/>
        </w:rPr>
      </w:pPr>
      <w:bookmarkStart w:id="172" w:name="_Toc189386060"/>
      <w:r>
        <w:rPr>
          <w:rFonts w:ascii="Times New Roman" w:hAnsi="Times New Roman" w:eastAsia="楷体_GB2312"/>
          <w:color w:val="000000"/>
          <w:szCs w:val="32"/>
        </w:rPr>
        <w:t>7.5 中标通知</w:t>
      </w:r>
      <w:bookmarkEnd w:id="172"/>
    </w:p>
    <w:p>
      <w:pPr>
        <w:spacing w:line="490" w:lineRule="exact"/>
        <w:ind w:firstLine="560" w:firstLineChars="200"/>
        <w:rPr>
          <w:rFonts w:eastAsia="仿宋_GB2312"/>
          <w:color w:val="000000"/>
          <w:sz w:val="28"/>
          <w:szCs w:val="32"/>
        </w:rPr>
      </w:pPr>
      <w:r>
        <w:rPr>
          <w:rFonts w:eastAsia="仿宋_GB2312"/>
          <w:color w:val="000000"/>
          <w:sz w:val="28"/>
          <w:szCs w:val="32"/>
        </w:rPr>
        <w:t>在本章第3.3款规定的投标有效期内，招标人以书面形式向中标人发出中标通知书，同时将中标结果在投标人须知前附表规定的媒介进行公告。</w:t>
      </w:r>
    </w:p>
    <w:p>
      <w:pPr>
        <w:pStyle w:val="7"/>
        <w:keepNext w:val="0"/>
        <w:keepLines w:val="0"/>
        <w:spacing w:before="0" w:after="0" w:line="490" w:lineRule="exact"/>
        <w:ind w:firstLine="562" w:firstLineChars="200"/>
        <w:rPr>
          <w:rFonts w:ascii="Times New Roman" w:hAnsi="Times New Roman" w:eastAsia="楷体_GB2312"/>
          <w:color w:val="000000"/>
          <w:szCs w:val="32"/>
        </w:rPr>
      </w:pPr>
      <w:bookmarkStart w:id="173" w:name="_Toc189386061"/>
      <w:r>
        <w:rPr>
          <w:rFonts w:ascii="Times New Roman" w:hAnsi="Times New Roman" w:eastAsia="楷体_GB2312"/>
          <w:color w:val="000000"/>
          <w:szCs w:val="32"/>
        </w:rPr>
        <w:t>7.6 履约担保</w:t>
      </w:r>
      <w:bookmarkEnd w:id="173"/>
      <w:r>
        <w:rPr>
          <w:rFonts w:ascii="Times New Roman" w:hAnsi="Times New Roman" w:eastAsia="楷体_GB2312"/>
          <w:color w:val="000000"/>
          <w:szCs w:val="32"/>
        </w:rPr>
        <w:t>（需要提交的）</w:t>
      </w:r>
    </w:p>
    <w:p>
      <w:pPr>
        <w:spacing w:line="490" w:lineRule="exact"/>
        <w:ind w:firstLine="560" w:firstLineChars="200"/>
        <w:rPr>
          <w:rFonts w:eastAsia="仿宋_GB2312"/>
          <w:color w:val="000000"/>
          <w:sz w:val="28"/>
          <w:szCs w:val="32"/>
        </w:rPr>
      </w:pPr>
      <w:r>
        <w:rPr>
          <w:rFonts w:eastAsia="仿宋_GB2312"/>
          <w:color w:val="000000"/>
          <w:sz w:val="28"/>
          <w:szCs w:val="32"/>
        </w:rPr>
        <w:t>7.6.1  在签订合同前，中标人应按投标人须知前附表规定的金额、担保形式和招标文件第四章“合同条款及格式”规定的履约担保格式向招标人提交履约担保。联合体中标的，其履约担保由牵头人递交，并应符合投标人须知前附表规定的金额、担保形式和招标文件第四章“合同条款及格式”规定的履约担保格式要求。</w:t>
      </w:r>
    </w:p>
    <w:p>
      <w:pPr>
        <w:spacing w:line="490" w:lineRule="exact"/>
        <w:ind w:firstLine="560" w:firstLineChars="200"/>
        <w:rPr>
          <w:rFonts w:eastAsia="仿宋_GB2312"/>
          <w:color w:val="000000"/>
          <w:sz w:val="28"/>
          <w:szCs w:val="32"/>
        </w:rPr>
      </w:pPr>
      <w:r>
        <w:rPr>
          <w:rFonts w:eastAsia="仿宋_GB2312"/>
          <w:color w:val="000000"/>
          <w:sz w:val="28"/>
          <w:szCs w:val="32"/>
        </w:rPr>
        <w:t>7.6.2  中标人不能按本章第7.6.1项要求提交履约担保的，视为放弃中标，其</w:t>
      </w:r>
      <w:r>
        <w:rPr>
          <w:rFonts w:hint="eastAsia" w:eastAsia="仿宋_GB2312"/>
          <w:color w:val="000000"/>
          <w:sz w:val="28"/>
          <w:szCs w:val="32"/>
        </w:rPr>
        <w:t>投标担保</w:t>
      </w:r>
      <w:r>
        <w:rPr>
          <w:rFonts w:eastAsia="仿宋_GB2312"/>
          <w:color w:val="000000"/>
          <w:sz w:val="28"/>
          <w:szCs w:val="32"/>
        </w:rPr>
        <w:t>不予退还，给招标人造成损失</w:t>
      </w:r>
      <w:r>
        <w:rPr>
          <w:rFonts w:hint="eastAsia" w:eastAsia="仿宋_GB2312"/>
          <w:color w:val="000000"/>
          <w:sz w:val="28"/>
          <w:szCs w:val="32"/>
        </w:rPr>
        <w:t>的，依法追究相应责任。</w:t>
      </w:r>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7.6 履约担保（不需要提交的）</w:t>
      </w:r>
    </w:p>
    <w:p>
      <w:pPr>
        <w:spacing w:line="490" w:lineRule="exact"/>
        <w:ind w:firstLine="560" w:firstLineChars="200"/>
        <w:rPr>
          <w:rFonts w:eastAsia="仿宋_GB2312"/>
          <w:color w:val="000000"/>
          <w:sz w:val="28"/>
          <w:szCs w:val="32"/>
        </w:rPr>
      </w:pPr>
      <w:r>
        <w:rPr>
          <w:rFonts w:eastAsia="仿宋_GB2312"/>
          <w:color w:val="000000"/>
          <w:sz w:val="28"/>
          <w:szCs w:val="32"/>
        </w:rPr>
        <w:t>本项目不需要提交履约担保。</w:t>
      </w:r>
    </w:p>
    <w:p>
      <w:pPr>
        <w:pStyle w:val="7"/>
        <w:keepNext w:val="0"/>
        <w:keepLines w:val="0"/>
        <w:spacing w:before="0" w:after="0" w:line="490" w:lineRule="exact"/>
        <w:ind w:firstLine="562" w:firstLineChars="200"/>
        <w:rPr>
          <w:rFonts w:ascii="Times New Roman" w:hAnsi="Times New Roman" w:eastAsia="楷体_GB2312"/>
          <w:color w:val="000000"/>
          <w:szCs w:val="32"/>
        </w:rPr>
      </w:pPr>
      <w:bookmarkStart w:id="174" w:name="_Toc269742725"/>
      <w:bookmarkStart w:id="175" w:name="_Toc259698625"/>
      <w:r>
        <w:rPr>
          <w:rFonts w:ascii="Times New Roman" w:hAnsi="Times New Roman" w:eastAsia="楷体_GB2312"/>
          <w:color w:val="000000"/>
          <w:szCs w:val="32"/>
        </w:rPr>
        <w:t>7.7 签订合同</w:t>
      </w:r>
      <w:bookmarkEnd w:id="174"/>
      <w:bookmarkEnd w:id="175"/>
    </w:p>
    <w:p>
      <w:pPr>
        <w:spacing w:line="490" w:lineRule="exact"/>
        <w:ind w:firstLine="560" w:firstLineChars="200"/>
        <w:rPr>
          <w:rFonts w:eastAsia="仿宋_GB2312"/>
          <w:color w:val="000000"/>
          <w:sz w:val="28"/>
          <w:szCs w:val="32"/>
        </w:rPr>
      </w:pPr>
      <w:r>
        <w:rPr>
          <w:rFonts w:eastAsia="仿宋_GB2312"/>
          <w:color w:val="000000"/>
          <w:sz w:val="28"/>
          <w:szCs w:val="32"/>
        </w:rPr>
        <w:t>7.7.1  招标人和中标人应当在投标人须知前附表规定时间内，根据招标文件和中标人的投标文件订立书面合同。中标人无正当理由拒签合同的，招标人取消其中标资格，其</w:t>
      </w:r>
      <w:r>
        <w:rPr>
          <w:rFonts w:hint="eastAsia" w:eastAsia="仿宋_GB2312"/>
          <w:color w:val="000000"/>
          <w:sz w:val="28"/>
          <w:szCs w:val="32"/>
        </w:rPr>
        <w:t>投标担保</w:t>
      </w:r>
      <w:r>
        <w:rPr>
          <w:rFonts w:eastAsia="仿宋_GB2312"/>
          <w:color w:val="000000"/>
          <w:sz w:val="28"/>
          <w:szCs w:val="32"/>
        </w:rPr>
        <w:t>不予退还；给招标人造成的损失超过</w:t>
      </w:r>
      <w:r>
        <w:rPr>
          <w:rFonts w:hint="eastAsia" w:eastAsia="仿宋_GB2312"/>
          <w:color w:val="000000"/>
          <w:sz w:val="28"/>
          <w:szCs w:val="32"/>
        </w:rPr>
        <w:t>投标担保</w:t>
      </w:r>
      <w:r>
        <w:rPr>
          <w:rFonts w:eastAsia="仿宋_GB2312"/>
          <w:color w:val="000000"/>
          <w:sz w:val="28"/>
          <w:szCs w:val="32"/>
        </w:rPr>
        <w:t>数额的，中标人还应当对超过部分予以赔偿。</w:t>
      </w:r>
    </w:p>
    <w:p>
      <w:pPr>
        <w:spacing w:line="490" w:lineRule="exact"/>
        <w:rPr>
          <w:rFonts w:eastAsia="仿宋_GB2312"/>
          <w:color w:val="000000"/>
          <w:sz w:val="28"/>
          <w:szCs w:val="32"/>
        </w:rPr>
      </w:pPr>
      <w:r>
        <w:rPr>
          <w:rFonts w:eastAsia="仿宋_GB2312"/>
          <w:color w:val="000000"/>
          <w:sz w:val="28"/>
          <w:szCs w:val="32"/>
        </w:rPr>
        <w:t>7.7.2  发出中标通知书后</w:t>
      </w:r>
      <w:r>
        <w:rPr>
          <w:rFonts w:hint="eastAsia" w:eastAsia="仿宋_GB2312"/>
          <w:color w:val="000000"/>
          <w:sz w:val="28"/>
          <w:szCs w:val="32"/>
        </w:rPr>
        <w:t>，</w:t>
      </w:r>
      <w:r>
        <w:rPr>
          <w:rFonts w:eastAsia="仿宋_GB2312"/>
          <w:color w:val="000000"/>
          <w:sz w:val="28"/>
          <w:szCs w:val="32"/>
        </w:rPr>
        <w:t>招标人无正当理由拒签合同的，招标人向中标人返还</w:t>
      </w:r>
      <w:r>
        <w:rPr>
          <w:rFonts w:hint="eastAsia" w:eastAsia="仿宋_GB2312"/>
          <w:color w:val="000000"/>
          <w:sz w:val="28"/>
          <w:szCs w:val="32"/>
        </w:rPr>
        <w:t>投标担保；</w:t>
      </w:r>
      <w:r>
        <w:rPr>
          <w:rFonts w:eastAsia="仿宋_GB2312"/>
          <w:color w:val="000000"/>
          <w:sz w:val="28"/>
          <w:szCs w:val="32"/>
        </w:rPr>
        <w:t>给中标人造成损失</w:t>
      </w:r>
      <w:r>
        <w:rPr>
          <w:rFonts w:hint="eastAsia" w:eastAsia="仿宋_GB2312"/>
          <w:color w:val="000000"/>
          <w:sz w:val="28"/>
          <w:szCs w:val="32"/>
        </w:rPr>
        <w:t>的依法追究相应责任</w:t>
      </w:r>
      <w:r>
        <w:rPr>
          <w:rFonts w:eastAsia="仿宋_GB2312"/>
          <w:color w:val="000000"/>
          <w:sz w:val="28"/>
          <w:szCs w:val="32"/>
        </w:rPr>
        <w:t>。</w:t>
      </w:r>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7.8农民工工资保证金</w:t>
      </w:r>
    </w:p>
    <w:p>
      <w:pPr>
        <w:spacing w:line="490" w:lineRule="exact"/>
        <w:ind w:firstLine="560" w:firstLineChars="200"/>
        <w:rPr>
          <w:rFonts w:eastAsia="仿宋_GB2312"/>
          <w:color w:val="000000"/>
          <w:sz w:val="28"/>
          <w:szCs w:val="32"/>
        </w:rPr>
      </w:pPr>
      <w:r>
        <w:rPr>
          <w:rFonts w:eastAsia="仿宋_GB2312"/>
          <w:color w:val="000000"/>
          <w:sz w:val="28"/>
          <w:szCs w:val="32"/>
        </w:rPr>
        <w:t>中标人应在开工前5个工作日内，按照</w:t>
      </w:r>
      <w:r>
        <w:rPr>
          <w:rFonts w:eastAsia="仿宋_GB2312"/>
          <w:color w:val="000000"/>
          <w:sz w:val="28"/>
          <w:szCs w:val="32"/>
          <w:u w:val="single"/>
        </w:rPr>
        <w:t>《湖南省工程建设领域农民工工资保证金管理办法》（湘人社发〔2019〕53号）</w:t>
      </w:r>
      <w:r>
        <w:rPr>
          <w:rFonts w:eastAsia="仿宋_GB2312"/>
          <w:color w:val="000000"/>
          <w:sz w:val="28"/>
          <w:szCs w:val="32"/>
        </w:rPr>
        <w:t>交存农民工工资保证金。</w:t>
      </w:r>
    </w:p>
    <w:p>
      <w:pPr>
        <w:pStyle w:val="7"/>
        <w:keepNext w:val="0"/>
        <w:keepLines w:val="0"/>
        <w:spacing w:before="0" w:after="0" w:line="490" w:lineRule="exact"/>
        <w:ind w:firstLine="562" w:firstLineChars="200"/>
        <w:rPr>
          <w:rFonts w:ascii="Times New Roman" w:hAnsi="Times New Roman" w:eastAsia="仿宋_GB2312"/>
          <w:color w:val="000000"/>
          <w:szCs w:val="32"/>
        </w:rPr>
      </w:pPr>
      <w:r>
        <w:rPr>
          <w:rFonts w:ascii="Times New Roman" w:hAnsi="Times New Roman" w:eastAsia="楷体_GB2312"/>
          <w:color w:val="000000"/>
          <w:szCs w:val="32"/>
        </w:rPr>
        <w:t>7.9 工程款支付担保</w:t>
      </w:r>
    </w:p>
    <w:p>
      <w:pPr>
        <w:spacing w:line="490" w:lineRule="exact"/>
        <w:ind w:firstLine="560" w:firstLineChars="200"/>
        <w:rPr>
          <w:rFonts w:eastAsia="仿宋_GB2312"/>
          <w:color w:val="000000"/>
          <w:sz w:val="28"/>
          <w:szCs w:val="32"/>
        </w:rPr>
      </w:pPr>
      <w:r>
        <w:rPr>
          <w:rFonts w:eastAsia="仿宋_GB2312"/>
          <w:color w:val="000000"/>
          <w:sz w:val="28"/>
          <w:szCs w:val="32"/>
        </w:rPr>
        <w:t>在签订合同前，招标人应按投标人须知前附表规定的金额、担保形式向中标人提供工程款支付担保。工程款支付担保办理、管理等，严格按现行相关文件规定执行。</w:t>
      </w:r>
    </w:p>
    <w:p>
      <w:pPr>
        <w:pStyle w:val="6"/>
        <w:keepNext w:val="0"/>
        <w:keepLines w:val="0"/>
        <w:spacing w:before="0" w:after="0" w:line="490" w:lineRule="exact"/>
        <w:ind w:firstLine="562" w:firstLineChars="200"/>
        <w:rPr>
          <w:rFonts w:ascii="Times New Roman" w:hAnsi="Times New Roman" w:eastAsia="黑体"/>
          <w:bCs w:val="0"/>
          <w:color w:val="000000"/>
          <w:sz w:val="28"/>
        </w:rPr>
      </w:pPr>
      <w:bookmarkStart w:id="176" w:name="_Toc269742726"/>
      <w:bookmarkStart w:id="177" w:name="_Toc51091851"/>
      <w:bookmarkStart w:id="178" w:name="_Toc25666"/>
      <w:bookmarkStart w:id="179" w:name="_Toc19130"/>
      <w:bookmarkStart w:id="180" w:name="_Toc259698626"/>
      <w:r>
        <w:rPr>
          <w:rFonts w:ascii="Times New Roman" w:hAnsi="Times New Roman" w:eastAsia="黑体"/>
          <w:bCs w:val="0"/>
          <w:color w:val="000000"/>
          <w:sz w:val="28"/>
        </w:rPr>
        <w:t>8．重新招标和不再招标</w:t>
      </w:r>
      <w:bookmarkEnd w:id="176"/>
      <w:bookmarkEnd w:id="177"/>
      <w:bookmarkEnd w:id="178"/>
      <w:bookmarkEnd w:id="179"/>
      <w:bookmarkEnd w:id="180"/>
    </w:p>
    <w:p>
      <w:pPr>
        <w:pStyle w:val="7"/>
        <w:keepNext w:val="0"/>
        <w:keepLines w:val="0"/>
        <w:spacing w:before="0" w:after="0" w:line="490" w:lineRule="exact"/>
        <w:ind w:firstLine="562" w:firstLineChars="200"/>
        <w:rPr>
          <w:rFonts w:ascii="Times New Roman" w:hAnsi="Times New Roman" w:eastAsia="楷体_GB2312"/>
          <w:color w:val="000000"/>
          <w:szCs w:val="32"/>
        </w:rPr>
      </w:pPr>
      <w:bookmarkStart w:id="181" w:name="_Toc269742727"/>
      <w:bookmarkStart w:id="182" w:name="_Toc259698627"/>
      <w:r>
        <w:rPr>
          <w:rFonts w:ascii="Times New Roman" w:hAnsi="Times New Roman" w:eastAsia="楷体_GB2312"/>
          <w:color w:val="000000"/>
          <w:szCs w:val="32"/>
        </w:rPr>
        <w:t>8.1 重新招标</w:t>
      </w:r>
      <w:bookmarkEnd w:id="181"/>
      <w:bookmarkEnd w:id="182"/>
    </w:p>
    <w:p>
      <w:pPr>
        <w:spacing w:line="490" w:lineRule="exact"/>
        <w:ind w:firstLine="560" w:firstLineChars="200"/>
        <w:rPr>
          <w:rFonts w:eastAsia="仿宋_GB2312"/>
          <w:color w:val="000000"/>
          <w:sz w:val="28"/>
          <w:szCs w:val="32"/>
        </w:rPr>
      </w:pPr>
      <w:r>
        <w:rPr>
          <w:rFonts w:eastAsia="仿宋_GB2312"/>
          <w:color w:val="000000"/>
          <w:sz w:val="28"/>
          <w:szCs w:val="32"/>
        </w:rPr>
        <w:t>有下列情形之一的，</w:t>
      </w:r>
      <w:r>
        <w:rPr>
          <w:rFonts w:eastAsia="仿宋_GB2312"/>
          <w:color w:val="000000"/>
          <w:kern w:val="0"/>
          <w:sz w:val="28"/>
          <w:szCs w:val="32"/>
        </w:rPr>
        <w:t>招标</w:t>
      </w:r>
      <w:r>
        <w:rPr>
          <w:rFonts w:eastAsia="仿宋_GB2312"/>
          <w:color w:val="000000"/>
          <w:sz w:val="28"/>
          <w:szCs w:val="32"/>
        </w:rPr>
        <w:t>人将重新招标：</w:t>
      </w:r>
    </w:p>
    <w:p>
      <w:pPr>
        <w:spacing w:line="490" w:lineRule="exact"/>
        <w:ind w:firstLine="560" w:firstLineChars="200"/>
        <w:rPr>
          <w:rFonts w:eastAsia="仿宋_GB2312"/>
          <w:color w:val="000000"/>
          <w:sz w:val="28"/>
          <w:szCs w:val="32"/>
        </w:rPr>
      </w:pPr>
      <w:r>
        <w:rPr>
          <w:rFonts w:eastAsia="仿宋_GB2312"/>
          <w:color w:val="000000"/>
          <w:sz w:val="28"/>
          <w:szCs w:val="32"/>
        </w:rPr>
        <w:t>（1）投标截止时间止，投标人少于3个的；</w:t>
      </w:r>
    </w:p>
    <w:p>
      <w:pPr>
        <w:spacing w:line="490" w:lineRule="exact"/>
        <w:ind w:firstLine="560" w:firstLineChars="200"/>
        <w:rPr>
          <w:rFonts w:eastAsia="仿宋_GB2312"/>
          <w:color w:val="000000"/>
          <w:sz w:val="28"/>
          <w:szCs w:val="32"/>
        </w:rPr>
      </w:pPr>
      <w:r>
        <w:rPr>
          <w:rFonts w:eastAsia="仿宋_GB2312"/>
          <w:color w:val="000000"/>
          <w:sz w:val="28"/>
          <w:szCs w:val="32"/>
        </w:rPr>
        <w:t>（2）经评标委员会评审后否决所有投标的；</w:t>
      </w:r>
    </w:p>
    <w:p>
      <w:pPr>
        <w:spacing w:line="490" w:lineRule="exact"/>
        <w:ind w:firstLine="560" w:firstLineChars="200"/>
        <w:rPr>
          <w:rFonts w:eastAsia="仿宋_GB2312"/>
          <w:color w:val="000000"/>
          <w:sz w:val="28"/>
          <w:szCs w:val="32"/>
        </w:rPr>
      </w:pPr>
      <w:r>
        <w:rPr>
          <w:rFonts w:eastAsia="仿宋_GB2312"/>
          <w:color w:val="000000"/>
          <w:sz w:val="28"/>
          <w:szCs w:val="32"/>
        </w:rPr>
        <w:t>（3）评标委员会否决不合格投标或者界定为投标无效后因有效投标不足3个使得投标明显缺乏竞争，评标</w:t>
      </w:r>
      <w:r>
        <w:rPr>
          <w:rFonts w:eastAsia="仿宋_GB2312"/>
          <w:color w:val="000000"/>
          <w:kern w:val="0"/>
          <w:sz w:val="28"/>
          <w:szCs w:val="32"/>
        </w:rPr>
        <w:t>委员会</w:t>
      </w:r>
      <w:r>
        <w:rPr>
          <w:rFonts w:eastAsia="仿宋_GB2312"/>
          <w:color w:val="000000"/>
          <w:sz w:val="28"/>
          <w:szCs w:val="32"/>
        </w:rPr>
        <w:t>决定否决全部投标的；</w:t>
      </w:r>
    </w:p>
    <w:p>
      <w:pPr>
        <w:pStyle w:val="20"/>
        <w:spacing w:line="490" w:lineRule="exact"/>
        <w:ind w:left="0" w:leftChars="0" w:firstLine="560" w:firstLineChars="200"/>
        <w:rPr>
          <w:rFonts w:eastAsia="仿宋_GB2312"/>
          <w:color w:val="000000"/>
          <w:sz w:val="28"/>
          <w:szCs w:val="32"/>
        </w:rPr>
      </w:pPr>
      <w:r>
        <w:rPr>
          <w:rFonts w:eastAsia="仿宋_GB2312"/>
          <w:color w:val="000000"/>
          <w:sz w:val="28"/>
          <w:szCs w:val="32"/>
        </w:rPr>
        <w:t>（4）同意延长投标有效期的投标人少于3个的；</w:t>
      </w:r>
    </w:p>
    <w:p>
      <w:pPr>
        <w:spacing w:line="490" w:lineRule="exact"/>
        <w:ind w:firstLine="560" w:firstLineChars="200"/>
        <w:rPr>
          <w:rFonts w:eastAsia="仿宋_GB2312"/>
          <w:color w:val="000000"/>
          <w:sz w:val="28"/>
          <w:szCs w:val="32"/>
        </w:rPr>
      </w:pPr>
      <w:r>
        <w:rPr>
          <w:rFonts w:eastAsia="仿宋_GB2312"/>
          <w:color w:val="000000"/>
          <w:sz w:val="28"/>
          <w:szCs w:val="32"/>
        </w:rPr>
        <w:t>（5）中标候选</w:t>
      </w:r>
      <w:r>
        <w:rPr>
          <w:rFonts w:eastAsia="仿宋_GB2312"/>
          <w:color w:val="000000"/>
          <w:kern w:val="0"/>
          <w:sz w:val="28"/>
          <w:szCs w:val="32"/>
        </w:rPr>
        <w:t>人均</w:t>
      </w:r>
      <w:r>
        <w:rPr>
          <w:rFonts w:eastAsia="仿宋_GB2312"/>
          <w:color w:val="000000"/>
          <w:sz w:val="28"/>
          <w:szCs w:val="32"/>
        </w:rPr>
        <w:t>未与招标人签订合同的。</w:t>
      </w:r>
    </w:p>
    <w:p>
      <w:pPr>
        <w:pStyle w:val="7"/>
        <w:keepNext w:val="0"/>
        <w:keepLines w:val="0"/>
        <w:spacing w:before="0" w:after="0" w:line="490" w:lineRule="exact"/>
        <w:ind w:firstLine="562" w:firstLineChars="200"/>
        <w:rPr>
          <w:rFonts w:ascii="Times New Roman" w:hAnsi="Times New Roman" w:eastAsia="楷体_GB2312"/>
          <w:color w:val="000000"/>
          <w:szCs w:val="32"/>
        </w:rPr>
      </w:pPr>
      <w:bookmarkStart w:id="183" w:name="_Toc269742728"/>
      <w:bookmarkStart w:id="184" w:name="_Toc259698628"/>
      <w:r>
        <w:rPr>
          <w:rFonts w:ascii="Times New Roman" w:hAnsi="Times New Roman" w:eastAsia="楷体_GB2312"/>
          <w:color w:val="000000"/>
          <w:szCs w:val="32"/>
        </w:rPr>
        <w:t>8.2 不再招标</w:t>
      </w:r>
      <w:bookmarkEnd w:id="183"/>
      <w:bookmarkEnd w:id="184"/>
    </w:p>
    <w:p>
      <w:pPr>
        <w:spacing w:line="490" w:lineRule="exact"/>
        <w:ind w:firstLine="560" w:firstLineChars="200"/>
        <w:rPr>
          <w:rFonts w:eastAsia="仿宋_GB2312"/>
          <w:color w:val="000000"/>
          <w:sz w:val="28"/>
          <w:szCs w:val="32"/>
        </w:rPr>
      </w:pPr>
      <w:r>
        <w:rPr>
          <w:rFonts w:eastAsia="仿宋_GB2312"/>
          <w:color w:val="000000"/>
          <w:sz w:val="28"/>
          <w:szCs w:val="32"/>
        </w:rPr>
        <w:t>重新招标后，仍出现本章第8.1条第（1）款规定情形的，属于必须审批、核准的工程建设项目，报经原审批、核准部门审批、核准后可以不再进行招标；其他工程建设项目，招标人将自行决定是否不再进行招标。</w:t>
      </w:r>
    </w:p>
    <w:p>
      <w:pPr>
        <w:pStyle w:val="6"/>
        <w:keepNext w:val="0"/>
        <w:keepLines w:val="0"/>
        <w:spacing w:before="0" w:after="0" w:line="490" w:lineRule="exact"/>
        <w:ind w:firstLine="562" w:firstLineChars="200"/>
        <w:rPr>
          <w:rFonts w:ascii="Times New Roman" w:hAnsi="Times New Roman" w:eastAsia="黑体"/>
          <w:bCs w:val="0"/>
          <w:color w:val="000000"/>
          <w:sz w:val="28"/>
        </w:rPr>
      </w:pPr>
      <w:bookmarkStart w:id="185" w:name="_Toc21513"/>
      <w:bookmarkStart w:id="186" w:name="_Toc259698629"/>
      <w:bookmarkStart w:id="187" w:name="_Toc17283"/>
      <w:bookmarkStart w:id="188" w:name="_Toc269742729"/>
      <w:bookmarkStart w:id="189" w:name="_Toc51091852"/>
      <w:r>
        <w:rPr>
          <w:rFonts w:ascii="Times New Roman" w:hAnsi="Times New Roman" w:eastAsia="黑体"/>
          <w:bCs w:val="0"/>
          <w:color w:val="000000"/>
          <w:sz w:val="28"/>
        </w:rPr>
        <w:t>9．纪律和监督</w:t>
      </w:r>
      <w:bookmarkEnd w:id="185"/>
      <w:bookmarkEnd w:id="186"/>
      <w:bookmarkEnd w:id="187"/>
      <w:bookmarkEnd w:id="188"/>
      <w:bookmarkEnd w:id="189"/>
    </w:p>
    <w:p>
      <w:pPr>
        <w:pStyle w:val="7"/>
        <w:keepNext w:val="0"/>
        <w:keepLines w:val="0"/>
        <w:spacing w:before="0" w:after="0" w:line="490" w:lineRule="exact"/>
        <w:ind w:firstLine="562" w:firstLineChars="200"/>
        <w:rPr>
          <w:rFonts w:ascii="Times New Roman" w:hAnsi="Times New Roman" w:eastAsia="楷体_GB2312"/>
          <w:color w:val="000000"/>
          <w:szCs w:val="32"/>
        </w:rPr>
      </w:pPr>
      <w:bookmarkStart w:id="190" w:name="_Toc259698630"/>
      <w:bookmarkStart w:id="191" w:name="_Toc269742730"/>
      <w:r>
        <w:rPr>
          <w:rFonts w:ascii="Times New Roman" w:hAnsi="Times New Roman" w:eastAsia="楷体_GB2312"/>
          <w:color w:val="000000"/>
          <w:szCs w:val="32"/>
        </w:rPr>
        <w:t>9.1 对招标人的纪律要求</w:t>
      </w:r>
      <w:bookmarkEnd w:id="190"/>
      <w:bookmarkEnd w:id="191"/>
    </w:p>
    <w:p>
      <w:pPr>
        <w:spacing w:line="490" w:lineRule="exact"/>
        <w:ind w:firstLine="560" w:firstLineChars="200"/>
        <w:rPr>
          <w:rFonts w:eastAsia="仿宋_GB2312"/>
          <w:color w:val="000000"/>
          <w:sz w:val="28"/>
          <w:szCs w:val="32"/>
        </w:rPr>
      </w:pPr>
      <w:r>
        <w:rPr>
          <w:rFonts w:eastAsia="仿宋_GB2312"/>
          <w:color w:val="000000"/>
          <w:sz w:val="28"/>
          <w:szCs w:val="32"/>
        </w:rPr>
        <w:t>招标人不得泄漏招标</w:t>
      </w:r>
      <w:r>
        <w:rPr>
          <w:rFonts w:eastAsia="仿宋_GB2312"/>
          <w:color w:val="000000"/>
          <w:kern w:val="0"/>
          <w:sz w:val="28"/>
          <w:szCs w:val="32"/>
        </w:rPr>
        <w:t>投标</w:t>
      </w:r>
      <w:r>
        <w:rPr>
          <w:rFonts w:eastAsia="仿宋_GB2312"/>
          <w:color w:val="000000"/>
          <w:sz w:val="28"/>
          <w:szCs w:val="32"/>
        </w:rPr>
        <w:t>活动中应当保密的情况和资料，不得与投标人串通损害国家利益、社会公共利益或者他人合法权益。</w:t>
      </w:r>
    </w:p>
    <w:p>
      <w:pPr>
        <w:spacing w:line="490" w:lineRule="exact"/>
        <w:ind w:firstLine="560" w:firstLineChars="200"/>
        <w:rPr>
          <w:rFonts w:eastAsia="仿宋_GB2312"/>
          <w:color w:val="000000"/>
          <w:sz w:val="28"/>
          <w:szCs w:val="32"/>
        </w:rPr>
      </w:pPr>
      <w:r>
        <w:rPr>
          <w:rFonts w:eastAsia="仿宋_GB2312"/>
          <w:color w:val="000000"/>
          <w:sz w:val="28"/>
          <w:szCs w:val="32"/>
        </w:rPr>
        <w:t>下列行为均属招标人与</w:t>
      </w:r>
      <w:r>
        <w:rPr>
          <w:rFonts w:eastAsia="仿宋_GB2312"/>
          <w:color w:val="000000"/>
          <w:kern w:val="0"/>
          <w:sz w:val="28"/>
          <w:szCs w:val="32"/>
        </w:rPr>
        <w:t>投标人</w:t>
      </w:r>
      <w:r>
        <w:rPr>
          <w:rFonts w:eastAsia="仿宋_GB2312"/>
          <w:color w:val="000000"/>
          <w:sz w:val="28"/>
          <w:szCs w:val="32"/>
        </w:rPr>
        <w:t>串通投标：</w:t>
      </w:r>
    </w:p>
    <w:p>
      <w:pPr>
        <w:spacing w:line="490" w:lineRule="exact"/>
        <w:ind w:firstLine="560" w:firstLineChars="200"/>
        <w:rPr>
          <w:rFonts w:eastAsia="仿宋_GB2312"/>
          <w:color w:val="000000"/>
          <w:sz w:val="28"/>
          <w:szCs w:val="32"/>
        </w:rPr>
      </w:pPr>
      <w:r>
        <w:rPr>
          <w:rFonts w:eastAsia="仿宋_GB2312"/>
          <w:color w:val="000000"/>
          <w:sz w:val="28"/>
          <w:szCs w:val="32"/>
        </w:rPr>
        <w:t>（一）招标人在开标前开启投标文件并将有关信息泄露给其他投标人；</w:t>
      </w:r>
    </w:p>
    <w:p>
      <w:pPr>
        <w:spacing w:line="490" w:lineRule="exact"/>
        <w:ind w:firstLine="560" w:firstLineChars="200"/>
        <w:rPr>
          <w:rFonts w:eastAsia="仿宋_GB2312"/>
          <w:color w:val="000000"/>
          <w:sz w:val="28"/>
          <w:szCs w:val="32"/>
        </w:rPr>
      </w:pPr>
      <w:r>
        <w:rPr>
          <w:rFonts w:eastAsia="仿宋_GB2312"/>
          <w:color w:val="000000"/>
          <w:sz w:val="28"/>
          <w:szCs w:val="32"/>
        </w:rPr>
        <w:t>（二）招标人直接或者间接向投标人泄露标底、评标委员会成员等信息；</w:t>
      </w:r>
    </w:p>
    <w:p>
      <w:pPr>
        <w:spacing w:line="490" w:lineRule="exact"/>
        <w:ind w:firstLine="560" w:firstLineChars="200"/>
        <w:rPr>
          <w:rFonts w:eastAsia="仿宋_GB2312"/>
          <w:color w:val="000000"/>
          <w:sz w:val="28"/>
          <w:szCs w:val="32"/>
        </w:rPr>
      </w:pPr>
      <w:r>
        <w:rPr>
          <w:rFonts w:eastAsia="仿宋_GB2312"/>
          <w:color w:val="000000"/>
          <w:sz w:val="28"/>
          <w:szCs w:val="32"/>
        </w:rPr>
        <w:t>（三）招标人明示或者暗示投标人压低或者抬高投标报价；</w:t>
      </w:r>
    </w:p>
    <w:p>
      <w:pPr>
        <w:spacing w:line="490" w:lineRule="exact"/>
        <w:ind w:firstLine="560" w:firstLineChars="200"/>
        <w:rPr>
          <w:rFonts w:eastAsia="仿宋_GB2312"/>
          <w:color w:val="000000"/>
          <w:sz w:val="28"/>
          <w:szCs w:val="32"/>
        </w:rPr>
      </w:pPr>
      <w:r>
        <w:rPr>
          <w:rFonts w:eastAsia="仿宋_GB2312"/>
          <w:color w:val="000000"/>
          <w:sz w:val="28"/>
          <w:szCs w:val="32"/>
        </w:rPr>
        <w:t>（四）招标人授意投标人撤换、修改投标文件；</w:t>
      </w:r>
    </w:p>
    <w:p>
      <w:pPr>
        <w:spacing w:line="490" w:lineRule="exact"/>
        <w:ind w:firstLine="560" w:firstLineChars="200"/>
        <w:rPr>
          <w:rFonts w:eastAsia="仿宋_GB2312"/>
          <w:color w:val="000000"/>
          <w:sz w:val="28"/>
          <w:szCs w:val="32"/>
        </w:rPr>
      </w:pPr>
      <w:r>
        <w:rPr>
          <w:rFonts w:eastAsia="仿宋_GB2312"/>
          <w:color w:val="000000"/>
          <w:sz w:val="28"/>
          <w:szCs w:val="32"/>
        </w:rPr>
        <w:t>（五）招标人明示或者暗示投标人为特定投标人中标提供方便；</w:t>
      </w:r>
    </w:p>
    <w:p>
      <w:pPr>
        <w:spacing w:line="490" w:lineRule="exact"/>
        <w:ind w:firstLine="560" w:firstLineChars="200"/>
        <w:rPr>
          <w:rFonts w:eastAsia="仿宋_GB2312"/>
          <w:color w:val="000000"/>
          <w:sz w:val="28"/>
          <w:szCs w:val="32"/>
        </w:rPr>
      </w:pPr>
      <w:r>
        <w:rPr>
          <w:rFonts w:eastAsia="仿宋_GB2312"/>
          <w:color w:val="000000"/>
          <w:sz w:val="28"/>
          <w:szCs w:val="32"/>
        </w:rPr>
        <w:t>（六）招标人与投标人为谋求特定投标人中标而采取的其他串通行为。</w:t>
      </w:r>
    </w:p>
    <w:p>
      <w:pPr>
        <w:pStyle w:val="7"/>
        <w:keepNext w:val="0"/>
        <w:keepLines w:val="0"/>
        <w:spacing w:before="0" w:after="0" w:line="490" w:lineRule="exact"/>
        <w:ind w:firstLine="562" w:firstLineChars="200"/>
        <w:rPr>
          <w:rFonts w:ascii="Times New Roman" w:hAnsi="Times New Roman" w:eastAsia="楷体_GB2312"/>
          <w:color w:val="000000"/>
          <w:szCs w:val="32"/>
        </w:rPr>
      </w:pPr>
      <w:bookmarkStart w:id="192" w:name="_Toc259698631"/>
      <w:bookmarkStart w:id="193" w:name="_Toc269742731"/>
      <w:r>
        <w:rPr>
          <w:rFonts w:ascii="Times New Roman" w:hAnsi="Times New Roman" w:eastAsia="楷体_GB2312"/>
          <w:color w:val="000000"/>
          <w:szCs w:val="32"/>
        </w:rPr>
        <w:t>9.2 对投标人的纪律要求</w:t>
      </w:r>
      <w:bookmarkEnd w:id="192"/>
      <w:bookmarkEnd w:id="193"/>
    </w:p>
    <w:p>
      <w:pPr>
        <w:spacing w:line="490" w:lineRule="exact"/>
        <w:ind w:firstLine="560" w:firstLineChars="200"/>
        <w:rPr>
          <w:rFonts w:eastAsia="仿宋_GB2312"/>
          <w:color w:val="000000"/>
          <w:sz w:val="28"/>
          <w:szCs w:val="32"/>
        </w:rPr>
      </w:pPr>
      <w:r>
        <w:rPr>
          <w:rFonts w:eastAsia="仿宋_GB2312"/>
          <w:color w:val="000000"/>
          <w:sz w:val="28"/>
          <w:szCs w:val="32"/>
        </w:rPr>
        <w:t>投标人不得相互串通</w:t>
      </w:r>
      <w:r>
        <w:rPr>
          <w:rFonts w:eastAsia="仿宋_GB2312"/>
          <w:color w:val="000000"/>
          <w:kern w:val="0"/>
          <w:sz w:val="28"/>
          <w:szCs w:val="32"/>
        </w:rPr>
        <w:t>投标</w:t>
      </w:r>
      <w:r>
        <w:rPr>
          <w:rFonts w:eastAsia="仿宋_GB2312"/>
          <w:color w:val="000000"/>
          <w:sz w:val="28"/>
          <w:szCs w:val="32"/>
        </w:rPr>
        <w:t>或者与招标人串通投标，不得向招标人或者评标委员会成员行贿谋取中标，不得以他人名义投标或者以其它方式弄虚作假骗取中标；投标人不得以任何方式干扰、影响评标</w:t>
      </w:r>
      <w:r>
        <w:rPr>
          <w:rFonts w:eastAsia="仿宋_GB2312"/>
          <w:color w:val="000000"/>
          <w:kern w:val="0"/>
          <w:sz w:val="28"/>
          <w:szCs w:val="32"/>
        </w:rPr>
        <w:t>工作</w:t>
      </w:r>
      <w:r>
        <w:rPr>
          <w:rFonts w:eastAsia="仿宋_GB2312"/>
          <w:color w:val="000000"/>
          <w:sz w:val="28"/>
          <w:szCs w:val="32"/>
        </w:rPr>
        <w:t>。</w:t>
      </w:r>
    </w:p>
    <w:p>
      <w:pPr>
        <w:spacing w:line="490" w:lineRule="exact"/>
        <w:ind w:firstLine="560" w:firstLineChars="200"/>
        <w:rPr>
          <w:rFonts w:eastAsia="仿宋_GB2312"/>
          <w:color w:val="000000"/>
          <w:sz w:val="28"/>
          <w:szCs w:val="32"/>
        </w:rPr>
      </w:pPr>
      <w:r>
        <w:rPr>
          <w:rFonts w:eastAsia="仿宋_GB2312"/>
          <w:color w:val="000000"/>
          <w:sz w:val="28"/>
          <w:szCs w:val="32"/>
        </w:rPr>
        <w:t>9.2.1  下列行为均属以</w:t>
      </w:r>
      <w:r>
        <w:rPr>
          <w:rFonts w:eastAsia="仿宋_GB2312"/>
          <w:color w:val="000000"/>
          <w:kern w:val="0"/>
          <w:sz w:val="28"/>
          <w:szCs w:val="32"/>
        </w:rPr>
        <w:t>他人</w:t>
      </w:r>
      <w:r>
        <w:rPr>
          <w:rFonts w:eastAsia="仿宋_GB2312"/>
          <w:color w:val="000000"/>
          <w:sz w:val="28"/>
          <w:szCs w:val="32"/>
        </w:rPr>
        <w:t>名义投标：</w:t>
      </w:r>
    </w:p>
    <w:p>
      <w:pPr>
        <w:spacing w:line="490" w:lineRule="exact"/>
        <w:ind w:firstLine="560" w:firstLineChars="200"/>
        <w:rPr>
          <w:rFonts w:eastAsia="仿宋_GB2312"/>
          <w:color w:val="000000"/>
          <w:sz w:val="28"/>
          <w:szCs w:val="32"/>
        </w:rPr>
      </w:pPr>
      <w:r>
        <w:rPr>
          <w:rFonts w:eastAsia="仿宋_GB2312"/>
          <w:color w:val="000000"/>
          <w:sz w:val="28"/>
          <w:szCs w:val="32"/>
        </w:rPr>
        <w:t>（1）投标人</w:t>
      </w:r>
      <w:r>
        <w:rPr>
          <w:rFonts w:eastAsia="仿宋_GB2312"/>
          <w:color w:val="000000"/>
          <w:kern w:val="0"/>
          <w:sz w:val="28"/>
          <w:szCs w:val="32"/>
        </w:rPr>
        <w:t>挂靠</w:t>
      </w:r>
      <w:r>
        <w:rPr>
          <w:rFonts w:eastAsia="仿宋_GB2312"/>
          <w:color w:val="000000"/>
          <w:sz w:val="28"/>
          <w:szCs w:val="32"/>
        </w:rPr>
        <w:t>其它施工单位；</w:t>
      </w:r>
    </w:p>
    <w:p>
      <w:pPr>
        <w:spacing w:line="490" w:lineRule="exact"/>
        <w:ind w:firstLine="560" w:firstLineChars="200"/>
        <w:rPr>
          <w:rFonts w:eastAsia="仿宋_GB2312"/>
          <w:color w:val="000000"/>
          <w:sz w:val="28"/>
          <w:szCs w:val="32"/>
        </w:rPr>
      </w:pPr>
      <w:r>
        <w:rPr>
          <w:rFonts w:eastAsia="仿宋_GB2312"/>
          <w:color w:val="000000"/>
          <w:sz w:val="28"/>
          <w:szCs w:val="32"/>
        </w:rPr>
        <w:t>（2）投标人从其它施工单位通过转让或租借的方式获取资格或资质证书；</w:t>
      </w:r>
    </w:p>
    <w:p>
      <w:pPr>
        <w:spacing w:line="490" w:lineRule="exact"/>
        <w:ind w:firstLine="560" w:firstLineChars="200"/>
        <w:rPr>
          <w:rFonts w:eastAsia="仿宋_GB2312"/>
          <w:color w:val="000000"/>
          <w:sz w:val="28"/>
          <w:szCs w:val="32"/>
        </w:rPr>
      </w:pPr>
      <w:r>
        <w:rPr>
          <w:rFonts w:eastAsia="仿宋_GB2312"/>
          <w:color w:val="000000"/>
          <w:sz w:val="28"/>
          <w:szCs w:val="32"/>
        </w:rPr>
        <w:t>（3）由其它</w:t>
      </w:r>
      <w:r>
        <w:rPr>
          <w:rFonts w:eastAsia="仿宋_GB2312"/>
          <w:color w:val="000000"/>
          <w:kern w:val="0"/>
          <w:sz w:val="28"/>
          <w:szCs w:val="32"/>
        </w:rPr>
        <w:t>单位</w:t>
      </w:r>
      <w:r>
        <w:rPr>
          <w:rFonts w:eastAsia="仿宋_GB2312"/>
          <w:color w:val="000000"/>
          <w:sz w:val="28"/>
          <w:szCs w:val="32"/>
        </w:rPr>
        <w:t>及法定代表人在自己编制的投标文件上加盖印章或签字的行为。</w:t>
      </w:r>
    </w:p>
    <w:p>
      <w:pPr>
        <w:spacing w:line="490" w:lineRule="exact"/>
        <w:ind w:firstLine="560" w:firstLineChars="200"/>
        <w:rPr>
          <w:rFonts w:eastAsia="仿宋_GB2312"/>
          <w:color w:val="000000"/>
          <w:sz w:val="28"/>
          <w:szCs w:val="32"/>
        </w:rPr>
      </w:pPr>
      <w:r>
        <w:rPr>
          <w:rFonts w:eastAsia="仿宋_GB2312"/>
          <w:color w:val="000000"/>
          <w:sz w:val="28"/>
          <w:szCs w:val="32"/>
        </w:rPr>
        <w:t>9.2.2  下列行为，视为允许他人以本单位名义承揽工程：</w:t>
      </w:r>
    </w:p>
    <w:p>
      <w:pPr>
        <w:spacing w:line="490" w:lineRule="exact"/>
        <w:ind w:firstLine="560" w:firstLineChars="200"/>
        <w:rPr>
          <w:rFonts w:eastAsia="仿宋_GB2312"/>
          <w:color w:val="000000"/>
          <w:sz w:val="28"/>
          <w:szCs w:val="32"/>
        </w:rPr>
      </w:pPr>
      <w:r>
        <w:rPr>
          <w:rFonts w:eastAsia="仿宋_GB2312"/>
          <w:color w:val="000000"/>
          <w:sz w:val="28"/>
          <w:szCs w:val="32"/>
        </w:rPr>
        <w:t>（1）</w:t>
      </w:r>
      <w:r>
        <w:rPr>
          <w:rFonts w:eastAsia="仿宋_GB2312"/>
          <w:color w:val="000000"/>
          <w:kern w:val="0"/>
          <w:sz w:val="28"/>
          <w:szCs w:val="32"/>
        </w:rPr>
        <w:t>投标人</w:t>
      </w:r>
      <w:r>
        <w:rPr>
          <w:rFonts w:eastAsia="仿宋_GB2312"/>
          <w:color w:val="000000"/>
          <w:sz w:val="28"/>
          <w:szCs w:val="32"/>
        </w:rPr>
        <w:t>的法定代表人的委托代理人不是投标人本单位人员；</w:t>
      </w:r>
    </w:p>
    <w:p>
      <w:pPr>
        <w:spacing w:line="490" w:lineRule="exact"/>
        <w:ind w:firstLine="560" w:firstLineChars="200"/>
        <w:rPr>
          <w:rFonts w:eastAsia="仿宋_GB2312"/>
          <w:color w:val="000000"/>
          <w:sz w:val="28"/>
          <w:szCs w:val="32"/>
        </w:rPr>
      </w:pPr>
      <w:r>
        <w:rPr>
          <w:rFonts w:eastAsia="仿宋_GB2312"/>
          <w:color w:val="000000"/>
          <w:sz w:val="28"/>
          <w:szCs w:val="32"/>
        </w:rPr>
        <w:t>（2）投标人拟在施工现场所设项目管理机构的项目负责人、技术负责人、专职安全员、质量员、材料员、施工员、预算员或资料员、财务负责人、</w:t>
      </w:r>
      <w:r>
        <w:rPr>
          <w:rFonts w:hint="eastAsia" w:eastAsia="仿宋_GB2312"/>
          <w:color w:val="000000"/>
          <w:sz w:val="28"/>
          <w:szCs w:val="32"/>
        </w:rPr>
        <w:t>劳资专管员（单位出具任命书）</w:t>
      </w:r>
      <w:r>
        <w:rPr>
          <w:rFonts w:eastAsia="仿宋_GB2312"/>
          <w:color w:val="000000"/>
          <w:sz w:val="28"/>
          <w:szCs w:val="32"/>
        </w:rPr>
        <w:t>不是本单位人员。</w:t>
      </w:r>
    </w:p>
    <w:p>
      <w:pPr>
        <w:spacing w:line="490" w:lineRule="exact"/>
        <w:ind w:firstLine="562" w:firstLineChars="200"/>
        <w:rPr>
          <w:rFonts w:eastAsia="仿宋_GB2312"/>
          <w:color w:val="000000"/>
          <w:sz w:val="28"/>
          <w:szCs w:val="32"/>
        </w:rPr>
      </w:pPr>
      <w:r>
        <w:rPr>
          <w:rFonts w:eastAsia="仿宋_GB2312"/>
          <w:b/>
          <w:bCs/>
          <w:color w:val="000000"/>
          <w:sz w:val="28"/>
          <w:szCs w:val="32"/>
        </w:rPr>
        <w:t>投标人本单位</w:t>
      </w:r>
      <w:r>
        <w:rPr>
          <w:rFonts w:hint="eastAsia" w:eastAsia="仿宋_GB2312"/>
          <w:b/>
          <w:bCs/>
          <w:color w:val="000000"/>
          <w:sz w:val="28"/>
          <w:szCs w:val="32"/>
        </w:rPr>
        <w:t>在职员工，</w:t>
      </w:r>
      <w:r>
        <w:rPr>
          <w:rFonts w:eastAsia="仿宋_GB2312"/>
          <w:b/>
          <w:bCs/>
          <w:color w:val="000000"/>
          <w:sz w:val="28"/>
          <w:szCs w:val="32"/>
        </w:rPr>
        <w:t>应满足以下条件：</w:t>
      </w:r>
      <w:r>
        <w:rPr>
          <w:rFonts w:eastAsia="仿宋_GB2312"/>
          <w:color w:val="000000"/>
          <w:sz w:val="28"/>
          <w:szCs w:val="32"/>
        </w:rPr>
        <w:t>投标人单位为其办理社会保险关系，或具有其它有效证明其为本单位</w:t>
      </w:r>
      <w:r>
        <w:rPr>
          <w:rFonts w:hint="eastAsia" w:eastAsia="仿宋_GB2312"/>
          <w:color w:val="000000"/>
          <w:sz w:val="28"/>
          <w:szCs w:val="32"/>
        </w:rPr>
        <w:t>在职员工</w:t>
      </w:r>
      <w:r>
        <w:rPr>
          <w:rFonts w:eastAsia="仿宋_GB2312"/>
          <w:color w:val="000000"/>
          <w:sz w:val="28"/>
          <w:szCs w:val="32"/>
        </w:rPr>
        <w:t>身份的文件。</w:t>
      </w:r>
    </w:p>
    <w:p>
      <w:pPr>
        <w:spacing w:line="490" w:lineRule="exact"/>
        <w:ind w:firstLine="560" w:firstLineChars="200"/>
        <w:rPr>
          <w:rFonts w:eastAsia="仿宋_GB2312"/>
          <w:color w:val="000000"/>
          <w:sz w:val="28"/>
          <w:szCs w:val="32"/>
        </w:rPr>
      </w:pPr>
      <w:r>
        <w:rPr>
          <w:rFonts w:eastAsia="仿宋_GB2312"/>
          <w:color w:val="000000"/>
          <w:sz w:val="28"/>
          <w:szCs w:val="32"/>
        </w:rPr>
        <w:t>9.2.3  下列行为均属投标人串通投标报价：</w:t>
      </w:r>
    </w:p>
    <w:p>
      <w:pPr>
        <w:pStyle w:val="20"/>
        <w:spacing w:line="490" w:lineRule="exact"/>
        <w:ind w:left="0" w:leftChars="0" w:firstLine="560" w:firstLineChars="200"/>
        <w:rPr>
          <w:rFonts w:eastAsia="仿宋_GB2312"/>
          <w:color w:val="000000"/>
          <w:sz w:val="28"/>
          <w:szCs w:val="32"/>
        </w:rPr>
      </w:pPr>
      <w:r>
        <w:rPr>
          <w:rFonts w:eastAsia="仿宋_GB2312"/>
          <w:color w:val="000000"/>
          <w:sz w:val="28"/>
          <w:szCs w:val="32"/>
        </w:rPr>
        <w:t>（1）投标人之间相互约定抬高或压低投标报价；</w:t>
      </w:r>
    </w:p>
    <w:p>
      <w:pPr>
        <w:pStyle w:val="20"/>
        <w:spacing w:line="490" w:lineRule="exact"/>
        <w:ind w:left="0" w:leftChars="0" w:firstLine="560" w:firstLineChars="200"/>
        <w:rPr>
          <w:rFonts w:eastAsia="仿宋_GB2312"/>
          <w:color w:val="000000"/>
          <w:sz w:val="28"/>
          <w:szCs w:val="32"/>
        </w:rPr>
      </w:pPr>
      <w:r>
        <w:rPr>
          <w:rFonts w:eastAsia="仿宋_GB2312"/>
          <w:color w:val="000000"/>
          <w:sz w:val="28"/>
          <w:szCs w:val="32"/>
        </w:rPr>
        <w:t>（2）投标人之间相互约定，在招标项目中分别以高、中、低价位报价；</w:t>
      </w:r>
    </w:p>
    <w:p>
      <w:pPr>
        <w:pStyle w:val="20"/>
        <w:spacing w:line="490" w:lineRule="exact"/>
        <w:ind w:left="0" w:leftChars="0" w:firstLine="560" w:firstLineChars="200"/>
        <w:rPr>
          <w:rFonts w:eastAsia="仿宋_GB2312"/>
          <w:color w:val="000000"/>
          <w:sz w:val="28"/>
          <w:szCs w:val="32"/>
        </w:rPr>
      </w:pPr>
      <w:r>
        <w:rPr>
          <w:rFonts w:eastAsia="仿宋_GB2312"/>
          <w:color w:val="000000"/>
          <w:sz w:val="28"/>
          <w:szCs w:val="32"/>
        </w:rPr>
        <w:t>（3）投标人之间先进行内部竞价，内定中标人，然后再参加投标；</w:t>
      </w:r>
    </w:p>
    <w:p>
      <w:pPr>
        <w:pStyle w:val="20"/>
        <w:spacing w:line="490" w:lineRule="exact"/>
        <w:ind w:left="0" w:leftChars="0" w:firstLine="560" w:firstLineChars="200"/>
        <w:rPr>
          <w:rFonts w:eastAsia="仿宋_GB2312"/>
          <w:color w:val="000000"/>
          <w:sz w:val="28"/>
          <w:szCs w:val="32"/>
        </w:rPr>
      </w:pPr>
      <w:r>
        <w:rPr>
          <w:rFonts w:eastAsia="仿宋_GB2312"/>
          <w:color w:val="000000"/>
          <w:sz w:val="28"/>
          <w:szCs w:val="32"/>
        </w:rPr>
        <w:t>（4）投标人之间其它串通投标报价的行为。</w:t>
      </w:r>
    </w:p>
    <w:p>
      <w:pPr>
        <w:spacing w:line="490" w:lineRule="exact"/>
        <w:ind w:firstLine="560" w:firstLineChars="200"/>
        <w:rPr>
          <w:rFonts w:eastAsia="仿宋_GB2312"/>
          <w:color w:val="000000"/>
          <w:sz w:val="28"/>
          <w:szCs w:val="32"/>
        </w:rPr>
      </w:pPr>
      <w:r>
        <w:rPr>
          <w:rFonts w:eastAsia="仿宋_GB2312"/>
          <w:color w:val="000000"/>
          <w:sz w:val="28"/>
          <w:szCs w:val="32"/>
        </w:rPr>
        <w:t>9.2.4  有下列情形之一的，视为投标人相互串通投标：</w:t>
      </w:r>
    </w:p>
    <w:p>
      <w:pPr>
        <w:pStyle w:val="20"/>
        <w:spacing w:line="490" w:lineRule="exact"/>
        <w:ind w:left="0" w:leftChars="0" w:firstLine="560" w:firstLineChars="200"/>
        <w:rPr>
          <w:rFonts w:eastAsia="仿宋_GB2312"/>
          <w:color w:val="000000"/>
          <w:sz w:val="28"/>
          <w:szCs w:val="32"/>
        </w:rPr>
      </w:pPr>
      <w:r>
        <w:rPr>
          <w:rFonts w:eastAsia="仿宋_GB2312"/>
          <w:color w:val="000000"/>
          <w:sz w:val="28"/>
          <w:szCs w:val="32"/>
        </w:rPr>
        <w:t>（1）不同投标人的投标文件由同一单位或者个人编制；</w:t>
      </w:r>
    </w:p>
    <w:p>
      <w:pPr>
        <w:pStyle w:val="20"/>
        <w:spacing w:line="490" w:lineRule="exact"/>
        <w:ind w:left="0" w:leftChars="0" w:firstLine="560" w:firstLineChars="200"/>
        <w:rPr>
          <w:rFonts w:eastAsia="仿宋_GB2312"/>
          <w:color w:val="000000"/>
          <w:sz w:val="28"/>
          <w:szCs w:val="32"/>
        </w:rPr>
      </w:pPr>
      <w:r>
        <w:rPr>
          <w:rFonts w:eastAsia="仿宋_GB2312"/>
          <w:color w:val="000000"/>
          <w:sz w:val="28"/>
          <w:szCs w:val="32"/>
        </w:rPr>
        <w:t>（2）不同投标人委托同一单位或者个人办理投标事宜；</w:t>
      </w:r>
    </w:p>
    <w:p>
      <w:pPr>
        <w:pStyle w:val="20"/>
        <w:spacing w:line="490" w:lineRule="exact"/>
        <w:ind w:left="0" w:leftChars="0" w:firstLine="560" w:firstLineChars="200"/>
        <w:rPr>
          <w:rFonts w:eastAsia="仿宋_GB2312"/>
          <w:color w:val="000000"/>
          <w:sz w:val="28"/>
          <w:szCs w:val="32"/>
        </w:rPr>
      </w:pPr>
      <w:r>
        <w:rPr>
          <w:rFonts w:eastAsia="仿宋_GB2312"/>
          <w:color w:val="000000"/>
          <w:sz w:val="28"/>
          <w:szCs w:val="32"/>
        </w:rPr>
        <w:t>（3）不同投标人的投标文件载明的项目管理成员为同一人；</w:t>
      </w:r>
    </w:p>
    <w:p>
      <w:pPr>
        <w:pStyle w:val="20"/>
        <w:spacing w:line="490" w:lineRule="exact"/>
        <w:ind w:left="0" w:leftChars="0" w:firstLine="560" w:firstLineChars="200"/>
        <w:rPr>
          <w:rFonts w:eastAsia="仿宋_GB2312"/>
          <w:color w:val="000000"/>
          <w:sz w:val="28"/>
          <w:szCs w:val="32"/>
        </w:rPr>
      </w:pPr>
      <w:r>
        <w:rPr>
          <w:rFonts w:eastAsia="仿宋_GB2312"/>
          <w:color w:val="000000"/>
          <w:sz w:val="28"/>
          <w:szCs w:val="32"/>
        </w:rPr>
        <w:t>（4）不同投标人的投标文件异常一致或者投标报价呈规律性差异；</w:t>
      </w:r>
    </w:p>
    <w:p>
      <w:pPr>
        <w:pStyle w:val="20"/>
        <w:spacing w:line="490" w:lineRule="exact"/>
        <w:ind w:left="0" w:leftChars="0" w:firstLine="560" w:firstLineChars="200"/>
        <w:rPr>
          <w:rFonts w:eastAsia="仿宋_GB2312"/>
          <w:color w:val="000000"/>
          <w:sz w:val="28"/>
          <w:szCs w:val="32"/>
        </w:rPr>
      </w:pPr>
      <w:r>
        <w:rPr>
          <w:rFonts w:eastAsia="仿宋_GB2312"/>
          <w:color w:val="000000"/>
          <w:sz w:val="28"/>
          <w:szCs w:val="32"/>
        </w:rPr>
        <w:t>（5）不同投标人的</w:t>
      </w:r>
      <w:r>
        <w:rPr>
          <w:rFonts w:hint="eastAsia" w:eastAsia="仿宋_GB2312"/>
          <w:color w:val="000000"/>
          <w:sz w:val="28"/>
          <w:szCs w:val="32"/>
        </w:rPr>
        <w:t>投标担保</w:t>
      </w:r>
      <w:r>
        <w:rPr>
          <w:rFonts w:eastAsia="仿宋_GB2312"/>
          <w:color w:val="000000"/>
          <w:sz w:val="28"/>
          <w:szCs w:val="32"/>
        </w:rPr>
        <w:t>从同一单位或者个人的账户转出；</w:t>
      </w:r>
    </w:p>
    <w:p>
      <w:pPr>
        <w:pStyle w:val="20"/>
        <w:spacing w:line="490" w:lineRule="exact"/>
        <w:ind w:left="0" w:leftChars="0" w:firstLine="560" w:firstLineChars="200"/>
        <w:rPr>
          <w:rFonts w:eastAsia="仿宋_GB2312"/>
          <w:color w:val="000000"/>
          <w:sz w:val="28"/>
          <w:szCs w:val="32"/>
        </w:rPr>
      </w:pPr>
      <w:r>
        <w:rPr>
          <w:rFonts w:eastAsia="仿宋_GB2312"/>
          <w:color w:val="000000"/>
          <w:sz w:val="28"/>
          <w:szCs w:val="32"/>
        </w:rPr>
        <w:t>（6）不同投标人的投标文件由同一台电脑编制，或投标报价用同一个预算编制软件密码锁制作或出自同一电子文档的。</w:t>
      </w:r>
    </w:p>
    <w:p>
      <w:pPr>
        <w:spacing w:line="490" w:lineRule="exact"/>
        <w:ind w:firstLine="560" w:firstLineChars="200"/>
        <w:rPr>
          <w:rFonts w:eastAsia="仿宋_GB2312"/>
          <w:color w:val="000000"/>
          <w:sz w:val="28"/>
          <w:szCs w:val="32"/>
        </w:rPr>
      </w:pPr>
      <w:r>
        <w:rPr>
          <w:rFonts w:eastAsia="仿宋_GB2312"/>
          <w:color w:val="000000"/>
          <w:sz w:val="28"/>
          <w:szCs w:val="32"/>
        </w:rPr>
        <w:t>9.2.5  有下列情形之一的，属于投标人弄虚作假的行为：</w:t>
      </w:r>
    </w:p>
    <w:p>
      <w:pPr>
        <w:pStyle w:val="20"/>
        <w:spacing w:line="490" w:lineRule="exact"/>
        <w:ind w:left="0" w:leftChars="0" w:firstLine="560" w:firstLineChars="200"/>
        <w:rPr>
          <w:rFonts w:eastAsia="仿宋_GB2312"/>
          <w:color w:val="000000"/>
          <w:sz w:val="28"/>
          <w:szCs w:val="32"/>
        </w:rPr>
      </w:pPr>
      <w:r>
        <w:rPr>
          <w:rFonts w:eastAsia="仿宋_GB2312"/>
          <w:color w:val="000000"/>
          <w:sz w:val="28"/>
          <w:szCs w:val="32"/>
        </w:rPr>
        <w:t>（1）使用伪造、变造的许可证件；</w:t>
      </w:r>
    </w:p>
    <w:p>
      <w:pPr>
        <w:pStyle w:val="20"/>
        <w:spacing w:line="490" w:lineRule="exact"/>
        <w:ind w:left="0" w:leftChars="0" w:firstLine="560" w:firstLineChars="200"/>
        <w:rPr>
          <w:rFonts w:eastAsia="仿宋_GB2312"/>
          <w:color w:val="000000"/>
          <w:sz w:val="28"/>
          <w:szCs w:val="32"/>
        </w:rPr>
      </w:pPr>
      <w:r>
        <w:rPr>
          <w:rFonts w:eastAsia="仿宋_GB2312"/>
          <w:color w:val="000000"/>
          <w:sz w:val="28"/>
          <w:szCs w:val="32"/>
        </w:rPr>
        <w:t>（2）提供虚假的财务状况或者业绩；</w:t>
      </w:r>
    </w:p>
    <w:p>
      <w:pPr>
        <w:pStyle w:val="20"/>
        <w:spacing w:line="490" w:lineRule="exact"/>
        <w:ind w:left="0" w:leftChars="0" w:firstLine="560" w:firstLineChars="200"/>
        <w:rPr>
          <w:rFonts w:eastAsia="仿宋_GB2312"/>
          <w:color w:val="000000"/>
          <w:sz w:val="28"/>
          <w:szCs w:val="32"/>
        </w:rPr>
      </w:pPr>
      <w:r>
        <w:rPr>
          <w:rFonts w:eastAsia="仿宋_GB2312"/>
          <w:color w:val="000000"/>
          <w:sz w:val="28"/>
          <w:szCs w:val="32"/>
        </w:rPr>
        <w:t>（3）提供虚假的项目负责人或者主要技术人员简历、劳动关系证明；</w:t>
      </w:r>
    </w:p>
    <w:p>
      <w:pPr>
        <w:pStyle w:val="20"/>
        <w:spacing w:line="490" w:lineRule="exact"/>
        <w:ind w:left="0" w:leftChars="0" w:firstLine="560" w:firstLineChars="200"/>
        <w:rPr>
          <w:rFonts w:eastAsia="仿宋_GB2312"/>
          <w:color w:val="000000"/>
          <w:sz w:val="28"/>
          <w:szCs w:val="32"/>
        </w:rPr>
      </w:pPr>
      <w:r>
        <w:rPr>
          <w:rFonts w:eastAsia="仿宋_GB2312"/>
          <w:color w:val="000000"/>
          <w:sz w:val="28"/>
          <w:szCs w:val="32"/>
        </w:rPr>
        <w:t>（4）提供虚假的信用状况；</w:t>
      </w:r>
    </w:p>
    <w:p>
      <w:pPr>
        <w:pStyle w:val="20"/>
        <w:spacing w:line="490" w:lineRule="exact"/>
        <w:ind w:left="0" w:leftChars="0" w:firstLine="560" w:firstLineChars="200"/>
        <w:rPr>
          <w:rFonts w:eastAsia="仿宋_GB2312"/>
          <w:color w:val="000000"/>
          <w:sz w:val="28"/>
          <w:szCs w:val="32"/>
        </w:rPr>
      </w:pPr>
      <w:r>
        <w:rPr>
          <w:rFonts w:eastAsia="仿宋_GB2312"/>
          <w:color w:val="000000"/>
          <w:sz w:val="28"/>
          <w:szCs w:val="32"/>
        </w:rPr>
        <w:t>（5）其他弄虚作假的行为。</w:t>
      </w:r>
      <w:bookmarkStart w:id="194" w:name="_Toc30132"/>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9.3 对评标委员会成员的纪律要求</w:t>
      </w:r>
      <w:bookmarkEnd w:id="194"/>
      <w:r>
        <w:rPr>
          <w:rFonts w:ascii="Times New Roman" w:hAnsi="Times New Roman" w:eastAsia="楷体_GB2312"/>
          <w:color w:val="000000"/>
          <w:szCs w:val="32"/>
        </w:rPr>
        <w:t xml:space="preserve"> </w:t>
      </w:r>
    </w:p>
    <w:p>
      <w:pPr>
        <w:spacing w:line="490" w:lineRule="exact"/>
        <w:ind w:firstLine="560" w:firstLineChars="200"/>
        <w:rPr>
          <w:rFonts w:eastAsia="仿宋_GB2312"/>
          <w:color w:val="000000"/>
          <w:sz w:val="28"/>
          <w:szCs w:val="32"/>
        </w:rPr>
      </w:pPr>
      <w:r>
        <w:rPr>
          <w:rFonts w:eastAsia="仿宋_GB2312"/>
          <w:color w:val="000000"/>
          <w:sz w:val="28"/>
          <w:szCs w:val="32"/>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pPr>
        <w:pStyle w:val="7"/>
        <w:keepNext w:val="0"/>
        <w:keepLines w:val="0"/>
        <w:spacing w:before="0" w:after="0" w:line="490" w:lineRule="exact"/>
        <w:ind w:firstLine="562" w:firstLineChars="200"/>
        <w:jc w:val="left"/>
        <w:rPr>
          <w:rFonts w:ascii="Times New Roman" w:hAnsi="Times New Roman" w:eastAsia="楷体_GB2312"/>
          <w:color w:val="000000"/>
          <w:szCs w:val="32"/>
        </w:rPr>
      </w:pPr>
      <w:bookmarkStart w:id="195" w:name="_Toc2622"/>
      <w:r>
        <w:rPr>
          <w:rFonts w:ascii="Times New Roman" w:hAnsi="Times New Roman" w:eastAsia="楷体_GB2312"/>
          <w:color w:val="000000"/>
          <w:szCs w:val="32"/>
        </w:rPr>
        <w:t>9.4对与评标活动有关的工作人员的纪律要求</w:t>
      </w:r>
      <w:bookmarkEnd w:id="195"/>
      <w:r>
        <w:rPr>
          <w:rFonts w:ascii="Times New Roman" w:hAnsi="Times New Roman" w:eastAsia="楷体_GB2312"/>
          <w:color w:val="000000"/>
          <w:szCs w:val="32"/>
        </w:rPr>
        <w:t xml:space="preserve"> </w:t>
      </w:r>
    </w:p>
    <w:p>
      <w:pPr>
        <w:spacing w:line="490" w:lineRule="exact"/>
        <w:ind w:firstLine="560" w:firstLineChars="200"/>
        <w:rPr>
          <w:rFonts w:eastAsia="仿宋_GB2312"/>
          <w:color w:val="000000"/>
          <w:sz w:val="28"/>
          <w:szCs w:val="32"/>
        </w:rPr>
      </w:pPr>
      <w:r>
        <w:rPr>
          <w:rFonts w:eastAsia="仿宋_GB2312"/>
          <w:color w:val="000000"/>
          <w:sz w:val="28"/>
          <w:szCs w:val="32"/>
        </w:rPr>
        <w:t xml:space="preserve">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 </w:t>
      </w:r>
    </w:p>
    <w:p>
      <w:pPr>
        <w:pStyle w:val="6"/>
        <w:keepNext w:val="0"/>
        <w:keepLines w:val="0"/>
        <w:spacing w:before="0" w:after="0" w:line="490" w:lineRule="exact"/>
        <w:ind w:firstLine="562" w:firstLineChars="200"/>
        <w:rPr>
          <w:rFonts w:ascii="Times New Roman" w:hAnsi="Times New Roman" w:eastAsia="黑体"/>
          <w:bCs w:val="0"/>
          <w:color w:val="000000"/>
          <w:sz w:val="28"/>
        </w:rPr>
      </w:pPr>
      <w:bookmarkStart w:id="196" w:name="_Toc4356"/>
      <w:bookmarkStart w:id="197" w:name="_Toc24754"/>
      <w:bookmarkStart w:id="198" w:name="_Toc259698632"/>
      <w:bookmarkStart w:id="199" w:name="_Toc269742732"/>
      <w:bookmarkStart w:id="200" w:name="_Toc51091853"/>
      <w:r>
        <w:rPr>
          <w:rFonts w:ascii="Times New Roman" w:hAnsi="Times New Roman" w:eastAsia="黑体"/>
          <w:bCs w:val="0"/>
          <w:color w:val="000000"/>
          <w:sz w:val="28"/>
        </w:rPr>
        <w:t>10．需要补充的其它内容</w:t>
      </w:r>
      <w:bookmarkEnd w:id="196"/>
      <w:bookmarkEnd w:id="197"/>
      <w:bookmarkEnd w:id="198"/>
      <w:bookmarkEnd w:id="199"/>
      <w:bookmarkEnd w:id="200"/>
    </w:p>
    <w:p>
      <w:pPr>
        <w:pStyle w:val="7"/>
        <w:keepNext w:val="0"/>
        <w:keepLines w:val="0"/>
        <w:spacing w:before="0" w:after="0" w:line="490" w:lineRule="exact"/>
        <w:ind w:firstLine="562" w:firstLineChars="200"/>
        <w:rPr>
          <w:rFonts w:ascii="Times New Roman" w:hAnsi="Times New Roman" w:eastAsia="楷体_GB2312"/>
          <w:color w:val="000000"/>
          <w:szCs w:val="32"/>
        </w:rPr>
      </w:pPr>
      <w:bookmarkStart w:id="201" w:name="_Toc269742733"/>
      <w:bookmarkStart w:id="202" w:name="_Toc259698633"/>
      <w:r>
        <w:rPr>
          <w:rFonts w:ascii="Times New Roman" w:hAnsi="Times New Roman" w:eastAsia="楷体_GB2312"/>
          <w:color w:val="000000"/>
          <w:szCs w:val="32"/>
        </w:rPr>
        <w:t>10.1 类似项目</w:t>
      </w:r>
      <w:bookmarkEnd w:id="201"/>
      <w:bookmarkEnd w:id="202"/>
    </w:p>
    <w:p>
      <w:pPr>
        <w:spacing w:line="490" w:lineRule="exact"/>
        <w:ind w:firstLine="560" w:firstLineChars="200"/>
        <w:rPr>
          <w:rFonts w:eastAsia="仿宋_GB2312"/>
          <w:color w:val="000000"/>
          <w:sz w:val="28"/>
          <w:szCs w:val="32"/>
        </w:rPr>
      </w:pPr>
      <w:r>
        <w:rPr>
          <w:rFonts w:eastAsia="仿宋_GB2312"/>
          <w:color w:val="000000"/>
          <w:sz w:val="28"/>
          <w:szCs w:val="32"/>
        </w:rPr>
        <w:t>类似</w:t>
      </w:r>
      <w:r>
        <w:rPr>
          <w:rFonts w:eastAsia="仿宋_GB2312"/>
          <w:color w:val="000000"/>
          <w:kern w:val="0"/>
          <w:sz w:val="28"/>
          <w:szCs w:val="32"/>
        </w:rPr>
        <w:t>项目</w:t>
      </w:r>
      <w:r>
        <w:rPr>
          <w:rFonts w:eastAsia="仿宋_GB2312"/>
          <w:color w:val="000000"/>
          <w:sz w:val="28"/>
          <w:szCs w:val="32"/>
        </w:rPr>
        <w:t>的要求见投标人须知前附表。</w:t>
      </w:r>
    </w:p>
    <w:p>
      <w:pPr>
        <w:pStyle w:val="7"/>
        <w:keepNext w:val="0"/>
        <w:keepLines w:val="0"/>
        <w:spacing w:before="0" w:after="0" w:line="490" w:lineRule="exact"/>
        <w:ind w:firstLine="562" w:firstLineChars="200"/>
        <w:rPr>
          <w:rFonts w:ascii="Times New Roman" w:hAnsi="Times New Roman" w:eastAsia="楷体_GB2312"/>
          <w:color w:val="000000"/>
          <w:szCs w:val="32"/>
        </w:rPr>
      </w:pPr>
      <w:bookmarkStart w:id="203" w:name="_Toc259698635"/>
      <w:bookmarkStart w:id="204" w:name="_Toc269742735"/>
      <w:r>
        <w:rPr>
          <w:rFonts w:ascii="Times New Roman" w:hAnsi="Times New Roman" w:eastAsia="楷体_GB2312"/>
          <w:color w:val="000000"/>
          <w:szCs w:val="32"/>
        </w:rPr>
        <w:t>10.2 原件</w:t>
      </w:r>
      <w:bookmarkEnd w:id="203"/>
      <w:bookmarkEnd w:id="204"/>
    </w:p>
    <w:p>
      <w:pPr>
        <w:spacing w:line="490" w:lineRule="exact"/>
        <w:ind w:firstLine="560" w:firstLineChars="200"/>
        <w:rPr>
          <w:rFonts w:eastAsia="仿宋_GB2312"/>
          <w:color w:val="000000"/>
          <w:sz w:val="28"/>
          <w:szCs w:val="32"/>
        </w:rPr>
      </w:pPr>
      <w:bookmarkStart w:id="205" w:name="_Toc269742736"/>
      <w:bookmarkStart w:id="206" w:name="_Toc259698636"/>
      <w:r>
        <w:rPr>
          <w:rFonts w:eastAsia="仿宋_GB2312"/>
          <w:color w:val="000000"/>
          <w:sz w:val="28"/>
          <w:szCs w:val="32"/>
        </w:rPr>
        <w:t>原件：见投标人须知前附表。</w:t>
      </w:r>
    </w:p>
    <w:bookmarkEnd w:id="205"/>
    <w:bookmarkEnd w:id="206"/>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10.3工程结算款支付账户</w:t>
      </w:r>
    </w:p>
    <w:p>
      <w:pPr>
        <w:spacing w:line="490" w:lineRule="exact"/>
        <w:ind w:firstLine="560" w:firstLineChars="200"/>
        <w:rPr>
          <w:rFonts w:eastAsia="仿宋_GB2312"/>
          <w:color w:val="000000"/>
          <w:sz w:val="28"/>
          <w:szCs w:val="32"/>
        </w:rPr>
      </w:pPr>
      <w:r>
        <w:rPr>
          <w:rFonts w:eastAsia="仿宋_GB2312"/>
          <w:color w:val="000000"/>
          <w:sz w:val="28"/>
          <w:szCs w:val="32"/>
        </w:rPr>
        <w:t>工程结算款支付账户</w:t>
      </w:r>
      <w:r>
        <w:rPr>
          <w:rFonts w:hint="eastAsia" w:eastAsia="仿宋_GB2312"/>
          <w:color w:val="000000"/>
          <w:sz w:val="28"/>
          <w:szCs w:val="32"/>
        </w:rPr>
        <w:t>：</w:t>
      </w:r>
      <w:r>
        <w:rPr>
          <w:rFonts w:eastAsia="仿宋_GB2312"/>
          <w:color w:val="000000"/>
          <w:sz w:val="28"/>
          <w:szCs w:val="32"/>
        </w:rPr>
        <w:t>见投标人须知前附表。</w:t>
      </w:r>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10.4 招标代理费及建设工程交易费</w:t>
      </w:r>
    </w:p>
    <w:p>
      <w:pPr>
        <w:spacing w:line="490" w:lineRule="exact"/>
        <w:ind w:firstLine="560" w:firstLineChars="200"/>
        <w:rPr>
          <w:rFonts w:eastAsia="仿宋_GB2312"/>
          <w:color w:val="000000"/>
          <w:sz w:val="28"/>
          <w:szCs w:val="32"/>
        </w:rPr>
      </w:pPr>
      <w:r>
        <w:rPr>
          <w:rFonts w:eastAsia="仿宋_GB2312"/>
          <w:color w:val="000000"/>
          <w:sz w:val="28"/>
          <w:szCs w:val="32"/>
        </w:rPr>
        <w:t>招标代理费及建设工程交易费：见投标人须知前附表。</w:t>
      </w:r>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10.5 最高投标限价</w:t>
      </w:r>
    </w:p>
    <w:p>
      <w:pPr>
        <w:spacing w:line="490" w:lineRule="exact"/>
        <w:ind w:firstLine="560" w:firstLineChars="200"/>
        <w:rPr>
          <w:rFonts w:eastAsia="仿宋_GB2312"/>
          <w:color w:val="000000"/>
          <w:sz w:val="28"/>
          <w:szCs w:val="32"/>
        </w:rPr>
      </w:pPr>
      <w:r>
        <w:rPr>
          <w:rFonts w:eastAsia="仿宋_GB2312"/>
          <w:color w:val="000000"/>
          <w:sz w:val="28"/>
          <w:szCs w:val="32"/>
        </w:rPr>
        <w:t>（A）招标人设投标总价最高投标限价：见投标人须知前附表。</w:t>
      </w:r>
    </w:p>
    <w:p>
      <w:pPr>
        <w:spacing w:line="490" w:lineRule="exact"/>
        <w:ind w:firstLine="560" w:firstLineChars="200"/>
        <w:rPr>
          <w:rFonts w:eastAsia="仿宋_GB2312"/>
          <w:color w:val="000000"/>
          <w:sz w:val="28"/>
          <w:szCs w:val="32"/>
        </w:rPr>
      </w:pPr>
      <w:r>
        <w:rPr>
          <w:rFonts w:eastAsia="仿宋_GB2312"/>
          <w:color w:val="000000"/>
          <w:sz w:val="28"/>
          <w:szCs w:val="32"/>
        </w:rPr>
        <w:t>（B）招标人设投标总价、分项总价（报价）和单价最高投标限价的，见下表（格式供参考）。</w:t>
      </w:r>
    </w:p>
    <w:p>
      <w:pPr>
        <w:jc w:val="center"/>
        <w:rPr>
          <w:rFonts w:eastAsia="仿宋"/>
          <w:b/>
          <w:color w:val="000000"/>
          <w:sz w:val="24"/>
        </w:rPr>
      </w:pPr>
      <w:r>
        <w:rPr>
          <w:rFonts w:eastAsia="仿宋"/>
          <w:b/>
          <w:color w:val="000000"/>
          <w:sz w:val="24"/>
        </w:rPr>
        <w:t xml:space="preserve">项目名称： </w:t>
      </w:r>
      <w:r>
        <w:rPr>
          <w:rFonts w:eastAsia="仿宋"/>
          <w:b/>
          <w:color w:val="000000"/>
          <w:sz w:val="24"/>
          <w:u w:val="single"/>
        </w:rPr>
        <w:t xml:space="preserve">            </w:t>
      </w:r>
      <w:r>
        <w:rPr>
          <w:rFonts w:eastAsia="仿宋"/>
          <w:b/>
          <w:color w:val="000000"/>
          <w:sz w:val="24"/>
        </w:rPr>
        <w:t>（合同编号：</w:t>
      </w:r>
      <w:r>
        <w:rPr>
          <w:rFonts w:eastAsia="仿宋"/>
          <w:b/>
          <w:bCs/>
          <w:color w:val="000000"/>
          <w:sz w:val="24"/>
          <w:u w:val="single"/>
        </w:rPr>
        <w:t xml:space="preserve">        </w:t>
      </w:r>
      <w:r>
        <w:rPr>
          <w:rFonts w:eastAsia="仿宋"/>
          <w:b/>
          <w:color w:val="000000"/>
          <w:sz w:val="24"/>
        </w:rPr>
        <w:t>）</w:t>
      </w:r>
      <w:r>
        <w:rPr>
          <w:rFonts w:eastAsia="仿宋"/>
          <w:b/>
          <w:bCs/>
          <w:color w:val="000000"/>
          <w:kern w:val="0"/>
          <w:sz w:val="24"/>
        </w:rPr>
        <w:t>最高投标限价</w:t>
      </w:r>
      <w:r>
        <w:rPr>
          <w:rFonts w:eastAsia="仿宋"/>
          <w:b/>
          <w:color w:val="000000"/>
          <w:sz w:val="24"/>
        </w:rPr>
        <w:t>汇总表</w:t>
      </w:r>
    </w:p>
    <w:tbl>
      <w:tblPr>
        <w:tblStyle w:val="4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03"/>
        <w:gridCol w:w="1973"/>
        <w:gridCol w:w="579"/>
        <w:gridCol w:w="1134"/>
        <w:gridCol w:w="1417"/>
        <w:gridCol w:w="1155"/>
        <w:gridCol w:w="1134"/>
        <w:gridCol w:w="11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603" w:type="dxa"/>
            <w:shd w:val="clear" w:color="000000" w:fill="FFFFFF"/>
            <w:noWrap w:val="0"/>
            <w:vAlign w:val="center"/>
          </w:tcPr>
          <w:p>
            <w:pPr>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序号</w:t>
            </w:r>
          </w:p>
        </w:tc>
        <w:tc>
          <w:tcPr>
            <w:tcW w:w="1973" w:type="dxa"/>
            <w:shd w:val="clear" w:color="000000" w:fill="FFFFFF"/>
            <w:noWrap w:val="0"/>
            <w:vAlign w:val="center"/>
          </w:tcPr>
          <w:p>
            <w:pPr>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项目名称</w:t>
            </w:r>
          </w:p>
        </w:tc>
        <w:tc>
          <w:tcPr>
            <w:tcW w:w="579" w:type="dxa"/>
            <w:shd w:val="clear" w:color="000000" w:fill="FFFFFF"/>
            <w:noWrap w:val="0"/>
            <w:vAlign w:val="center"/>
          </w:tcPr>
          <w:p>
            <w:pPr>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单位</w:t>
            </w:r>
          </w:p>
        </w:tc>
        <w:tc>
          <w:tcPr>
            <w:tcW w:w="1134" w:type="dxa"/>
            <w:shd w:val="clear" w:color="000000" w:fill="FFFFFF"/>
            <w:noWrap w:val="0"/>
            <w:vAlign w:val="center"/>
          </w:tcPr>
          <w:p>
            <w:pPr>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单价最高投标限价（元）</w:t>
            </w:r>
          </w:p>
        </w:tc>
        <w:tc>
          <w:tcPr>
            <w:tcW w:w="1417" w:type="dxa"/>
            <w:shd w:val="clear" w:color="000000" w:fill="FFFFFF"/>
            <w:noWrap w:val="0"/>
            <w:vAlign w:val="center"/>
          </w:tcPr>
          <w:p>
            <w:pPr>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分项总价（报价）最高投标限价（元）</w:t>
            </w:r>
          </w:p>
        </w:tc>
        <w:tc>
          <w:tcPr>
            <w:tcW w:w="1155" w:type="dxa"/>
            <w:shd w:val="clear" w:color="000000" w:fill="FFFFFF"/>
            <w:noWrap w:val="0"/>
            <w:vAlign w:val="center"/>
          </w:tcPr>
          <w:p>
            <w:pPr>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投标总价最高投标限价（元）</w:t>
            </w:r>
          </w:p>
        </w:tc>
        <w:tc>
          <w:tcPr>
            <w:tcW w:w="1134" w:type="dxa"/>
            <w:shd w:val="clear" w:color="000000" w:fill="FFFFFF"/>
            <w:noWrap w:val="0"/>
            <w:vAlign w:val="center"/>
          </w:tcPr>
          <w:p>
            <w:pPr>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工程量清单对应序号</w:t>
            </w:r>
          </w:p>
        </w:tc>
        <w:tc>
          <w:tcPr>
            <w:tcW w:w="1134" w:type="dxa"/>
            <w:shd w:val="clear" w:color="000000" w:fill="FFFFFF"/>
            <w:noWrap w:val="0"/>
            <w:vAlign w:val="center"/>
          </w:tcPr>
          <w:p>
            <w:pPr>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不可竞争费用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03" w:type="dxa"/>
            <w:shd w:val="clear" w:color="000000" w:fill="FFFFFF"/>
            <w:noWrap w:val="0"/>
            <w:vAlign w:val="center"/>
          </w:tcPr>
          <w:p>
            <w:pPr>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一</w:t>
            </w:r>
          </w:p>
        </w:tc>
        <w:tc>
          <w:tcPr>
            <w:tcW w:w="1973" w:type="dxa"/>
            <w:shd w:val="clear" w:color="000000" w:fill="FFFFFF"/>
            <w:noWrap w:val="0"/>
            <w:vAlign w:val="center"/>
          </w:tcPr>
          <w:p>
            <w:pPr>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投标总价</w:t>
            </w:r>
          </w:p>
        </w:tc>
        <w:tc>
          <w:tcPr>
            <w:tcW w:w="579" w:type="dxa"/>
            <w:shd w:val="clear" w:color="000000" w:fill="FFFFFF"/>
            <w:noWrap w:val="0"/>
            <w:vAlign w:val="center"/>
          </w:tcPr>
          <w:p>
            <w:pPr>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w:t>
            </w:r>
          </w:p>
        </w:tc>
        <w:tc>
          <w:tcPr>
            <w:tcW w:w="1134" w:type="dxa"/>
            <w:shd w:val="clear" w:color="000000" w:fill="FFFFFF"/>
            <w:noWrap w:val="0"/>
            <w:vAlign w:val="center"/>
          </w:tcPr>
          <w:p>
            <w:pPr>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w:t>
            </w:r>
          </w:p>
        </w:tc>
        <w:tc>
          <w:tcPr>
            <w:tcW w:w="1417" w:type="dxa"/>
            <w:shd w:val="clear" w:color="000000" w:fill="FFFFFF"/>
            <w:noWrap w:val="0"/>
            <w:vAlign w:val="center"/>
          </w:tcPr>
          <w:p>
            <w:pPr>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w:t>
            </w:r>
          </w:p>
        </w:tc>
        <w:tc>
          <w:tcPr>
            <w:tcW w:w="1155" w:type="dxa"/>
            <w:shd w:val="clear" w:color="000000" w:fill="FFFFFF"/>
            <w:noWrap w:val="0"/>
            <w:vAlign w:val="center"/>
          </w:tcPr>
          <w:p>
            <w:pPr>
              <w:jc w:val="center"/>
              <w:rPr>
                <w:rFonts w:hint="eastAsia" w:ascii="仿宋" w:hAnsi="仿宋" w:eastAsia="仿宋" w:cs="仿宋"/>
                <w:b/>
                <w:bCs/>
                <w:color w:val="000000"/>
                <w:kern w:val="0"/>
                <w:sz w:val="20"/>
                <w:szCs w:val="20"/>
              </w:rPr>
            </w:pPr>
          </w:p>
        </w:tc>
        <w:tc>
          <w:tcPr>
            <w:tcW w:w="1134" w:type="dxa"/>
            <w:shd w:val="clear" w:color="000000" w:fill="FFFFFF"/>
            <w:noWrap w:val="0"/>
            <w:vAlign w:val="center"/>
          </w:tcPr>
          <w:p>
            <w:pPr>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　</w:t>
            </w:r>
          </w:p>
        </w:tc>
        <w:tc>
          <w:tcPr>
            <w:tcW w:w="1134" w:type="dxa"/>
            <w:shd w:val="clear" w:color="000000" w:fill="FFFFFF"/>
            <w:noWrap w:val="0"/>
            <w:vAlign w:val="center"/>
          </w:tcPr>
          <w:p>
            <w:pPr>
              <w:jc w:val="center"/>
              <w:rPr>
                <w:rFonts w:hint="eastAsia" w:ascii="仿宋" w:hAnsi="仿宋" w:eastAsia="仿宋" w:cs="仿宋"/>
                <w:color w:val="000000"/>
                <w:kern w:val="0"/>
                <w:sz w:val="20"/>
                <w:szCs w:val="20"/>
              </w:rPr>
            </w:pPr>
            <w:r>
              <w:rPr>
                <w:rFonts w:hint="eastAsia" w:ascii="仿宋" w:hAnsi="仿宋" w:eastAsia="仿宋" w:cs="仿宋"/>
                <w:b/>
                <w:bCs/>
                <w:color w:val="000000"/>
                <w:kern w:val="0"/>
                <w:sz w:val="20"/>
                <w:szCs w:val="2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03" w:type="dxa"/>
            <w:shd w:val="clear" w:color="000000" w:fill="FFFFFF"/>
            <w:noWrap w:val="0"/>
            <w:vAlign w:val="center"/>
          </w:tcPr>
          <w:p>
            <w:pPr>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二</w:t>
            </w:r>
          </w:p>
        </w:tc>
        <w:tc>
          <w:tcPr>
            <w:tcW w:w="1973" w:type="dxa"/>
            <w:shd w:val="clear" w:color="000000" w:fill="FFFFFF"/>
            <w:noWrap w:val="0"/>
            <w:vAlign w:val="center"/>
          </w:tcPr>
          <w:p>
            <w:pPr>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分项总价（报价）</w:t>
            </w:r>
          </w:p>
        </w:tc>
        <w:tc>
          <w:tcPr>
            <w:tcW w:w="579" w:type="dxa"/>
            <w:shd w:val="clear" w:color="000000" w:fill="FFFFFF"/>
            <w:noWrap w:val="0"/>
            <w:vAlign w:val="center"/>
          </w:tcPr>
          <w:p>
            <w:pPr>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w:t>
            </w:r>
          </w:p>
        </w:tc>
        <w:tc>
          <w:tcPr>
            <w:tcW w:w="1134" w:type="dxa"/>
            <w:shd w:val="clear" w:color="000000" w:fill="FFFFFF"/>
            <w:noWrap w:val="0"/>
            <w:vAlign w:val="center"/>
          </w:tcPr>
          <w:p>
            <w:pPr>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w:t>
            </w:r>
          </w:p>
        </w:tc>
        <w:tc>
          <w:tcPr>
            <w:tcW w:w="1417" w:type="dxa"/>
            <w:shd w:val="clear" w:color="000000" w:fill="FFFFFF"/>
            <w:noWrap w:val="0"/>
            <w:vAlign w:val="center"/>
          </w:tcPr>
          <w:p>
            <w:pPr>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w:t>
            </w:r>
          </w:p>
        </w:tc>
        <w:tc>
          <w:tcPr>
            <w:tcW w:w="1155" w:type="dxa"/>
            <w:shd w:val="clear" w:color="000000" w:fill="FFFFFF"/>
            <w:noWrap w:val="0"/>
            <w:vAlign w:val="center"/>
          </w:tcPr>
          <w:p>
            <w:pPr>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w:t>
            </w:r>
          </w:p>
        </w:tc>
        <w:tc>
          <w:tcPr>
            <w:tcW w:w="1134" w:type="dxa"/>
            <w:shd w:val="clear" w:color="000000" w:fill="FFFFFF"/>
            <w:noWrap w:val="0"/>
            <w:vAlign w:val="center"/>
          </w:tcPr>
          <w:p>
            <w:pPr>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　</w:t>
            </w:r>
          </w:p>
        </w:tc>
        <w:tc>
          <w:tcPr>
            <w:tcW w:w="1134" w:type="dxa"/>
            <w:shd w:val="clear" w:color="000000" w:fill="FFFFFF"/>
            <w:noWrap w:val="0"/>
            <w:vAlign w:val="center"/>
          </w:tcPr>
          <w:p>
            <w:pPr>
              <w:jc w:val="center"/>
              <w:rPr>
                <w:rFonts w:hint="eastAsia" w:ascii="仿宋" w:hAnsi="仿宋" w:eastAsia="仿宋" w:cs="仿宋"/>
                <w:color w:val="000000"/>
                <w:kern w:val="0"/>
                <w:sz w:val="20"/>
                <w:szCs w:val="20"/>
              </w:rPr>
            </w:pPr>
            <w:r>
              <w:rPr>
                <w:rFonts w:hint="eastAsia" w:ascii="仿宋" w:hAnsi="仿宋" w:eastAsia="仿宋" w:cs="仿宋"/>
                <w:b/>
                <w:bCs/>
                <w:color w:val="000000"/>
                <w:kern w:val="0"/>
                <w:sz w:val="20"/>
                <w:szCs w:val="2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03" w:type="dxa"/>
            <w:shd w:val="clear" w:color="000000" w:fill="FFFFFF"/>
            <w:noWrap w:val="0"/>
            <w:vAlign w:val="center"/>
          </w:tcPr>
          <w:p>
            <w:pPr>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1973" w:type="dxa"/>
            <w:shd w:val="clear" w:color="000000" w:fill="FFFFFF"/>
            <w:noWrap w:val="0"/>
            <w:vAlign w:val="center"/>
          </w:tcPr>
          <w:p>
            <w:pPr>
              <w:jc w:val="center"/>
              <w:rPr>
                <w:rFonts w:hint="eastAsia" w:ascii="仿宋" w:hAnsi="仿宋" w:eastAsia="仿宋" w:cs="仿宋"/>
                <w:color w:val="000000"/>
                <w:kern w:val="0"/>
                <w:sz w:val="20"/>
                <w:szCs w:val="20"/>
              </w:rPr>
            </w:pPr>
          </w:p>
        </w:tc>
        <w:tc>
          <w:tcPr>
            <w:tcW w:w="579" w:type="dxa"/>
            <w:shd w:val="clear" w:color="000000" w:fill="FFFFFF"/>
            <w:noWrap w:val="0"/>
            <w:vAlign w:val="center"/>
          </w:tcPr>
          <w:p>
            <w:pPr>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w:t>
            </w:r>
          </w:p>
        </w:tc>
        <w:tc>
          <w:tcPr>
            <w:tcW w:w="1134" w:type="dxa"/>
            <w:shd w:val="clear" w:color="000000" w:fill="FFFFFF"/>
            <w:noWrap w:val="0"/>
            <w:vAlign w:val="center"/>
          </w:tcPr>
          <w:p>
            <w:pPr>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w:t>
            </w:r>
          </w:p>
        </w:tc>
        <w:tc>
          <w:tcPr>
            <w:tcW w:w="1417" w:type="dxa"/>
            <w:shd w:val="clear" w:color="000000" w:fill="FFFFFF"/>
            <w:noWrap w:val="0"/>
            <w:vAlign w:val="center"/>
          </w:tcPr>
          <w:p>
            <w:pPr>
              <w:jc w:val="center"/>
              <w:rPr>
                <w:rFonts w:hint="eastAsia" w:ascii="仿宋" w:hAnsi="仿宋" w:eastAsia="仿宋" w:cs="仿宋"/>
                <w:b/>
                <w:bCs/>
                <w:color w:val="000000"/>
                <w:kern w:val="0"/>
                <w:sz w:val="20"/>
                <w:szCs w:val="20"/>
              </w:rPr>
            </w:pPr>
          </w:p>
        </w:tc>
        <w:tc>
          <w:tcPr>
            <w:tcW w:w="1155" w:type="dxa"/>
            <w:shd w:val="clear" w:color="000000" w:fill="FFFFFF"/>
            <w:noWrap w:val="0"/>
            <w:vAlign w:val="center"/>
          </w:tcPr>
          <w:p>
            <w:pPr>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w:t>
            </w:r>
          </w:p>
        </w:tc>
        <w:tc>
          <w:tcPr>
            <w:tcW w:w="1134" w:type="dxa"/>
            <w:shd w:val="clear" w:color="000000" w:fill="FFFFFF"/>
            <w:noWrap w:val="0"/>
            <w:vAlign w:val="center"/>
          </w:tcPr>
          <w:p>
            <w:pPr>
              <w:jc w:val="center"/>
              <w:rPr>
                <w:rFonts w:hint="eastAsia" w:ascii="仿宋" w:hAnsi="仿宋" w:eastAsia="仿宋" w:cs="仿宋"/>
                <w:color w:val="000000"/>
                <w:kern w:val="0"/>
                <w:sz w:val="20"/>
                <w:szCs w:val="20"/>
              </w:rPr>
            </w:pPr>
          </w:p>
        </w:tc>
        <w:tc>
          <w:tcPr>
            <w:tcW w:w="1134" w:type="dxa"/>
            <w:shd w:val="clear" w:color="000000" w:fill="FFFFFF"/>
            <w:noWrap w:val="0"/>
            <w:vAlign w:val="center"/>
          </w:tcPr>
          <w:p>
            <w:pPr>
              <w:jc w:val="center"/>
              <w:rPr>
                <w:rFonts w:hint="eastAsia" w:ascii="仿宋" w:hAnsi="仿宋" w:eastAsia="仿宋" w:cs="仿宋"/>
                <w:color w:val="000000"/>
                <w:kern w:val="0"/>
                <w:sz w:val="20"/>
                <w:szCs w:val="20"/>
              </w:rPr>
            </w:pPr>
            <w:r>
              <w:rPr>
                <w:rFonts w:hint="eastAsia" w:ascii="仿宋" w:hAnsi="仿宋" w:eastAsia="仿宋" w:cs="仿宋"/>
                <w:b/>
                <w:bCs/>
                <w:color w:val="000000"/>
                <w:kern w:val="0"/>
                <w:sz w:val="20"/>
                <w:szCs w:val="2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03" w:type="dxa"/>
            <w:shd w:val="clear" w:color="000000" w:fill="FFFFFF"/>
            <w:noWrap w:val="0"/>
            <w:vAlign w:val="center"/>
          </w:tcPr>
          <w:p>
            <w:pPr>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w:t>
            </w:r>
          </w:p>
        </w:tc>
        <w:tc>
          <w:tcPr>
            <w:tcW w:w="1973" w:type="dxa"/>
            <w:shd w:val="clear" w:color="000000" w:fill="FFFFFF"/>
            <w:noWrap w:val="0"/>
            <w:vAlign w:val="center"/>
          </w:tcPr>
          <w:p>
            <w:pPr>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w:t>
            </w:r>
          </w:p>
        </w:tc>
        <w:tc>
          <w:tcPr>
            <w:tcW w:w="579" w:type="dxa"/>
            <w:shd w:val="clear" w:color="000000" w:fill="FFFFFF"/>
            <w:noWrap w:val="0"/>
            <w:vAlign w:val="center"/>
          </w:tcPr>
          <w:p>
            <w:pPr>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w:t>
            </w:r>
          </w:p>
        </w:tc>
        <w:tc>
          <w:tcPr>
            <w:tcW w:w="1134" w:type="dxa"/>
            <w:shd w:val="clear" w:color="000000" w:fill="FFFFFF"/>
            <w:noWrap w:val="0"/>
            <w:vAlign w:val="center"/>
          </w:tcPr>
          <w:p>
            <w:pPr>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w:t>
            </w:r>
          </w:p>
        </w:tc>
        <w:tc>
          <w:tcPr>
            <w:tcW w:w="1417" w:type="dxa"/>
            <w:shd w:val="clear" w:color="000000" w:fill="FFFFFF"/>
            <w:noWrap w:val="0"/>
            <w:vAlign w:val="center"/>
          </w:tcPr>
          <w:p>
            <w:pPr>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w:t>
            </w:r>
          </w:p>
        </w:tc>
        <w:tc>
          <w:tcPr>
            <w:tcW w:w="1155" w:type="dxa"/>
            <w:shd w:val="clear" w:color="000000" w:fill="FFFFFF"/>
            <w:noWrap w:val="0"/>
            <w:vAlign w:val="center"/>
          </w:tcPr>
          <w:p>
            <w:pPr>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w:t>
            </w:r>
          </w:p>
        </w:tc>
        <w:tc>
          <w:tcPr>
            <w:tcW w:w="1134" w:type="dxa"/>
            <w:shd w:val="clear" w:color="000000" w:fill="FFFFFF"/>
            <w:noWrap w:val="0"/>
            <w:vAlign w:val="center"/>
          </w:tcPr>
          <w:p>
            <w:pPr>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　</w:t>
            </w:r>
          </w:p>
        </w:tc>
        <w:tc>
          <w:tcPr>
            <w:tcW w:w="1134" w:type="dxa"/>
            <w:shd w:val="clear" w:color="000000" w:fill="FFFFFF"/>
            <w:noWrap w:val="0"/>
            <w:vAlign w:val="center"/>
          </w:tcPr>
          <w:p>
            <w:pPr>
              <w:jc w:val="center"/>
              <w:rPr>
                <w:rFonts w:hint="eastAsia" w:ascii="仿宋" w:hAnsi="仿宋" w:eastAsia="仿宋" w:cs="仿宋"/>
                <w:color w:val="000000"/>
                <w:kern w:val="0"/>
                <w:sz w:val="20"/>
                <w:szCs w:val="20"/>
              </w:rPr>
            </w:pPr>
            <w:r>
              <w:rPr>
                <w:rFonts w:hint="eastAsia" w:ascii="仿宋" w:hAnsi="仿宋" w:eastAsia="仿宋" w:cs="仿宋"/>
                <w:b/>
                <w:bCs/>
                <w:color w:val="000000"/>
                <w:kern w:val="0"/>
                <w:sz w:val="20"/>
                <w:szCs w:val="2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03" w:type="dxa"/>
            <w:shd w:val="clear" w:color="000000" w:fill="FFFFFF"/>
            <w:noWrap w:val="0"/>
            <w:vAlign w:val="center"/>
          </w:tcPr>
          <w:p>
            <w:pPr>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三</w:t>
            </w:r>
          </w:p>
        </w:tc>
        <w:tc>
          <w:tcPr>
            <w:tcW w:w="1973" w:type="dxa"/>
            <w:shd w:val="clear" w:color="000000" w:fill="FFFFFF"/>
            <w:noWrap w:val="0"/>
            <w:vAlign w:val="center"/>
          </w:tcPr>
          <w:p>
            <w:pPr>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单价</w:t>
            </w:r>
          </w:p>
        </w:tc>
        <w:tc>
          <w:tcPr>
            <w:tcW w:w="579" w:type="dxa"/>
            <w:shd w:val="clear" w:color="000000" w:fill="FFFFFF"/>
            <w:noWrap w:val="0"/>
            <w:vAlign w:val="center"/>
          </w:tcPr>
          <w:p>
            <w:pPr>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w:t>
            </w:r>
          </w:p>
        </w:tc>
        <w:tc>
          <w:tcPr>
            <w:tcW w:w="1134" w:type="dxa"/>
            <w:shd w:val="clear" w:color="000000" w:fill="FFFFFF"/>
            <w:noWrap w:val="0"/>
            <w:vAlign w:val="center"/>
          </w:tcPr>
          <w:p>
            <w:pPr>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w:t>
            </w:r>
          </w:p>
        </w:tc>
        <w:tc>
          <w:tcPr>
            <w:tcW w:w="1417" w:type="dxa"/>
            <w:shd w:val="clear" w:color="000000" w:fill="FFFFFF"/>
            <w:noWrap w:val="0"/>
            <w:vAlign w:val="center"/>
          </w:tcPr>
          <w:p>
            <w:pPr>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w:t>
            </w:r>
          </w:p>
        </w:tc>
        <w:tc>
          <w:tcPr>
            <w:tcW w:w="1155" w:type="dxa"/>
            <w:shd w:val="clear" w:color="000000" w:fill="FFFFFF"/>
            <w:noWrap w:val="0"/>
            <w:vAlign w:val="center"/>
          </w:tcPr>
          <w:p>
            <w:pPr>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w:t>
            </w:r>
          </w:p>
        </w:tc>
        <w:tc>
          <w:tcPr>
            <w:tcW w:w="1134" w:type="dxa"/>
            <w:shd w:val="clear" w:color="000000" w:fill="FFFFFF"/>
            <w:noWrap w:val="0"/>
            <w:vAlign w:val="center"/>
          </w:tcPr>
          <w:p>
            <w:pPr>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　</w:t>
            </w:r>
          </w:p>
        </w:tc>
        <w:tc>
          <w:tcPr>
            <w:tcW w:w="1134" w:type="dxa"/>
            <w:shd w:val="clear" w:color="000000" w:fill="FFFFFF"/>
            <w:noWrap w:val="0"/>
            <w:vAlign w:val="center"/>
          </w:tcPr>
          <w:p>
            <w:pPr>
              <w:jc w:val="center"/>
              <w:rPr>
                <w:rFonts w:hint="eastAsia" w:ascii="仿宋" w:hAnsi="仿宋" w:eastAsia="仿宋" w:cs="仿宋"/>
                <w:color w:val="000000"/>
                <w:kern w:val="0"/>
                <w:sz w:val="20"/>
                <w:szCs w:val="20"/>
              </w:rPr>
            </w:pPr>
            <w:r>
              <w:rPr>
                <w:rFonts w:hint="eastAsia" w:ascii="仿宋" w:hAnsi="仿宋" w:eastAsia="仿宋" w:cs="仿宋"/>
                <w:b/>
                <w:bCs/>
                <w:color w:val="000000"/>
                <w:kern w:val="0"/>
                <w:sz w:val="20"/>
                <w:szCs w:val="2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03" w:type="dxa"/>
            <w:shd w:val="clear" w:color="000000" w:fill="FFFFFF"/>
            <w:noWrap w:val="0"/>
            <w:vAlign w:val="center"/>
          </w:tcPr>
          <w:p>
            <w:pPr>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1973" w:type="dxa"/>
            <w:shd w:val="clear" w:color="000000" w:fill="FFFFFF"/>
            <w:noWrap w:val="0"/>
            <w:vAlign w:val="center"/>
          </w:tcPr>
          <w:p>
            <w:pPr>
              <w:jc w:val="left"/>
              <w:rPr>
                <w:rFonts w:hint="eastAsia" w:ascii="仿宋" w:hAnsi="仿宋" w:eastAsia="仿宋" w:cs="仿宋"/>
                <w:color w:val="000000"/>
                <w:kern w:val="0"/>
                <w:sz w:val="20"/>
                <w:szCs w:val="20"/>
              </w:rPr>
            </w:pPr>
          </w:p>
        </w:tc>
        <w:tc>
          <w:tcPr>
            <w:tcW w:w="579" w:type="dxa"/>
            <w:shd w:val="clear" w:color="000000" w:fill="FFFFFF"/>
            <w:noWrap w:val="0"/>
            <w:vAlign w:val="center"/>
          </w:tcPr>
          <w:p>
            <w:pPr>
              <w:jc w:val="center"/>
              <w:rPr>
                <w:rFonts w:hint="eastAsia" w:ascii="仿宋" w:hAnsi="仿宋" w:eastAsia="仿宋" w:cs="仿宋"/>
                <w:color w:val="000000"/>
                <w:kern w:val="0"/>
                <w:sz w:val="20"/>
                <w:szCs w:val="20"/>
              </w:rPr>
            </w:pPr>
          </w:p>
        </w:tc>
        <w:tc>
          <w:tcPr>
            <w:tcW w:w="1134" w:type="dxa"/>
            <w:shd w:val="clear" w:color="000000" w:fill="FFFFFF"/>
            <w:noWrap w:val="0"/>
            <w:vAlign w:val="center"/>
          </w:tcPr>
          <w:p>
            <w:pPr>
              <w:jc w:val="center"/>
              <w:rPr>
                <w:rFonts w:hint="eastAsia" w:ascii="仿宋" w:hAnsi="仿宋" w:eastAsia="仿宋" w:cs="仿宋"/>
                <w:color w:val="000000"/>
                <w:kern w:val="0"/>
                <w:sz w:val="20"/>
                <w:szCs w:val="20"/>
              </w:rPr>
            </w:pPr>
          </w:p>
        </w:tc>
        <w:tc>
          <w:tcPr>
            <w:tcW w:w="1417" w:type="dxa"/>
            <w:shd w:val="clear" w:color="000000" w:fill="FFFFFF"/>
            <w:noWrap w:val="0"/>
            <w:vAlign w:val="center"/>
          </w:tcPr>
          <w:p>
            <w:pPr>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w:t>
            </w:r>
          </w:p>
        </w:tc>
        <w:tc>
          <w:tcPr>
            <w:tcW w:w="1155" w:type="dxa"/>
            <w:shd w:val="clear" w:color="000000" w:fill="FFFFFF"/>
            <w:noWrap w:val="0"/>
            <w:vAlign w:val="center"/>
          </w:tcPr>
          <w:p>
            <w:pPr>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w:t>
            </w:r>
          </w:p>
        </w:tc>
        <w:tc>
          <w:tcPr>
            <w:tcW w:w="1134" w:type="dxa"/>
            <w:shd w:val="clear" w:color="000000" w:fill="FFFFFF"/>
            <w:noWrap w:val="0"/>
            <w:vAlign w:val="center"/>
          </w:tcPr>
          <w:p>
            <w:pPr>
              <w:jc w:val="left"/>
              <w:rPr>
                <w:rFonts w:hint="eastAsia" w:ascii="仿宋" w:hAnsi="仿宋" w:eastAsia="仿宋" w:cs="仿宋"/>
                <w:color w:val="000000"/>
                <w:kern w:val="0"/>
                <w:sz w:val="20"/>
                <w:szCs w:val="20"/>
              </w:rPr>
            </w:pPr>
          </w:p>
        </w:tc>
        <w:tc>
          <w:tcPr>
            <w:tcW w:w="1134" w:type="dxa"/>
            <w:shd w:val="clear" w:color="000000" w:fill="FFFFFF"/>
            <w:noWrap w:val="0"/>
            <w:vAlign w:val="center"/>
          </w:tcPr>
          <w:p>
            <w:pPr>
              <w:jc w:val="center"/>
              <w:rPr>
                <w:rFonts w:hint="eastAsia" w:ascii="仿宋" w:hAnsi="仿宋" w:eastAsia="仿宋" w:cs="仿宋"/>
                <w:color w:val="000000"/>
                <w:kern w:val="0"/>
                <w:sz w:val="20"/>
                <w:szCs w:val="20"/>
              </w:rPr>
            </w:pPr>
            <w:r>
              <w:rPr>
                <w:rFonts w:hint="eastAsia" w:ascii="仿宋" w:hAnsi="仿宋" w:eastAsia="仿宋" w:cs="仿宋"/>
                <w:b/>
                <w:bCs/>
                <w:color w:val="000000"/>
                <w:kern w:val="0"/>
                <w:sz w:val="20"/>
                <w:szCs w:val="2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03" w:type="dxa"/>
            <w:shd w:val="clear" w:color="000000" w:fill="FFFFFF"/>
            <w:noWrap w:val="0"/>
            <w:vAlign w:val="center"/>
          </w:tcPr>
          <w:p>
            <w:pPr>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p>
        </w:tc>
        <w:tc>
          <w:tcPr>
            <w:tcW w:w="1973" w:type="dxa"/>
            <w:shd w:val="clear" w:color="000000" w:fill="FFFFFF"/>
            <w:noWrap w:val="0"/>
            <w:vAlign w:val="center"/>
          </w:tcPr>
          <w:p>
            <w:pPr>
              <w:jc w:val="left"/>
              <w:rPr>
                <w:rFonts w:hint="eastAsia" w:ascii="仿宋" w:hAnsi="仿宋" w:eastAsia="仿宋" w:cs="仿宋"/>
                <w:color w:val="000000"/>
                <w:kern w:val="0"/>
                <w:sz w:val="20"/>
                <w:szCs w:val="20"/>
              </w:rPr>
            </w:pPr>
          </w:p>
        </w:tc>
        <w:tc>
          <w:tcPr>
            <w:tcW w:w="579" w:type="dxa"/>
            <w:shd w:val="clear" w:color="000000" w:fill="FFFFFF"/>
            <w:noWrap w:val="0"/>
            <w:vAlign w:val="center"/>
          </w:tcPr>
          <w:p>
            <w:pPr>
              <w:jc w:val="center"/>
              <w:rPr>
                <w:rFonts w:hint="eastAsia" w:ascii="仿宋" w:hAnsi="仿宋" w:eastAsia="仿宋" w:cs="仿宋"/>
                <w:color w:val="000000"/>
                <w:kern w:val="0"/>
                <w:sz w:val="20"/>
                <w:szCs w:val="20"/>
              </w:rPr>
            </w:pPr>
          </w:p>
        </w:tc>
        <w:tc>
          <w:tcPr>
            <w:tcW w:w="1134" w:type="dxa"/>
            <w:shd w:val="clear" w:color="000000" w:fill="FFFFFF"/>
            <w:noWrap w:val="0"/>
            <w:vAlign w:val="center"/>
          </w:tcPr>
          <w:p>
            <w:pPr>
              <w:jc w:val="center"/>
              <w:rPr>
                <w:rFonts w:hint="eastAsia" w:ascii="仿宋" w:hAnsi="仿宋" w:eastAsia="仿宋" w:cs="仿宋"/>
                <w:color w:val="000000"/>
                <w:kern w:val="0"/>
                <w:sz w:val="20"/>
                <w:szCs w:val="20"/>
              </w:rPr>
            </w:pPr>
          </w:p>
        </w:tc>
        <w:tc>
          <w:tcPr>
            <w:tcW w:w="1417" w:type="dxa"/>
            <w:shd w:val="clear" w:color="000000" w:fill="FFFFFF"/>
            <w:noWrap w:val="0"/>
            <w:vAlign w:val="center"/>
          </w:tcPr>
          <w:p>
            <w:pPr>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w:t>
            </w:r>
          </w:p>
        </w:tc>
        <w:tc>
          <w:tcPr>
            <w:tcW w:w="1155" w:type="dxa"/>
            <w:shd w:val="clear" w:color="000000" w:fill="FFFFFF"/>
            <w:noWrap w:val="0"/>
            <w:vAlign w:val="center"/>
          </w:tcPr>
          <w:p>
            <w:pPr>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w:t>
            </w:r>
          </w:p>
        </w:tc>
        <w:tc>
          <w:tcPr>
            <w:tcW w:w="1134" w:type="dxa"/>
            <w:shd w:val="clear" w:color="000000" w:fill="FFFFFF"/>
            <w:noWrap w:val="0"/>
            <w:vAlign w:val="center"/>
          </w:tcPr>
          <w:p>
            <w:pPr>
              <w:jc w:val="left"/>
              <w:rPr>
                <w:rFonts w:hint="eastAsia" w:ascii="仿宋" w:hAnsi="仿宋" w:eastAsia="仿宋" w:cs="仿宋"/>
                <w:color w:val="000000"/>
                <w:kern w:val="0"/>
                <w:sz w:val="20"/>
                <w:szCs w:val="20"/>
              </w:rPr>
            </w:pPr>
          </w:p>
        </w:tc>
        <w:tc>
          <w:tcPr>
            <w:tcW w:w="1134" w:type="dxa"/>
            <w:shd w:val="clear" w:color="000000" w:fill="FFFFFF"/>
            <w:noWrap w:val="0"/>
            <w:vAlign w:val="center"/>
          </w:tcPr>
          <w:p>
            <w:pPr>
              <w:jc w:val="center"/>
              <w:rPr>
                <w:rFonts w:hint="eastAsia" w:ascii="仿宋" w:hAnsi="仿宋" w:eastAsia="仿宋" w:cs="仿宋"/>
                <w:color w:val="000000"/>
                <w:kern w:val="0"/>
                <w:sz w:val="20"/>
                <w:szCs w:val="20"/>
              </w:rPr>
            </w:pPr>
            <w:r>
              <w:rPr>
                <w:rFonts w:hint="eastAsia" w:ascii="仿宋" w:hAnsi="仿宋" w:eastAsia="仿宋" w:cs="仿宋"/>
                <w:b/>
                <w:bCs/>
                <w:color w:val="000000"/>
                <w:kern w:val="0"/>
                <w:sz w:val="20"/>
                <w:szCs w:val="2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03" w:type="dxa"/>
            <w:shd w:val="clear" w:color="000000" w:fill="FFFFFF"/>
            <w:noWrap w:val="0"/>
            <w:vAlign w:val="center"/>
          </w:tcPr>
          <w:p>
            <w:pPr>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w:t>
            </w:r>
          </w:p>
        </w:tc>
        <w:tc>
          <w:tcPr>
            <w:tcW w:w="1973" w:type="dxa"/>
            <w:shd w:val="clear" w:color="000000" w:fill="FFFFFF"/>
            <w:noWrap w:val="0"/>
            <w:vAlign w:val="center"/>
          </w:tcPr>
          <w:p>
            <w:pPr>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w:t>
            </w:r>
          </w:p>
        </w:tc>
        <w:tc>
          <w:tcPr>
            <w:tcW w:w="579" w:type="dxa"/>
            <w:shd w:val="clear" w:color="000000" w:fill="FFFFFF"/>
            <w:noWrap w:val="0"/>
            <w:vAlign w:val="center"/>
          </w:tcPr>
          <w:p>
            <w:pPr>
              <w:jc w:val="center"/>
              <w:rPr>
                <w:rFonts w:hint="eastAsia" w:ascii="仿宋" w:hAnsi="仿宋" w:eastAsia="仿宋" w:cs="仿宋"/>
                <w:color w:val="000000"/>
                <w:kern w:val="0"/>
                <w:sz w:val="20"/>
                <w:szCs w:val="20"/>
              </w:rPr>
            </w:pPr>
          </w:p>
        </w:tc>
        <w:tc>
          <w:tcPr>
            <w:tcW w:w="1134" w:type="dxa"/>
            <w:shd w:val="clear" w:color="000000" w:fill="FFFFFF"/>
            <w:noWrap w:val="0"/>
            <w:vAlign w:val="center"/>
          </w:tcPr>
          <w:p>
            <w:pPr>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w:t>
            </w:r>
          </w:p>
        </w:tc>
        <w:tc>
          <w:tcPr>
            <w:tcW w:w="1417" w:type="dxa"/>
            <w:shd w:val="clear" w:color="000000" w:fill="FFFFFF"/>
            <w:noWrap w:val="0"/>
            <w:vAlign w:val="center"/>
          </w:tcPr>
          <w:p>
            <w:pPr>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w:t>
            </w:r>
          </w:p>
        </w:tc>
        <w:tc>
          <w:tcPr>
            <w:tcW w:w="1155" w:type="dxa"/>
            <w:shd w:val="clear" w:color="000000" w:fill="FFFFFF"/>
            <w:noWrap w:val="0"/>
            <w:vAlign w:val="center"/>
          </w:tcPr>
          <w:p>
            <w:pPr>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w:t>
            </w:r>
          </w:p>
        </w:tc>
        <w:tc>
          <w:tcPr>
            <w:tcW w:w="1134" w:type="dxa"/>
            <w:shd w:val="clear" w:color="000000" w:fill="FFFFFF"/>
            <w:noWrap w:val="0"/>
            <w:vAlign w:val="center"/>
          </w:tcPr>
          <w:p>
            <w:pPr>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w:t>
            </w:r>
          </w:p>
        </w:tc>
        <w:tc>
          <w:tcPr>
            <w:tcW w:w="1134" w:type="dxa"/>
            <w:shd w:val="clear" w:color="000000" w:fill="FFFFFF"/>
            <w:noWrap w:val="0"/>
            <w:vAlign w:val="center"/>
          </w:tcPr>
          <w:p>
            <w:pPr>
              <w:jc w:val="center"/>
              <w:rPr>
                <w:rFonts w:hint="eastAsia" w:ascii="仿宋" w:hAnsi="仿宋" w:eastAsia="仿宋" w:cs="仿宋"/>
                <w:color w:val="000000"/>
                <w:kern w:val="0"/>
                <w:sz w:val="20"/>
                <w:szCs w:val="20"/>
              </w:rPr>
            </w:pPr>
            <w:r>
              <w:rPr>
                <w:rFonts w:hint="eastAsia" w:ascii="仿宋" w:hAnsi="仿宋" w:eastAsia="仿宋" w:cs="仿宋"/>
                <w:b/>
                <w:bCs/>
                <w:color w:val="000000"/>
                <w:kern w:val="0"/>
                <w:sz w:val="20"/>
                <w:szCs w:val="2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03" w:type="dxa"/>
            <w:shd w:val="clear" w:color="000000" w:fill="FFFFFF"/>
            <w:noWrap w:val="0"/>
            <w:vAlign w:val="center"/>
          </w:tcPr>
          <w:p>
            <w:pPr>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四</w:t>
            </w:r>
          </w:p>
        </w:tc>
        <w:tc>
          <w:tcPr>
            <w:tcW w:w="1973" w:type="dxa"/>
            <w:shd w:val="clear" w:color="000000" w:fill="FFFFFF"/>
            <w:noWrap w:val="0"/>
            <w:vAlign w:val="center"/>
          </w:tcPr>
          <w:p>
            <w:pPr>
              <w:jc w:val="center"/>
              <w:rPr>
                <w:rFonts w:hint="eastAsia" w:ascii="仿宋" w:hAnsi="仿宋" w:eastAsia="仿宋" w:cs="仿宋"/>
                <w:color w:val="000000"/>
                <w:kern w:val="0"/>
                <w:sz w:val="20"/>
                <w:szCs w:val="20"/>
              </w:rPr>
            </w:pPr>
            <w:r>
              <w:rPr>
                <w:rFonts w:hint="eastAsia" w:ascii="仿宋" w:hAnsi="仿宋" w:eastAsia="仿宋" w:cs="仿宋"/>
                <w:b/>
                <w:bCs/>
                <w:color w:val="000000"/>
                <w:kern w:val="0"/>
                <w:sz w:val="20"/>
                <w:szCs w:val="20"/>
              </w:rPr>
              <w:t>安全生产费用</w:t>
            </w:r>
          </w:p>
        </w:tc>
        <w:tc>
          <w:tcPr>
            <w:tcW w:w="579" w:type="dxa"/>
            <w:shd w:val="clear" w:color="000000" w:fill="FFFFFF"/>
            <w:noWrap w:val="0"/>
            <w:vAlign w:val="center"/>
          </w:tcPr>
          <w:p>
            <w:pPr>
              <w:jc w:val="center"/>
              <w:rPr>
                <w:rFonts w:hint="eastAsia" w:ascii="仿宋" w:hAnsi="仿宋" w:eastAsia="仿宋" w:cs="仿宋"/>
                <w:color w:val="000000"/>
                <w:kern w:val="0"/>
                <w:sz w:val="20"/>
                <w:szCs w:val="20"/>
              </w:rPr>
            </w:pPr>
            <w:r>
              <w:rPr>
                <w:rFonts w:hint="eastAsia" w:ascii="仿宋" w:hAnsi="仿宋" w:eastAsia="仿宋" w:cs="仿宋"/>
                <w:b/>
                <w:bCs/>
                <w:color w:val="000000"/>
                <w:kern w:val="0"/>
                <w:sz w:val="20"/>
                <w:szCs w:val="20"/>
              </w:rPr>
              <w:t>/</w:t>
            </w:r>
          </w:p>
        </w:tc>
        <w:tc>
          <w:tcPr>
            <w:tcW w:w="1134" w:type="dxa"/>
            <w:shd w:val="clear" w:color="000000" w:fill="FFFFFF"/>
            <w:noWrap w:val="0"/>
            <w:vAlign w:val="center"/>
          </w:tcPr>
          <w:p>
            <w:pPr>
              <w:jc w:val="center"/>
              <w:rPr>
                <w:rFonts w:hint="eastAsia" w:ascii="仿宋" w:hAnsi="仿宋" w:eastAsia="仿宋" w:cs="仿宋"/>
                <w:color w:val="000000"/>
                <w:kern w:val="0"/>
                <w:sz w:val="20"/>
                <w:szCs w:val="20"/>
              </w:rPr>
            </w:pPr>
            <w:r>
              <w:rPr>
                <w:rFonts w:hint="eastAsia" w:ascii="仿宋" w:hAnsi="仿宋" w:eastAsia="仿宋" w:cs="仿宋"/>
                <w:b/>
                <w:bCs/>
                <w:color w:val="000000"/>
                <w:kern w:val="0"/>
                <w:sz w:val="20"/>
                <w:szCs w:val="20"/>
              </w:rPr>
              <w:t>/</w:t>
            </w:r>
          </w:p>
        </w:tc>
        <w:tc>
          <w:tcPr>
            <w:tcW w:w="1417" w:type="dxa"/>
            <w:shd w:val="clear" w:color="000000" w:fill="FFFFFF"/>
            <w:noWrap w:val="0"/>
            <w:vAlign w:val="center"/>
          </w:tcPr>
          <w:p>
            <w:pPr>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w:t>
            </w:r>
          </w:p>
        </w:tc>
        <w:tc>
          <w:tcPr>
            <w:tcW w:w="1155" w:type="dxa"/>
            <w:shd w:val="clear" w:color="000000" w:fill="FFFFFF"/>
            <w:noWrap w:val="0"/>
            <w:vAlign w:val="center"/>
          </w:tcPr>
          <w:p>
            <w:pPr>
              <w:jc w:val="center"/>
              <w:rPr>
                <w:rFonts w:hint="eastAsia" w:ascii="仿宋" w:hAnsi="仿宋" w:eastAsia="仿宋" w:cs="仿宋"/>
                <w:b/>
                <w:bCs/>
                <w:color w:val="000000"/>
                <w:kern w:val="0"/>
                <w:sz w:val="20"/>
                <w:szCs w:val="20"/>
              </w:rPr>
            </w:pPr>
            <w:r>
              <w:rPr>
                <w:rFonts w:hint="eastAsia" w:ascii="仿宋" w:hAnsi="仿宋" w:eastAsia="仿宋" w:cs="仿宋"/>
                <w:b/>
                <w:bCs/>
                <w:color w:val="000000"/>
                <w:kern w:val="0"/>
                <w:sz w:val="20"/>
                <w:szCs w:val="20"/>
              </w:rPr>
              <w:t>/</w:t>
            </w:r>
          </w:p>
        </w:tc>
        <w:tc>
          <w:tcPr>
            <w:tcW w:w="1134" w:type="dxa"/>
            <w:shd w:val="clear" w:color="000000" w:fill="FFFFFF"/>
            <w:noWrap w:val="0"/>
            <w:vAlign w:val="center"/>
          </w:tcPr>
          <w:p>
            <w:pPr>
              <w:jc w:val="center"/>
              <w:rPr>
                <w:rFonts w:hint="eastAsia" w:ascii="仿宋" w:hAnsi="仿宋" w:eastAsia="仿宋" w:cs="仿宋"/>
                <w:color w:val="000000"/>
                <w:kern w:val="0"/>
                <w:sz w:val="20"/>
                <w:szCs w:val="20"/>
              </w:rPr>
            </w:pPr>
            <w:r>
              <w:rPr>
                <w:rFonts w:hint="eastAsia" w:ascii="仿宋" w:hAnsi="仿宋" w:eastAsia="仿宋" w:cs="仿宋"/>
                <w:b/>
                <w:bCs/>
                <w:color w:val="000000"/>
                <w:kern w:val="0"/>
                <w:sz w:val="20"/>
                <w:szCs w:val="20"/>
              </w:rPr>
              <w:t>/</w:t>
            </w:r>
          </w:p>
        </w:tc>
        <w:tc>
          <w:tcPr>
            <w:tcW w:w="1134" w:type="dxa"/>
            <w:shd w:val="clear" w:color="000000" w:fill="FFFFFF"/>
            <w:noWrap w:val="0"/>
            <w:vAlign w:val="center"/>
          </w:tcPr>
          <w:p>
            <w:pPr>
              <w:jc w:val="center"/>
              <w:rPr>
                <w:rFonts w:hint="eastAsia" w:ascii="仿宋" w:hAnsi="仿宋" w:eastAsia="仿宋" w:cs="仿宋"/>
                <w:color w:val="000000"/>
                <w:kern w:val="0"/>
                <w:sz w:val="20"/>
                <w:szCs w:val="20"/>
              </w:rPr>
            </w:pPr>
          </w:p>
        </w:tc>
      </w:tr>
    </w:tbl>
    <w:p>
      <w:pPr>
        <w:spacing w:line="360" w:lineRule="auto"/>
        <w:ind w:firstLine="482" w:firstLineChars="200"/>
        <w:rPr>
          <w:rFonts w:hint="eastAsia" w:eastAsia="仿宋"/>
          <w:b/>
          <w:color w:val="000000"/>
          <w:sz w:val="24"/>
        </w:rPr>
      </w:pPr>
      <w:r>
        <w:rPr>
          <w:rFonts w:eastAsia="仿宋"/>
          <w:b/>
          <w:color w:val="000000"/>
          <w:sz w:val="24"/>
        </w:rPr>
        <w:t>注：安全生产费用严格按财政部 安全监管总局</w:t>
      </w:r>
      <w:r>
        <w:rPr>
          <w:rFonts w:hint="eastAsia" w:eastAsia="仿宋"/>
          <w:b/>
          <w:color w:val="000000"/>
          <w:sz w:val="24"/>
        </w:rPr>
        <w:t>《应急管理部办公厅关于征求《企业安全费用提取和使用管理办法（征求意见稿）》意见的函》（应急厅函〔2019〕428号）提取和使用。</w:t>
      </w:r>
    </w:p>
    <w:p>
      <w:pPr>
        <w:spacing w:line="360" w:lineRule="auto"/>
        <w:ind w:firstLine="480" w:firstLineChars="200"/>
        <w:rPr>
          <w:rFonts w:eastAsia="仿宋"/>
          <w:color w:val="000000"/>
          <w:sz w:val="24"/>
        </w:rPr>
      </w:pPr>
      <w:r>
        <w:rPr>
          <w:rFonts w:eastAsia="仿宋"/>
          <w:color w:val="000000"/>
          <w:sz w:val="24"/>
        </w:rPr>
        <w:t>安全生产费用以招标人最高投标限价（不含安全生产费用及建筑工程一切险和第三者责任险等保险费用）的2.0％标准计取，并在招标文件《其它项目清单计价表》中以固定值单列，投标人投标文件中均以该固定值报价，不得作为竞争性报价。安全生产费用应用于施工安全防护用具及设施的采购和更新、安全施工措施的落实、安全生产条件的改善、安全生产文明宣传培训等，不得挪作他用。招标人按实计量支付。</w:t>
      </w:r>
    </w:p>
    <w:p>
      <w:pPr>
        <w:pStyle w:val="7"/>
        <w:keepNext w:val="0"/>
        <w:keepLines w:val="0"/>
        <w:spacing w:before="0" w:after="0" w:line="490" w:lineRule="exact"/>
        <w:ind w:firstLine="562" w:firstLineChars="200"/>
        <w:rPr>
          <w:rFonts w:hint="eastAsia" w:ascii="仿宋" w:hAnsi="仿宋" w:eastAsia="仿宋" w:cs="仿宋"/>
          <w:color w:val="000000"/>
          <w:szCs w:val="32"/>
        </w:rPr>
      </w:pPr>
      <w:r>
        <w:rPr>
          <w:rFonts w:hint="eastAsia" w:ascii="仿宋" w:hAnsi="仿宋" w:eastAsia="仿宋" w:cs="仿宋"/>
          <w:color w:val="000000"/>
          <w:szCs w:val="32"/>
        </w:rPr>
        <w:t>10.6 技术投标文件</w:t>
      </w:r>
    </w:p>
    <w:p>
      <w:pPr>
        <w:spacing w:line="490" w:lineRule="exact"/>
        <w:ind w:firstLine="560" w:firstLineChars="200"/>
        <w:rPr>
          <w:rFonts w:hint="eastAsia" w:eastAsia="仿宋_GB2312"/>
          <w:color w:val="000000"/>
          <w:sz w:val="28"/>
          <w:szCs w:val="32"/>
        </w:rPr>
      </w:pPr>
      <w:r>
        <w:rPr>
          <w:rFonts w:hint="eastAsia" w:eastAsia="仿宋_GB2312"/>
          <w:color w:val="000000"/>
          <w:sz w:val="28"/>
          <w:szCs w:val="32"/>
        </w:rPr>
        <w:t>技术投标文件：见投标人须知前附表。</w:t>
      </w:r>
    </w:p>
    <w:p>
      <w:pPr>
        <w:pStyle w:val="7"/>
        <w:keepNext w:val="0"/>
        <w:keepLines w:val="0"/>
        <w:spacing w:before="0" w:after="0" w:line="490" w:lineRule="exact"/>
        <w:ind w:firstLine="562" w:firstLineChars="200"/>
        <w:rPr>
          <w:rFonts w:hint="eastAsia" w:ascii="仿宋" w:hAnsi="仿宋" w:eastAsia="仿宋" w:cs="仿宋"/>
          <w:color w:val="000000"/>
          <w:szCs w:val="32"/>
        </w:rPr>
      </w:pPr>
      <w:r>
        <w:rPr>
          <w:rFonts w:hint="eastAsia" w:ascii="仿宋" w:hAnsi="仿宋" w:eastAsia="仿宋" w:cs="仿宋"/>
          <w:color w:val="000000"/>
          <w:szCs w:val="32"/>
        </w:rPr>
        <w:t>10.7 资料核查</w:t>
      </w:r>
    </w:p>
    <w:p>
      <w:pPr>
        <w:spacing w:line="490" w:lineRule="exact"/>
        <w:ind w:firstLine="560" w:firstLineChars="200"/>
        <w:rPr>
          <w:rFonts w:hint="eastAsia" w:eastAsia="仿宋_GB2312"/>
          <w:color w:val="000000"/>
          <w:sz w:val="28"/>
          <w:szCs w:val="32"/>
        </w:rPr>
      </w:pPr>
      <w:r>
        <w:rPr>
          <w:rFonts w:hint="eastAsia" w:eastAsia="仿宋_GB2312"/>
          <w:color w:val="000000"/>
          <w:sz w:val="28"/>
          <w:szCs w:val="32"/>
        </w:rPr>
        <w:t>资料核查：见投标人须知前附表。</w:t>
      </w:r>
    </w:p>
    <w:p>
      <w:pPr>
        <w:pStyle w:val="7"/>
        <w:keepNext w:val="0"/>
        <w:keepLines w:val="0"/>
        <w:spacing w:before="0" w:after="0" w:line="490" w:lineRule="exact"/>
        <w:ind w:firstLine="562" w:firstLineChars="200"/>
        <w:rPr>
          <w:rFonts w:hint="eastAsia" w:ascii="仿宋" w:hAnsi="仿宋" w:eastAsia="仿宋" w:cs="仿宋"/>
          <w:color w:val="000000"/>
          <w:szCs w:val="32"/>
          <w:lang w:val="en-US" w:eastAsia="zh-CN"/>
        </w:rPr>
      </w:pPr>
      <w:r>
        <w:rPr>
          <w:rFonts w:hint="eastAsia" w:ascii="仿宋" w:hAnsi="仿宋" w:eastAsia="仿宋" w:cs="仿宋"/>
          <w:color w:val="000000"/>
          <w:szCs w:val="32"/>
        </w:rPr>
        <w:t xml:space="preserve">10.8 </w:t>
      </w:r>
      <w:r>
        <w:rPr>
          <w:rFonts w:hint="eastAsia" w:ascii="仿宋" w:hAnsi="仿宋" w:eastAsia="仿宋" w:cs="仿宋"/>
          <w:color w:val="000000"/>
          <w:szCs w:val="32"/>
          <w:lang w:val="en-US" w:eastAsia="zh-CN"/>
        </w:rPr>
        <w:t>项目技术负责人相关专业</w:t>
      </w:r>
    </w:p>
    <w:p>
      <w:pPr>
        <w:pStyle w:val="2"/>
        <w:ind w:firstLine="560" w:firstLineChars="200"/>
        <w:rPr>
          <w:rFonts w:hint="eastAsia" w:eastAsia="仿宋_GB2312"/>
          <w:color w:val="000000"/>
          <w:sz w:val="28"/>
          <w:szCs w:val="32"/>
          <w:lang w:val="en-US" w:eastAsia="zh-CN"/>
        </w:rPr>
      </w:pPr>
      <w:r>
        <w:rPr>
          <w:rFonts w:hint="eastAsia" w:eastAsia="仿宋_GB2312"/>
          <w:color w:val="000000"/>
          <w:sz w:val="28"/>
          <w:szCs w:val="32"/>
          <w:lang w:val="en-US" w:eastAsia="zh-CN"/>
        </w:rPr>
        <w:t>建筑工程相关专业职称包括土木工程、工民建、结构、建筑施工、建筑工程、给排水、电气等相关专业职称。</w:t>
      </w:r>
    </w:p>
    <w:p>
      <w:pPr>
        <w:spacing w:line="490" w:lineRule="exact"/>
        <w:ind w:firstLine="560" w:firstLineChars="200"/>
        <w:rPr>
          <w:rFonts w:hint="eastAsia" w:eastAsia="仿宋_GB2312"/>
          <w:color w:val="000000"/>
          <w:sz w:val="28"/>
          <w:szCs w:val="32"/>
        </w:rPr>
      </w:pPr>
      <w:r>
        <w:rPr>
          <w:rFonts w:hint="eastAsia" w:eastAsia="仿宋_GB2312"/>
          <w:color w:val="000000"/>
          <w:sz w:val="28"/>
          <w:szCs w:val="32"/>
        </w:rPr>
        <w:t>市政公用工程相关专业职称包括道路与桥梁、给排水、土木工程、工民建、结构、建筑施工、建筑工程等相关专业职称。</w:t>
      </w:r>
    </w:p>
    <w:p>
      <w:pPr>
        <w:spacing w:line="490" w:lineRule="exact"/>
        <w:ind w:firstLine="560" w:firstLineChars="200"/>
        <w:rPr>
          <w:rFonts w:hint="eastAsia" w:eastAsia="仿宋_GB2312"/>
          <w:color w:val="000000"/>
          <w:sz w:val="28"/>
          <w:szCs w:val="32"/>
        </w:rPr>
      </w:pPr>
      <w:r>
        <w:rPr>
          <w:rFonts w:hint="eastAsia" w:eastAsia="仿宋_GB2312"/>
          <w:color w:val="000000"/>
          <w:sz w:val="28"/>
          <w:szCs w:val="32"/>
        </w:rPr>
        <w:t>水利水电工程相关专业职称包括水利水电工程建筑、水利水电工程管理、工程施工与概预算、水利工程施工、农田水利工程等水利水电类相关专业职称。</w:t>
      </w:r>
    </w:p>
    <w:p>
      <w:pPr>
        <w:spacing w:line="490" w:lineRule="exact"/>
        <w:ind w:firstLine="560" w:firstLineChars="200"/>
        <w:rPr>
          <w:rFonts w:hint="eastAsia" w:eastAsia="仿宋_GB2312"/>
          <w:color w:val="000000"/>
          <w:sz w:val="28"/>
          <w:szCs w:val="32"/>
        </w:rPr>
      </w:pPr>
      <w:r>
        <w:rPr>
          <w:rFonts w:hint="eastAsia" w:eastAsia="仿宋_GB2312"/>
          <w:color w:val="000000"/>
          <w:sz w:val="28"/>
          <w:szCs w:val="32"/>
        </w:rPr>
        <w:t>人力资源和社会保障部门有相关规定的从其规定。</w:t>
      </w:r>
    </w:p>
    <w:p>
      <w:pPr>
        <w:pStyle w:val="7"/>
        <w:keepNext w:val="0"/>
        <w:keepLines w:val="0"/>
        <w:spacing w:before="0" w:after="0" w:line="490" w:lineRule="exact"/>
        <w:ind w:firstLine="562" w:firstLineChars="200"/>
        <w:rPr>
          <w:rFonts w:hint="eastAsia"/>
          <w:lang w:val="en-US" w:eastAsia="zh-CN"/>
        </w:rPr>
      </w:pPr>
      <w:r>
        <w:rPr>
          <w:rFonts w:hint="eastAsia" w:ascii="仿宋" w:hAnsi="仿宋" w:eastAsia="仿宋" w:cs="仿宋"/>
          <w:color w:val="000000"/>
          <w:szCs w:val="32"/>
          <w:lang w:val="en-US" w:eastAsia="zh-CN"/>
        </w:rPr>
        <w:t>10.9</w:t>
      </w:r>
      <w:r>
        <w:rPr>
          <w:rFonts w:hint="eastAsia" w:ascii="仿宋" w:hAnsi="仿宋" w:eastAsia="仿宋" w:cs="仿宋"/>
          <w:color w:val="000000"/>
          <w:szCs w:val="32"/>
        </w:rPr>
        <w:t xml:space="preserve"> </w:t>
      </w:r>
      <w:r>
        <w:rPr>
          <w:rFonts w:hint="eastAsia" w:ascii="仿宋" w:hAnsi="仿宋" w:eastAsia="仿宋" w:cs="仿宋"/>
          <w:color w:val="000000"/>
          <w:szCs w:val="32"/>
          <w:lang w:val="en-US" w:eastAsia="zh-CN"/>
        </w:rPr>
        <w:t>多标段投标，中标标段确定方法</w:t>
      </w:r>
    </w:p>
    <w:p>
      <w:pPr>
        <w:spacing w:line="490" w:lineRule="exact"/>
        <w:ind w:firstLine="560" w:firstLineChars="200"/>
        <w:rPr>
          <w:rFonts w:hint="eastAsia" w:eastAsia="仿宋_GB2312"/>
          <w:color w:val="000000"/>
          <w:sz w:val="28"/>
          <w:szCs w:val="32"/>
        </w:rPr>
      </w:pPr>
      <w:r>
        <w:rPr>
          <w:rFonts w:hint="eastAsia" w:eastAsia="仿宋_GB2312"/>
          <w:color w:val="000000"/>
          <w:sz w:val="28"/>
          <w:szCs w:val="32"/>
        </w:rPr>
        <w:t>投标人可以就本招标项目的多个标段投标（适用于分标段的招标项目），须按招标文件要求分别配备相关人员（如未分别配备相关人员，则所投标段全按废标处理）。投标人最多允许中标1个标段（如若多标段同时综合排名第一，则按招标上限价金额由大到小依次类推确定中标标段）。</w:t>
      </w:r>
    </w:p>
    <w:p>
      <w:pPr>
        <w:pStyle w:val="7"/>
        <w:keepNext w:val="0"/>
        <w:keepLines w:val="0"/>
        <w:spacing w:before="0" w:after="0" w:line="490" w:lineRule="exact"/>
        <w:ind w:firstLine="562" w:firstLineChars="200"/>
        <w:rPr>
          <w:rFonts w:hint="eastAsia" w:ascii="仿宋" w:hAnsi="仿宋" w:eastAsia="仿宋" w:cs="仿宋"/>
          <w:color w:val="000000"/>
          <w:szCs w:val="32"/>
          <w:lang w:val="en-US" w:eastAsia="zh-CN"/>
        </w:rPr>
      </w:pPr>
      <w:r>
        <w:rPr>
          <w:rFonts w:hint="eastAsia" w:ascii="仿宋" w:hAnsi="仿宋" w:eastAsia="仿宋" w:cs="仿宋"/>
          <w:color w:val="000000"/>
          <w:szCs w:val="32"/>
        </w:rPr>
        <w:t>10.</w:t>
      </w:r>
      <w:r>
        <w:rPr>
          <w:rFonts w:hint="eastAsia" w:ascii="仿宋" w:hAnsi="仿宋" w:eastAsia="仿宋" w:cs="仿宋"/>
          <w:color w:val="000000"/>
          <w:szCs w:val="32"/>
          <w:lang w:val="en-US" w:eastAsia="zh-CN"/>
        </w:rPr>
        <w:t>10</w:t>
      </w:r>
      <w:r>
        <w:rPr>
          <w:rFonts w:hint="eastAsia" w:ascii="仿宋" w:hAnsi="仿宋" w:eastAsia="仿宋" w:cs="仿宋"/>
          <w:color w:val="000000"/>
          <w:szCs w:val="32"/>
        </w:rPr>
        <w:t xml:space="preserve"> </w:t>
      </w:r>
      <w:r>
        <w:rPr>
          <w:rFonts w:hint="eastAsia" w:ascii="仿宋" w:hAnsi="仿宋" w:eastAsia="仿宋" w:cs="仿宋"/>
          <w:color w:val="000000"/>
          <w:szCs w:val="32"/>
          <w:lang w:val="en-US" w:eastAsia="zh-CN"/>
        </w:rPr>
        <w:t>其他</w:t>
      </w:r>
    </w:p>
    <w:p>
      <w:pPr>
        <w:spacing w:line="490" w:lineRule="exact"/>
        <w:ind w:firstLine="560" w:firstLineChars="200"/>
        <w:rPr>
          <w:rFonts w:hint="eastAsia" w:eastAsia="仿宋_GB2312"/>
          <w:color w:val="000000"/>
          <w:sz w:val="28"/>
          <w:szCs w:val="32"/>
        </w:rPr>
      </w:pPr>
      <w:r>
        <w:rPr>
          <w:rFonts w:hint="eastAsia" w:eastAsia="仿宋_GB2312"/>
          <w:color w:val="000000"/>
          <w:sz w:val="28"/>
          <w:szCs w:val="32"/>
        </w:rPr>
        <w:t>投标人必须提供与投标使用的资质类别相配套的建造师、技术负责人、其他项目管理人员及信用评价等相关资料。</w:t>
      </w:r>
    </w:p>
    <w:p>
      <w:pPr>
        <w:spacing w:line="490" w:lineRule="exact"/>
        <w:rPr>
          <w:rFonts w:hint="eastAsia" w:eastAsia="黑体"/>
          <w:bCs/>
          <w:color w:val="000000"/>
          <w:sz w:val="28"/>
          <w:szCs w:val="20"/>
        </w:rPr>
      </w:pPr>
      <w:r>
        <w:rPr>
          <w:rFonts w:hint="eastAsia" w:ascii="仿宋" w:hAnsi="仿宋" w:eastAsia="仿宋" w:cs="仿宋"/>
          <w:color w:val="000000"/>
          <w:sz w:val="28"/>
          <w:szCs w:val="32"/>
        </w:rPr>
        <w:br w:type="page"/>
      </w:r>
      <w:bookmarkStart w:id="207" w:name="_Toc511317968"/>
      <w:bookmarkStart w:id="208" w:name="_Toc269742737"/>
      <w:bookmarkStart w:id="209" w:name="_Toc259698637"/>
      <w:bookmarkStart w:id="210" w:name="_Toc511317219"/>
      <w:bookmarkStart w:id="211" w:name="_Toc361"/>
      <w:bookmarkStart w:id="212" w:name="_Toc7008"/>
      <w:bookmarkStart w:id="213" w:name="_Toc51091854"/>
      <w:r>
        <w:rPr>
          <w:rFonts w:eastAsia="黑体"/>
          <w:bCs/>
          <w:color w:val="000000"/>
          <w:sz w:val="28"/>
          <w:szCs w:val="20"/>
        </w:rPr>
        <w:t>附件</w:t>
      </w:r>
      <w:bookmarkEnd w:id="207"/>
      <w:bookmarkEnd w:id="208"/>
      <w:bookmarkEnd w:id="209"/>
      <w:bookmarkEnd w:id="210"/>
      <w:bookmarkEnd w:id="211"/>
      <w:bookmarkEnd w:id="212"/>
      <w:bookmarkEnd w:id="213"/>
      <w:r>
        <w:rPr>
          <w:rFonts w:hint="eastAsia" w:eastAsia="黑体"/>
          <w:bCs/>
          <w:color w:val="000000"/>
          <w:sz w:val="28"/>
          <w:szCs w:val="20"/>
        </w:rPr>
        <w:t>1</w:t>
      </w:r>
    </w:p>
    <w:p>
      <w:pPr>
        <w:spacing w:line="490" w:lineRule="exact"/>
        <w:jc w:val="center"/>
        <w:rPr>
          <w:rFonts w:eastAsia="方正小标宋_GBK"/>
          <w:b/>
          <w:bCs/>
          <w:color w:val="000000"/>
          <w:sz w:val="40"/>
          <w:szCs w:val="20"/>
        </w:rPr>
      </w:pPr>
      <w:bookmarkStart w:id="214" w:name="_Toc259698638"/>
    </w:p>
    <w:p>
      <w:pPr>
        <w:spacing w:line="490" w:lineRule="exact"/>
        <w:jc w:val="center"/>
        <w:rPr>
          <w:rFonts w:hint="eastAsia" w:ascii="方正小标宋简体" w:eastAsia="方正小标宋简体"/>
          <w:bCs/>
          <w:color w:val="000000"/>
          <w:sz w:val="40"/>
          <w:szCs w:val="20"/>
        </w:rPr>
      </w:pPr>
      <w:r>
        <w:rPr>
          <w:rFonts w:hint="eastAsia" w:ascii="方正小标宋简体" w:eastAsia="方正小标宋简体"/>
          <w:bCs/>
          <w:color w:val="000000"/>
          <w:sz w:val="40"/>
          <w:szCs w:val="20"/>
        </w:rPr>
        <w:t>招标文件澄清申请函</w:t>
      </w:r>
      <w:bookmarkEnd w:id="214"/>
    </w:p>
    <w:p>
      <w:pPr>
        <w:spacing w:line="490" w:lineRule="exact"/>
        <w:jc w:val="center"/>
        <w:rPr>
          <w:rFonts w:eastAsia="仿宋_GB2312"/>
          <w:b/>
          <w:bCs/>
          <w:color w:val="000000"/>
          <w:sz w:val="56"/>
          <w:szCs w:val="20"/>
        </w:rPr>
      </w:pPr>
    </w:p>
    <w:p>
      <w:pPr>
        <w:pStyle w:val="32"/>
        <w:spacing w:line="490" w:lineRule="exact"/>
        <w:ind w:left="560" w:hanging="560"/>
        <w:jc w:val="center"/>
        <w:rPr>
          <w:rFonts w:eastAsia="仿宋_GB2312"/>
          <w:color w:val="000000"/>
          <w:sz w:val="28"/>
          <w:u w:val="single"/>
        </w:rPr>
      </w:pPr>
      <w:r>
        <w:rPr>
          <w:rFonts w:eastAsia="仿宋_GB2312"/>
          <w:color w:val="000000"/>
          <w:sz w:val="28"/>
        </w:rPr>
        <w:t xml:space="preserve">                      编号：</w:t>
      </w:r>
      <w:r>
        <w:rPr>
          <w:rFonts w:eastAsia="仿宋_GB2312"/>
          <w:color w:val="000000"/>
          <w:sz w:val="28"/>
          <w:u w:val="single"/>
        </w:rPr>
        <w:t xml:space="preserve">                </w:t>
      </w:r>
    </w:p>
    <w:p>
      <w:pPr>
        <w:spacing w:line="490" w:lineRule="exact"/>
        <w:rPr>
          <w:rFonts w:eastAsia="仿宋_GB2312"/>
          <w:color w:val="000000"/>
          <w:sz w:val="28"/>
        </w:rPr>
      </w:pPr>
    </w:p>
    <w:p>
      <w:pPr>
        <w:pStyle w:val="19"/>
        <w:spacing w:line="490" w:lineRule="exact"/>
        <w:ind w:left="0" w:leftChars="0"/>
        <w:rPr>
          <w:rFonts w:eastAsia="仿宋_GB2312"/>
          <w:color w:val="000000"/>
          <w:sz w:val="28"/>
        </w:rPr>
      </w:pPr>
      <w:r>
        <w:rPr>
          <w:rFonts w:eastAsia="仿宋_GB2312"/>
          <w:color w:val="000000"/>
          <w:sz w:val="28"/>
          <w:u w:val="single"/>
        </w:rPr>
        <w:t xml:space="preserve">                </w:t>
      </w:r>
      <w:r>
        <w:rPr>
          <w:rFonts w:eastAsia="仿宋_GB2312"/>
          <w:color w:val="000000"/>
          <w:sz w:val="28"/>
        </w:rPr>
        <w:t>（招标人名称）：</w:t>
      </w:r>
    </w:p>
    <w:p>
      <w:pPr>
        <w:autoSpaceDE w:val="0"/>
        <w:autoSpaceDN w:val="0"/>
        <w:adjustRightInd w:val="0"/>
        <w:spacing w:line="490" w:lineRule="exact"/>
        <w:ind w:firstLine="560" w:firstLineChars="200"/>
        <w:jc w:val="left"/>
        <w:rPr>
          <w:rFonts w:eastAsia="仿宋_GB2312"/>
          <w:color w:val="000000"/>
          <w:sz w:val="28"/>
        </w:rPr>
      </w:pPr>
      <w:r>
        <w:rPr>
          <w:rFonts w:eastAsia="仿宋_GB2312"/>
          <w:color w:val="000000"/>
          <w:sz w:val="28"/>
        </w:rPr>
        <w:t>经过仔细阅读</w:t>
      </w:r>
      <w:r>
        <w:rPr>
          <w:rFonts w:eastAsia="仿宋_GB2312"/>
          <w:color w:val="000000"/>
          <w:sz w:val="28"/>
          <w:u w:val="single"/>
        </w:rPr>
        <w:t xml:space="preserve">             </w:t>
      </w:r>
      <w:r>
        <w:rPr>
          <w:rFonts w:eastAsia="仿宋_GB2312"/>
          <w:color w:val="000000"/>
          <w:sz w:val="28"/>
        </w:rPr>
        <w:t>（项目名称）</w:t>
      </w:r>
      <w:r>
        <w:rPr>
          <w:rFonts w:eastAsia="仿宋_GB2312"/>
          <w:color w:val="000000"/>
          <w:sz w:val="28"/>
          <w:u w:val="single"/>
        </w:rPr>
        <w:t xml:space="preserve">            </w:t>
      </w:r>
      <w:r>
        <w:rPr>
          <w:rFonts w:eastAsia="仿宋_GB2312"/>
          <w:color w:val="000000"/>
          <w:sz w:val="28"/>
        </w:rPr>
        <w:t>（标段名称）招标文件后，我方申请对以下问题予以澄清：</w:t>
      </w:r>
    </w:p>
    <w:p>
      <w:pPr>
        <w:autoSpaceDE w:val="0"/>
        <w:autoSpaceDN w:val="0"/>
        <w:adjustRightInd w:val="0"/>
        <w:spacing w:line="490" w:lineRule="exact"/>
        <w:ind w:firstLine="560" w:firstLineChars="200"/>
        <w:jc w:val="left"/>
        <w:rPr>
          <w:rFonts w:eastAsia="仿宋_GB2312"/>
          <w:color w:val="000000"/>
          <w:sz w:val="28"/>
        </w:rPr>
      </w:pPr>
      <w:r>
        <w:rPr>
          <w:rFonts w:eastAsia="仿宋_GB2312"/>
          <w:color w:val="000000"/>
          <w:sz w:val="28"/>
        </w:rPr>
        <w:t>1.……</w:t>
      </w:r>
    </w:p>
    <w:p>
      <w:pPr>
        <w:autoSpaceDE w:val="0"/>
        <w:autoSpaceDN w:val="0"/>
        <w:adjustRightInd w:val="0"/>
        <w:spacing w:line="490" w:lineRule="exact"/>
        <w:ind w:firstLine="560" w:firstLineChars="200"/>
        <w:jc w:val="left"/>
        <w:rPr>
          <w:rFonts w:eastAsia="仿宋_GB2312"/>
          <w:color w:val="000000"/>
          <w:sz w:val="28"/>
        </w:rPr>
      </w:pPr>
      <w:r>
        <w:rPr>
          <w:rFonts w:eastAsia="仿宋_GB2312"/>
          <w:color w:val="000000"/>
          <w:sz w:val="28"/>
        </w:rPr>
        <w:t>2.……</w:t>
      </w:r>
    </w:p>
    <w:p>
      <w:pPr>
        <w:autoSpaceDE w:val="0"/>
        <w:autoSpaceDN w:val="0"/>
        <w:adjustRightInd w:val="0"/>
        <w:spacing w:line="490" w:lineRule="exact"/>
        <w:ind w:firstLine="560" w:firstLineChars="200"/>
        <w:jc w:val="left"/>
        <w:rPr>
          <w:rFonts w:eastAsia="仿宋_GB2312"/>
          <w:color w:val="000000"/>
          <w:sz w:val="28"/>
        </w:rPr>
      </w:pPr>
      <w:r>
        <w:rPr>
          <w:rFonts w:eastAsia="仿宋_GB2312"/>
          <w:color w:val="000000"/>
          <w:sz w:val="28"/>
        </w:rPr>
        <w:t>……</w:t>
      </w:r>
    </w:p>
    <w:p>
      <w:pPr>
        <w:spacing w:line="490" w:lineRule="exact"/>
        <w:rPr>
          <w:rFonts w:eastAsia="仿宋_GB2312"/>
          <w:color w:val="000000"/>
          <w:sz w:val="28"/>
        </w:rPr>
      </w:pPr>
    </w:p>
    <w:p>
      <w:pPr>
        <w:spacing w:line="490" w:lineRule="exact"/>
        <w:rPr>
          <w:rFonts w:eastAsia="仿宋_GB2312"/>
          <w:color w:val="000000"/>
          <w:sz w:val="28"/>
        </w:rPr>
      </w:pPr>
    </w:p>
    <w:p>
      <w:pPr>
        <w:spacing w:line="490" w:lineRule="exact"/>
        <w:rPr>
          <w:rFonts w:eastAsia="仿宋_GB2312"/>
          <w:color w:val="000000"/>
          <w:sz w:val="28"/>
        </w:rPr>
      </w:pPr>
    </w:p>
    <w:p>
      <w:pPr>
        <w:pStyle w:val="32"/>
        <w:spacing w:line="490" w:lineRule="exact"/>
        <w:ind w:left="0" w:right="560" w:firstLine="5180" w:firstLineChars="1850"/>
        <w:rPr>
          <w:rFonts w:eastAsia="仿宋_GB2312"/>
          <w:color w:val="000000"/>
          <w:sz w:val="28"/>
          <w:u w:val="single"/>
        </w:rPr>
      </w:pPr>
      <w:r>
        <w:rPr>
          <w:rFonts w:eastAsia="仿宋_GB2312"/>
          <w:color w:val="000000"/>
          <w:sz w:val="28"/>
        </w:rPr>
        <w:t>投标人：</w:t>
      </w:r>
      <w:r>
        <w:rPr>
          <w:rFonts w:eastAsia="仿宋_GB2312"/>
          <w:color w:val="000000"/>
          <w:sz w:val="28"/>
          <w:u w:val="single"/>
        </w:rPr>
        <w:t xml:space="preserve">                   </w:t>
      </w:r>
    </w:p>
    <w:p>
      <w:pPr>
        <w:pStyle w:val="32"/>
        <w:spacing w:line="490" w:lineRule="exact"/>
        <w:ind w:left="420" w:leftChars="200" w:right="560" w:firstLine="0" w:firstLineChars="0"/>
        <w:jc w:val="center"/>
        <w:rPr>
          <w:rFonts w:eastAsia="仿宋_GB2312"/>
          <w:color w:val="000000"/>
          <w:sz w:val="28"/>
        </w:rPr>
      </w:pPr>
      <w:r>
        <w:rPr>
          <w:rFonts w:eastAsia="仿宋_GB2312"/>
          <w:color w:val="000000"/>
          <w:sz w:val="28"/>
        </w:rPr>
        <w:t xml:space="preserve">                                         （盖单位公章）</w:t>
      </w:r>
    </w:p>
    <w:p>
      <w:pPr>
        <w:pStyle w:val="32"/>
        <w:tabs>
          <w:tab w:val="left" w:pos="6237"/>
        </w:tabs>
        <w:spacing w:line="490" w:lineRule="exact"/>
        <w:ind w:left="420" w:leftChars="200" w:firstLine="0" w:firstLineChars="0"/>
        <w:jc w:val="right"/>
        <w:rPr>
          <w:rFonts w:eastAsia="仿宋_GB2312"/>
          <w:color w:val="000000"/>
          <w:sz w:val="28"/>
          <w:u w:val="single"/>
        </w:rPr>
      </w:pPr>
    </w:p>
    <w:p>
      <w:pPr>
        <w:pStyle w:val="32"/>
        <w:tabs>
          <w:tab w:val="left" w:pos="6237"/>
        </w:tabs>
        <w:spacing w:line="490" w:lineRule="exact"/>
        <w:ind w:left="420" w:leftChars="200" w:firstLine="0" w:firstLineChars="0"/>
        <w:jc w:val="right"/>
        <w:rPr>
          <w:rFonts w:eastAsia="仿宋_GB2312"/>
          <w:color w:val="000000"/>
          <w:sz w:val="28"/>
        </w:rPr>
      </w:pPr>
      <w:r>
        <w:rPr>
          <w:rFonts w:eastAsia="仿宋_GB2312"/>
          <w:color w:val="000000"/>
          <w:sz w:val="28"/>
          <w:u w:val="single"/>
        </w:rPr>
        <w:t xml:space="preserve">      </w:t>
      </w:r>
      <w:r>
        <w:rPr>
          <w:rFonts w:eastAsia="仿宋_GB2312"/>
          <w:color w:val="000000"/>
          <w:sz w:val="28"/>
        </w:rPr>
        <w:t>年</w:t>
      </w:r>
      <w:r>
        <w:rPr>
          <w:rFonts w:eastAsia="仿宋_GB2312"/>
          <w:color w:val="000000"/>
          <w:sz w:val="28"/>
          <w:u w:val="single"/>
        </w:rPr>
        <w:t xml:space="preserve">    </w:t>
      </w:r>
      <w:r>
        <w:rPr>
          <w:rFonts w:eastAsia="仿宋_GB2312"/>
          <w:color w:val="000000"/>
          <w:sz w:val="28"/>
        </w:rPr>
        <w:t>月</w:t>
      </w:r>
      <w:r>
        <w:rPr>
          <w:rFonts w:eastAsia="仿宋_GB2312"/>
          <w:color w:val="000000"/>
          <w:sz w:val="28"/>
          <w:u w:val="single"/>
        </w:rPr>
        <w:t xml:space="preserve">    </w:t>
      </w:r>
      <w:r>
        <w:rPr>
          <w:rFonts w:eastAsia="仿宋_GB2312"/>
          <w:color w:val="000000"/>
          <w:sz w:val="28"/>
        </w:rPr>
        <w:t>日</w:t>
      </w:r>
    </w:p>
    <w:p>
      <w:pPr>
        <w:spacing w:line="490" w:lineRule="exact"/>
        <w:rPr>
          <w:rFonts w:eastAsia="仿宋_GB2312"/>
          <w:color w:val="000000"/>
          <w:sz w:val="28"/>
        </w:rPr>
      </w:pPr>
    </w:p>
    <w:p>
      <w:pPr>
        <w:spacing w:line="490" w:lineRule="exact"/>
        <w:outlineLvl w:val="2"/>
        <w:rPr>
          <w:rFonts w:hint="eastAsia" w:eastAsia="黑体"/>
          <w:bCs/>
          <w:color w:val="000000"/>
          <w:sz w:val="28"/>
          <w:szCs w:val="20"/>
        </w:rPr>
      </w:pPr>
      <w:r>
        <w:rPr>
          <w:color w:val="000000"/>
          <w:sz w:val="20"/>
        </w:rPr>
        <w:br w:type="page"/>
      </w:r>
      <w:bookmarkStart w:id="215" w:name="_Toc51091855"/>
      <w:bookmarkStart w:id="216" w:name="_Toc511317969"/>
      <w:bookmarkStart w:id="217" w:name="_Toc18915"/>
      <w:bookmarkStart w:id="218" w:name="_Toc17822"/>
      <w:bookmarkStart w:id="219" w:name="_Toc259698639"/>
      <w:bookmarkStart w:id="220" w:name="_Toc511317220"/>
      <w:bookmarkStart w:id="221" w:name="_Toc269742738"/>
      <w:r>
        <w:rPr>
          <w:rFonts w:eastAsia="黑体"/>
          <w:bCs/>
          <w:color w:val="000000"/>
          <w:sz w:val="28"/>
          <w:szCs w:val="20"/>
        </w:rPr>
        <w:t>附件</w:t>
      </w:r>
      <w:bookmarkEnd w:id="215"/>
      <w:bookmarkEnd w:id="216"/>
      <w:bookmarkEnd w:id="217"/>
      <w:bookmarkEnd w:id="218"/>
      <w:bookmarkEnd w:id="219"/>
      <w:bookmarkEnd w:id="220"/>
      <w:bookmarkEnd w:id="221"/>
      <w:r>
        <w:rPr>
          <w:rFonts w:hint="eastAsia" w:eastAsia="黑体"/>
          <w:bCs/>
          <w:color w:val="000000"/>
          <w:sz w:val="28"/>
          <w:szCs w:val="20"/>
        </w:rPr>
        <w:t>2</w:t>
      </w:r>
    </w:p>
    <w:p>
      <w:pPr>
        <w:spacing w:line="490" w:lineRule="exact"/>
        <w:jc w:val="center"/>
        <w:rPr>
          <w:rFonts w:eastAsia="方正小标宋_GBK"/>
          <w:b/>
          <w:bCs/>
          <w:color w:val="000000"/>
          <w:sz w:val="40"/>
          <w:szCs w:val="20"/>
        </w:rPr>
      </w:pPr>
      <w:bookmarkStart w:id="222" w:name="_Toc259698640"/>
    </w:p>
    <w:p>
      <w:pPr>
        <w:spacing w:line="490" w:lineRule="exact"/>
        <w:jc w:val="center"/>
        <w:rPr>
          <w:rFonts w:hint="eastAsia" w:ascii="方正小标宋简体" w:eastAsia="方正小标宋简体"/>
          <w:bCs/>
          <w:color w:val="000000"/>
          <w:sz w:val="40"/>
          <w:szCs w:val="20"/>
        </w:rPr>
      </w:pPr>
      <w:r>
        <w:rPr>
          <w:rFonts w:hint="eastAsia" w:ascii="方正小标宋简体" w:eastAsia="方正小标宋简体"/>
          <w:bCs/>
          <w:color w:val="000000"/>
          <w:sz w:val="40"/>
          <w:szCs w:val="20"/>
        </w:rPr>
        <w:t>招标文件澄清通知</w:t>
      </w:r>
      <w:bookmarkEnd w:id="222"/>
    </w:p>
    <w:p>
      <w:pPr>
        <w:spacing w:line="490" w:lineRule="exact"/>
        <w:jc w:val="center"/>
        <w:rPr>
          <w:rFonts w:eastAsia="方正小标宋_GBK"/>
          <w:b/>
          <w:bCs/>
          <w:color w:val="000000"/>
          <w:sz w:val="40"/>
          <w:szCs w:val="20"/>
        </w:rPr>
      </w:pPr>
    </w:p>
    <w:p>
      <w:pPr>
        <w:spacing w:line="490" w:lineRule="exact"/>
        <w:jc w:val="center"/>
        <w:rPr>
          <w:rFonts w:eastAsia="仿宋_GB2312"/>
          <w:color w:val="000000"/>
          <w:sz w:val="28"/>
          <w:szCs w:val="32"/>
        </w:rPr>
      </w:pPr>
      <w:r>
        <w:rPr>
          <w:rFonts w:eastAsia="仿宋_GB2312"/>
          <w:color w:val="000000"/>
          <w:sz w:val="28"/>
          <w:szCs w:val="32"/>
        </w:rPr>
        <w:t xml:space="preserve">                       编号：</w:t>
      </w:r>
      <w:r>
        <w:rPr>
          <w:rFonts w:eastAsia="仿宋_GB2312"/>
          <w:color w:val="000000"/>
          <w:sz w:val="28"/>
          <w:szCs w:val="32"/>
          <w:u w:val="single"/>
        </w:rPr>
        <w:t xml:space="preserve">                </w:t>
      </w:r>
    </w:p>
    <w:p>
      <w:pPr>
        <w:spacing w:line="490" w:lineRule="exact"/>
        <w:rPr>
          <w:rFonts w:eastAsia="仿宋_GB2312"/>
          <w:color w:val="000000"/>
          <w:sz w:val="28"/>
          <w:szCs w:val="32"/>
        </w:rPr>
      </w:pPr>
    </w:p>
    <w:p>
      <w:pPr>
        <w:autoSpaceDE w:val="0"/>
        <w:autoSpaceDN w:val="0"/>
        <w:adjustRightInd w:val="0"/>
        <w:spacing w:line="490" w:lineRule="exact"/>
        <w:ind w:firstLine="560" w:firstLineChars="200"/>
        <w:jc w:val="left"/>
        <w:rPr>
          <w:rFonts w:eastAsia="仿宋_GB2312"/>
          <w:color w:val="000000"/>
          <w:sz w:val="28"/>
          <w:szCs w:val="32"/>
        </w:rPr>
      </w:pPr>
      <w:r>
        <w:rPr>
          <w:rFonts w:eastAsia="仿宋_GB2312"/>
          <w:color w:val="000000"/>
          <w:sz w:val="28"/>
          <w:szCs w:val="32"/>
        </w:rPr>
        <w:t>经研究，对</w:t>
      </w:r>
      <w:r>
        <w:rPr>
          <w:rFonts w:eastAsia="仿宋_GB2312"/>
          <w:color w:val="000000"/>
          <w:sz w:val="28"/>
          <w:szCs w:val="32"/>
          <w:u w:val="single"/>
        </w:rPr>
        <w:t xml:space="preserve">                </w:t>
      </w:r>
      <w:r>
        <w:rPr>
          <w:rFonts w:eastAsia="仿宋_GB2312"/>
          <w:color w:val="000000"/>
          <w:sz w:val="28"/>
          <w:szCs w:val="32"/>
        </w:rPr>
        <w:t>（项目名称）</w:t>
      </w:r>
      <w:r>
        <w:rPr>
          <w:rFonts w:eastAsia="仿宋_GB2312"/>
          <w:color w:val="000000"/>
          <w:sz w:val="28"/>
          <w:szCs w:val="32"/>
          <w:u w:val="single"/>
        </w:rPr>
        <w:t xml:space="preserve">                </w:t>
      </w:r>
      <w:r>
        <w:rPr>
          <w:rFonts w:eastAsia="仿宋_GB2312"/>
          <w:color w:val="000000"/>
          <w:sz w:val="28"/>
          <w:szCs w:val="32"/>
        </w:rPr>
        <w:t>（标段名称）招标文件，作如下澄清：</w:t>
      </w:r>
    </w:p>
    <w:p>
      <w:pPr>
        <w:autoSpaceDE w:val="0"/>
        <w:autoSpaceDN w:val="0"/>
        <w:adjustRightInd w:val="0"/>
        <w:spacing w:line="490" w:lineRule="exact"/>
        <w:ind w:firstLine="560" w:firstLineChars="200"/>
        <w:jc w:val="left"/>
        <w:rPr>
          <w:rFonts w:eastAsia="仿宋_GB2312"/>
          <w:color w:val="000000"/>
          <w:sz w:val="28"/>
          <w:szCs w:val="32"/>
        </w:rPr>
      </w:pPr>
      <w:r>
        <w:rPr>
          <w:rFonts w:eastAsia="仿宋_GB2312"/>
          <w:color w:val="000000"/>
          <w:sz w:val="28"/>
          <w:szCs w:val="32"/>
        </w:rPr>
        <w:t>1.……</w:t>
      </w:r>
    </w:p>
    <w:p>
      <w:pPr>
        <w:autoSpaceDE w:val="0"/>
        <w:autoSpaceDN w:val="0"/>
        <w:adjustRightInd w:val="0"/>
        <w:spacing w:line="490" w:lineRule="exact"/>
        <w:ind w:firstLine="560" w:firstLineChars="200"/>
        <w:jc w:val="left"/>
        <w:rPr>
          <w:rFonts w:eastAsia="仿宋_GB2312"/>
          <w:color w:val="000000"/>
          <w:sz w:val="28"/>
          <w:szCs w:val="32"/>
        </w:rPr>
      </w:pPr>
      <w:r>
        <w:rPr>
          <w:rFonts w:eastAsia="仿宋_GB2312"/>
          <w:color w:val="000000"/>
          <w:sz w:val="28"/>
          <w:szCs w:val="32"/>
        </w:rPr>
        <w:t>2.……</w:t>
      </w:r>
    </w:p>
    <w:p>
      <w:pPr>
        <w:pStyle w:val="32"/>
        <w:spacing w:line="490" w:lineRule="exact"/>
        <w:ind w:left="0" w:firstLine="560" w:firstLineChars="200"/>
        <w:rPr>
          <w:rFonts w:eastAsia="仿宋_GB2312"/>
          <w:color w:val="000000"/>
          <w:sz w:val="28"/>
          <w:szCs w:val="32"/>
        </w:rPr>
      </w:pPr>
      <w:r>
        <w:rPr>
          <w:rFonts w:eastAsia="仿宋_GB2312"/>
          <w:color w:val="000000"/>
          <w:sz w:val="28"/>
          <w:szCs w:val="32"/>
        </w:rPr>
        <w:t>……</w:t>
      </w:r>
    </w:p>
    <w:p>
      <w:pPr>
        <w:spacing w:line="490" w:lineRule="exact"/>
        <w:rPr>
          <w:rFonts w:eastAsia="仿宋_GB2312"/>
          <w:color w:val="000000"/>
          <w:sz w:val="28"/>
          <w:szCs w:val="32"/>
        </w:rPr>
      </w:pPr>
    </w:p>
    <w:p>
      <w:pPr>
        <w:spacing w:line="490" w:lineRule="exact"/>
        <w:rPr>
          <w:rFonts w:eastAsia="仿宋_GB2312"/>
          <w:color w:val="000000"/>
          <w:sz w:val="28"/>
          <w:szCs w:val="32"/>
        </w:rPr>
      </w:pPr>
    </w:p>
    <w:p>
      <w:pPr>
        <w:spacing w:line="490" w:lineRule="exact"/>
        <w:rPr>
          <w:rFonts w:eastAsia="仿宋_GB2312"/>
          <w:color w:val="000000"/>
          <w:sz w:val="28"/>
          <w:szCs w:val="32"/>
        </w:rPr>
      </w:pPr>
    </w:p>
    <w:p>
      <w:pPr>
        <w:spacing w:line="490" w:lineRule="exact"/>
        <w:ind w:firstLine="3360" w:firstLineChars="1200"/>
        <w:jc w:val="left"/>
        <w:rPr>
          <w:rFonts w:eastAsia="仿宋_GB2312"/>
          <w:color w:val="000000"/>
          <w:sz w:val="28"/>
          <w:szCs w:val="32"/>
          <w:u w:val="single"/>
        </w:rPr>
      </w:pPr>
      <w:r>
        <w:rPr>
          <w:rFonts w:eastAsia="仿宋_GB2312"/>
          <w:color w:val="000000"/>
          <w:sz w:val="28"/>
          <w:szCs w:val="32"/>
        </w:rPr>
        <w:t>招标人（或招标代理机构）：</w:t>
      </w:r>
      <w:r>
        <w:rPr>
          <w:rFonts w:eastAsia="仿宋_GB2312"/>
          <w:color w:val="000000"/>
          <w:sz w:val="28"/>
          <w:szCs w:val="32"/>
          <w:u w:val="single"/>
        </w:rPr>
        <w:t xml:space="preserve">                </w:t>
      </w:r>
    </w:p>
    <w:p>
      <w:pPr>
        <w:spacing w:line="490" w:lineRule="exact"/>
        <w:ind w:firstLine="7140" w:firstLineChars="2550"/>
        <w:jc w:val="left"/>
        <w:rPr>
          <w:rFonts w:eastAsia="仿宋_GB2312"/>
          <w:color w:val="000000"/>
          <w:sz w:val="28"/>
          <w:szCs w:val="32"/>
        </w:rPr>
      </w:pPr>
      <w:r>
        <w:rPr>
          <w:rFonts w:eastAsia="仿宋_GB2312"/>
          <w:color w:val="000000"/>
          <w:sz w:val="28"/>
          <w:szCs w:val="32"/>
        </w:rPr>
        <w:t>（盖单位公章）</w:t>
      </w:r>
    </w:p>
    <w:p>
      <w:pPr>
        <w:spacing w:line="490" w:lineRule="exact"/>
        <w:rPr>
          <w:rFonts w:eastAsia="仿宋_GB2312"/>
          <w:color w:val="000000"/>
          <w:sz w:val="28"/>
          <w:szCs w:val="32"/>
        </w:rPr>
      </w:pPr>
    </w:p>
    <w:p>
      <w:pPr>
        <w:pStyle w:val="32"/>
        <w:spacing w:line="490" w:lineRule="exact"/>
        <w:ind w:left="420" w:leftChars="200" w:firstLine="0" w:firstLineChars="0"/>
        <w:jc w:val="right"/>
        <w:rPr>
          <w:rFonts w:eastAsia="仿宋_GB2312"/>
          <w:color w:val="000000"/>
          <w:sz w:val="28"/>
          <w:szCs w:val="32"/>
        </w:rPr>
      </w:pPr>
      <w:r>
        <w:rPr>
          <w:rFonts w:eastAsia="仿宋_GB2312"/>
          <w:color w:val="000000"/>
          <w:sz w:val="28"/>
          <w:szCs w:val="32"/>
          <w:u w:val="single"/>
        </w:rPr>
        <w:t xml:space="preserve">      </w:t>
      </w:r>
      <w:r>
        <w:rPr>
          <w:rFonts w:eastAsia="仿宋_GB2312"/>
          <w:color w:val="000000"/>
          <w:sz w:val="28"/>
          <w:szCs w:val="32"/>
        </w:rPr>
        <w:t>年</w:t>
      </w:r>
      <w:r>
        <w:rPr>
          <w:rFonts w:eastAsia="仿宋_GB2312"/>
          <w:color w:val="000000"/>
          <w:sz w:val="28"/>
          <w:szCs w:val="32"/>
          <w:u w:val="single"/>
        </w:rPr>
        <w:t xml:space="preserve">     </w:t>
      </w:r>
      <w:r>
        <w:rPr>
          <w:rFonts w:eastAsia="仿宋_GB2312"/>
          <w:color w:val="000000"/>
          <w:sz w:val="28"/>
          <w:szCs w:val="32"/>
        </w:rPr>
        <w:t>月</w:t>
      </w:r>
      <w:r>
        <w:rPr>
          <w:rFonts w:eastAsia="仿宋_GB2312"/>
          <w:color w:val="000000"/>
          <w:sz w:val="28"/>
          <w:szCs w:val="32"/>
          <w:u w:val="single"/>
        </w:rPr>
        <w:t xml:space="preserve">     </w:t>
      </w:r>
      <w:r>
        <w:rPr>
          <w:rFonts w:eastAsia="仿宋_GB2312"/>
          <w:color w:val="000000"/>
          <w:sz w:val="28"/>
          <w:szCs w:val="32"/>
        </w:rPr>
        <w:t>日</w:t>
      </w:r>
    </w:p>
    <w:p>
      <w:pPr>
        <w:spacing w:line="490" w:lineRule="exact"/>
        <w:outlineLvl w:val="2"/>
        <w:rPr>
          <w:rFonts w:hint="eastAsia" w:eastAsia="黑体"/>
          <w:bCs/>
          <w:color w:val="000000"/>
          <w:sz w:val="28"/>
          <w:szCs w:val="20"/>
        </w:rPr>
      </w:pPr>
      <w:r>
        <w:rPr>
          <w:color w:val="000000"/>
          <w:sz w:val="20"/>
        </w:rPr>
        <w:br w:type="page"/>
      </w:r>
      <w:bookmarkStart w:id="223" w:name="_Toc259698641"/>
      <w:bookmarkStart w:id="224" w:name="_Toc511317221"/>
      <w:bookmarkStart w:id="225" w:name="_Toc269742739"/>
      <w:bookmarkStart w:id="226" w:name="_Toc511317970"/>
      <w:bookmarkStart w:id="227" w:name="_Toc13444"/>
      <w:bookmarkStart w:id="228" w:name="_Toc17698"/>
      <w:bookmarkStart w:id="229" w:name="_Toc51091856"/>
      <w:r>
        <w:rPr>
          <w:rFonts w:eastAsia="黑体"/>
          <w:bCs/>
          <w:color w:val="000000"/>
          <w:sz w:val="28"/>
          <w:szCs w:val="20"/>
        </w:rPr>
        <w:t>附件</w:t>
      </w:r>
      <w:bookmarkEnd w:id="223"/>
      <w:bookmarkEnd w:id="224"/>
      <w:bookmarkEnd w:id="225"/>
      <w:bookmarkEnd w:id="226"/>
      <w:bookmarkEnd w:id="227"/>
      <w:bookmarkEnd w:id="228"/>
      <w:bookmarkEnd w:id="229"/>
      <w:r>
        <w:rPr>
          <w:rFonts w:hint="eastAsia" w:eastAsia="黑体"/>
          <w:bCs/>
          <w:color w:val="000000"/>
          <w:sz w:val="28"/>
          <w:szCs w:val="20"/>
        </w:rPr>
        <w:t>3</w:t>
      </w:r>
    </w:p>
    <w:p>
      <w:pPr>
        <w:spacing w:line="490" w:lineRule="exact"/>
        <w:jc w:val="center"/>
        <w:rPr>
          <w:rFonts w:eastAsia="方正小标宋_GBK"/>
          <w:b/>
          <w:bCs/>
          <w:color w:val="000000"/>
          <w:sz w:val="40"/>
          <w:szCs w:val="20"/>
        </w:rPr>
      </w:pPr>
    </w:p>
    <w:p>
      <w:pPr>
        <w:spacing w:line="490" w:lineRule="exact"/>
        <w:jc w:val="center"/>
        <w:rPr>
          <w:rFonts w:hint="eastAsia" w:ascii="方正小标宋简体" w:eastAsia="方正小标宋简体"/>
          <w:bCs/>
          <w:color w:val="000000"/>
          <w:sz w:val="40"/>
          <w:szCs w:val="20"/>
        </w:rPr>
      </w:pPr>
      <w:bookmarkStart w:id="230" w:name="_Toc259698642"/>
      <w:r>
        <w:rPr>
          <w:rFonts w:hint="eastAsia" w:ascii="方正小标宋简体" w:eastAsia="方正小标宋简体"/>
          <w:bCs/>
          <w:color w:val="000000"/>
          <w:sz w:val="40"/>
          <w:szCs w:val="20"/>
        </w:rPr>
        <w:t>招标文件修改通知</w:t>
      </w:r>
      <w:bookmarkEnd w:id="230"/>
    </w:p>
    <w:p>
      <w:pPr>
        <w:spacing w:line="490" w:lineRule="exact"/>
        <w:jc w:val="center"/>
        <w:rPr>
          <w:rFonts w:eastAsia="方正小标宋_GBK"/>
          <w:b/>
          <w:bCs/>
          <w:color w:val="000000"/>
          <w:sz w:val="40"/>
          <w:szCs w:val="20"/>
        </w:rPr>
      </w:pPr>
    </w:p>
    <w:p>
      <w:pPr>
        <w:spacing w:line="490" w:lineRule="exact"/>
        <w:jc w:val="center"/>
        <w:rPr>
          <w:rFonts w:eastAsia="仿宋_GB2312"/>
          <w:color w:val="000000"/>
          <w:sz w:val="28"/>
          <w:szCs w:val="32"/>
        </w:rPr>
      </w:pPr>
      <w:r>
        <w:rPr>
          <w:rFonts w:eastAsia="仿宋_GB2312"/>
          <w:color w:val="000000"/>
          <w:sz w:val="28"/>
          <w:szCs w:val="32"/>
        </w:rPr>
        <w:t xml:space="preserve">                           编号：</w:t>
      </w:r>
      <w:r>
        <w:rPr>
          <w:rFonts w:eastAsia="仿宋_GB2312"/>
          <w:color w:val="000000"/>
          <w:sz w:val="28"/>
          <w:szCs w:val="32"/>
          <w:u w:val="single"/>
        </w:rPr>
        <w:t xml:space="preserve">                </w:t>
      </w:r>
    </w:p>
    <w:p>
      <w:pPr>
        <w:spacing w:line="490" w:lineRule="exact"/>
        <w:rPr>
          <w:rFonts w:eastAsia="仿宋_GB2312"/>
          <w:color w:val="000000"/>
          <w:sz w:val="28"/>
          <w:szCs w:val="32"/>
        </w:rPr>
      </w:pPr>
    </w:p>
    <w:p>
      <w:pPr>
        <w:autoSpaceDE w:val="0"/>
        <w:autoSpaceDN w:val="0"/>
        <w:adjustRightInd w:val="0"/>
        <w:spacing w:line="490" w:lineRule="exact"/>
        <w:ind w:firstLine="560" w:firstLineChars="200"/>
        <w:jc w:val="left"/>
        <w:rPr>
          <w:rFonts w:eastAsia="仿宋_GB2312"/>
          <w:color w:val="000000"/>
          <w:sz w:val="28"/>
          <w:szCs w:val="32"/>
        </w:rPr>
      </w:pPr>
      <w:r>
        <w:rPr>
          <w:rFonts w:eastAsia="仿宋_GB2312"/>
          <w:color w:val="000000"/>
          <w:sz w:val="28"/>
          <w:szCs w:val="32"/>
        </w:rPr>
        <w:t>经研究，对</w:t>
      </w:r>
      <w:r>
        <w:rPr>
          <w:rFonts w:eastAsia="仿宋_GB2312"/>
          <w:color w:val="000000"/>
          <w:sz w:val="28"/>
          <w:szCs w:val="32"/>
          <w:u w:val="single"/>
        </w:rPr>
        <w:t xml:space="preserve">            </w:t>
      </w:r>
      <w:r>
        <w:rPr>
          <w:rFonts w:eastAsia="仿宋_GB2312"/>
          <w:color w:val="000000"/>
          <w:sz w:val="28"/>
          <w:szCs w:val="32"/>
        </w:rPr>
        <w:t>（项目名称）</w:t>
      </w:r>
      <w:r>
        <w:rPr>
          <w:rFonts w:eastAsia="仿宋_GB2312"/>
          <w:color w:val="000000"/>
          <w:sz w:val="28"/>
          <w:szCs w:val="32"/>
          <w:u w:val="single"/>
        </w:rPr>
        <w:t xml:space="preserve">             </w:t>
      </w:r>
      <w:r>
        <w:rPr>
          <w:rFonts w:eastAsia="仿宋_GB2312"/>
          <w:color w:val="000000"/>
          <w:sz w:val="28"/>
          <w:szCs w:val="32"/>
        </w:rPr>
        <w:t>（标段名称）招标文件，作如下修改：</w:t>
      </w:r>
    </w:p>
    <w:p>
      <w:pPr>
        <w:autoSpaceDE w:val="0"/>
        <w:autoSpaceDN w:val="0"/>
        <w:adjustRightInd w:val="0"/>
        <w:spacing w:line="490" w:lineRule="exact"/>
        <w:ind w:firstLine="560" w:firstLineChars="200"/>
        <w:jc w:val="left"/>
        <w:rPr>
          <w:rFonts w:eastAsia="仿宋_GB2312"/>
          <w:color w:val="000000"/>
          <w:sz w:val="28"/>
          <w:szCs w:val="32"/>
        </w:rPr>
      </w:pPr>
      <w:r>
        <w:rPr>
          <w:rFonts w:eastAsia="仿宋_GB2312"/>
          <w:color w:val="000000"/>
          <w:sz w:val="28"/>
          <w:szCs w:val="32"/>
        </w:rPr>
        <w:t>1.……</w:t>
      </w:r>
    </w:p>
    <w:p>
      <w:pPr>
        <w:autoSpaceDE w:val="0"/>
        <w:autoSpaceDN w:val="0"/>
        <w:adjustRightInd w:val="0"/>
        <w:spacing w:line="490" w:lineRule="exact"/>
        <w:ind w:firstLine="560" w:firstLineChars="200"/>
        <w:jc w:val="left"/>
        <w:rPr>
          <w:rFonts w:eastAsia="仿宋_GB2312"/>
          <w:color w:val="000000"/>
          <w:sz w:val="28"/>
          <w:szCs w:val="32"/>
        </w:rPr>
      </w:pPr>
      <w:r>
        <w:rPr>
          <w:rFonts w:eastAsia="仿宋_GB2312"/>
          <w:color w:val="000000"/>
          <w:sz w:val="28"/>
          <w:szCs w:val="32"/>
        </w:rPr>
        <w:t>2.……</w:t>
      </w:r>
    </w:p>
    <w:p>
      <w:pPr>
        <w:autoSpaceDE w:val="0"/>
        <w:autoSpaceDN w:val="0"/>
        <w:adjustRightInd w:val="0"/>
        <w:spacing w:line="490" w:lineRule="exact"/>
        <w:ind w:firstLine="560" w:firstLineChars="200"/>
        <w:jc w:val="left"/>
        <w:rPr>
          <w:rFonts w:eastAsia="仿宋_GB2312"/>
          <w:color w:val="000000"/>
          <w:sz w:val="28"/>
          <w:szCs w:val="32"/>
        </w:rPr>
      </w:pPr>
      <w:r>
        <w:rPr>
          <w:rFonts w:eastAsia="仿宋_GB2312"/>
          <w:color w:val="000000"/>
          <w:sz w:val="28"/>
          <w:szCs w:val="32"/>
        </w:rPr>
        <w:t>……</w:t>
      </w:r>
    </w:p>
    <w:p>
      <w:pPr>
        <w:spacing w:line="490" w:lineRule="exact"/>
        <w:rPr>
          <w:rFonts w:eastAsia="仿宋_GB2312"/>
          <w:color w:val="000000"/>
          <w:sz w:val="28"/>
          <w:szCs w:val="32"/>
        </w:rPr>
      </w:pPr>
    </w:p>
    <w:p>
      <w:pPr>
        <w:spacing w:line="490" w:lineRule="exact"/>
        <w:rPr>
          <w:rFonts w:eastAsia="仿宋_GB2312"/>
          <w:color w:val="000000"/>
          <w:sz w:val="28"/>
          <w:szCs w:val="32"/>
        </w:rPr>
      </w:pPr>
    </w:p>
    <w:p>
      <w:pPr>
        <w:spacing w:line="490" w:lineRule="exact"/>
        <w:rPr>
          <w:rFonts w:eastAsia="仿宋_GB2312"/>
          <w:color w:val="000000"/>
          <w:sz w:val="28"/>
          <w:szCs w:val="32"/>
        </w:rPr>
      </w:pPr>
    </w:p>
    <w:p>
      <w:pPr>
        <w:spacing w:line="490" w:lineRule="exact"/>
        <w:ind w:firstLine="3360" w:firstLineChars="1200"/>
        <w:jc w:val="left"/>
        <w:rPr>
          <w:rFonts w:eastAsia="仿宋_GB2312"/>
          <w:color w:val="000000"/>
          <w:sz w:val="28"/>
          <w:szCs w:val="32"/>
          <w:u w:val="single"/>
        </w:rPr>
      </w:pPr>
      <w:r>
        <w:rPr>
          <w:rFonts w:eastAsia="仿宋_GB2312"/>
          <w:color w:val="000000"/>
          <w:sz w:val="28"/>
          <w:szCs w:val="32"/>
        </w:rPr>
        <w:t>招标人（或招标代理机构）：</w:t>
      </w:r>
      <w:r>
        <w:rPr>
          <w:rFonts w:eastAsia="仿宋_GB2312"/>
          <w:color w:val="000000"/>
          <w:sz w:val="28"/>
          <w:szCs w:val="32"/>
          <w:u w:val="single"/>
        </w:rPr>
        <w:t xml:space="preserve">                </w:t>
      </w:r>
    </w:p>
    <w:p>
      <w:pPr>
        <w:spacing w:line="490" w:lineRule="exact"/>
        <w:ind w:firstLine="7140" w:firstLineChars="2550"/>
        <w:jc w:val="left"/>
        <w:rPr>
          <w:rFonts w:eastAsia="仿宋_GB2312"/>
          <w:color w:val="000000"/>
          <w:sz w:val="28"/>
          <w:szCs w:val="32"/>
        </w:rPr>
      </w:pPr>
      <w:r>
        <w:rPr>
          <w:rFonts w:eastAsia="仿宋_GB2312"/>
          <w:color w:val="000000"/>
          <w:sz w:val="28"/>
          <w:szCs w:val="32"/>
        </w:rPr>
        <w:t>（盖单位公章）</w:t>
      </w:r>
    </w:p>
    <w:p>
      <w:pPr>
        <w:spacing w:line="490" w:lineRule="exact"/>
        <w:rPr>
          <w:rFonts w:eastAsia="仿宋_GB2312"/>
          <w:color w:val="000000"/>
          <w:sz w:val="28"/>
          <w:szCs w:val="32"/>
        </w:rPr>
      </w:pPr>
    </w:p>
    <w:p>
      <w:pPr>
        <w:pStyle w:val="32"/>
        <w:spacing w:line="490" w:lineRule="exact"/>
        <w:ind w:left="420" w:leftChars="200" w:firstLine="0" w:firstLineChars="0"/>
        <w:jc w:val="right"/>
        <w:rPr>
          <w:rFonts w:eastAsia="仿宋_GB2312"/>
          <w:color w:val="000000"/>
          <w:sz w:val="28"/>
          <w:szCs w:val="32"/>
        </w:rPr>
      </w:pPr>
      <w:r>
        <w:rPr>
          <w:rFonts w:eastAsia="仿宋_GB2312"/>
          <w:color w:val="000000"/>
          <w:sz w:val="28"/>
          <w:szCs w:val="32"/>
          <w:u w:val="single"/>
        </w:rPr>
        <w:t xml:space="preserve">      </w:t>
      </w:r>
      <w:r>
        <w:rPr>
          <w:rFonts w:eastAsia="仿宋_GB2312"/>
          <w:color w:val="000000"/>
          <w:sz w:val="28"/>
          <w:szCs w:val="32"/>
        </w:rPr>
        <w:t>年</w:t>
      </w:r>
      <w:r>
        <w:rPr>
          <w:rFonts w:eastAsia="仿宋_GB2312"/>
          <w:color w:val="000000"/>
          <w:sz w:val="28"/>
          <w:szCs w:val="32"/>
          <w:u w:val="single"/>
        </w:rPr>
        <w:t xml:space="preserve">    </w:t>
      </w:r>
      <w:r>
        <w:rPr>
          <w:rFonts w:eastAsia="仿宋_GB2312"/>
          <w:color w:val="000000"/>
          <w:sz w:val="28"/>
          <w:szCs w:val="32"/>
        </w:rPr>
        <w:t>月</w:t>
      </w:r>
      <w:r>
        <w:rPr>
          <w:rFonts w:eastAsia="仿宋_GB2312"/>
          <w:color w:val="000000"/>
          <w:sz w:val="28"/>
          <w:szCs w:val="32"/>
          <w:u w:val="single"/>
        </w:rPr>
        <w:t xml:space="preserve">    </w:t>
      </w:r>
      <w:r>
        <w:rPr>
          <w:rFonts w:eastAsia="仿宋_GB2312"/>
          <w:color w:val="000000"/>
          <w:sz w:val="28"/>
          <w:szCs w:val="32"/>
        </w:rPr>
        <w:t>日</w:t>
      </w:r>
    </w:p>
    <w:p>
      <w:pPr>
        <w:spacing w:line="490" w:lineRule="exact"/>
        <w:outlineLvl w:val="2"/>
        <w:rPr>
          <w:rFonts w:hint="eastAsia" w:eastAsia="黑体"/>
          <w:bCs/>
          <w:color w:val="000000"/>
          <w:sz w:val="28"/>
          <w:szCs w:val="20"/>
        </w:rPr>
      </w:pPr>
      <w:r>
        <w:rPr>
          <w:strike/>
          <w:color w:val="000000"/>
          <w:sz w:val="20"/>
        </w:rPr>
        <w:br w:type="page"/>
      </w:r>
      <w:bookmarkStart w:id="231" w:name="_Toc511317222"/>
      <w:bookmarkStart w:id="232" w:name="_Toc511317971"/>
      <w:bookmarkStart w:id="233" w:name="_Toc32077"/>
      <w:bookmarkStart w:id="234" w:name="_Toc259698645"/>
      <w:bookmarkStart w:id="235" w:name="_Toc269742741"/>
      <w:bookmarkStart w:id="236" w:name="_Toc51091857"/>
      <w:bookmarkStart w:id="237" w:name="_Toc7332"/>
      <w:r>
        <w:rPr>
          <w:rFonts w:eastAsia="黑体"/>
          <w:bCs/>
          <w:color w:val="000000"/>
          <w:sz w:val="28"/>
          <w:szCs w:val="20"/>
        </w:rPr>
        <w:t>附件</w:t>
      </w:r>
      <w:bookmarkEnd w:id="231"/>
      <w:bookmarkEnd w:id="232"/>
      <w:bookmarkEnd w:id="233"/>
      <w:bookmarkEnd w:id="234"/>
      <w:bookmarkEnd w:id="235"/>
      <w:bookmarkEnd w:id="236"/>
      <w:bookmarkEnd w:id="237"/>
      <w:r>
        <w:rPr>
          <w:rFonts w:hint="eastAsia" w:eastAsia="黑体"/>
          <w:bCs/>
          <w:color w:val="000000"/>
          <w:sz w:val="28"/>
          <w:szCs w:val="20"/>
        </w:rPr>
        <w:t>4</w:t>
      </w:r>
    </w:p>
    <w:p>
      <w:pPr>
        <w:spacing w:line="490" w:lineRule="exact"/>
        <w:jc w:val="center"/>
        <w:rPr>
          <w:rFonts w:eastAsia="方正小标宋_GBK"/>
          <w:b/>
          <w:bCs/>
          <w:color w:val="000000"/>
          <w:sz w:val="40"/>
          <w:szCs w:val="20"/>
        </w:rPr>
      </w:pPr>
    </w:p>
    <w:p>
      <w:pPr>
        <w:spacing w:line="490" w:lineRule="exact"/>
        <w:jc w:val="center"/>
        <w:rPr>
          <w:rFonts w:hint="eastAsia" w:ascii="方正小标宋简体" w:eastAsia="方正小标宋简体"/>
          <w:bCs/>
          <w:color w:val="000000"/>
          <w:sz w:val="40"/>
          <w:szCs w:val="20"/>
        </w:rPr>
      </w:pPr>
      <w:bookmarkStart w:id="238" w:name="_Toc259698646"/>
      <w:r>
        <w:rPr>
          <w:rFonts w:hint="eastAsia" w:ascii="方正小标宋简体" w:eastAsia="方正小标宋简体"/>
          <w:bCs/>
          <w:color w:val="000000"/>
          <w:sz w:val="40"/>
          <w:szCs w:val="20"/>
        </w:rPr>
        <w:t>开标记录表</w:t>
      </w:r>
      <w:bookmarkEnd w:id="238"/>
    </w:p>
    <w:p>
      <w:pPr>
        <w:spacing w:line="490" w:lineRule="exact"/>
        <w:jc w:val="center"/>
        <w:rPr>
          <w:rFonts w:eastAsia="仿宋"/>
          <w:b/>
          <w:bCs/>
          <w:color w:val="000000"/>
          <w:sz w:val="40"/>
          <w:szCs w:val="20"/>
        </w:rPr>
      </w:pPr>
    </w:p>
    <w:p>
      <w:pPr>
        <w:pStyle w:val="19"/>
        <w:spacing w:after="0" w:line="490" w:lineRule="exact"/>
        <w:ind w:left="0" w:leftChars="0"/>
        <w:jc w:val="left"/>
        <w:rPr>
          <w:rFonts w:eastAsia="仿宋"/>
          <w:color w:val="000000"/>
          <w:sz w:val="28"/>
          <w:szCs w:val="32"/>
        </w:rPr>
      </w:pPr>
      <w:r>
        <w:rPr>
          <w:rFonts w:eastAsia="仿宋"/>
          <w:color w:val="000000"/>
          <w:sz w:val="20"/>
          <w:u w:val="single"/>
        </w:rPr>
        <w:t xml:space="preserve"> </w:t>
      </w:r>
      <w:r>
        <w:rPr>
          <w:rFonts w:eastAsia="仿宋"/>
          <w:color w:val="000000"/>
          <w:sz w:val="28"/>
          <w:szCs w:val="32"/>
          <w:u w:val="single"/>
        </w:rPr>
        <w:t xml:space="preserve">            </w:t>
      </w:r>
      <w:r>
        <w:rPr>
          <w:rFonts w:eastAsia="仿宋"/>
          <w:color w:val="000000"/>
          <w:sz w:val="28"/>
          <w:szCs w:val="32"/>
        </w:rPr>
        <w:t>（项目名称）</w:t>
      </w:r>
      <w:r>
        <w:rPr>
          <w:rFonts w:eastAsia="仿宋"/>
          <w:color w:val="000000"/>
          <w:sz w:val="28"/>
          <w:szCs w:val="32"/>
          <w:u w:val="single"/>
        </w:rPr>
        <w:t xml:space="preserve">             </w:t>
      </w:r>
      <w:r>
        <w:rPr>
          <w:rFonts w:eastAsia="仿宋"/>
          <w:color w:val="000000"/>
          <w:sz w:val="28"/>
          <w:szCs w:val="32"/>
        </w:rPr>
        <w:t>（标段名称）</w:t>
      </w:r>
    </w:p>
    <w:p>
      <w:pPr>
        <w:spacing w:line="490" w:lineRule="exact"/>
        <w:jc w:val="left"/>
        <w:rPr>
          <w:rFonts w:eastAsia="仿宋"/>
          <w:color w:val="000000"/>
          <w:sz w:val="20"/>
        </w:rPr>
      </w:pPr>
      <w:r>
        <w:rPr>
          <w:rFonts w:eastAsia="仿宋"/>
          <w:color w:val="000000"/>
          <w:sz w:val="28"/>
          <w:szCs w:val="32"/>
        </w:rPr>
        <w:t>开标时间：</w:t>
      </w:r>
      <w:r>
        <w:rPr>
          <w:rFonts w:eastAsia="仿宋"/>
          <w:color w:val="000000"/>
          <w:sz w:val="28"/>
          <w:szCs w:val="32"/>
          <w:u w:val="single"/>
        </w:rPr>
        <w:t xml:space="preserve">     </w:t>
      </w:r>
      <w:r>
        <w:rPr>
          <w:rFonts w:eastAsia="仿宋"/>
          <w:color w:val="000000"/>
          <w:sz w:val="28"/>
          <w:szCs w:val="32"/>
        </w:rPr>
        <w:t>年</w:t>
      </w:r>
      <w:r>
        <w:rPr>
          <w:rFonts w:eastAsia="仿宋"/>
          <w:color w:val="000000"/>
          <w:sz w:val="28"/>
          <w:szCs w:val="32"/>
          <w:u w:val="single"/>
        </w:rPr>
        <w:t xml:space="preserve">    </w:t>
      </w:r>
      <w:r>
        <w:rPr>
          <w:rFonts w:eastAsia="仿宋"/>
          <w:color w:val="000000"/>
          <w:sz w:val="28"/>
          <w:szCs w:val="32"/>
        </w:rPr>
        <w:t>月</w:t>
      </w:r>
      <w:r>
        <w:rPr>
          <w:rFonts w:eastAsia="仿宋"/>
          <w:color w:val="000000"/>
          <w:sz w:val="28"/>
          <w:szCs w:val="32"/>
          <w:u w:val="single"/>
        </w:rPr>
        <w:t xml:space="preserve">    </w:t>
      </w:r>
      <w:r>
        <w:rPr>
          <w:rFonts w:eastAsia="仿宋"/>
          <w:color w:val="000000"/>
          <w:sz w:val="28"/>
          <w:szCs w:val="32"/>
        </w:rPr>
        <w:t>日</w:t>
      </w:r>
      <w:r>
        <w:rPr>
          <w:rFonts w:eastAsia="仿宋"/>
          <w:color w:val="000000"/>
          <w:sz w:val="28"/>
          <w:szCs w:val="32"/>
          <w:u w:val="single"/>
        </w:rPr>
        <w:t xml:space="preserve">    </w:t>
      </w:r>
      <w:r>
        <w:rPr>
          <w:rFonts w:eastAsia="仿宋"/>
          <w:color w:val="000000"/>
          <w:sz w:val="28"/>
          <w:szCs w:val="32"/>
        </w:rPr>
        <w:t>时</w:t>
      </w:r>
      <w:r>
        <w:rPr>
          <w:rFonts w:eastAsia="仿宋"/>
          <w:color w:val="000000"/>
          <w:sz w:val="28"/>
          <w:szCs w:val="32"/>
          <w:u w:val="single"/>
        </w:rPr>
        <w:t xml:space="preserve">    </w:t>
      </w:r>
      <w:r>
        <w:rPr>
          <w:rFonts w:eastAsia="仿宋"/>
          <w:color w:val="000000"/>
          <w:sz w:val="28"/>
          <w:szCs w:val="32"/>
        </w:rPr>
        <w:t>分</w:t>
      </w:r>
    </w:p>
    <w:p>
      <w:pPr>
        <w:rPr>
          <w:rFonts w:eastAsia="仿宋"/>
          <w:color w:val="000000"/>
        </w:rPr>
      </w:pP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276"/>
        <w:gridCol w:w="1417"/>
        <w:gridCol w:w="1363"/>
        <w:gridCol w:w="1189"/>
        <w:gridCol w:w="1134"/>
        <w:gridCol w:w="2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4" w:type="dxa"/>
            <w:noWrap w:val="0"/>
            <w:vAlign w:val="center"/>
          </w:tcPr>
          <w:p>
            <w:pPr>
              <w:jc w:val="center"/>
              <w:rPr>
                <w:rFonts w:eastAsia="仿宋"/>
                <w:color w:val="000000"/>
              </w:rPr>
            </w:pPr>
            <w:r>
              <w:rPr>
                <w:rFonts w:eastAsia="仿宋"/>
                <w:color w:val="000000"/>
              </w:rPr>
              <w:t>序号</w:t>
            </w:r>
          </w:p>
        </w:tc>
        <w:tc>
          <w:tcPr>
            <w:tcW w:w="1276" w:type="dxa"/>
            <w:noWrap w:val="0"/>
            <w:vAlign w:val="center"/>
          </w:tcPr>
          <w:p>
            <w:pPr>
              <w:jc w:val="center"/>
              <w:rPr>
                <w:rFonts w:eastAsia="仿宋"/>
                <w:color w:val="000000"/>
              </w:rPr>
            </w:pPr>
            <w:r>
              <w:rPr>
                <w:rFonts w:eastAsia="仿宋"/>
                <w:color w:val="000000"/>
              </w:rPr>
              <w:t>投标人</w:t>
            </w:r>
          </w:p>
        </w:tc>
        <w:tc>
          <w:tcPr>
            <w:tcW w:w="1417" w:type="dxa"/>
            <w:noWrap w:val="0"/>
            <w:vAlign w:val="center"/>
          </w:tcPr>
          <w:p>
            <w:pPr>
              <w:jc w:val="center"/>
              <w:rPr>
                <w:rFonts w:eastAsia="仿宋"/>
                <w:color w:val="000000"/>
              </w:rPr>
            </w:pPr>
            <w:r>
              <w:rPr>
                <w:rFonts w:hint="eastAsia" w:eastAsia="仿宋"/>
                <w:color w:val="000000"/>
              </w:rPr>
              <w:t>投标担保</w:t>
            </w:r>
            <w:r>
              <w:rPr>
                <w:rFonts w:eastAsia="仿宋"/>
                <w:color w:val="000000"/>
              </w:rPr>
              <w:t>（元）</w:t>
            </w:r>
          </w:p>
        </w:tc>
        <w:tc>
          <w:tcPr>
            <w:tcW w:w="1363" w:type="dxa"/>
            <w:noWrap w:val="0"/>
            <w:vAlign w:val="center"/>
          </w:tcPr>
          <w:p>
            <w:pPr>
              <w:jc w:val="center"/>
              <w:rPr>
                <w:rFonts w:eastAsia="仿宋"/>
                <w:color w:val="000000"/>
              </w:rPr>
            </w:pPr>
            <w:r>
              <w:rPr>
                <w:rFonts w:eastAsia="仿宋"/>
                <w:color w:val="000000"/>
              </w:rPr>
              <w:t>投标报价（元）</w:t>
            </w:r>
          </w:p>
        </w:tc>
        <w:tc>
          <w:tcPr>
            <w:tcW w:w="1189" w:type="dxa"/>
            <w:noWrap w:val="0"/>
            <w:vAlign w:val="center"/>
          </w:tcPr>
          <w:p>
            <w:pPr>
              <w:jc w:val="center"/>
              <w:rPr>
                <w:rFonts w:eastAsia="仿宋"/>
                <w:color w:val="000000"/>
              </w:rPr>
            </w:pPr>
            <w:r>
              <w:rPr>
                <w:rFonts w:eastAsia="仿宋"/>
                <w:color w:val="000000"/>
              </w:rPr>
              <w:t>质量目标</w:t>
            </w:r>
          </w:p>
        </w:tc>
        <w:tc>
          <w:tcPr>
            <w:tcW w:w="1134" w:type="dxa"/>
            <w:noWrap w:val="0"/>
            <w:vAlign w:val="center"/>
          </w:tcPr>
          <w:p>
            <w:pPr>
              <w:jc w:val="center"/>
              <w:rPr>
                <w:rFonts w:eastAsia="仿宋"/>
                <w:color w:val="000000"/>
              </w:rPr>
            </w:pPr>
            <w:r>
              <w:rPr>
                <w:rFonts w:eastAsia="仿宋"/>
                <w:color w:val="000000"/>
              </w:rPr>
              <w:t>工期</w:t>
            </w:r>
          </w:p>
        </w:tc>
        <w:tc>
          <w:tcPr>
            <w:tcW w:w="2036" w:type="dxa"/>
            <w:noWrap w:val="0"/>
            <w:vAlign w:val="center"/>
          </w:tcPr>
          <w:p>
            <w:pPr>
              <w:jc w:val="center"/>
              <w:rPr>
                <w:rFonts w:eastAsia="仿宋"/>
                <w:color w:val="000000"/>
              </w:rPr>
            </w:pPr>
            <w:r>
              <w:rPr>
                <w:rFonts w:eastAsia="仿宋"/>
                <w:color w:val="000000"/>
              </w:rPr>
              <w:t>投标人电子签章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4" w:type="dxa"/>
            <w:noWrap w:val="0"/>
            <w:vAlign w:val="center"/>
          </w:tcPr>
          <w:p>
            <w:pPr>
              <w:ind w:right="105"/>
              <w:jc w:val="center"/>
              <w:rPr>
                <w:rFonts w:eastAsia="仿宋"/>
                <w:color w:val="000000"/>
                <w:szCs w:val="21"/>
              </w:rPr>
            </w:pPr>
          </w:p>
        </w:tc>
        <w:tc>
          <w:tcPr>
            <w:tcW w:w="1276" w:type="dxa"/>
            <w:noWrap w:val="0"/>
            <w:vAlign w:val="center"/>
          </w:tcPr>
          <w:p>
            <w:pPr>
              <w:ind w:right="105"/>
              <w:jc w:val="center"/>
              <w:rPr>
                <w:rFonts w:eastAsia="仿宋"/>
                <w:color w:val="000000"/>
                <w:szCs w:val="21"/>
              </w:rPr>
            </w:pPr>
          </w:p>
        </w:tc>
        <w:tc>
          <w:tcPr>
            <w:tcW w:w="1417" w:type="dxa"/>
            <w:noWrap w:val="0"/>
            <w:vAlign w:val="center"/>
          </w:tcPr>
          <w:p>
            <w:pPr>
              <w:ind w:right="105"/>
              <w:jc w:val="center"/>
              <w:rPr>
                <w:rFonts w:eastAsia="仿宋"/>
                <w:color w:val="000000"/>
                <w:szCs w:val="21"/>
              </w:rPr>
            </w:pPr>
          </w:p>
        </w:tc>
        <w:tc>
          <w:tcPr>
            <w:tcW w:w="1363" w:type="dxa"/>
            <w:noWrap w:val="0"/>
            <w:vAlign w:val="center"/>
          </w:tcPr>
          <w:p>
            <w:pPr>
              <w:ind w:right="105"/>
              <w:jc w:val="center"/>
              <w:rPr>
                <w:rFonts w:eastAsia="仿宋"/>
                <w:color w:val="000000"/>
                <w:szCs w:val="21"/>
              </w:rPr>
            </w:pPr>
          </w:p>
        </w:tc>
        <w:tc>
          <w:tcPr>
            <w:tcW w:w="1189" w:type="dxa"/>
            <w:noWrap w:val="0"/>
            <w:vAlign w:val="center"/>
          </w:tcPr>
          <w:p>
            <w:pPr>
              <w:ind w:right="105"/>
              <w:jc w:val="center"/>
              <w:rPr>
                <w:rFonts w:eastAsia="仿宋"/>
                <w:color w:val="000000"/>
                <w:szCs w:val="21"/>
              </w:rPr>
            </w:pPr>
          </w:p>
        </w:tc>
        <w:tc>
          <w:tcPr>
            <w:tcW w:w="1134" w:type="dxa"/>
            <w:noWrap w:val="0"/>
            <w:vAlign w:val="center"/>
          </w:tcPr>
          <w:p>
            <w:pPr>
              <w:ind w:right="105"/>
              <w:jc w:val="center"/>
              <w:rPr>
                <w:rFonts w:eastAsia="仿宋"/>
                <w:color w:val="000000"/>
                <w:szCs w:val="21"/>
              </w:rPr>
            </w:pPr>
          </w:p>
        </w:tc>
        <w:tc>
          <w:tcPr>
            <w:tcW w:w="2036" w:type="dxa"/>
            <w:noWrap w:val="0"/>
            <w:vAlign w:val="center"/>
          </w:tcPr>
          <w:p>
            <w:pPr>
              <w:ind w:right="105"/>
              <w:jc w:val="center"/>
              <w:rPr>
                <w:rFonts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4" w:type="dxa"/>
            <w:noWrap w:val="0"/>
            <w:vAlign w:val="center"/>
          </w:tcPr>
          <w:p>
            <w:pPr>
              <w:ind w:right="105"/>
              <w:jc w:val="center"/>
              <w:rPr>
                <w:rFonts w:eastAsia="仿宋"/>
                <w:color w:val="000000"/>
                <w:szCs w:val="21"/>
              </w:rPr>
            </w:pPr>
          </w:p>
        </w:tc>
        <w:tc>
          <w:tcPr>
            <w:tcW w:w="1276" w:type="dxa"/>
            <w:noWrap w:val="0"/>
            <w:vAlign w:val="center"/>
          </w:tcPr>
          <w:p>
            <w:pPr>
              <w:ind w:right="105"/>
              <w:jc w:val="center"/>
              <w:rPr>
                <w:rFonts w:eastAsia="仿宋"/>
                <w:color w:val="000000"/>
                <w:szCs w:val="21"/>
              </w:rPr>
            </w:pPr>
          </w:p>
        </w:tc>
        <w:tc>
          <w:tcPr>
            <w:tcW w:w="1417" w:type="dxa"/>
            <w:noWrap w:val="0"/>
            <w:vAlign w:val="center"/>
          </w:tcPr>
          <w:p>
            <w:pPr>
              <w:ind w:right="105"/>
              <w:jc w:val="center"/>
              <w:rPr>
                <w:rFonts w:eastAsia="仿宋"/>
                <w:color w:val="000000"/>
                <w:szCs w:val="21"/>
              </w:rPr>
            </w:pPr>
          </w:p>
        </w:tc>
        <w:tc>
          <w:tcPr>
            <w:tcW w:w="1363" w:type="dxa"/>
            <w:noWrap w:val="0"/>
            <w:vAlign w:val="center"/>
          </w:tcPr>
          <w:p>
            <w:pPr>
              <w:ind w:right="105"/>
              <w:jc w:val="center"/>
              <w:rPr>
                <w:rFonts w:eastAsia="仿宋"/>
                <w:color w:val="000000"/>
                <w:szCs w:val="21"/>
              </w:rPr>
            </w:pPr>
          </w:p>
        </w:tc>
        <w:tc>
          <w:tcPr>
            <w:tcW w:w="1189" w:type="dxa"/>
            <w:noWrap w:val="0"/>
            <w:vAlign w:val="center"/>
          </w:tcPr>
          <w:p>
            <w:pPr>
              <w:ind w:right="105"/>
              <w:jc w:val="center"/>
              <w:rPr>
                <w:rFonts w:eastAsia="仿宋"/>
                <w:color w:val="000000"/>
                <w:szCs w:val="21"/>
              </w:rPr>
            </w:pPr>
          </w:p>
        </w:tc>
        <w:tc>
          <w:tcPr>
            <w:tcW w:w="1134" w:type="dxa"/>
            <w:noWrap w:val="0"/>
            <w:vAlign w:val="center"/>
          </w:tcPr>
          <w:p>
            <w:pPr>
              <w:ind w:right="105"/>
              <w:jc w:val="center"/>
              <w:rPr>
                <w:rFonts w:eastAsia="仿宋"/>
                <w:color w:val="000000"/>
                <w:szCs w:val="21"/>
              </w:rPr>
            </w:pPr>
          </w:p>
        </w:tc>
        <w:tc>
          <w:tcPr>
            <w:tcW w:w="2036" w:type="dxa"/>
            <w:noWrap w:val="0"/>
            <w:vAlign w:val="center"/>
          </w:tcPr>
          <w:p>
            <w:pPr>
              <w:ind w:right="105"/>
              <w:jc w:val="center"/>
              <w:rPr>
                <w:rFonts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4" w:type="dxa"/>
            <w:noWrap w:val="0"/>
            <w:vAlign w:val="center"/>
          </w:tcPr>
          <w:p>
            <w:pPr>
              <w:ind w:right="105"/>
              <w:jc w:val="center"/>
              <w:rPr>
                <w:rFonts w:eastAsia="仿宋"/>
                <w:color w:val="000000"/>
                <w:szCs w:val="21"/>
              </w:rPr>
            </w:pPr>
          </w:p>
        </w:tc>
        <w:tc>
          <w:tcPr>
            <w:tcW w:w="1276" w:type="dxa"/>
            <w:noWrap w:val="0"/>
            <w:vAlign w:val="center"/>
          </w:tcPr>
          <w:p>
            <w:pPr>
              <w:ind w:right="105"/>
              <w:jc w:val="center"/>
              <w:rPr>
                <w:rFonts w:eastAsia="仿宋"/>
                <w:color w:val="000000"/>
                <w:szCs w:val="21"/>
              </w:rPr>
            </w:pPr>
          </w:p>
        </w:tc>
        <w:tc>
          <w:tcPr>
            <w:tcW w:w="1417" w:type="dxa"/>
            <w:noWrap w:val="0"/>
            <w:vAlign w:val="center"/>
          </w:tcPr>
          <w:p>
            <w:pPr>
              <w:ind w:right="105"/>
              <w:jc w:val="center"/>
              <w:rPr>
                <w:rFonts w:eastAsia="仿宋"/>
                <w:color w:val="000000"/>
                <w:szCs w:val="21"/>
              </w:rPr>
            </w:pPr>
          </w:p>
        </w:tc>
        <w:tc>
          <w:tcPr>
            <w:tcW w:w="1363" w:type="dxa"/>
            <w:noWrap w:val="0"/>
            <w:vAlign w:val="center"/>
          </w:tcPr>
          <w:p>
            <w:pPr>
              <w:ind w:right="105"/>
              <w:jc w:val="center"/>
              <w:rPr>
                <w:rFonts w:eastAsia="仿宋"/>
                <w:color w:val="000000"/>
                <w:szCs w:val="21"/>
              </w:rPr>
            </w:pPr>
          </w:p>
        </w:tc>
        <w:tc>
          <w:tcPr>
            <w:tcW w:w="1189" w:type="dxa"/>
            <w:noWrap w:val="0"/>
            <w:vAlign w:val="center"/>
          </w:tcPr>
          <w:p>
            <w:pPr>
              <w:ind w:right="105"/>
              <w:jc w:val="center"/>
              <w:rPr>
                <w:rFonts w:eastAsia="仿宋"/>
                <w:color w:val="000000"/>
                <w:szCs w:val="21"/>
              </w:rPr>
            </w:pPr>
          </w:p>
        </w:tc>
        <w:tc>
          <w:tcPr>
            <w:tcW w:w="1134" w:type="dxa"/>
            <w:noWrap w:val="0"/>
            <w:vAlign w:val="center"/>
          </w:tcPr>
          <w:p>
            <w:pPr>
              <w:ind w:right="105"/>
              <w:jc w:val="center"/>
              <w:rPr>
                <w:rFonts w:eastAsia="仿宋"/>
                <w:color w:val="000000"/>
                <w:szCs w:val="21"/>
              </w:rPr>
            </w:pPr>
          </w:p>
        </w:tc>
        <w:tc>
          <w:tcPr>
            <w:tcW w:w="2036" w:type="dxa"/>
            <w:noWrap w:val="0"/>
            <w:vAlign w:val="center"/>
          </w:tcPr>
          <w:p>
            <w:pPr>
              <w:ind w:right="105"/>
              <w:jc w:val="center"/>
              <w:rPr>
                <w:rFonts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4" w:type="dxa"/>
            <w:noWrap w:val="0"/>
            <w:vAlign w:val="center"/>
          </w:tcPr>
          <w:p>
            <w:pPr>
              <w:ind w:right="105"/>
              <w:jc w:val="center"/>
              <w:rPr>
                <w:rFonts w:eastAsia="仿宋"/>
                <w:color w:val="000000"/>
                <w:szCs w:val="21"/>
              </w:rPr>
            </w:pPr>
          </w:p>
        </w:tc>
        <w:tc>
          <w:tcPr>
            <w:tcW w:w="1276" w:type="dxa"/>
            <w:noWrap w:val="0"/>
            <w:vAlign w:val="center"/>
          </w:tcPr>
          <w:p>
            <w:pPr>
              <w:ind w:right="105"/>
              <w:jc w:val="center"/>
              <w:rPr>
                <w:rFonts w:eastAsia="仿宋"/>
                <w:color w:val="000000"/>
                <w:szCs w:val="21"/>
              </w:rPr>
            </w:pPr>
          </w:p>
        </w:tc>
        <w:tc>
          <w:tcPr>
            <w:tcW w:w="1417" w:type="dxa"/>
            <w:noWrap w:val="0"/>
            <w:vAlign w:val="center"/>
          </w:tcPr>
          <w:p>
            <w:pPr>
              <w:ind w:right="105"/>
              <w:jc w:val="center"/>
              <w:rPr>
                <w:rFonts w:eastAsia="仿宋"/>
                <w:color w:val="000000"/>
                <w:szCs w:val="21"/>
              </w:rPr>
            </w:pPr>
          </w:p>
        </w:tc>
        <w:tc>
          <w:tcPr>
            <w:tcW w:w="1363" w:type="dxa"/>
            <w:noWrap w:val="0"/>
            <w:vAlign w:val="center"/>
          </w:tcPr>
          <w:p>
            <w:pPr>
              <w:ind w:right="105"/>
              <w:jc w:val="center"/>
              <w:rPr>
                <w:rFonts w:eastAsia="仿宋"/>
                <w:color w:val="000000"/>
                <w:szCs w:val="21"/>
              </w:rPr>
            </w:pPr>
          </w:p>
        </w:tc>
        <w:tc>
          <w:tcPr>
            <w:tcW w:w="1189" w:type="dxa"/>
            <w:noWrap w:val="0"/>
            <w:vAlign w:val="center"/>
          </w:tcPr>
          <w:p>
            <w:pPr>
              <w:ind w:right="105"/>
              <w:jc w:val="center"/>
              <w:rPr>
                <w:rFonts w:eastAsia="仿宋"/>
                <w:color w:val="000000"/>
                <w:szCs w:val="21"/>
              </w:rPr>
            </w:pPr>
          </w:p>
        </w:tc>
        <w:tc>
          <w:tcPr>
            <w:tcW w:w="1134" w:type="dxa"/>
            <w:noWrap w:val="0"/>
            <w:vAlign w:val="center"/>
          </w:tcPr>
          <w:p>
            <w:pPr>
              <w:ind w:right="105"/>
              <w:jc w:val="center"/>
              <w:rPr>
                <w:rFonts w:eastAsia="仿宋"/>
                <w:color w:val="000000"/>
                <w:szCs w:val="21"/>
              </w:rPr>
            </w:pPr>
          </w:p>
        </w:tc>
        <w:tc>
          <w:tcPr>
            <w:tcW w:w="2036" w:type="dxa"/>
            <w:noWrap w:val="0"/>
            <w:vAlign w:val="center"/>
          </w:tcPr>
          <w:p>
            <w:pPr>
              <w:ind w:right="105"/>
              <w:jc w:val="center"/>
              <w:rPr>
                <w:rFonts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4" w:type="dxa"/>
            <w:noWrap w:val="0"/>
            <w:vAlign w:val="center"/>
          </w:tcPr>
          <w:p>
            <w:pPr>
              <w:ind w:right="105"/>
              <w:jc w:val="center"/>
              <w:rPr>
                <w:rFonts w:eastAsia="仿宋"/>
                <w:color w:val="000000"/>
                <w:szCs w:val="21"/>
              </w:rPr>
            </w:pPr>
          </w:p>
        </w:tc>
        <w:tc>
          <w:tcPr>
            <w:tcW w:w="1276" w:type="dxa"/>
            <w:noWrap w:val="0"/>
            <w:vAlign w:val="center"/>
          </w:tcPr>
          <w:p>
            <w:pPr>
              <w:ind w:right="105"/>
              <w:jc w:val="center"/>
              <w:rPr>
                <w:rFonts w:eastAsia="仿宋"/>
                <w:color w:val="000000"/>
                <w:szCs w:val="21"/>
              </w:rPr>
            </w:pPr>
          </w:p>
        </w:tc>
        <w:tc>
          <w:tcPr>
            <w:tcW w:w="1417" w:type="dxa"/>
            <w:noWrap w:val="0"/>
            <w:vAlign w:val="center"/>
          </w:tcPr>
          <w:p>
            <w:pPr>
              <w:ind w:right="105"/>
              <w:jc w:val="center"/>
              <w:rPr>
                <w:rFonts w:eastAsia="仿宋"/>
                <w:color w:val="000000"/>
                <w:szCs w:val="21"/>
              </w:rPr>
            </w:pPr>
          </w:p>
        </w:tc>
        <w:tc>
          <w:tcPr>
            <w:tcW w:w="1363" w:type="dxa"/>
            <w:noWrap w:val="0"/>
            <w:vAlign w:val="center"/>
          </w:tcPr>
          <w:p>
            <w:pPr>
              <w:ind w:right="105"/>
              <w:jc w:val="center"/>
              <w:rPr>
                <w:rFonts w:eastAsia="仿宋"/>
                <w:color w:val="000000"/>
                <w:szCs w:val="21"/>
              </w:rPr>
            </w:pPr>
          </w:p>
        </w:tc>
        <w:tc>
          <w:tcPr>
            <w:tcW w:w="1189" w:type="dxa"/>
            <w:noWrap w:val="0"/>
            <w:vAlign w:val="center"/>
          </w:tcPr>
          <w:p>
            <w:pPr>
              <w:ind w:right="105"/>
              <w:jc w:val="center"/>
              <w:rPr>
                <w:rFonts w:eastAsia="仿宋"/>
                <w:color w:val="000000"/>
                <w:szCs w:val="21"/>
              </w:rPr>
            </w:pPr>
          </w:p>
        </w:tc>
        <w:tc>
          <w:tcPr>
            <w:tcW w:w="1134" w:type="dxa"/>
            <w:noWrap w:val="0"/>
            <w:vAlign w:val="center"/>
          </w:tcPr>
          <w:p>
            <w:pPr>
              <w:ind w:right="105"/>
              <w:jc w:val="center"/>
              <w:rPr>
                <w:rFonts w:eastAsia="仿宋"/>
                <w:color w:val="000000"/>
                <w:szCs w:val="21"/>
              </w:rPr>
            </w:pPr>
          </w:p>
        </w:tc>
        <w:tc>
          <w:tcPr>
            <w:tcW w:w="2036" w:type="dxa"/>
            <w:noWrap w:val="0"/>
            <w:vAlign w:val="center"/>
          </w:tcPr>
          <w:p>
            <w:pPr>
              <w:ind w:right="105"/>
              <w:jc w:val="center"/>
              <w:rPr>
                <w:rFonts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4" w:type="dxa"/>
            <w:noWrap w:val="0"/>
            <w:vAlign w:val="center"/>
          </w:tcPr>
          <w:p>
            <w:pPr>
              <w:ind w:right="105"/>
              <w:jc w:val="center"/>
              <w:rPr>
                <w:rFonts w:eastAsia="仿宋"/>
                <w:color w:val="000000"/>
                <w:szCs w:val="21"/>
              </w:rPr>
            </w:pPr>
          </w:p>
        </w:tc>
        <w:tc>
          <w:tcPr>
            <w:tcW w:w="1276" w:type="dxa"/>
            <w:noWrap w:val="0"/>
            <w:vAlign w:val="center"/>
          </w:tcPr>
          <w:p>
            <w:pPr>
              <w:ind w:right="105"/>
              <w:jc w:val="center"/>
              <w:rPr>
                <w:rFonts w:eastAsia="仿宋"/>
                <w:color w:val="000000"/>
                <w:szCs w:val="21"/>
              </w:rPr>
            </w:pPr>
          </w:p>
        </w:tc>
        <w:tc>
          <w:tcPr>
            <w:tcW w:w="1417" w:type="dxa"/>
            <w:noWrap w:val="0"/>
            <w:vAlign w:val="center"/>
          </w:tcPr>
          <w:p>
            <w:pPr>
              <w:ind w:right="105"/>
              <w:jc w:val="center"/>
              <w:rPr>
                <w:rFonts w:eastAsia="仿宋"/>
                <w:color w:val="000000"/>
                <w:szCs w:val="21"/>
              </w:rPr>
            </w:pPr>
          </w:p>
        </w:tc>
        <w:tc>
          <w:tcPr>
            <w:tcW w:w="1363" w:type="dxa"/>
            <w:noWrap w:val="0"/>
            <w:vAlign w:val="center"/>
          </w:tcPr>
          <w:p>
            <w:pPr>
              <w:ind w:right="105"/>
              <w:jc w:val="center"/>
              <w:rPr>
                <w:rFonts w:eastAsia="仿宋"/>
                <w:color w:val="000000"/>
                <w:szCs w:val="21"/>
              </w:rPr>
            </w:pPr>
          </w:p>
        </w:tc>
        <w:tc>
          <w:tcPr>
            <w:tcW w:w="1189" w:type="dxa"/>
            <w:noWrap w:val="0"/>
            <w:vAlign w:val="center"/>
          </w:tcPr>
          <w:p>
            <w:pPr>
              <w:ind w:right="105"/>
              <w:jc w:val="center"/>
              <w:rPr>
                <w:rFonts w:eastAsia="仿宋"/>
                <w:color w:val="000000"/>
                <w:szCs w:val="21"/>
              </w:rPr>
            </w:pPr>
          </w:p>
        </w:tc>
        <w:tc>
          <w:tcPr>
            <w:tcW w:w="1134" w:type="dxa"/>
            <w:noWrap w:val="0"/>
            <w:vAlign w:val="center"/>
          </w:tcPr>
          <w:p>
            <w:pPr>
              <w:ind w:right="105"/>
              <w:jc w:val="center"/>
              <w:rPr>
                <w:rFonts w:eastAsia="仿宋"/>
                <w:color w:val="000000"/>
                <w:szCs w:val="21"/>
              </w:rPr>
            </w:pPr>
          </w:p>
        </w:tc>
        <w:tc>
          <w:tcPr>
            <w:tcW w:w="2036" w:type="dxa"/>
            <w:noWrap w:val="0"/>
            <w:vAlign w:val="center"/>
          </w:tcPr>
          <w:p>
            <w:pPr>
              <w:ind w:right="105"/>
              <w:jc w:val="center"/>
              <w:rPr>
                <w:rFonts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4" w:type="dxa"/>
            <w:noWrap w:val="0"/>
            <w:vAlign w:val="center"/>
          </w:tcPr>
          <w:p>
            <w:pPr>
              <w:ind w:right="105"/>
              <w:jc w:val="center"/>
              <w:rPr>
                <w:rFonts w:eastAsia="仿宋"/>
                <w:color w:val="000000"/>
                <w:szCs w:val="21"/>
              </w:rPr>
            </w:pPr>
          </w:p>
        </w:tc>
        <w:tc>
          <w:tcPr>
            <w:tcW w:w="1276" w:type="dxa"/>
            <w:noWrap w:val="0"/>
            <w:vAlign w:val="center"/>
          </w:tcPr>
          <w:p>
            <w:pPr>
              <w:ind w:right="105"/>
              <w:jc w:val="center"/>
              <w:rPr>
                <w:rFonts w:eastAsia="仿宋"/>
                <w:color w:val="000000"/>
                <w:szCs w:val="21"/>
              </w:rPr>
            </w:pPr>
          </w:p>
        </w:tc>
        <w:tc>
          <w:tcPr>
            <w:tcW w:w="1417" w:type="dxa"/>
            <w:noWrap w:val="0"/>
            <w:vAlign w:val="center"/>
          </w:tcPr>
          <w:p>
            <w:pPr>
              <w:ind w:right="105"/>
              <w:jc w:val="center"/>
              <w:rPr>
                <w:rFonts w:eastAsia="仿宋"/>
                <w:color w:val="000000"/>
                <w:szCs w:val="21"/>
              </w:rPr>
            </w:pPr>
          </w:p>
        </w:tc>
        <w:tc>
          <w:tcPr>
            <w:tcW w:w="1363" w:type="dxa"/>
            <w:noWrap w:val="0"/>
            <w:vAlign w:val="center"/>
          </w:tcPr>
          <w:p>
            <w:pPr>
              <w:ind w:right="105"/>
              <w:jc w:val="center"/>
              <w:rPr>
                <w:rFonts w:eastAsia="仿宋"/>
                <w:color w:val="000000"/>
                <w:szCs w:val="21"/>
              </w:rPr>
            </w:pPr>
          </w:p>
        </w:tc>
        <w:tc>
          <w:tcPr>
            <w:tcW w:w="1189" w:type="dxa"/>
            <w:noWrap w:val="0"/>
            <w:vAlign w:val="center"/>
          </w:tcPr>
          <w:p>
            <w:pPr>
              <w:ind w:right="105"/>
              <w:jc w:val="center"/>
              <w:rPr>
                <w:rFonts w:eastAsia="仿宋"/>
                <w:color w:val="000000"/>
                <w:szCs w:val="21"/>
              </w:rPr>
            </w:pPr>
          </w:p>
        </w:tc>
        <w:tc>
          <w:tcPr>
            <w:tcW w:w="1134" w:type="dxa"/>
            <w:noWrap w:val="0"/>
            <w:vAlign w:val="center"/>
          </w:tcPr>
          <w:p>
            <w:pPr>
              <w:ind w:right="105"/>
              <w:jc w:val="center"/>
              <w:rPr>
                <w:rFonts w:eastAsia="仿宋"/>
                <w:color w:val="000000"/>
                <w:szCs w:val="21"/>
              </w:rPr>
            </w:pPr>
          </w:p>
        </w:tc>
        <w:tc>
          <w:tcPr>
            <w:tcW w:w="2036" w:type="dxa"/>
            <w:noWrap w:val="0"/>
            <w:vAlign w:val="center"/>
          </w:tcPr>
          <w:p>
            <w:pPr>
              <w:ind w:right="105"/>
              <w:jc w:val="center"/>
              <w:rPr>
                <w:rFonts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4" w:type="dxa"/>
            <w:noWrap w:val="0"/>
            <w:vAlign w:val="center"/>
          </w:tcPr>
          <w:p>
            <w:pPr>
              <w:ind w:right="105"/>
              <w:jc w:val="center"/>
              <w:rPr>
                <w:rFonts w:eastAsia="仿宋"/>
                <w:color w:val="000000"/>
                <w:szCs w:val="21"/>
              </w:rPr>
            </w:pPr>
          </w:p>
        </w:tc>
        <w:tc>
          <w:tcPr>
            <w:tcW w:w="1276" w:type="dxa"/>
            <w:noWrap w:val="0"/>
            <w:vAlign w:val="center"/>
          </w:tcPr>
          <w:p>
            <w:pPr>
              <w:ind w:right="105"/>
              <w:jc w:val="center"/>
              <w:rPr>
                <w:rFonts w:eastAsia="仿宋"/>
                <w:color w:val="000000"/>
                <w:szCs w:val="21"/>
              </w:rPr>
            </w:pPr>
          </w:p>
        </w:tc>
        <w:tc>
          <w:tcPr>
            <w:tcW w:w="1417" w:type="dxa"/>
            <w:noWrap w:val="0"/>
            <w:vAlign w:val="center"/>
          </w:tcPr>
          <w:p>
            <w:pPr>
              <w:ind w:right="105"/>
              <w:jc w:val="center"/>
              <w:rPr>
                <w:rFonts w:eastAsia="仿宋"/>
                <w:color w:val="000000"/>
                <w:szCs w:val="21"/>
              </w:rPr>
            </w:pPr>
          </w:p>
        </w:tc>
        <w:tc>
          <w:tcPr>
            <w:tcW w:w="1363" w:type="dxa"/>
            <w:noWrap w:val="0"/>
            <w:vAlign w:val="center"/>
          </w:tcPr>
          <w:p>
            <w:pPr>
              <w:ind w:right="105"/>
              <w:jc w:val="center"/>
              <w:rPr>
                <w:rFonts w:eastAsia="仿宋"/>
                <w:color w:val="000000"/>
                <w:szCs w:val="21"/>
              </w:rPr>
            </w:pPr>
          </w:p>
        </w:tc>
        <w:tc>
          <w:tcPr>
            <w:tcW w:w="1189" w:type="dxa"/>
            <w:noWrap w:val="0"/>
            <w:vAlign w:val="center"/>
          </w:tcPr>
          <w:p>
            <w:pPr>
              <w:ind w:right="105"/>
              <w:jc w:val="center"/>
              <w:rPr>
                <w:rFonts w:eastAsia="仿宋"/>
                <w:color w:val="000000"/>
                <w:szCs w:val="21"/>
              </w:rPr>
            </w:pPr>
          </w:p>
        </w:tc>
        <w:tc>
          <w:tcPr>
            <w:tcW w:w="1134" w:type="dxa"/>
            <w:noWrap w:val="0"/>
            <w:vAlign w:val="center"/>
          </w:tcPr>
          <w:p>
            <w:pPr>
              <w:ind w:right="105"/>
              <w:jc w:val="center"/>
              <w:rPr>
                <w:rFonts w:eastAsia="仿宋"/>
                <w:color w:val="000000"/>
                <w:szCs w:val="21"/>
              </w:rPr>
            </w:pPr>
          </w:p>
        </w:tc>
        <w:tc>
          <w:tcPr>
            <w:tcW w:w="2036" w:type="dxa"/>
            <w:noWrap w:val="0"/>
            <w:vAlign w:val="center"/>
          </w:tcPr>
          <w:p>
            <w:pPr>
              <w:ind w:right="105"/>
              <w:jc w:val="center"/>
              <w:rPr>
                <w:rFonts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4" w:type="dxa"/>
            <w:noWrap w:val="0"/>
            <w:vAlign w:val="center"/>
          </w:tcPr>
          <w:p>
            <w:pPr>
              <w:ind w:right="105"/>
              <w:jc w:val="center"/>
              <w:rPr>
                <w:rFonts w:eastAsia="仿宋"/>
                <w:color w:val="000000"/>
                <w:szCs w:val="21"/>
              </w:rPr>
            </w:pPr>
          </w:p>
        </w:tc>
        <w:tc>
          <w:tcPr>
            <w:tcW w:w="1276" w:type="dxa"/>
            <w:noWrap w:val="0"/>
            <w:vAlign w:val="center"/>
          </w:tcPr>
          <w:p>
            <w:pPr>
              <w:ind w:right="105"/>
              <w:jc w:val="center"/>
              <w:rPr>
                <w:rFonts w:eastAsia="仿宋"/>
                <w:color w:val="000000"/>
                <w:szCs w:val="21"/>
              </w:rPr>
            </w:pPr>
          </w:p>
        </w:tc>
        <w:tc>
          <w:tcPr>
            <w:tcW w:w="1417" w:type="dxa"/>
            <w:noWrap w:val="0"/>
            <w:vAlign w:val="center"/>
          </w:tcPr>
          <w:p>
            <w:pPr>
              <w:ind w:right="105"/>
              <w:jc w:val="center"/>
              <w:rPr>
                <w:rFonts w:eastAsia="仿宋"/>
                <w:color w:val="000000"/>
                <w:szCs w:val="21"/>
              </w:rPr>
            </w:pPr>
          </w:p>
        </w:tc>
        <w:tc>
          <w:tcPr>
            <w:tcW w:w="1363" w:type="dxa"/>
            <w:noWrap w:val="0"/>
            <w:vAlign w:val="center"/>
          </w:tcPr>
          <w:p>
            <w:pPr>
              <w:ind w:right="105"/>
              <w:jc w:val="center"/>
              <w:rPr>
                <w:rFonts w:eastAsia="仿宋"/>
                <w:color w:val="000000"/>
                <w:szCs w:val="21"/>
              </w:rPr>
            </w:pPr>
          </w:p>
        </w:tc>
        <w:tc>
          <w:tcPr>
            <w:tcW w:w="1189" w:type="dxa"/>
            <w:noWrap w:val="0"/>
            <w:vAlign w:val="center"/>
          </w:tcPr>
          <w:p>
            <w:pPr>
              <w:ind w:right="105"/>
              <w:jc w:val="center"/>
              <w:rPr>
                <w:rFonts w:eastAsia="仿宋"/>
                <w:color w:val="000000"/>
                <w:szCs w:val="21"/>
              </w:rPr>
            </w:pPr>
          </w:p>
        </w:tc>
        <w:tc>
          <w:tcPr>
            <w:tcW w:w="1134" w:type="dxa"/>
            <w:noWrap w:val="0"/>
            <w:vAlign w:val="center"/>
          </w:tcPr>
          <w:p>
            <w:pPr>
              <w:ind w:right="105"/>
              <w:jc w:val="center"/>
              <w:rPr>
                <w:rFonts w:eastAsia="仿宋"/>
                <w:color w:val="000000"/>
                <w:szCs w:val="21"/>
              </w:rPr>
            </w:pPr>
          </w:p>
        </w:tc>
        <w:tc>
          <w:tcPr>
            <w:tcW w:w="2036" w:type="dxa"/>
            <w:noWrap w:val="0"/>
            <w:vAlign w:val="center"/>
          </w:tcPr>
          <w:p>
            <w:pPr>
              <w:ind w:right="105"/>
              <w:jc w:val="center"/>
              <w:rPr>
                <w:rFonts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4" w:type="dxa"/>
            <w:noWrap w:val="0"/>
            <w:vAlign w:val="center"/>
          </w:tcPr>
          <w:p>
            <w:pPr>
              <w:ind w:right="105"/>
              <w:jc w:val="center"/>
              <w:rPr>
                <w:rFonts w:eastAsia="仿宋"/>
                <w:color w:val="000000"/>
                <w:szCs w:val="21"/>
              </w:rPr>
            </w:pPr>
          </w:p>
        </w:tc>
        <w:tc>
          <w:tcPr>
            <w:tcW w:w="1276" w:type="dxa"/>
            <w:noWrap w:val="0"/>
            <w:vAlign w:val="center"/>
          </w:tcPr>
          <w:p>
            <w:pPr>
              <w:ind w:right="105"/>
              <w:jc w:val="center"/>
              <w:rPr>
                <w:rFonts w:eastAsia="仿宋"/>
                <w:color w:val="000000"/>
                <w:szCs w:val="21"/>
              </w:rPr>
            </w:pPr>
          </w:p>
        </w:tc>
        <w:tc>
          <w:tcPr>
            <w:tcW w:w="1417" w:type="dxa"/>
            <w:noWrap w:val="0"/>
            <w:vAlign w:val="center"/>
          </w:tcPr>
          <w:p>
            <w:pPr>
              <w:ind w:right="105"/>
              <w:jc w:val="center"/>
              <w:rPr>
                <w:rFonts w:eastAsia="仿宋"/>
                <w:color w:val="000000"/>
                <w:szCs w:val="21"/>
              </w:rPr>
            </w:pPr>
          </w:p>
        </w:tc>
        <w:tc>
          <w:tcPr>
            <w:tcW w:w="1363" w:type="dxa"/>
            <w:noWrap w:val="0"/>
            <w:vAlign w:val="center"/>
          </w:tcPr>
          <w:p>
            <w:pPr>
              <w:ind w:right="105"/>
              <w:jc w:val="center"/>
              <w:rPr>
                <w:rFonts w:eastAsia="仿宋"/>
                <w:color w:val="000000"/>
                <w:szCs w:val="21"/>
              </w:rPr>
            </w:pPr>
          </w:p>
        </w:tc>
        <w:tc>
          <w:tcPr>
            <w:tcW w:w="1189" w:type="dxa"/>
            <w:noWrap w:val="0"/>
            <w:vAlign w:val="center"/>
          </w:tcPr>
          <w:p>
            <w:pPr>
              <w:ind w:right="105"/>
              <w:jc w:val="center"/>
              <w:rPr>
                <w:rFonts w:eastAsia="仿宋"/>
                <w:color w:val="000000"/>
                <w:szCs w:val="21"/>
              </w:rPr>
            </w:pPr>
          </w:p>
        </w:tc>
        <w:tc>
          <w:tcPr>
            <w:tcW w:w="1134" w:type="dxa"/>
            <w:noWrap w:val="0"/>
            <w:vAlign w:val="center"/>
          </w:tcPr>
          <w:p>
            <w:pPr>
              <w:ind w:right="105"/>
              <w:jc w:val="center"/>
              <w:rPr>
                <w:rFonts w:eastAsia="仿宋"/>
                <w:color w:val="000000"/>
                <w:szCs w:val="21"/>
              </w:rPr>
            </w:pPr>
          </w:p>
        </w:tc>
        <w:tc>
          <w:tcPr>
            <w:tcW w:w="2036" w:type="dxa"/>
            <w:noWrap w:val="0"/>
            <w:vAlign w:val="center"/>
          </w:tcPr>
          <w:p>
            <w:pPr>
              <w:ind w:right="105"/>
              <w:jc w:val="center"/>
              <w:rPr>
                <w:rFonts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57" w:type="dxa"/>
            <w:gridSpan w:val="3"/>
            <w:noWrap w:val="0"/>
            <w:vAlign w:val="center"/>
          </w:tcPr>
          <w:p>
            <w:pPr>
              <w:ind w:right="105"/>
              <w:jc w:val="center"/>
              <w:rPr>
                <w:rFonts w:eastAsia="仿宋"/>
                <w:color w:val="000000"/>
                <w:szCs w:val="21"/>
              </w:rPr>
            </w:pPr>
            <w:r>
              <w:rPr>
                <w:rFonts w:eastAsia="仿宋"/>
                <w:color w:val="000000"/>
                <w:szCs w:val="21"/>
              </w:rPr>
              <w:t>最高投标限价</w:t>
            </w:r>
          </w:p>
        </w:tc>
        <w:tc>
          <w:tcPr>
            <w:tcW w:w="5722" w:type="dxa"/>
            <w:gridSpan w:val="4"/>
            <w:noWrap w:val="0"/>
            <w:vAlign w:val="center"/>
          </w:tcPr>
          <w:p>
            <w:pPr>
              <w:ind w:right="105"/>
              <w:jc w:val="center"/>
              <w:rPr>
                <w:rFonts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jc w:val="center"/>
        </w:trPr>
        <w:tc>
          <w:tcPr>
            <w:tcW w:w="3457" w:type="dxa"/>
            <w:gridSpan w:val="3"/>
            <w:noWrap w:val="0"/>
            <w:vAlign w:val="center"/>
          </w:tcPr>
          <w:p>
            <w:pPr>
              <w:ind w:right="105"/>
              <w:jc w:val="center"/>
              <w:rPr>
                <w:rFonts w:eastAsia="仿宋"/>
                <w:color w:val="000000"/>
                <w:szCs w:val="21"/>
              </w:rPr>
            </w:pPr>
            <w:r>
              <w:rPr>
                <w:rFonts w:eastAsia="仿宋"/>
                <w:color w:val="000000"/>
                <w:szCs w:val="21"/>
              </w:rPr>
              <w:t>现场随机抽取最高投标限价和合格投标人有效报价平均值的权重值C</w:t>
            </w:r>
            <w:r>
              <w:rPr>
                <w:rFonts w:eastAsia="仿宋"/>
                <w:color w:val="000000"/>
                <w:szCs w:val="21"/>
                <w:vertAlign w:val="subscript"/>
              </w:rPr>
              <w:t>1</w:t>
            </w:r>
            <w:r>
              <w:rPr>
                <w:rFonts w:eastAsia="仿宋"/>
                <w:color w:val="000000"/>
                <w:szCs w:val="21"/>
              </w:rPr>
              <w:t>、C</w:t>
            </w:r>
            <w:r>
              <w:rPr>
                <w:rFonts w:eastAsia="仿宋"/>
                <w:color w:val="000000"/>
                <w:szCs w:val="21"/>
                <w:vertAlign w:val="subscript"/>
              </w:rPr>
              <w:t>2</w:t>
            </w:r>
          </w:p>
        </w:tc>
        <w:tc>
          <w:tcPr>
            <w:tcW w:w="5722" w:type="dxa"/>
            <w:gridSpan w:val="4"/>
            <w:noWrap w:val="0"/>
            <w:vAlign w:val="center"/>
          </w:tcPr>
          <w:p>
            <w:pPr>
              <w:ind w:right="105"/>
              <w:jc w:val="center"/>
              <w:rPr>
                <w:rFonts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57" w:type="dxa"/>
            <w:gridSpan w:val="3"/>
            <w:noWrap w:val="0"/>
            <w:vAlign w:val="center"/>
          </w:tcPr>
          <w:p>
            <w:pPr>
              <w:ind w:right="105"/>
              <w:jc w:val="center"/>
              <w:rPr>
                <w:rFonts w:eastAsia="仿宋"/>
                <w:color w:val="000000"/>
                <w:szCs w:val="21"/>
              </w:rPr>
            </w:pPr>
            <w:r>
              <w:rPr>
                <w:rFonts w:eastAsia="仿宋"/>
                <w:color w:val="000000"/>
                <w:szCs w:val="21"/>
              </w:rPr>
              <w:t>现场随机抽取的下浮点β值</w:t>
            </w:r>
          </w:p>
        </w:tc>
        <w:tc>
          <w:tcPr>
            <w:tcW w:w="5722" w:type="dxa"/>
            <w:gridSpan w:val="4"/>
            <w:noWrap w:val="0"/>
            <w:vAlign w:val="center"/>
          </w:tcPr>
          <w:p>
            <w:pPr>
              <w:ind w:right="105"/>
              <w:jc w:val="center"/>
              <w:rPr>
                <w:rFonts w:eastAsia="仿宋"/>
                <w:color w:val="000000"/>
                <w:szCs w:val="21"/>
              </w:rPr>
            </w:pPr>
          </w:p>
        </w:tc>
      </w:tr>
    </w:tbl>
    <w:p>
      <w:pPr>
        <w:autoSpaceDE w:val="0"/>
        <w:autoSpaceDN w:val="0"/>
        <w:adjustRightInd w:val="0"/>
        <w:spacing w:line="600" w:lineRule="exact"/>
        <w:ind w:firstLine="560" w:firstLineChars="200"/>
        <w:jc w:val="left"/>
        <w:rPr>
          <w:rFonts w:eastAsia="仿宋"/>
          <w:color w:val="000000"/>
          <w:sz w:val="28"/>
          <w:szCs w:val="32"/>
        </w:rPr>
      </w:pPr>
      <w:r>
        <w:rPr>
          <w:rFonts w:eastAsia="仿宋"/>
          <w:color w:val="000000"/>
          <w:sz w:val="28"/>
          <w:szCs w:val="32"/>
        </w:rPr>
        <w:t>开标结束时间：</w:t>
      </w:r>
      <w:r>
        <w:rPr>
          <w:rFonts w:eastAsia="仿宋"/>
          <w:color w:val="000000"/>
          <w:sz w:val="28"/>
          <w:szCs w:val="32"/>
          <w:u w:val="single"/>
        </w:rPr>
        <w:t xml:space="preserve">      </w:t>
      </w:r>
      <w:r>
        <w:rPr>
          <w:rFonts w:eastAsia="仿宋"/>
          <w:color w:val="000000"/>
          <w:sz w:val="28"/>
          <w:szCs w:val="32"/>
        </w:rPr>
        <w:t>年</w:t>
      </w:r>
      <w:r>
        <w:rPr>
          <w:rFonts w:eastAsia="仿宋"/>
          <w:color w:val="000000"/>
          <w:sz w:val="28"/>
          <w:szCs w:val="32"/>
          <w:u w:val="single"/>
        </w:rPr>
        <w:t xml:space="preserve">     </w:t>
      </w:r>
      <w:r>
        <w:rPr>
          <w:rFonts w:eastAsia="仿宋"/>
          <w:color w:val="000000"/>
          <w:sz w:val="28"/>
          <w:szCs w:val="32"/>
        </w:rPr>
        <w:t>月</w:t>
      </w:r>
      <w:r>
        <w:rPr>
          <w:rFonts w:eastAsia="仿宋"/>
          <w:color w:val="000000"/>
          <w:sz w:val="28"/>
          <w:szCs w:val="32"/>
          <w:u w:val="single"/>
        </w:rPr>
        <w:t xml:space="preserve">    </w:t>
      </w:r>
      <w:r>
        <w:rPr>
          <w:rFonts w:eastAsia="仿宋"/>
          <w:color w:val="000000"/>
          <w:sz w:val="28"/>
          <w:szCs w:val="32"/>
        </w:rPr>
        <w:t>日</w:t>
      </w:r>
      <w:r>
        <w:rPr>
          <w:rFonts w:eastAsia="仿宋"/>
          <w:color w:val="000000"/>
          <w:sz w:val="28"/>
          <w:szCs w:val="32"/>
          <w:u w:val="single"/>
        </w:rPr>
        <w:t xml:space="preserve">    </w:t>
      </w:r>
      <w:r>
        <w:rPr>
          <w:rFonts w:eastAsia="仿宋"/>
          <w:color w:val="000000"/>
          <w:sz w:val="28"/>
          <w:szCs w:val="32"/>
        </w:rPr>
        <w:t>时</w:t>
      </w:r>
      <w:r>
        <w:rPr>
          <w:rFonts w:eastAsia="仿宋"/>
          <w:color w:val="000000"/>
          <w:sz w:val="28"/>
          <w:szCs w:val="32"/>
          <w:u w:val="single"/>
        </w:rPr>
        <w:t xml:space="preserve">    </w:t>
      </w:r>
      <w:r>
        <w:rPr>
          <w:rFonts w:eastAsia="仿宋"/>
          <w:color w:val="000000"/>
          <w:sz w:val="28"/>
          <w:szCs w:val="32"/>
        </w:rPr>
        <w:t>分</w:t>
      </w:r>
    </w:p>
    <w:p>
      <w:pPr>
        <w:rPr>
          <w:color w:val="000000"/>
        </w:rPr>
      </w:pPr>
    </w:p>
    <w:p>
      <w:pPr>
        <w:rPr>
          <w:strike/>
          <w:color w:val="000000"/>
        </w:rPr>
      </w:pPr>
    </w:p>
    <w:p>
      <w:pPr>
        <w:rPr>
          <w:color w:val="000000"/>
        </w:rPr>
      </w:pPr>
    </w:p>
    <w:p>
      <w:pPr>
        <w:spacing w:line="490" w:lineRule="exact"/>
        <w:outlineLvl w:val="2"/>
        <w:rPr>
          <w:rFonts w:hint="eastAsia" w:eastAsia="黑体"/>
          <w:bCs/>
          <w:color w:val="000000"/>
          <w:sz w:val="28"/>
          <w:szCs w:val="20"/>
        </w:rPr>
      </w:pPr>
      <w:r>
        <w:rPr>
          <w:color w:val="000000"/>
        </w:rPr>
        <w:br w:type="page"/>
      </w:r>
      <w:bookmarkStart w:id="239" w:name="_Toc20396"/>
      <w:bookmarkStart w:id="240" w:name="_Toc511317223"/>
      <w:bookmarkStart w:id="241" w:name="_Toc51091858"/>
      <w:bookmarkStart w:id="242" w:name="_Toc511317972"/>
      <w:bookmarkStart w:id="243" w:name="_Toc23638"/>
      <w:bookmarkStart w:id="244" w:name="_Toc259698647"/>
      <w:r>
        <w:rPr>
          <w:rFonts w:eastAsia="黑体"/>
          <w:bCs/>
          <w:color w:val="000000"/>
          <w:sz w:val="28"/>
          <w:szCs w:val="20"/>
        </w:rPr>
        <w:t>附件</w:t>
      </w:r>
      <w:bookmarkEnd w:id="239"/>
      <w:bookmarkEnd w:id="240"/>
      <w:bookmarkEnd w:id="241"/>
      <w:bookmarkEnd w:id="242"/>
      <w:bookmarkEnd w:id="243"/>
      <w:r>
        <w:rPr>
          <w:rFonts w:hint="eastAsia" w:eastAsia="黑体"/>
          <w:bCs/>
          <w:color w:val="000000"/>
          <w:sz w:val="28"/>
          <w:szCs w:val="20"/>
        </w:rPr>
        <w:t>5</w:t>
      </w:r>
    </w:p>
    <w:p>
      <w:pPr>
        <w:spacing w:line="490" w:lineRule="exact"/>
        <w:jc w:val="center"/>
        <w:rPr>
          <w:rFonts w:hint="eastAsia" w:ascii="方正小标宋简体" w:eastAsia="方正小标宋简体"/>
          <w:bCs/>
          <w:color w:val="000000"/>
          <w:kern w:val="0"/>
          <w:sz w:val="40"/>
          <w:szCs w:val="28"/>
        </w:rPr>
      </w:pPr>
      <w:r>
        <w:rPr>
          <w:rFonts w:hint="eastAsia" w:ascii="方正小标宋简体" w:eastAsia="方正小标宋简体"/>
          <w:bCs/>
          <w:color w:val="000000"/>
          <w:kern w:val="0"/>
          <w:sz w:val="40"/>
          <w:szCs w:val="28"/>
          <w:u w:val="single"/>
        </w:rPr>
        <w:t xml:space="preserve">                      </w:t>
      </w:r>
      <w:r>
        <w:rPr>
          <w:rFonts w:hint="eastAsia" w:ascii="方正小标宋简体" w:eastAsia="方正小标宋简体"/>
          <w:bCs/>
          <w:color w:val="000000"/>
          <w:kern w:val="0"/>
          <w:sz w:val="40"/>
          <w:szCs w:val="28"/>
        </w:rPr>
        <w:t>（项目名称）</w:t>
      </w:r>
    </w:p>
    <w:p>
      <w:pPr>
        <w:spacing w:line="490" w:lineRule="exact"/>
        <w:jc w:val="center"/>
        <w:rPr>
          <w:rFonts w:hint="eastAsia" w:ascii="方正小标宋简体" w:eastAsia="方正小标宋简体"/>
          <w:bCs/>
          <w:color w:val="000000"/>
          <w:kern w:val="0"/>
          <w:sz w:val="28"/>
          <w:szCs w:val="32"/>
        </w:rPr>
      </w:pPr>
      <w:r>
        <w:rPr>
          <w:rFonts w:hint="eastAsia" w:ascii="方正小标宋简体" w:eastAsia="方正小标宋简体"/>
          <w:bCs/>
          <w:color w:val="000000"/>
          <w:kern w:val="0"/>
          <w:sz w:val="40"/>
          <w:szCs w:val="28"/>
        </w:rPr>
        <w:t>中标候选人公示</w:t>
      </w:r>
    </w:p>
    <w:p>
      <w:pPr>
        <w:spacing w:line="490" w:lineRule="exact"/>
        <w:ind w:firstLine="560" w:firstLineChars="200"/>
        <w:rPr>
          <w:rFonts w:eastAsia="仿宋"/>
          <w:bCs/>
          <w:color w:val="000000"/>
          <w:kern w:val="0"/>
          <w:sz w:val="28"/>
          <w:szCs w:val="32"/>
        </w:rPr>
      </w:pPr>
      <w:r>
        <w:rPr>
          <w:rFonts w:eastAsia="仿宋"/>
          <w:bCs/>
          <w:color w:val="000000"/>
          <w:kern w:val="0"/>
          <w:sz w:val="28"/>
          <w:szCs w:val="32"/>
          <w:u w:val="single"/>
        </w:rPr>
        <w:t xml:space="preserve">                        </w:t>
      </w:r>
      <w:r>
        <w:rPr>
          <w:rFonts w:eastAsia="仿宋"/>
          <w:bCs/>
          <w:color w:val="000000"/>
          <w:kern w:val="0"/>
          <w:sz w:val="28"/>
          <w:szCs w:val="32"/>
        </w:rPr>
        <w:t>受</w:t>
      </w:r>
      <w:r>
        <w:rPr>
          <w:rFonts w:eastAsia="仿宋"/>
          <w:bCs/>
          <w:color w:val="000000"/>
          <w:kern w:val="0"/>
          <w:sz w:val="28"/>
          <w:szCs w:val="32"/>
          <w:u w:val="single"/>
        </w:rPr>
        <w:t xml:space="preserve">                        </w:t>
      </w:r>
      <w:r>
        <w:rPr>
          <w:rFonts w:eastAsia="仿宋"/>
          <w:bCs/>
          <w:color w:val="000000"/>
          <w:kern w:val="0"/>
          <w:sz w:val="28"/>
          <w:szCs w:val="32"/>
        </w:rPr>
        <w:t>的委托，代理</w:t>
      </w:r>
      <w:r>
        <w:rPr>
          <w:rFonts w:eastAsia="仿宋"/>
          <w:bCs/>
          <w:color w:val="000000"/>
          <w:kern w:val="0"/>
          <w:sz w:val="28"/>
          <w:szCs w:val="32"/>
          <w:u w:val="single"/>
        </w:rPr>
        <w:t xml:space="preserve">                    </w:t>
      </w:r>
      <w:r>
        <w:rPr>
          <w:rFonts w:eastAsia="仿宋"/>
          <w:bCs/>
          <w:color w:val="000000"/>
          <w:kern w:val="0"/>
          <w:sz w:val="28"/>
          <w:szCs w:val="32"/>
        </w:rPr>
        <w:t>工程施工招标，</w:t>
      </w:r>
      <w:r>
        <w:rPr>
          <w:rFonts w:eastAsia="仿宋"/>
          <w:bCs/>
          <w:color w:val="000000"/>
          <w:kern w:val="0"/>
          <w:sz w:val="28"/>
          <w:szCs w:val="32"/>
          <w:u w:val="single"/>
        </w:rPr>
        <w:t xml:space="preserve">                 </w:t>
      </w:r>
      <w:r>
        <w:rPr>
          <w:rFonts w:eastAsia="仿宋"/>
          <w:bCs/>
          <w:color w:val="000000"/>
          <w:kern w:val="0"/>
          <w:sz w:val="28"/>
          <w:szCs w:val="32"/>
        </w:rPr>
        <w:t>（北京时间）在</w:t>
      </w:r>
      <w:r>
        <w:rPr>
          <w:rFonts w:eastAsia="仿宋"/>
          <w:bCs/>
          <w:color w:val="000000"/>
          <w:kern w:val="0"/>
          <w:sz w:val="28"/>
          <w:szCs w:val="32"/>
          <w:u w:val="single"/>
        </w:rPr>
        <w:t xml:space="preserve">                  </w:t>
      </w:r>
      <w:r>
        <w:rPr>
          <w:rFonts w:eastAsia="仿宋"/>
          <w:bCs/>
          <w:color w:val="000000"/>
          <w:kern w:val="0"/>
          <w:sz w:val="28"/>
          <w:szCs w:val="32"/>
        </w:rPr>
        <w:t>进行了公开开标，在</w:t>
      </w:r>
      <w:r>
        <w:rPr>
          <w:rFonts w:eastAsia="仿宋"/>
          <w:bCs/>
          <w:color w:val="000000"/>
          <w:kern w:val="0"/>
          <w:sz w:val="28"/>
          <w:szCs w:val="32"/>
          <w:u w:val="single"/>
        </w:rPr>
        <w:t xml:space="preserve">              </w:t>
      </w:r>
      <w:r>
        <w:rPr>
          <w:rFonts w:eastAsia="仿宋"/>
          <w:bCs/>
          <w:color w:val="000000"/>
          <w:kern w:val="0"/>
          <w:sz w:val="28"/>
          <w:szCs w:val="32"/>
        </w:rPr>
        <w:t>监督下，依法组建的评标委员会按照招标文件确定的评标原则和评标办法进行了细致的评审，并推荐本项目中标候选人排名如下：</w:t>
      </w:r>
    </w:p>
    <w:p>
      <w:pPr>
        <w:spacing w:line="490" w:lineRule="exact"/>
        <w:ind w:firstLine="560" w:firstLineChars="200"/>
        <w:rPr>
          <w:rFonts w:hint="eastAsia" w:eastAsia="仿宋"/>
          <w:bCs/>
          <w:color w:val="000000"/>
          <w:kern w:val="0"/>
          <w:sz w:val="28"/>
          <w:szCs w:val="32"/>
        </w:rPr>
      </w:pPr>
      <w:r>
        <w:rPr>
          <w:rFonts w:eastAsia="仿宋"/>
          <w:bCs/>
          <w:color w:val="000000"/>
          <w:kern w:val="0"/>
          <w:sz w:val="28"/>
          <w:szCs w:val="32"/>
        </w:rPr>
        <w:t>第X名（中标候选人不超过3个）：中标候选人名称、投标报价、质量目标、工期；项目负责人姓名、相关证书名称和编号、</w:t>
      </w:r>
      <w:r>
        <w:rPr>
          <w:rFonts w:hint="eastAsia" w:eastAsia="仿宋"/>
          <w:bCs/>
          <w:color w:val="000000"/>
          <w:kern w:val="0"/>
          <w:sz w:val="28"/>
          <w:szCs w:val="32"/>
        </w:rPr>
        <w:t>加分</w:t>
      </w:r>
      <w:r>
        <w:rPr>
          <w:rFonts w:eastAsia="仿宋"/>
          <w:bCs/>
          <w:color w:val="000000"/>
          <w:kern w:val="0"/>
          <w:sz w:val="28"/>
          <w:szCs w:val="32"/>
        </w:rPr>
        <w:t>业绩；技术负责人姓名、职称证书编号</w:t>
      </w:r>
      <w:r>
        <w:rPr>
          <w:rFonts w:hint="eastAsia" w:eastAsia="仿宋"/>
          <w:bCs/>
          <w:color w:val="000000"/>
          <w:kern w:val="0"/>
          <w:sz w:val="28"/>
          <w:szCs w:val="32"/>
        </w:rPr>
        <w:t>、加分业绩</w:t>
      </w:r>
      <w:r>
        <w:rPr>
          <w:rFonts w:eastAsia="仿宋"/>
          <w:bCs/>
          <w:color w:val="000000"/>
          <w:kern w:val="0"/>
          <w:sz w:val="28"/>
          <w:szCs w:val="32"/>
        </w:rPr>
        <w:t>；专职安全员姓名、C类安全生产考核合格证书编号；投标人在投标文件中提供的</w:t>
      </w:r>
      <w:r>
        <w:rPr>
          <w:rFonts w:hint="eastAsia" w:eastAsia="仿宋"/>
          <w:bCs/>
          <w:color w:val="000000"/>
          <w:kern w:val="0"/>
          <w:sz w:val="28"/>
          <w:szCs w:val="32"/>
        </w:rPr>
        <w:t>加分</w:t>
      </w:r>
      <w:r>
        <w:rPr>
          <w:rFonts w:eastAsia="仿宋"/>
          <w:bCs/>
          <w:color w:val="000000"/>
          <w:kern w:val="0"/>
          <w:sz w:val="28"/>
          <w:szCs w:val="32"/>
        </w:rPr>
        <w:t>业绩、信用等级、获奖情况。</w:t>
      </w:r>
    </w:p>
    <w:p>
      <w:pPr>
        <w:spacing w:line="490" w:lineRule="exact"/>
        <w:ind w:firstLine="560" w:firstLineChars="200"/>
        <w:rPr>
          <w:rFonts w:hint="eastAsia" w:eastAsia="仿宋"/>
          <w:bCs/>
          <w:color w:val="000000"/>
          <w:kern w:val="0"/>
          <w:sz w:val="28"/>
          <w:szCs w:val="32"/>
        </w:rPr>
      </w:pPr>
      <w:r>
        <w:rPr>
          <w:rFonts w:eastAsia="仿宋"/>
          <w:bCs/>
          <w:color w:val="000000"/>
          <w:kern w:val="0"/>
          <w:sz w:val="28"/>
          <w:szCs w:val="32"/>
        </w:rPr>
        <w:t>评标情况：中标候选人详细评审得分情况（包括技术投标文件、项目管理机构、信誉等其他评分因素、投标报价、不良行为记录扣分）；中标候选人技术投标文件评委评分情况</w:t>
      </w:r>
      <w:r>
        <w:rPr>
          <w:rFonts w:hint="eastAsia" w:eastAsia="仿宋"/>
          <w:bCs/>
          <w:color w:val="000000"/>
          <w:kern w:val="0"/>
          <w:sz w:val="28"/>
          <w:szCs w:val="32"/>
        </w:rPr>
        <w:t>；</w:t>
      </w:r>
      <w:r>
        <w:rPr>
          <w:rFonts w:eastAsia="仿宋"/>
          <w:bCs/>
          <w:color w:val="000000"/>
          <w:kern w:val="0"/>
          <w:sz w:val="28"/>
          <w:szCs w:val="32"/>
        </w:rPr>
        <w:t>被否决投标的投标人名称、否决依据和原因</w:t>
      </w:r>
      <w:r>
        <w:rPr>
          <w:rFonts w:hint="eastAsia" w:eastAsia="仿宋"/>
          <w:bCs/>
          <w:color w:val="000000"/>
          <w:kern w:val="0"/>
          <w:sz w:val="28"/>
          <w:szCs w:val="32"/>
        </w:rPr>
        <w:t>。</w:t>
      </w:r>
    </w:p>
    <w:p>
      <w:pPr>
        <w:spacing w:line="490" w:lineRule="exact"/>
        <w:ind w:firstLine="560" w:firstLineChars="200"/>
        <w:rPr>
          <w:rFonts w:eastAsia="仿宋"/>
          <w:bCs/>
          <w:color w:val="000000"/>
          <w:kern w:val="0"/>
          <w:sz w:val="28"/>
          <w:szCs w:val="32"/>
        </w:rPr>
      </w:pPr>
      <w:r>
        <w:rPr>
          <w:rFonts w:eastAsia="仿宋"/>
          <w:bCs/>
          <w:color w:val="000000"/>
          <w:kern w:val="0"/>
          <w:sz w:val="28"/>
          <w:szCs w:val="32"/>
        </w:rPr>
        <w:t>投标担保信息（担保方式、担保机构、经营地址，联系电话等）。</w:t>
      </w:r>
    </w:p>
    <w:p>
      <w:pPr>
        <w:spacing w:line="490" w:lineRule="exact"/>
        <w:ind w:firstLine="560" w:firstLineChars="200"/>
        <w:rPr>
          <w:rFonts w:eastAsia="仿宋"/>
          <w:bCs/>
          <w:color w:val="000000"/>
          <w:kern w:val="0"/>
          <w:sz w:val="28"/>
          <w:szCs w:val="32"/>
        </w:rPr>
      </w:pPr>
      <w:r>
        <w:rPr>
          <w:rFonts w:eastAsia="仿宋"/>
          <w:color w:val="000000"/>
          <w:kern w:val="0"/>
          <w:sz w:val="28"/>
          <w:szCs w:val="32"/>
        </w:rPr>
        <w:t>公示期：</w:t>
      </w:r>
      <w:r>
        <w:rPr>
          <w:rFonts w:eastAsia="仿宋"/>
          <w:color w:val="000000"/>
          <w:kern w:val="0"/>
          <w:sz w:val="28"/>
          <w:szCs w:val="32"/>
          <w:u w:val="single"/>
        </w:rPr>
        <w:t xml:space="preserve">      </w:t>
      </w:r>
      <w:r>
        <w:rPr>
          <w:rFonts w:eastAsia="仿宋"/>
          <w:color w:val="000000"/>
          <w:kern w:val="0"/>
          <w:sz w:val="28"/>
          <w:szCs w:val="32"/>
        </w:rPr>
        <w:t>年</w:t>
      </w:r>
      <w:r>
        <w:rPr>
          <w:rFonts w:eastAsia="仿宋"/>
          <w:color w:val="000000"/>
          <w:kern w:val="0"/>
          <w:sz w:val="28"/>
          <w:szCs w:val="32"/>
          <w:u w:val="single"/>
        </w:rPr>
        <w:t xml:space="preserve">    </w:t>
      </w:r>
      <w:r>
        <w:rPr>
          <w:rFonts w:eastAsia="仿宋"/>
          <w:color w:val="000000"/>
          <w:kern w:val="0"/>
          <w:sz w:val="28"/>
          <w:szCs w:val="32"/>
        </w:rPr>
        <w:t>月</w:t>
      </w:r>
      <w:r>
        <w:rPr>
          <w:rFonts w:eastAsia="仿宋"/>
          <w:color w:val="000000"/>
          <w:kern w:val="0"/>
          <w:sz w:val="28"/>
          <w:szCs w:val="32"/>
          <w:u w:val="single"/>
        </w:rPr>
        <w:t xml:space="preserve">    </w:t>
      </w:r>
      <w:r>
        <w:rPr>
          <w:rFonts w:eastAsia="仿宋"/>
          <w:color w:val="000000"/>
          <w:kern w:val="0"/>
          <w:sz w:val="28"/>
          <w:szCs w:val="32"/>
        </w:rPr>
        <w:t>日始至</w:t>
      </w:r>
      <w:r>
        <w:rPr>
          <w:rFonts w:eastAsia="仿宋"/>
          <w:color w:val="000000"/>
          <w:kern w:val="0"/>
          <w:sz w:val="28"/>
          <w:szCs w:val="32"/>
          <w:u w:val="single"/>
        </w:rPr>
        <w:t xml:space="preserve">      </w:t>
      </w:r>
      <w:r>
        <w:rPr>
          <w:rFonts w:eastAsia="仿宋"/>
          <w:color w:val="000000"/>
          <w:kern w:val="0"/>
          <w:sz w:val="28"/>
          <w:szCs w:val="32"/>
        </w:rPr>
        <w:t>年</w:t>
      </w:r>
      <w:r>
        <w:rPr>
          <w:rFonts w:eastAsia="仿宋"/>
          <w:color w:val="000000"/>
          <w:kern w:val="0"/>
          <w:sz w:val="28"/>
          <w:szCs w:val="32"/>
          <w:u w:val="single"/>
        </w:rPr>
        <w:t xml:space="preserve">    </w:t>
      </w:r>
      <w:r>
        <w:rPr>
          <w:rFonts w:eastAsia="仿宋"/>
          <w:color w:val="000000"/>
          <w:kern w:val="0"/>
          <w:sz w:val="28"/>
          <w:szCs w:val="32"/>
        </w:rPr>
        <w:t>月</w:t>
      </w:r>
      <w:r>
        <w:rPr>
          <w:rFonts w:eastAsia="仿宋"/>
          <w:color w:val="000000"/>
          <w:kern w:val="0"/>
          <w:sz w:val="28"/>
          <w:szCs w:val="32"/>
          <w:u w:val="single"/>
        </w:rPr>
        <w:t xml:space="preserve">    </w:t>
      </w:r>
      <w:r>
        <w:rPr>
          <w:rFonts w:eastAsia="仿宋"/>
          <w:color w:val="000000"/>
          <w:kern w:val="0"/>
          <w:sz w:val="28"/>
          <w:szCs w:val="32"/>
        </w:rPr>
        <w:t>日</w:t>
      </w:r>
      <w:r>
        <w:rPr>
          <w:rFonts w:eastAsia="仿宋"/>
          <w:color w:val="000000"/>
          <w:kern w:val="0"/>
          <w:sz w:val="28"/>
          <w:szCs w:val="32"/>
          <w:u w:val="single"/>
        </w:rPr>
        <w:t xml:space="preserve">    </w:t>
      </w:r>
      <w:r>
        <w:rPr>
          <w:rFonts w:eastAsia="仿宋"/>
          <w:color w:val="000000"/>
          <w:kern w:val="0"/>
          <w:sz w:val="28"/>
          <w:szCs w:val="32"/>
        </w:rPr>
        <w:t>时止（北京时间）。公示期间，投标人和其他利害关系人如有异议，应按照</w:t>
      </w:r>
      <w:r>
        <w:rPr>
          <w:rFonts w:eastAsia="仿宋"/>
          <w:color w:val="000000"/>
          <w:kern w:val="0"/>
          <w:sz w:val="28"/>
          <w:szCs w:val="32"/>
          <w:u w:val="single"/>
        </w:rPr>
        <w:t>《工程建设项目招标投标活动投诉处理办法》、《关于印发</w:t>
      </w:r>
      <w:r>
        <w:rPr>
          <w:rFonts w:hint="eastAsia" w:eastAsia="仿宋"/>
          <w:color w:val="000000"/>
          <w:kern w:val="0"/>
          <w:sz w:val="28"/>
          <w:szCs w:val="32"/>
          <w:u w:val="single"/>
        </w:rPr>
        <w:t>〈</w:t>
      </w:r>
      <w:r>
        <w:rPr>
          <w:rFonts w:eastAsia="仿宋"/>
          <w:color w:val="000000"/>
          <w:kern w:val="0"/>
          <w:sz w:val="28"/>
          <w:szCs w:val="32"/>
          <w:u w:val="single"/>
        </w:rPr>
        <w:t>湖南省招标投标活动投诉处理办法</w:t>
      </w:r>
      <w:r>
        <w:rPr>
          <w:rFonts w:hint="eastAsia" w:eastAsia="仿宋"/>
          <w:color w:val="000000"/>
          <w:kern w:val="0"/>
          <w:sz w:val="28"/>
          <w:szCs w:val="32"/>
          <w:u w:val="single"/>
        </w:rPr>
        <w:t>〉</w:t>
      </w:r>
      <w:r>
        <w:rPr>
          <w:rFonts w:eastAsia="仿宋"/>
          <w:color w:val="000000"/>
          <w:kern w:val="0"/>
          <w:sz w:val="28"/>
          <w:szCs w:val="32"/>
          <w:u w:val="single"/>
        </w:rPr>
        <w:t>的通知》（湘发改法规〔2019〕294号）</w:t>
      </w:r>
      <w:r>
        <w:rPr>
          <w:rFonts w:eastAsia="仿宋"/>
          <w:color w:val="000000"/>
          <w:kern w:val="0"/>
          <w:sz w:val="28"/>
          <w:szCs w:val="32"/>
        </w:rPr>
        <w:t>提出异议或投</w:t>
      </w:r>
      <w:r>
        <w:rPr>
          <w:rFonts w:eastAsia="仿宋"/>
          <w:bCs/>
          <w:color w:val="000000"/>
          <w:kern w:val="0"/>
          <w:sz w:val="28"/>
          <w:szCs w:val="32"/>
        </w:rPr>
        <w:t>诉。</w:t>
      </w:r>
    </w:p>
    <w:p>
      <w:pPr>
        <w:spacing w:line="490" w:lineRule="exact"/>
        <w:ind w:firstLine="560" w:firstLineChars="200"/>
        <w:rPr>
          <w:rFonts w:eastAsia="仿宋"/>
          <w:bCs/>
          <w:color w:val="000000"/>
          <w:kern w:val="0"/>
          <w:sz w:val="28"/>
          <w:szCs w:val="32"/>
        </w:rPr>
      </w:pPr>
      <w:r>
        <w:rPr>
          <w:rFonts w:eastAsia="仿宋"/>
          <w:bCs/>
          <w:color w:val="000000"/>
          <w:kern w:val="0"/>
          <w:sz w:val="28"/>
          <w:szCs w:val="32"/>
        </w:rPr>
        <w:t>行政监督：</w:t>
      </w:r>
      <w:r>
        <w:rPr>
          <w:rFonts w:eastAsia="仿宋"/>
          <w:bCs/>
          <w:color w:val="000000"/>
          <w:kern w:val="0"/>
          <w:sz w:val="28"/>
          <w:szCs w:val="32"/>
          <w:u w:val="single"/>
        </w:rPr>
        <w:t>（名称、地址、联系人及联系方式）</w:t>
      </w:r>
    </w:p>
    <w:p>
      <w:pPr>
        <w:spacing w:line="490" w:lineRule="exact"/>
        <w:ind w:firstLine="560" w:firstLineChars="200"/>
        <w:rPr>
          <w:rFonts w:eastAsia="仿宋"/>
          <w:bCs/>
          <w:color w:val="000000"/>
          <w:kern w:val="0"/>
          <w:sz w:val="28"/>
          <w:szCs w:val="32"/>
        </w:rPr>
      </w:pPr>
      <w:r>
        <w:rPr>
          <w:rFonts w:eastAsia="仿宋"/>
          <w:bCs/>
          <w:color w:val="000000"/>
          <w:kern w:val="0"/>
          <w:sz w:val="28"/>
          <w:szCs w:val="32"/>
        </w:rPr>
        <w:t>招 标 人：</w:t>
      </w:r>
      <w:r>
        <w:rPr>
          <w:rFonts w:eastAsia="仿宋"/>
          <w:bCs/>
          <w:color w:val="000000"/>
          <w:kern w:val="0"/>
          <w:sz w:val="28"/>
          <w:szCs w:val="32"/>
          <w:u w:val="single"/>
        </w:rPr>
        <w:t>（名称、地址、联系人及联系方式）</w:t>
      </w:r>
    </w:p>
    <w:p>
      <w:pPr>
        <w:spacing w:line="490" w:lineRule="exact"/>
        <w:ind w:firstLine="560" w:firstLineChars="200"/>
        <w:rPr>
          <w:rFonts w:eastAsia="仿宋"/>
          <w:bCs/>
          <w:color w:val="000000"/>
          <w:kern w:val="0"/>
          <w:sz w:val="28"/>
          <w:szCs w:val="32"/>
        </w:rPr>
      </w:pPr>
      <w:r>
        <w:rPr>
          <w:rFonts w:eastAsia="仿宋"/>
          <w:bCs/>
          <w:color w:val="000000"/>
          <w:kern w:val="0"/>
          <w:sz w:val="28"/>
          <w:szCs w:val="32"/>
        </w:rPr>
        <w:t>招标代理：</w:t>
      </w:r>
      <w:r>
        <w:rPr>
          <w:rFonts w:eastAsia="仿宋"/>
          <w:bCs/>
          <w:color w:val="000000"/>
          <w:kern w:val="0"/>
          <w:sz w:val="28"/>
          <w:szCs w:val="32"/>
          <w:u w:val="single"/>
        </w:rPr>
        <w:t>（名称、地址、联系人及联系方式）</w:t>
      </w:r>
    </w:p>
    <w:p>
      <w:pPr>
        <w:spacing w:line="490" w:lineRule="exact"/>
        <w:ind w:firstLine="560" w:firstLineChars="200"/>
        <w:rPr>
          <w:rFonts w:eastAsia="仿宋"/>
          <w:bCs/>
          <w:color w:val="000000"/>
          <w:kern w:val="0"/>
          <w:sz w:val="28"/>
          <w:szCs w:val="32"/>
        </w:rPr>
      </w:pPr>
      <w:r>
        <w:rPr>
          <w:rFonts w:eastAsia="仿宋"/>
          <w:bCs/>
          <w:color w:val="000000"/>
          <w:kern w:val="0"/>
          <w:sz w:val="28"/>
          <w:szCs w:val="32"/>
        </w:rPr>
        <w:t>时    间：</w:t>
      </w:r>
      <w:r>
        <w:rPr>
          <w:rFonts w:eastAsia="仿宋"/>
          <w:bCs/>
          <w:color w:val="000000"/>
          <w:kern w:val="0"/>
          <w:sz w:val="28"/>
          <w:szCs w:val="32"/>
          <w:u w:val="single"/>
        </w:rPr>
        <w:t xml:space="preserve">                   </w:t>
      </w:r>
      <w:r>
        <w:rPr>
          <w:rFonts w:hint="eastAsia" w:eastAsia="仿宋"/>
          <w:bCs/>
          <w:color w:val="000000"/>
          <w:kern w:val="0"/>
          <w:sz w:val="28"/>
          <w:szCs w:val="32"/>
          <w:u w:val="single"/>
        </w:rPr>
        <w:t xml:space="preserve">         </w:t>
      </w:r>
      <w:r>
        <w:rPr>
          <w:rFonts w:eastAsia="仿宋"/>
          <w:bCs/>
          <w:color w:val="000000"/>
          <w:kern w:val="0"/>
          <w:sz w:val="28"/>
          <w:szCs w:val="32"/>
          <w:u w:val="single"/>
        </w:rPr>
        <w:t xml:space="preserve">    </w:t>
      </w:r>
    </w:p>
    <w:p>
      <w:pPr>
        <w:spacing w:line="490" w:lineRule="exact"/>
        <w:outlineLvl w:val="2"/>
        <w:rPr>
          <w:rFonts w:hint="eastAsia" w:eastAsia="黑体"/>
          <w:bCs/>
          <w:color w:val="000000"/>
          <w:sz w:val="28"/>
          <w:szCs w:val="20"/>
        </w:rPr>
      </w:pPr>
      <w:r>
        <w:rPr>
          <w:color w:val="000000"/>
          <w:sz w:val="20"/>
        </w:rPr>
        <w:br w:type="page"/>
      </w:r>
      <w:bookmarkStart w:id="245" w:name="_Toc51091859"/>
      <w:bookmarkStart w:id="246" w:name="_Toc269742742"/>
      <w:bookmarkStart w:id="247" w:name="_Toc511317224"/>
      <w:bookmarkStart w:id="248" w:name="_Toc511317973"/>
      <w:bookmarkStart w:id="249" w:name="_Toc2567"/>
      <w:bookmarkStart w:id="250" w:name="_Toc25995"/>
      <w:r>
        <w:rPr>
          <w:rFonts w:eastAsia="黑体"/>
          <w:bCs/>
          <w:color w:val="000000"/>
          <w:sz w:val="28"/>
          <w:szCs w:val="20"/>
        </w:rPr>
        <w:t>附件</w:t>
      </w:r>
      <w:bookmarkEnd w:id="244"/>
      <w:bookmarkEnd w:id="245"/>
      <w:bookmarkEnd w:id="246"/>
      <w:bookmarkEnd w:id="247"/>
      <w:bookmarkEnd w:id="248"/>
      <w:bookmarkEnd w:id="249"/>
      <w:bookmarkEnd w:id="250"/>
      <w:r>
        <w:rPr>
          <w:rFonts w:hint="eastAsia" w:eastAsia="黑体"/>
          <w:bCs/>
          <w:color w:val="000000"/>
          <w:sz w:val="28"/>
          <w:szCs w:val="20"/>
        </w:rPr>
        <w:t>6</w:t>
      </w:r>
    </w:p>
    <w:p>
      <w:pPr>
        <w:pStyle w:val="2"/>
        <w:rPr>
          <w:rFonts w:hint="eastAsia"/>
          <w:lang w:val="en-US" w:eastAsia="zh-CN"/>
        </w:rPr>
      </w:pPr>
    </w:p>
    <w:p>
      <w:pPr>
        <w:spacing w:line="490" w:lineRule="exact"/>
        <w:jc w:val="center"/>
        <w:rPr>
          <w:rFonts w:hint="eastAsia" w:ascii="方正小标宋简体" w:eastAsia="方正小标宋简体"/>
          <w:bCs/>
          <w:color w:val="000000"/>
          <w:sz w:val="40"/>
          <w:szCs w:val="20"/>
        </w:rPr>
      </w:pPr>
      <w:bookmarkStart w:id="251" w:name="_Toc259698648"/>
      <w:r>
        <w:rPr>
          <w:rFonts w:hint="eastAsia" w:ascii="方正小标宋简体" w:eastAsia="方正小标宋简体"/>
          <w:bCs/>
          <w:color w:val="000000"/>
          <w:sz w:val="40"/>
          <w:szCs w:val="20"/>
        </w:rPr>
        <w:t>中标通知书</w:t>
      </w:r>
      <w:bookmarkEnd w:id="251"/>
    </w:p>
    <w:p>
      <w:pPr>
        <w:rPr>
          <w:color w:val="000000"/>
        </w:rPr>
      </w:pPr>
    </w:p>
    <w:p>
      <w:pPr>
        <w:spacing w:line="490" w:lineRule="exact"/>
        <w:ind w:firstLine="560" w:firstLineChars="200"/>
        <w:jc w:val="center"/>
        <w:rPr>
          <w:rFonts w:eastAsia="仿宋_GB2312"/>
          <w:color w:val="000000"/>
          <w:sz w:val="28"/>
          <w:szCs w:val="32"/>
        </w:rPr>
      </w:pPr>
      <w:r>
        <w:rPr>
          <w:rFonts w:eastAsia="仿宋_GB2312"/>
          <w:color w:val="000000"/>
          <w:sz w:val="28"/>
          <w:szCs w:val="32"/>
        </w:rPr>
        <w:t xml:space="preserve">                        编号：</w:t>
      </w:r>
      <w:r>
        <w:rPr>
          <w:rFonts w:eastAsia="仿宋_GB2312"/>
          <w:color w:val="000000"/>
          <w:sz w:val="28"/>
          <w:szCs w:val="32"/>
          <w:u w:val="single"/>
        </w:rPr>
        <w:t xml:space="preserve">                </w:t>
      </w:r>
    </w:p>
    <w:p>
      <w:pPr>
        <w:rPr>
          <w:color w:val="000000"/>
        </w:rPr>
      </w:pPr>
    </w:p>
    <w:p>
      <w:pPr>
        <w:pStyle w:val="19"/>
        <w:spacing w:line="490" w:lineRule="exact"/>
        <w:ind w:left="0" w:leftChars="0"/>
        <w:rPr>
          <w:rFonts w:eastAsia="仿宋_GB2312"/>
          <w:color w:val="000000"/>
          <w:sz w:val="28"/>
          <w:szCs w:val="32"/>
        </w:rPr>
      </w:pPr>
      <w:r>
        <w:rPr>
          <w:rFonts w:eastAsia="仿宋_GB2312"/>
          <w:color w:val="000000"/>
          <w:sz w:val="28"/>
          <w:szCs w:val="32"/>
          <w:u w:val="single"/>
        </w:rPr>
        <w:t xml:space="preserve">                </w:t>
      </w:r>
      <w:r>
        <w:rPr>
          <w:rFonts w:eastAsia="仿宋_GB2312"/>
          <w:color w:val="000000"/>
          <w:sz w:val="28"/>
          <w:szCs w:val="32"/>
        </w:rPr>
        <w:t>（中标人名称）：</w:t>
      </w:r>
    </w:p>
    <w:p>
      <w:pPr>
        <w:adjustRightInd w:val="0"/>
        <w:spacing w:line="490" w:lineRule="exact"/>
        <w:ind w:firstLine="560" w:firstLineChars="200"/>
        <w:jc w:val="left"/>
        <w:rPr>
          <w:rFonts w:eastAsia="仿宋_GB2312"/>
          <w:color w:val="000000"/>
          <w:sz w:val="28"/>
          <w:szCs w:val="32"/>
        </w:rPr>
      </w:pPr>
      <w:r>
        <w:rPr>
          <w:rFonts w:eastAsia="仿宋_GB2312"/>
          <w:color w:val="000000"/>
          <w:sz w:val="28"/>
          <w:szCs w:val="32"/>
        </w:rPr>
        <w:t>你方于</w:t>
      </w:r>
      <w:r>
        <w:rPr>
          <w:rFonts w:eastAsia="仿宋_GB2312"/>
          <w:color w:val="000000"/>
          <w:sz w:val="28"/>
          <w:szCs w:val="32"/>
          <w:u w:val="single"/>
        </w:rPr>
        <w:t xml:space="preserve">               </w:t>
      </w:r>
      <w:r>
        <w:rPr>
          <w:rFonts w:eastAsia="仿宋_GB2312"/>
          <w:color w:val="000000"/>
          <w:sz w:val="28"/>
          <w:szCs w:val="32"/>
        </w:rPr>
        <w:t>（投标日期）所递交的</w:t>
      </w:r>
      <w:r>
        <w:rPr>
          <w:rFonts w:eastAsia="仿宋_GB2312"/>
          <w:color w:val="000000"/>
          <w:sz w:val="28"/>
          <w:szCs w:val="32"/>
          <w:u w:val="single"/>
        </w:rPr>
        <w:t xml:space="preserve">             </w:t>
      </w:r>
      <w:r>
        <w:rPr>
          <w:rFonts w:eastAsia="仿宋_GB2312"/>
          <w:color w:val="000000"/>
          <w:sz w:val="28"/>
          <w:szCs w:val="32"/>
        </w:rPr>
        <w:t>（项目名称）</w:t>
      </w:r>
      <w:r>
        <w:rPr>
          <w:rFonts w:eastAsia="仿宋_GB2312"/>
          <w:color w:val="000000"/>
          <w:sz w:val="28"/>
          <w:szCs w:val="32"/>
          <w:u w:val="single"/>
        </w:rPr>
        <w:t xml:space="preserve">         </w:t>
      </w:r>
      <w:r>
        <w:rPr>
          <w:rFonts w:eastAsia="仿宋_GB2312"/>
          <w:color w:val="000000"/>
          <w:sz w:val="28"/>
          <w:szCs w:val="32"/>
        </w:rPr>
        <w:t>（标段名称）投标文件已被我方接受，并被确定为中标人。</w:t>
      </w:r>
    </w:p>
    <w:p>
      <w:pPr>
        <w:adjustRightInd w:val="0"/>
        <w:spacing w:line="490" w:lineRule="exact"/>
        <w:ind w:firstLine="560" w:firstLineChars="200"/>
        <w:jc w:val="left"/>
        <w:rPr>
          <w:rFonts w:eastAsia="仿宋_GB2312"/>
          <w:color w:val="000000"/>
          <w:sz w:val="28"/>
          <w:szCs w:val="32"/>
        </w:rPr>
      </w:pPr>
      <w:r>
        <w:rPr>
          <w:rFonts w:eastAsia="仿宋_GB2312"/>
          <w:color w:val="000000"/>
          <w:sz w:val="28"/>
          <w:szCs w:val="32"/>
        </w:rPr>
        <w:t>中 标 价：</w:t>
      </w:r>
      <w:r>
        <w:rPr>
          <w:rFonts w:eastAsia="仿宋_GB2312"/>
          <w:color w:val="000000"/>
          <w:sz w:val="28"/>
          <w:szCs w:val="32"/>
          <w:u w:val="single"/>
        </w:rPr>
        <w:t xml:space="preserve">           </w:t>
      </w:r>
      <w:r>
        <w:rPr>
          <w:rFonts w:eastAsia="仿宋_GB2312"/>
          <w:color w:val="000000"/>
          <w:sz w:val="28"/>
          <w:szCs w:val="32"/>
        </w:rPr>
        <w:t>元。</w:t>
      </w:r>
    </w:p>
    <w:p>
      <w:pPr>
        <w:adjustRightInd w:val="0"/>
        <w:spacing w:line="490" w:lineRule="exact"/>
        <w:ind w:firstLine="560" w:firstLineChars="200"/>
        <w:jc w:val="left"/>
        <w:rPr>
          <w:rFonts w:eastAsia="仿宋_GB2312"/>
          <w:color w:val="000000"/>
          <w:sz w:val="28"/>
          <w:szCs w:val="32"/>
        </w:rPr>
      </w:pPr>
      <w:r>
        <w:rPr>
          <w:rFonts w:eastAsia="仿宋_GB2312"/>
          <w:color w:val="000000"/>
          <w:sz w:val="28"/>
          <w:szCs w:val="32"/>
        </w:rPr>
        <w:t>工    期：</w:t>
      </w:r>
      <w:r>
        <w:rPr>
          <w:rFonts w:eastAsia="仿宋_GB2312"/>
          <w:color w:val="000000"/>
          <w:sz w:val="28"/>
          <w:szCs w:val="32"/>
          <w:u w:val="single"/>
        </w:rPr>
        <w:t xml:space="preserve">           </w:t>
      </w:r>
      <w:r>
        <w:rPr>
          <w:rFonts w:hint="eastAsia" w:eastAsia="仿宋_GB2312"/>
          <w:color w:val="000000"/>
          <w:sz w:val="28"/>
          <w:szCs w:val="32"/>
        </w:rPr>
        <w:t>天</w:t>
      </w:r>
      <w:r>
        <w:rPr>
          <w:rFonts w:eastAsia="仿宋_GB2312"/>
          <w:color w:val="000000"/>
          <w:sz w:val="28"/>
          <w:szCs w:val="32"/>
        </w:rPr>
        <w:t>。</w:t>
      </w:r>
    </w:p>
    <w:p>
      <w:pPr>
        <w:adjustRightInd w:val="0"/>
        <w:spacing w:line="490" w:lineRule="exact"/>
        <w:ind w:firstLine="560" w:firstLineChars="200"/>
        <w:jc w:val="left"/>
        <w:rPr>
          <w:rFonts w:eastAsia="仿宋_GB2312"/>
          <w:color w:val="000000"/>
          <w:sz w:val="28"/>
          <w:szCs w:val="32"/>
        </w:rPr>
      </w:pPr>
      <w:r>
        <w:rPr>
          <w:rFonts w:eastAsia="仿宋_GB2312"/>
          <w:color w:val="000000"/>
          <w:sz w:val="28"/>
          <w:szCs w:val="32"/>
        </w:rPr>
        <w:t>工程质量：符合</w:t>
      </w:r>
      <w:r>
        <w:rPr>
          <w:rFonts w:eastAsia="仿宋_GB2312"/>
          <w:color w:val="000000"/>
          <w:sz w:val="28"/>
          <w:szCs w:val="32"/>
          <w:u w:val="single"/>
        </w:rPr>
        <w:t xml:space="preserve">       </w:t>
      </w:r>
      <w:r>
        <w:rPr>
          <w:rFonts w:eastAsia="仿宋_GB2312"/>
          <w:color w:val="000000"/>
          <w:sz w:val="28"/>
          <w:szCs w:val="32"/>
        </w:rPr>
        <w:t>标准。</w:t>
      </w:r>
    </w:p>
    <w:p>
      <w:pPr>
        <w:adjustRightInd w:val="0"/>
        <w:spacing w:line="490" w:lineRule="exact"/>
        <w:ind w:firstLine="560" w:firstLineChars="200"/>
        <w:jc w:val="left"/>
        <w:rPr>
          <w:rFonts w:eastAsia="仿宋_GB2312"/>
          <w:color w:val="000000"/>
          <w:sz w:val="28"/>
          <w:szCs w:val="32"/>
        </w:rPr>
      </w:pPr>
      <w:r>
        <w:rPr>
          <w:rFonts w:eastAsia="仿宋_GB2312"/>
          <w:color w:val="000000"/>
          <w:sz w:val="28"/>
          <w:szCs w:val="32"/>
        </w:rPr>
        <w:t>项目负责人：</w:t>
      </w:r>
      <w:r>
        <w:rPr>
          <w:rFonts w:eastAsia="仿宋_GB2312"/>
          <w:color w:val="000000"/>
          <w:sz w:val="28"/>
          <w:szCs w:val="32"/>
          <w:u w:val="single"/>
        </w:rPr>
        <w:t xml:space="preserve">          </w:t>
      </w:r>
      <w:r>
        <w:rPr>
          <w:rFonts w:eastAsia="仿宋_GB2312"/>
          <w:color w:val="000000"/>
          <w:sz w:val="28"/>
          <w:szCs w:val="32"/>
        </w:rPr>
        <w:t>（姓名）。</w:t>
      </w:r>
    </w:p>
    <w:p>
      <w:pPr>
        <w:adjustRightInd w:val="0"/>
        <w:spacing w:line="490" w:lineRule="exact"/>
        <w:ind w:firstLine="560" w:firstLineChars="200"/>
        <w:jc w:val="left"/>
        <w:rPr>
          <w:rFonts w:eastAsia="仿宋_GB2312"/>
          <w:color w:val="000000"/>
          <w:sz w:val="28"/>
          <w:szCs w:val="32"/>
        </w:rPr>
      </w:pPr>
      <w:r>
        <w:rPr>
          <w:rFonts w:eastAsia="仿宋_GB2312"/>
          <w:color w:val="000000"/>
          <w:sz w:val="28"/>
          <w:szCs w:val="32"/>
        </w:rPr>
        <w:t>技术负责人：</w:t>
      </w:r>
      <w:r>
        <w:rPr>
          <w:rFonts w:eastAsia="仿宋_GB2312"/>
          <w:color w:val="000000"/>
          <w:sz w:val="28"/>
          <w:szCs w:val="32"/>
          <w:u w:val="single"/>
        </w:rPr>
        <w:t xml:space="preserve">          </w:t>
      </w:r>
      <w:r>
        <w:rPr>
          <w:rFonts w:eastAsia="仿宋_GB2312"/>
          <w:color w:val="000000"/>
          <w:sz w:val="28"/>
          <w:szCs w:val="32"/>
        </w:rPr>
        <w:t>（姓名）。</w:t>
      </w:r>
    </w:p>
    <w:p>
      <w:pPr>
        <w:adjustRightInd w:val="0"/>
        <w:spacing w:line="490" w:lineRule="exact"/>
        <w:ind w:firstLine="560" w:firstLineChars="200"/>
        <w:jc w:val="left"/>
        <w:rPr>
          <w:rFonts w:eastAsia="仿宋_GB2312"/>
          <w:color w:val="000000"/>
          <w:sz w:val="28"/>
          <w:szCs w:val="32"/>
        </w:rPr>
      </w:pPr>
      <w:r>
        <w:rPr>
          <w:rFonts w:eastAsia="仿宋_GB2312"/>
          <w:color w:val="000000"/>
          <w:sz w:val="28"/>
          <w:szCs w:val="32"/>
        </w:rPr>
        <w:t>专职安全员：</w:t>
      </w:r>
      <w:r>
        <w:rPr>
          <w:rFonts w:eastAsia="仿宋_GB2312"/>
          <w:color w:val="000000"/>
          <w:sz w:val="28"/>
          <w:szCs w:val="32"/>
          <w:u w:val="single"/>
        </w:rPr>
        <w:t xml:space="preserve">          </w:t>
      </w:r>
      <w:r>
        <w:rPr>
          <w:rFonts w:eastAsia="仿宋_GB2312"/>
          <w:color w:val="000000"/>
          <w:sz w:val="28"/>
          <w:szCs w:val="32"/>
        </w:rPr>
        <w:t>（姓名）。</w:t>
      </w:r>
    </w:p>
    <w:p>
      <w:pPr>
        <w:adjustRightInd w:val="0"/>
        <w:spacing w:line="490" w:lineRule="exact"/>
        <w:ind w:firstLine="560" w:firstLineChars="200"/>
        <w:jc w:val="left"/>
        <w:rPr>
          <w:rFonts w:eastAsia="仿宋_GB2312"/>
          <w:color w:val="000000"/>
          <w:sz w:val="28"/>
          <w:szCs w:val="32"/>
        </w:rPr>
      </w:pPr>
      <w:r>
        <w:rPr>
          <w:rFonts w:eastAsia="仿宋_GB2312"/>
          <w:color w:val="000000"/>
          <w:sz w:val="28"/>
          <w:szCs w:val="32"/>
        </w:rPr>
        <w:t>请你方在接到本通知书后的</w:t>
      </w:r>
      <w:r>
        <w:rPr>
          <w:rFonts w:eastAsia="仿宋_GB2312"/>
          <w:color w:val="000000"/>
          <w:sz w:val="28"/>
          <w:szCs w:val="32"/>
          <w:u w:val="single"/>
        </w:rPr>
        <w:t xml:space="preserve">        </w:t>
      </w:r>
      <w:r>
        <w:rPr>
          <w:rFonts w:eastAsia="仿宋_GB2312"/>
          <w:color w:val="000000"/>
          <w:sz w:val="28"/>
          <w:szCs w:val="32"/>
        </w:rPr>
        <w:t>日内到</w:t>
      </w:r>
      <w:r>
        <w:rPr>
          <w:rFonts w:eastAsia="仿宋_GB2312"/>
          <w:color w:val="000000"/>
          <w:sz w:val="28"/>
          <w:szCs w:val="32"/>
          <w:u w:val="single"/>
        </w:rPr>
        <w:t xml:space="preserve">            </w:t>
      </w:r>
      <w:r>
        <w:rPr>
          <w:rFonts w:eastAsia="仿宋_GB2312"/>
          <w:color w:val="000000"/>
          <w:sz w:val="28"/>
          <w:szCs w:val="32"/>
        </w:rPr>
        <w:t>（详细地点）与我方签订施工合同协议书，在此之前按招标文件第二章投标人须知第7.6条规定向我方提交履约担保。</w:t>
      </w:r>
    </w:p>
    <w:p>
      <w:pPr>
        <w:adjustRightInd w:val="0"/>
        <w:spacing w:line="490" w:lineRule="exact"/>
        <w:ind w:firstLine="560" w:firstLineChars="200"/>
        <w:jc w:val="left"/>
        <w:rPr>
          <w:rFonts w:eastAsia="仿宋_GB2312"/>
          <w:color w:val="000000"/>
          <w:sz w:val="28"/>
          <w:szCs w:val="32"/>
        </w:rPr>
      </w:pPr>
      <w:r>
        <w:rPr>
          <w:rFonts w:eastAsia="仿宋_GB2312"/>
          <w:color w:val="000000"/>
          <w:sz w:val="28"/>
          <w:szCs w:val="32"/>
        </w:rPr>
        <w:t>特此通知。</w:t>
      </w:r>
    </w:p>
    <w:p>
      <w:pPr>
        <w:rPr>
          <w:color w:val="000000"/>
        </w:rPr>
      </w:pPr>
    </w:p>
    <w:p>
      <w:pPr>
        <w:spacing w:line="490" w:lineRule="exact"/>
        <w:ind w:firstLine="3074" w:firstLineChars="1098"/>
        <w:rPr>
          <w:rFonts w:eastAsia="仿宋_GB2312"/>
          <w:color w:val="000000"/>
          <w:sz w:val="28"/>
          <w:szCs w:val="32"/>
          <w:u w:val="single"/>
        </w:rPr>
      </w:pPr>
      <w:r>
        <w:rPr>
          <w:rFonts w:eastAsia="仿宋_GB2312"/>
          <w:color w:val="000000"/>
          <w:sz w:val="28"/>
          <w:szCs w:val="32"/>
        </w:rPr>
        <w:t>招  标  人：</w:t>
      </w:r>
      <w:r>
        <w:rPr>
          <w:rFonts w:eastAsia="仿宋_GB2312"/>
          <w:color w:val="000000"/>
          <w:sz w:val="28"/>
          <w:szCs w:val="32"/>
          <w:u w:val="single"/>
        </w:rPr>
        <w:t xml:space="preserve">        （全称）       </w:t>
      </w:r>
    </w:p>
    <w:p>
      <w:pPr>
        <w:spacing w:line="490" w:lineRule="exact"/>
        <w:ind w:firstLine="5591" w:firstLineChars="1997"/>
        <w:rPr>
          <w:rFonts w:eastAsia="仿宋_GB2312"/>
          <w:color w:val="000000"/>
          <w:sz w:val="28"/>
          <w:szCs w:val="32"/>
          <w:u w:val="single"/>
        </w:rPr>
      </w:pPr>
      <w:r>
        <w:rPr>
          <w:rFonts w:eastAsia="仿宋_GB2312"/>
          <w:color w:val="000000"/>
          <w:sz w:val="28"/>
          <w:szCs w:val="32"/>
        </w:rPr>
        <w:t>（盖单位公章）</w:t>
      </w:r>
    </w:p>
    <w:p>
      <w:pPr>
        <w:spacing w:line="490" w:lineRule="exact"/>
        <w:ind w:firstLine="3074" w:firstLineChars="1098"/>
        <w:rPr>
          <w:rFonts w:eastAsia="仿宋_GB2312"/>
          <w:color w:val="000000"/>
          <w:sz w:val="28"/>
          <w:szCs w:val="32"/>
        </w:rPr>
      </w:pPr>
      <w:r>
        <w:rPr>
          <w:rFonts w:eastAsia="仿宋_GB2312"/>
          <w:color w:val="000000"/>
          <w:sz w:val="28"/>
          <w:szCs w:val="32"/>
        </w:rPr>
        <w:t>法定代表人：</w:t>
      </w:r>
      <w:r>
        <w:rPr>
          <w:rFonts w:eastAsia="仿宋_GB2312"/>
          <w:color w:val="000000"/>
          <w:sz w:val="28"/>
          <w:szCs w:val="32"/>
          <w:u w:val="single"/>
        </w:rPr>
        <w:t xml:space="preserve">        （签字）       </w:t>
      </w:r>
    </w:p>
    <w:p>
      <w:pPr>
        <w:rPr>
          <w:color w:val="000000"/>
        </w:rPr>
      </w:pPr>
    </w:p>
    <w:p>
      <w:pPr>
        <w:spacing w:line="490" w:lineRule="exact"/>
        <w:ind w:firstLine="3074" w:firstLineChars="1098"/>
        <w:rPr>
          <w:rFonts w:eastAsia="仿宋_GB2312"/>
          <w:color w:val="000000"/>
          <w:sz w:val="28"/>
          <w:szCs w:val="32"/>
          <w:u w:val="single"/>
        </w:rPr>
      </w:pPr>
      <w:r>
        <w:rPr>
          <w:rFonts w:eastAsia="仿宋_GB2312"/>
          <w:color w:val="000000"/>
          <w:sz w:val="28"/>
          <w:szCs w:val="32"/>
        </w:rPr>
        <w:t>招标代理机构：</w:t>
      </w:r>
      <w:r>
        <w:rPr>
          <w:rFonts w:eastAsia="仿宋_GB2312"/>
          <w:color w:val="000000"/>
          <w:sz w:val="28"/>
          <w:szCs w:val="32"/>
          <w:u w:val="single"/>
        </w:rPr>
        <w:t xml:space="preserve">      （全称）       </w:t>
      </w:r>
    </w:p>
    <w:p>
      <w:pPr>
        <w:spacing w:line="490" w:lineRule="exact"/>
        <w:ind w:firstLine="5594" w:firstLineChars="1998"/>
        <w:rPr>
          <w:rFonts w:eastAsia="仿宋_GB2312"/>
          <w:color w:val="000000"/>
          <w:sz w:val="28"/>
          <w:szCs w:val="32"/>
        </w:rPr>
      </w:pPr>
      <w:r>
        <w:rPr>
          <w:rFonts w:eastAsia="仿宋_GB2312"/>
          <w:color w:val="000000"/>
          <w:sz w:val="28"/>
          <w:szCs w:val="32"/>
        </w:rPr>
        <w:t>（盖单位公章）</w:t>
      </w:r>
    </w:p>
    <w:p>
      <w:pPr>
        <w:spacing w:line="490" w:lineRule="exact"/>
        <w:ind w:firstLine="3074" w:firstLineChars="1098"/>
        <w:rPr>
          <w:rFonts w:eastAsia="仿宋_GB2312"/>
          <w:color w:val="000000"/>
          <w:sz w:val="28"/>
          <w:szCs w:val="32"/>
        </w:rPr>
      </w:pPr>
      <w:r>
        <w:rPr>
          <w:rFonts w:eastAsia="仿宋_GB2312"/>
          <w:color w:val="000000"/>
          <w:sz w:val="28"/>
          <w:szCs w:val="32"/>
        </w:rPr>
        <w:t>法定代表人：</w:t>
      </w:r>
      <w:r>
        <w:rPr>
          <w:rFonts w:eastAsia="仿宋_GB2312"/>
          <w:color w:val="000000"/>
          <w:sz w:val="28"/>
          <w:szCs w:val="32"/>
          <w:u w:val="single"/>
        </w:rPr>
        <w:t xml:space="preserve">        （签字）       </w:t>
      </w:r>
    </w:p>
    <w:p>
      <w:pPr>
        <w:rPr>
          <w:color w:val="000000"/>
        </w:rPr>
      </w:pPr>
    </w:p>
    <w:p>
      <w:pPr>
        <w:spacing w:line="490" w:lineRule="exact"/>
        <w:ind w:firstLine="4894" w:firstLineChars="1748"/>
        <w:rPr>
          <w:color w:val="000000"/>
          <w:sz w:val="22"/>
        </w:rPr>
      </w:pPr>
      <w:r>
        <w:rPr>
          <w:rFonts w:eastAsia="仿宋_GB2312"/>
          <w:color w:val="000000"/>
          <w:sz w:val="28"/>
          <w:szCs w:val="32"/>
          <w:u w:val="single"/>
        </w:rPr>
        <w:t xml:space="preserve">      </w:t>
      </w:r>
      <w:r>
        <w:rPr>
          <w:rFonts w:eastAsia="仿宋_GB2312"/>
          <w:color w:val="000000"/>
          <w:sz w:val="28"/>
          <w:szCs w:val="32"/>
        </w:rPr>
        <w:t>年</w:t>
      </w:r>
      <w:r>
        <w:rPr>
          <w:rFonts w:eastAsia="仿宋_GB2312"/>
          <w:color w:val="000000"/>
          <w:sz w:val="28"/>
          <w:szCs w:val="32"/>
          <w:u w:val="single"/>
        </w:rPr>
        <w:t xml:space="preserve">     </w:t>
      </w:r>
      <w:r>
        <w:rPr>
          <w:rFonts w:eastAsia="仿宋_GB2312"/>
          <w:color w:val="000000"/>
          <w:sz w:val="28"/>
          <w:szCs w:val="32"/>
        </w:rPr>
        <w:t>月</w:t>
      </w:r>
      <w:r>
        <w:rPr>
          <w:rFonts w:eastAsia="仿宋_GB2312"/>
          <w:color w:val="000000"/>
          <w:sz w:val="28"/>
          <w:szCs w:val="32"/>
          <w:u w:val="single"/>
        </w:rPr>
        <w:t xml:space="preserve">    </w:t>
      </w:r>
      <w:r>
        <w:rPr>
          <w:rFonts w:eastAsia="仿宋_GB2312"/>
          <w:color w:val="000000"/>
          <w:sz w:val="28"/>
          <w:szCs w:val="32"/>
        </w:rPr>
        <w:t>日</w:t>
      </w:r>
    </w:p>
    <w:p>
      <w:pPr>
        <w:spacing w:line="490" w:lineRule="exact"/>
        <w:outlineLvl w:val="2"/>
        <w:rPr>
          <w:rFonts w:hint="eastAsia" w:eastAsia="黑体"/>
          <w:bCs/>
          <w:color w:val="000000"/>
          <w:sz w:val="28"/>
          <w:szCs w:val="20"/>
        </w:rPr>
      </w:pPr>
      <w:r>
        <w:rPr>
          <w:color w:val="000000"/>
          <w:sz w:val="20"/>
        </w:rPr>
        <w:br w:type="page"/>
      </w:r>
      <w:bookmarkStart w:id="252" w:name="_Toc511317974"/>
      <w:bookmarkStart w:id="253" w:name="_Toc269742743"/>
      <w:bookmarkStart w:id="254" w:name="_Toc511317225"/>
      <w:bookmarkStart w:id="255" w:name="_Toc24620"/>
      <w:bookmarkStart w:id="256" w:name="_Toc259698649"/>
      <w:bookmarkStart w:id="257" w:name="_Toc24461"/>
      <w:bookmarkStart w:id="258" w:name="_Toc51091860"/>
      <w:r>
        <w:rPr>
          <w:rFonts w:eastAsia="黑体"/>
          <w:bCs/>
          <w:color w:val="000000"/>
          <w:sz w:val="28"/>
          <w:szCs w:val="20"/>
        </w:rPr>
        <w:t>附件</w:t>
      </w:r>
      <w:bookmarkEnd w:id="252"/>
      <w:bookmarkEnd w:id="253"/>
      <w:bookmarkEnd w:id="254"/>
      <w:bookmarkEnd w:id="255"/>
      <w:bookmarkEnd w:id="256"/>
      <w:bookmarkEnd w:id="257"/>
      <w:bookmarkEnd w:id="258"/>
      <w:r>
        <w:rPr>
          <w:rFonts w:hint="eastAsia" w:eastAsia="黑体"/>
          <w:bCs/>
          <w:color w:val="000000"/>
          <w:sz w:val="28"/>
          <w:szCs w:val="20"/>
        </w:rPr>
        <w:t>7</w:t>
      </w:r>
    </w:p>
    <w:p>
      <w:pPr>
        <w:spacing w:line="490" w:lineRule="exact"/>
        <w:jc w:val="center"/>
        <w:rPr>
          <w:rFonts w:eastAsia="方正小标宋_GBK"/>
          <w:bCs/>
          <w:color w:val="000000"/>
          <w:sz w:val="36"/>
          <w:szCs w:val="20"/>
        </w:rPr>
      </w:pPr>
    </w:p>
    <w:p>
      <w:pPr>
        <w:pStyle w:val="32"/>
        <w:spacing w:line="490" w:lineRule="exact"/>
        <w:ind w:left="800" w:hanging="800"/>
        <w:jc w:val="center"/>
        <w:rPr>
          <w:rFonts w:hint="eastAsia" w:ascii="方正小标宋简体" w:eastAsia="方正小标宋简体"/>
          <w:color w:val="000000"/>
          <w:sz w:val="40"/>
          <w:szCs w:val="28"/>
        </w:rPr>
      </w:pPr>
      <w:bookmarkStart w:id="259" w:name="_Toc259698650"/>
      <w:r>
        <w:rPr>
          <w:rFonts w:hint="eastAsia" w:ascii="方正小标宋简体" w:eastAsia="方正小标宋简体"/>
          <w:color w:val="000000"/>
          <w:sz w:val="40"/>
          <w:szCs w:val="28"/>
        </w:rPr>
        <w:t>中标结果通知书</w:t>
      </w:r>
      <w:bookmarkEnd w:id="259"/>
      <w:r>
        <w:rPr>
          <w:rFonts w:hint="eastAsia" w:ascii="方正小标宋简体" w:eastAsia="方正小标宋简体"/>
          <w:color w:val="000000"/>
          <w:sz w:val="40"/>
          <w:szCs w:val="28"/>
        </w:rPr>
        <w:t>（如有）</w:t>
      </w:r>
    </w:p>
    <w:p>
      <w:pPr>
        <w:spacing w:line="490" w:lineRule="exact"/>
        <w:jc w:val="center"/>
        <w:rPr>
          <w:rFonts w:eastAsia="方正小标宋_GBK"/>
          <w:color w:val="000000"/>
          <w:sz w:val="28"/>
        </w:rPr>
      </w:pPr>
    </w:p>
    <w:p>
      <w:pPr>
        <w:spacing w:line="490" w:lineRule="exact"/>
        <w:jc w:val="center"/>
        <w:rPr>
          <w:rFonts w:eastAsia="仿宋_GB2312"/>
          <w:color w:val="000000"/>
          <w:sz w:val="28"/>
          <w:szCs w:val="28"/>
          <w:u w:val="single"/>
        </w:rPr>
      </w:pPr>
      <w:r>
        <w:rPr>
          <w:rFonts w:eastAsia="仿宋_GB2312"/>
          <w:color w:val="000000"/>
          <w:sz w:val="28"/>
          <w:szCs w:val="28"/>
        </w:rPr>
        <w:t xml:space="preserve">                                 编号：</w:t>
      </w:r>
      <w:r>
        <w:rPr>
          <w:rFonts w:eastAsia="仿宋_GB2312"/>
          <w:color w:val="000000"/>
          <w:sz w:val="28"/>
          <w:szCs w:val="28"/>
          <w:u w:val="single"/>
        </w:rPr>
        <w:t xml:space="preserve">             </w:t>
      </w:r>
    </w:p>
    <w:p>
      <w:pPr>
        <w:spacing w:line="490" w:lineRule="exact"/>
        <w:jc w:val="center"/>
        <w:rPr>
          <w:rFonts w:eastAsia="仿宋_GB2312"/>
          <w:color w:val="000000"/>
          <w:sz w:val="28"/>
          <w:szCs w:val="32"/>
        </w:rPr>
      </w:pPr>
    </w:p>
    <w:p>
      <w:pPr>
        <w:pStyle w:val="19"/>
        <w:spacing w:line="490" w:lineRule="exact"/>
        <w:ind w:left="0" w:leftChars="0"/>
        <w:rPr>
          <w:rFonts w:eastAsia="仿宋_GB2312"/>
          <w:color w:val="000000"/>
          <w:sz w:val="28"/>
          <w:szCs w:val="32"/>
        </w:rPr>
      </w:pPr>
      <w:r>
        <w:rPr>
          <w:rFonts w:eastAsia="仿宋_GB2312"/>
          <w:color w:val="000000"/>
          <w:sz w:val="28"/>
          <w:szCs w:val="32"/>
          <w:u w:val="single"/>
        </w:rPr>
        <w:t xml:space="preserve">                </w:t>
      </w:r>
      <w:r>
        <w:rPr>
          <w:rFonts w:eastAsia="仿宋_GB2312"/>
          <w:color w:val="000000"/>
          <w:sz w:val="28"/>
          <w:szCs w:val="32"/>
        </w:rPr>
        <w:t>（未中标人名称）：</w:t>
      </w:r>
    </w:p>
    <w:p>
      <w:pPr>
        <w:autoSpaceDE w:val="0"/>
        <w:autoSpaceDN w:val="0"/>
        <w:adjustRightInd w:val="0"/>
        <w:spacing w:line="490" w:lineRule="exact"/>
        <w:ind w:firstLine="560" w:firstLineChars="200"/>
        <w:jc w:val="left"/>
        <w:rPr>
          <w:rFonts w:eastAsia="仿宋_GB2312"/>
          <w:color w:val="000000"/>
          <w:sz w:val="28"/>
          <w:szCs w:val="32"/>
        </w:rPr>
      </w:pPr>
      <w:r>
        <w:rPr>
          <w:rFonts w:eastAsia="仿宋_GB2312"/>
          <w:color w:val="000000"/>
          <w:sz w:val="28"/>
          <w:szCs w:val="32"/>
        </w:rPr>
        <w:t>我方已接受</w:t>
      </w:r>
      <w:r>
        <w:rPr>
          <w:rFonts w:eastAsia="仿宋_GB2312"/>
          <w:color w:val="000000"/>
          <w:sz w:val="28"/>
          <w:szCs w:val="32"/>
          <w:u w:val="single"/>
        </w:rPr>
        <w:t xml:space="preserve">          </w:t>
      </w:r>
      <w:r>
        <w:rPr>
          <w:rFonts w:eastAsia="仿宋_GB2312"/>
          <w:color w:val="000000"/>
          <w:sz w:val="28"/>
          <w:szCs w:val="32"/>
        </w:rPr>
        <w:t>（中标人名称）于</w:t>
      </w:r>
      <w:r>
        <w:rPr>
          <w:rFonts w:eastAsia="仿宋_GB2312"/>
          <w:color w:val="000000"/>
          <w:sz w:val="28"/>
          <w:szCs w:val="32"/>
          <w:u w:val="single"/>
        </w:rPr>
        <w:t xml:space="preserve">         </w:t>
      </w:r>
      <w:r>
        <w:rPr>
          <w:rFonts w:eastAsia="仿宋_GB2312"/>
          <w:color w:val="000000"/>
          <w:sz w:val="28"/>
          <w:szCs w:val="32"/>
        </w:rPr>
        <w:t>（投标日期）所递交的</w:t>
      </w:r>
      <w:r>
        <w:rPr>
          <w:rFonts w:eastAsia="仿宋_GB2312"/>
          <w:color w:val="000000"/>
          <w:sz w:val="28"/>
          <w:szCs w:val="32"/>
          <w:u w:val="single"/>
        </w:rPr>
        <w:t xml:space="preserve">           </w:t>
      </w:r>
      <w:r>
        <w:rPr>
          <w:rFonts w:eastAsia="仿宋_GB2312"/>
          <w:color w:val="000000"/>
          <w:sz w:val="28"/>
          <w:szCs w:val="32"/>
        </w:rPr>
        <w:t>（项目名称）</w:t>
      </w:r>
      <w:r>
        <w:rPr>
          <w:rFonts w:eastAsia="仿宋_GB2312"/>
          <w:color w:val="000000"/>
          <w:sz w:val="28"/>
          <w:szCs w:val="32"/>
          <w:u w:val="single"/>
        </w:rPr>
        <w:t xml:space="preserve">             </w:t>
      </w:r>
      <w:r>
        <w:rPr>
          <w:rFonts w:eastAsia="仿宋_GB2312"/>
          <w:color w:val="000000"/>
          <w:sz w:val="28"/>
          <w:szCs w:val="32"/>
        </w:rPr>
        <w:t>（标段名称）投标文件，确定</w:t>
      </w:r>
      <w:r>
        <w:rPr>
          <w:rFonts w:eastAsia="仿宋_GB2312"/>
          <w:color w:val="000000"/>
          <w:sz w:val="28"/>
          <w:szCs w:val="32"/>
          <w:u w:val="single"/>
        </w:rPr>
        <w:t xml:space="preserve">           </w:t>
      </w:r>
      <w:r>
        <w:rPr>
          <w:rFonts w:eastAsia="仿宋_GB2312"/>
          <w:color w:val="000000"/>
          <w:sz w:val="28"/>
          <w:szCs w:val="32"/>
        </w:rPr>
        <w:t>（中标人名称）为中标人。</w:t>
      </w:r>
    </w:p>
    <w:p>
      <w:pPr>
        <w:autoSpaceDE w:val="0"/>
        <w:autoSpaceDN w:val="0"/>
        <w:adjustRightInd w:val="0"/>
        <w:spacing w:line="490" w:lineRule="exact"/>
        <w:ind w:firstLine="560" w:firstLineChars="200"/>
        <w:jc w:val="left"/>
        <w:rPr>
          <w:rFonts w:eastAsia="仿宋_GB2312"/>
          <w:color w:val="000000"/>
          <w:sz w:val="28"/>
          <w:szCs w:val="32"/>
        </w:rPr>
      </w:pPr>
      <w:r>
        <w:rPr>
          <w:rFonts w:eastAsia="仿宋_GB2312"/>
          <w:color w:val="000000"/>
          <w:sz w:val="28"/>
          <w:szCs w:val="32"/>
        </w:rPr>
        <w:t>感谢你单位对我方工作的大力支持！</w:t>
      </w:r>
    </w:p>
    <w:p>
      <w:pPr>
        <w:spacing w:line="490" w:lineRule="exact"/>
        <w:rPr>
          <w:rFonts w:eastAsia="仿宋_GB2312"/>
          <w:color w:val="000000"/>
          <w:sz w:val="28"/>
          <w:szCs w:val="32"/>
        </w:rPr>
      </w:pPr>
    </w:p>
    <w:p>
      <w:pPr>
        <w:spacing w:line="490" w:lineRule="exact"/>
        <w:rPr>
          <w:rFonts w:eastAsia="仿宋_GB2312"/>
          <w:color w:val="000000"/>
          <w:sz w:val="28"/>
          <w:szCs w:val="32"/>
        </w:rPr>
      </w:pPr>
    </w:p>
    <w:p>
      <w:pPr>
        <w:spacing w:line="490" w:lineRule="exact"/>
        <w:rPr>
          <w:rFonts w:eastAsia="仿宋_GB2312"/>
          <w:color w:val="000000"/>
          <w:sz w:val="28"/>
          <w:szCs w:val="32"/>
        </w:rPr>
      </w:pPr>
    </w:p>
    <w:p>
      <w:pPr>
        <w:spacing w:line="490" w:lineRule="exact"/>
        <w:ind w:firstLine="1822" w:firstLineChars="651"/>
        <w:jc w:val="left"/>
        <w:rPr>
          <w:rFonts w:eastAsia="仿宋_GB2312"/>
          <w:color w:val="000000"/>
          <w:sz w:val="28"/>
          <w:szCs w:val="32"/>
        </w:rPr>
      </w:pPr>
      <w:r>
        <w:rPr>
          <w:rFonts w:eastAsia="仿宋_GB2312"/>
          <w:color w:val="000000"/>
          <w:sz w:val="28"/>
          <w:szCs w:val="32"/>
        </w:rPr>
        <w:t>招  标  人：</w:t>
      </w:r>
      <w:r>
        <w:rPr>
          <w:rFonts w:eastAsia="仿宋_GB2312"/>
          <w:color w:val="000000"/>
          <w:sz w:val="28"/>
          <w:szCs w:val="32"/>
          <w:u w:val="single"/>
        </w:rPr>
        <w:t xml:space="preserve">       （全称）         </w:t>
      </w:r>
      <w:r>
        <w:rPr>
          <w:rFonts w:eastAsia="仿宋_GB2312"/>
          <w:color w:val="000000"/>
          <w:sz w:val="28"/>
          <w:szCs w:val="32"/>
        </w:rPr>
        <w:t>（盖章）</w:t>
      </w:r>
    </w:p>
    <w:p>
      <w:pPr>
        <w:spacing w:line="490" w:lineRule="exact"/>
        <w:ind w:firstLine="1822" w:firstLineChars="651"/>
        <w:jc w:val="right"/>
        <w:rPr>
          <w:rFonts w:eastAsia="仿宋_GB2312"/>
          <w:color w:val="000000"/>
          <w:sz w:val="28"/>
          <w:szCs w:val="32"/>
        </w:rPr>
      </w:pPr>
    </w:p>
    <w:p>
      <w:pPr>
        <w:spacing w:line="490" w:lineRule="exact"/>
        <w:ind w:right="420" w:firstLine="1822" w:firstLineChars="651"/>
        <w:rPr>
          <w:rFonts w:eastAsia="仿宋_GB2312"/>
          <w:color w:val="000000"/>
          <w:sz w:val="28"/>
          <w:szCs w:val="32"/>
        </w:rPr>
      </w:pPr>
      <w:r>
        <w:rPr>
          <w:rFonts w:eastAsia="仿宋_GB2312"/>
          <w:color w:val="000000"/>
          <w:sz w:val="28"/>
          <w:szCs w:val="32"/>
        </w:rPr>
        <w:t>法定代表人：</w:t>
      </w:r>
      <w:r>
        <w:rPr>
          <w:rFonts w:eastAsia="仿宋_GB2312"/>
          <w:color w:val="000000"/>
          <w:sz w:val="28"/>
          <w:szCs w:val="32"/>
          <w:u w:val="single"/>
        </w:rPr>
        <w:t xml:space="preserve">                        </w:t>
      </w:r>
      <w:r>
        <w:rPr>
          <w:rFonts w:eastAsia="仿宋_GB2312"/>
          <w:color w:val="000000"/>
          <w:sz w:val="28"/>
          <w:szCs w:val="32"/>
        </w:rPr>
        <w:t>（签字）</w:t>
      </w:r>
    </w:p>
    <w:p>
      <w:pPr>
        <w:spacing w:line="490" w:lineRule="exact"/>
        <w:ind w:right="420" w:firstLine="1822" w:firstLineChars="651"/>
        <w:rPr>
          <w:rFonts w:eastAsia="仿宋_GB2312"/>
          <w:color w:val="000000"/>
          <w:sz w:val="28"/>
          <w:szCs w:val="32"/>
        </w:rPr>
      </w:pPr>
    </w:p>
    <w:p>
      <w:pPr>
        <w:spacing w:line="490" w:lineRule="exact"/>
        <w:ind w:right="420" w:firstLine="3780" w:firstLineChars="1350"/>
        <w:rPr>
          <w:rFonts w:eastAsia="仿宋_GB2312"/>
          <w:color w:val="000000"/>
          <w:sz w:val="28"/>
          <w:szCs w:val="32"/>
        </w:rPr>
      </w:pPr>
      <w:r>
        <w:rPr>
          <w:rFonts w:eastAsia="仿宋_GB2312"/>
          <w:color w:val="000000"/>
          <w:sz w:val="28"/>
          <w:szCs w:val="32"/>
          <w:u w:val="single"/>
        </w:rPr>
        <w:t xml:space="preserve">       </w:t>
      </w:r>
      <w:r>
        <w:rPr>
          <w:rFonts w:eastAsia="仿宋_GB2312"/>
          <w:color w:val="000000"/>
          <w:sz w:val="28"/>
          <w:szCs w:val="32"/>
        </w:rPr>
        <w:t>年</w:t>
      </w:r>
      <w:r>
        <w:rPr>
          <w:rFonts w:eastAsia="仿宋_GB2312"/>
          <w:color w:val="000000"/>
          <w:sz w:val="28"/>
          <w:szCs w:val="32"/>
          <w:u w:val="single"/>
        </w:rPr>
        <w:t xml:space="preserve">       </w:t>
      </w:r>
      <w:r>
        <w:rPr>
          <w:rFonts w:eastAsia="仿宋_GB2312"/>
          <w:color w:val="000000"/>
          <w:sz w:val="28"/>
          <w:szCs w:val="32"/>
        </w:rPr>
        <w:t>月</w:t>
      </w:r>
      <w:r>
        <w:rPr>
          <w:rFonts w:eastAsia="仿宋_GB2312"/>
          <w:color w:val="000000"/>
          <w:sz w:val="28"/>
          <w:szCs w:val="32"/>
          <w:u w:val="single"/>
        </w:rPr>
        <w:t xml:space="preserve">       </w:t>
      </w:r>
      <w:r>
        <w:rPr>
          <w:rFonts w:eastAsia="仿宋_GB2312"/>
          <w:color w:val="000000"/>
          <w:sz w:val="28"/>
          <w:szCs w:val="32"/>
        </w:rPr>
        <w:t>日</w:t>
      </w:r>
    </w:p>
    <w:p>
      <w:pPr>
        <w:pStyle w:val="85"/>
        <w:rPr>
          <w:rFonts w:hint="eastAsia" w:ascii="方正小标宋简体" w:eastAsia="方正小标宋简体"/>
          <w:b w:val="0"/>
          <w:color w:val="000000"/>
        </w:rPr>
      </w:pPr>
      <w:r>
        <w:rPr>
          <w:color w:val="000000"/>
          <w:sz w:val="20"/>
        </w:rPr>
        <w:br w:type="page"/>
      </w:r>
      <w:bookmarkStart w:id="260" w:name="_Toc5224"/>
      <w:bookmarkStart w:id="261" w:name="_Toc20989"/>
      <w:r>
        <w:rPr>
          <w:rFonts w:hint="eastAsia" w:ascii="方正小标宋简体" w:hAnsi="Times New Roman" w:eastAsia="方正小标宋简体"/>
          <w:b w:val="0"/>
          <w:color w:val="000000"/>
          <w:kern w:val="2"/>
          <w:sz w:val="36"/>
          <w:szCs w:val="36"/>
          <w:lang w:val="en-US" w:eastAsia="zh-CN"/>
        </w:rPr>
        <w:t>第三章 评标办法（综合评估法I）</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260"/>
      <w:bookmarkEnd w:id="261"/>
      <w:bookmarkStart w:id="262" w:name="_Toc51091862"/>
      <w:bookmarkStart w:id="263" w:name="_Toc259698664"/>
    </w:p>
    <w:p>
      <w:pPr>
        <w:pStyle w:val="40"/>
        <w:snapToGrid w:val="0"/>
        <w:spacing w:before="0" w:beforeAutospacing="0" w:after="0" w:afterAutospacing="0" w:line="600" w:lineRule="exact"/>
        <w:jc w:val="center"/>
        <w:outlineLvl w:val="1"/>
        <w:rPr>
          <w:rFonts w:hint="eastAsia" w:eastAsia="黑体"/>
          <w:b/>
          <w:color w:val="000000"/>
          <w:sz w:val="32"/>
          <w:szCs w:val="32"/>
        </w:rPr>
      </w:pPr>
      <w:bookmarkStart w:id="264" w:name="_Toc19462"/>
      <w:bookmarkStart w:id="265" w:name="_Toc10779"/>
      <w:r>
        <w:rPr>
          <w:rFonts w:hint="eastAsia" w:eastAsia="黑体"/>
          <w:b/>
          <w:color w:val="000000"/>
          <w:sz w:val="32"/>
          <w:szCs w:val="32"/>
        </w:rPr>
        <w:t>评标办法前附表</w:t>
      </w:r>
      <w:bookmarkEnd w:id="262"/>
      <w:bookmarkEnd w:id="264"/>
      <w:bookmarkEnd w:id="265"/>
    </w:p>
    <w:tbl>
      <w:tblPr>
        <w:tblStyle w:val="47"/>
        <w:tblW w:w="97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4"/>
        <w:gridCol w:w="1080"/>
        <w:gridCol w:w="2322"/>
        <w:gridCol w:w="5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blHeader/>
          <w:jc w:val="center"/>
        </w:trPr>
        <w:tc>
          <w:tcPr>
            <w:tcW w:w="2354" w:type="dxa"/>
            <w:gridSpan w:val="2"/>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266" w:name="_Toc24831"/>
            <w:bookmarkStart w:id="267" w:name="_Toc32589"/>
            <w:r>
              <w:rPr>
                <w:rFonts w:hint="eastAsia" w:ascii="仿宋" w:hAnsi="仿宋" w:eastAsia="仿宋" w:cs="仿宋"/>
                <w:color w:val="000000"/>
                <w:sz w:val="21"/>
                <w:szCs w:val="21"/>
                <w:u w:val="none"/>
              </w:rPr>
              <w:t>条  款  号</w:t>
            </w:r>
            <w:bookmarkEnd w:id="266"/>
            <w:bookmarkEnd w:id="267"/>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268" w:name="_Toc26316"/>
            <w:bookmarkStart w:id="269" w:name="_Toc259"/>
            <w:r>
              <w:rPr>
                <w:rFonts w:hint="eastAsia" w:ascii="仿宋" w:hAnsi="仿宋" w:eastAsia="仿宋" w:cs="仿宋"/>
                <w:color w:val="000000"/>
                <w:sz w:val="21"/>
                <w:szCs w:val="21"/>
                <w:u w:val="none"/>
              </w:rPr>
              <w:t>评  审  因  素</w:t>
            </w:r>
            <w:bookmarkEnd w:id="268"/>
            <w:bookmarkEnd w:id="269"/>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270" w:name="_Toc27505"/>
            <w:bookmarkStart w:id="271" w:name="_Toc23909"/>
            <w:r>
              <w:rPr>
                <w:rFonts w:hint="eastAsia" w:ascii="仿宋" w:hAnsi="仿宋" w:eastAsia="仿宋" w:cs="仿宋"/>
                <w:color w:val="000000"/>
                <w:sz w:val="21"/>
                <w:szCs w:val="21"/>
                <w:u w:val="none"/>
              </w:rPr>
              <w:t>评  审  标  准</w:t>
            </w:r>
            <w:bookmarkEnd w:id="270"/>
            <w:bookmarkEnd w:id="27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1274"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272" w:name="_Toc2895"/>
            <w:bookmarkStart w:id="273" w:name="_Toc22249"/>
            <w:r>
              <w:rPr>
                <w:rFonts w:hint="eastAsia" w:ascii="仿宋" w:hAnsi="仿宋" w:eastAsia="仿宋" w:cs="仿宋"/>
                <w:color w:val="000000"/>
                <w:sz w:val="21"/>
                <w:szCs w:val="21"/>
                <w:u w:val="none"/>
              </w:rPr>
              <w:t>2.1.1（1）</w:t>
            </w:r>
            <w:bookmarkEnd w:id="272"/>
            <w:bookmarkEnd w:id="273"/>
          </w:p>
        </w:tc>
        <w:tc>
          <w:tcPr>
            <w:tcW w:w="1080" w:type="dxa"/>
            <w:vMerge w:val="restart"/>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274" w:name="_Toc3940"/>
            <w:bookmarkStart w:id="275" w:name="_Toc26604"/>
            <w:r>
              <w:rPr>
                <w:rFonts w:hint="eastAsia" w:ascii="仿宋" w:hAnsi="仿宋" w:eastAsia="仿宋" w:cs="仿宋"/>
                <w:color w:val="000000"/>
                <w:sz w:val="21"/>
                <w:szCs w:val="21"/>
                <w:u w:val="none"/>
              </w:rPr>
              <w:t>形式评审标准</w:t>
            </w:r>
            <w:bookmarkEnd w:id="274"/>
            <w:bookmarkEnd w:id="275"/>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276" w:name="_Toc20697"/>
            <w:bookmarkStart w:id="277" w:name="_Toc32654"/>
            <w:r>
              <w:rPr>
                <w:rFonts w:hint="eastAsia" w:ascii="仿宋" w:hAnsi="仿宋" w:eastAsia="仿宋" w:cs="仿宋"/>
                <w:color w:val="000000"/>
                <w:sz w:val="21"/>
                <w:szCs w:val="21"/>
                <w:u w:val="none"/>
              </w:rPr>
              <w:t>投标人名称</w:t>
            </w:r>
            <w:bookmarkEnd w:id="276"/>
            <w:bookmarkEnd w:id="277"/>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278" w:name="_Toc32205"/>
            <w:bookmarkStart w:id="279" w:name="_Toc18903"/>
            <w:r>
              <w:rPr>
                <w:rFonts w:hint="eastAsia" w:ascii="仿宋" w:hAnsi="仿宋" w:eastAsia="仿宋" w:cs="仿宋"/>
                <w:color w:val="000000"/>
                <w:sz w:val="21"/>
                <w:szCs w:val="21"/>
                <w:u w:val="none"/>
              </w:rPr>
              <w:t>投标人名称应与营业执照、资质证书、安全生产许可证一致</w:t>
            </w:r>
            <w:bookmarkEnd w:id="278"/>
            <w:bookmarkEnd w:id="27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1274"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280" w:name="_Toc9179"/>
            <w:bookmarkStart w:id="281" w:name="_Toc21413"/>
            <w:r>
              <w:rPr>
                <w:rFonts w:hint="eastAsia" w:ascii="仿宋" w:hAnsi="仿宋" w:eastAsia="仿宋" w:cs="仿宋"/>
                <w:color w:val="000000"/>
                <w:sz w:val="21"/>
                <w:szCs w:val="21"/>
                <w:u w:val="none"/>
              </w:rPr>
              <w:t>2.1.1（2）</w:t>
            </w:r>
            <w:bookmarkEnd w:id="280"/>
            <w:bookmarkEnd w:id="281"/>
          </w:p>
        </w:tc>
        <w:tc>
          <w:tcPr>
            <w:tcW w:w="1080"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1"/>
                <w:szCs w:val="21"/>
                <w:u w:val="none"/>
              </w:rPr>
            </w:pPr>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282" w:name="_Toc26082"/>
            <w:bookmarkStart w:id="283" w:name="_Toc27126"/>
            <w:r>
              <w:rPr>
                <w:rFonts w:hint="eastAsia" w:ascii="仿宋" w:hAnsi="仿宋" w:eastAsia="仿宋" w:cs="仿宋"/>
                <w:color w:val="000000"/>
                <w:sz w:val="21"/>
                <w:szCs w:val="21"/>
                <w:u w:val="none"/>
              </w:rPr>
              <w:t>投标文件的签字盖章</w:t>
            </w:r>
            <w:bookmarkEnd w:id="282"/>
            <w:bookmarkEnd w:id="283"/>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284" w:name="_Toc32644"/>
            <w:bookmarkStart w:id="285" w:name="_Toc5547"/>
            <w:r>
              <w:rPr>
                <w:rFonts w:hint="eastAsia" w:ascii="仿宋" w:hAnsi="仿宋" w:eastAsia="仿宋" w:cs="仿宋"/>
                <w:color w:val="000000"/>
                <w:sz w:val="21"/>
                <w:szCs w:val="21"/>
                <w:u w:val="none"/>
              </w:rPr>
              <w:t>投标文件的签字盖章符合第二章投标人须知第3.7.3项规定</w:t>
            </w:r>
            <w:bookmarkEnd w:id="284"/>
            <w:bookmarkEnd w:id="28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274"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286" w:name="_Toc25517"/>
            <w:bookmarkStart w:id="287" w:name="_Toc25600"/>
            <w:r>
              <w:rPr>
                <w:rFonts w:hint="eastAsia" w:ascii="仿宋" w:hAnsi="仿宋" w:eastAsia="仿宋" w:cs="仿宋"/>
                <w:color w:val="000000"/>
                <w:sz w:val="21"/>
                <w:szCs w:val="21"/>
                <w:u w:val="none"/>
              </w:rPr>
              <w:t>2.1.1（3）</w:t>
            </w:r>
            <w:bookmarkEnd w:id="286"/>
            <w:bookmarkEnd w:id="287"/>
          </w:p>
        </w:tc>
        <w:tc>
          <w:tcPr>
            <w:tcW w:w="1080"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1"/>
                <w:szCs w:val="21"/>
                <w:u w:val="none"/>
              </w:rPr>
            </w:pPr>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288" w:name="_Toc29562"/>
            <w:bookmarkStart w:id="289" w:name="_Toc27727"/>
            <w:r>
              <w:rPr>
                <w:rFonts w:hint="eastAsia" w:ascii="仿宋" w:hAnsi="仿宋" w:eastAsia="仿宋" w:cs="仿宋"/>
                <w:color w:val="000000"/>
                <w:sz w:val="21"/>
                <w:szCs w:val="21"/>
                <w:u w:val="none"/>
              </w:rPr>
              <w:t>投标文件完整性</w:t>
            </w:r>
            <w:bookmarkEnd w:id="288"/>
            <w:bookmarkEnd w:id="289"/>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290" w:name="_Toc620"/>
            <w:bookmarkStart w:id="291" w:name="_Toc24809"/>
            <w:r>
              <w:rPr>
                <w:rFonts w:hint="eastAsia" w:ascii="仿宋" w:hAnsi="仿宋" w:eastAsia="仿宋" w:cs="仿宋"/>
                <w:color w:val="000000"/>
                <w:sz w:val="21"/>
                <w:szCs w:val="21"/>
                <w:u w:val="none"/>
              </w:rPr>
              <w:t>符合第八章投标文件格式的要求</w:t>
            </w:r>
            <w:bookmarkEnd w:id="290"/>
            <w:bookmarkEnd w:id="29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274"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292" w:name="_Toc3337"/>
            <w:bookmarkStart w:id="293" w:name="_Toc22574"/>
            <w:r>
              <w:rPr>
                <w:rFonts w:hint="eastAsia" w:ascii="仿宋" w:hAnsi="仿宋" w:eastAsia="仿宋" w:cs="仿宋"/>
                <w:color w:val="000000"/>
                <w:sz w:val="21"/>
                <w:szCs w:val="21"/>
                <w:u w:val="none"/>
              </w:rPr>
              <w:t>2.1.1（4）</w:t>
            </w:r>
            <w:bookmarkEnd w:id="292"/>
            <w:bookmarkEnd w:id="293"/>
          </w:p>
        </w:tc>
        <w:tc>
          <w:tcPr>
            <w:tcW w:w="1080"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1"/>
                <w:szCs w:val="21"/>
                <w:u w:val="none"/>
              </w:rPr>
            </w:pPr>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294" w:name="_Toc24332"/>
            <w:bookmarkStart w:id="295" w:name="_Toc2703"/>
            <w:r>
              <w:rPr>
                <w:rFonts w:hint="eastAsia" w:ascii="仿宋" w:hAnsi="仿宋" w:eastAsia="仿宋" w:cs="仿宋"/>
                <w:color w:val="000000"/>
                <w:sz w:val="21"/>
                <w:szCs w:val="21"/>
                <w:u w:val="none"/>
              </w:rPr>
              <w:t>投标报价</w:t>
            </w:r>
            <w:bookmarkEnd w:id="294"/>
            <w:bookmarkEnd w:id="295"/>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296" w:name="_Toc182"/>
            <w:bookmarkStart w:id="297" w:name="_Toc11965"/>
            <w:r>
              <w:rPr>
                <w:rFonts w:hint="eastAsia" w:ascii="仿宋" w:hAnsi="仿宋" w:eastAsia="仿宋" w:cs="仿宋"/>
                <w:color w:val="000000"/>
                <w:sz w:val="21"/>
                <w:szCs w:val="21"/>
                <w:u w:val="none"/>
              </w:rPr>
              <w:t>只能有一个报价</w:t>
            </w:r>
            <w:bookmarkEnd w:id="296"/>
            <w:bookmarkEnd w:id="29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1274"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298" w:name="_Toc19674"/>
            <w:bookmarkStart w:id="299" w:name="_Toc17575"/>
            <w:r>
              <w:rPr>
                <w:rFonts w:hint="eastAsia" w:ascii="仿宋" w:hAnsi="仿宋" w:eastAsia="仿宋" w:cs="仿宋"/>
                <w:color w:val="000000"/>
                <w:sz w:val="21"/>
                <w:szCs w:val="21"/>
                <w:u w:val="none"/>
              </w:rPr>
              <w:t>2.1.1（5）</w:t>
            </w:r>
            <w:bookmarkEnd w:id="298"/>
            <w:bookmarkEnd w:id="299"/>
          </w:p>
        </w:tc>
        <w:tc>
          <w:tcPr>
            <w:tcW w:w="1080"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1"/>
                <w:szCs w:val="21"/>
                <w:u w:val="none"/>
              </w:rPr>
            </w:pPr>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00" w:name="_Toc12667"/>
            <w:bookmarkStart w:id="301" w:name="_Toc6452"/>
            <w:r>
              <w:rPr>
                <w:rFonts w:hint="eastAsia" w:ascii="仿宋" w:hAnsi="仿宋" w:eastAsia="仿宋" w:cs="仿宋"/>
                <w:color w:val="000000"/>
                <w:sz w:val="21"/>
                <w:szCs w:val="21"/>
                <w:u w:val="none"/>
              </w:rPr>
              <w:t>联合体协议书（如有）</w:t>
            </w:r>
            <w:bookmarkEnd w:id="300"/>
            <w:bookmarkEnd w:id="301"/>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02" w:name="_Toc5443"/>
            <w:bookmarkStart w:id="303" w:name="_Toc32122"/>
            <w:r>
              <w:rPr>
                <w:rFonts w:hint="eastAsia" w:ascii="仿宋" w:hAnsi="仿宋" w:eastAsia="仿宋" w:cs="仿宋"/>
                <w:color w:val="000000"/>
                <w:sz w:val="21"/>
                <w:szCs w:val="21"/>
                <w:u w:val="none"/>
              </w:rPr>
              <w:t>联合体投标人应提交联合体协议书，并明确联合体牵头人</w:t>
            </w:r>
            <w:bookmarkEnd w:id="302"/>
            <w:bookmarkEnd w:id="30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1274"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04" w:name="_Toc25455"/>
            <w:bookmarkStart w:id="305" w:name="_Toc18300"/>
            <w:r>
              <w:rPr>
                <w:rFonts w:hint="eastAsia" w:ascii="仿宋" w:hAnsi="仿宋" w:eastAsia="仿宋" w:cs="仿宋"/>
                <w:color w:val="000000"/>
                <w:sz w:val="21"/>
                <w:szCs w:val="21"/>
                <w:u w:val="none"/>
              </w:rPr>
              <w:t>2.1.1（6）</w:t>
            </w:r>
            <w:bookmarkEnd w:id="304"/>
            <w:bookmarkEnd w:id="305"/>
          </w:p>
        </w:tc>
        <w:tc>
          <w:tcPr>
            <w:tcW w:w="1080"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1"/>
                <w:szCs w:val="21"/>
                <w:u w:val="none"/>
              </w:rPr>
            </w:pPr>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06" w:name="_Toc28453"/>
            <w:bookmarkStart w:id="307" w:name="_Toc16598"/>
            <w:r>
              <w:rPr>
                <w:rFonts w:hint="eastAsia" w:ascii="仿宋" w:hAnsi="仿宋" w:eastAsia="仿宋" w:cs="仿宋"/>
                <w:color w:val="000000"/>
                <w:sz w:val="21"/>
                <w:szCs w:val="21"/>
                <w:u w:val="none"/>
              </w:rPr>
              <w:t>技术投标文件暗标的制作要求</w:t>
            </w:r>
            <w:bookmarkEnd w:id="306"/>
            <w:bookmarkEnd w:id="307"/>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08" w:name="_Toc30733"/>
            <w:bookmarkStart w:id="309" w:name="_Toc25616"/>
            <w:r>
              <w:rPr>
                <w:rFonts w:hint="eastAsia" w:ascii="仿宋" w:hAnsi="仿宋" w:eastAsia="仿宋" w:cs="仿宋"/>
                <w:color w:val="000000"/>
                <w:sz w:val="21"/>
                <w:szCs w:val="21"/>
                <w:u w:val="none"/>
              </w:rPr>
              <w:t>符合第二章投标人须知第3.7.5项规定</w:t>
            </w:r>
            <w:bookmarkEnd w:id="308"/>
            <w:bookmarkEnd w:id="30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4"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10" w:name="_Toc20101"/>
            <w:bookmarkStart w:id="311" w:name="_Toc563"/>
            <w:r>
              <w:rPr>
                <w:rFonts w:hint="eastAsia" w:ascii="仿宋" w:hAnsi="仿宋" w:eastAsia="仿宋" w:cs="仿宋"/>
                <w:color w:val="000000"/>
                <w:sz w:val="21"/>
                <w:szCs w:val="21"/>
                <w:u w:val="none"/>
              </w:rPr>
              <w:t>2.1.1（7）</w:t>
            </w:r>
            <w:bookmarkEnd w:id="310"/>
            <w:bookmarkEnd w:id="311"/>
          </w:p>
        </w:tc>
        <w:tc>
          <w:tcPr>
            <w:tcW w:w="1080"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1"/>
                <w:szCs w:val="21"/>
                <w:u w:val="none"/>
              </w:rPr>
            </w:pPr>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r>
              <w:rPr>
                <w:rFonts w:hint="eastAsia" w:ascii="仿宋" w:hAnsi="仿宋" w:eastAsia="仿宋" w:cs="仿宋"/>
                <w:color w:val="000000"/>
                <w:sz w:val="21"/>
                <w:szCs w:val="21"/>
                <w:u w:val="none"/>
              </w:rPr>
              <w:t>其它标准</w:t>
            </w:r>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12" w:name="_Toc5594"/>
            <w:bookmarkStart w:id="313" w:name="_Toc9649"/>
            <w:r>
              <w:rPr>
                <w:rFonts w:hint="eastAsia" w:ascii="仿宋" w:hAnsi="仿宋" w:eastAsia="仿宋" w:cs="仿宋"/>
                <w:color w:val="000000"/>
                <w:sz w:val="21"/>
                <w:szCs w:val="21"/>
                <w:u w:val="none"/>
              </w:rPr>
              <w:t>……</w:t>
            </w:r>
            <w:bookmarkEnd w:id="312"/>
            <w:bookmarkEnd w:id="3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4" w:type="dxa"/>
            <w:noWrap w:val="0"/>
            <w:vAlign w:val="center"/>
          </w:tcPr>
          <w:p>
            <w:pPr>
              <w:pStyle w:val="124"/>
              <w:spacing w:line="240" w:lineRule="exact"/>
              <w:ind w:firstLine="0" w:firstLineChars="0"/>
              <w:outlineLvl w:val="9"/>
              <w:rPr>
                <w:rFonts w:hint="eastAsia" w:ascii="仿宋" w:hAnsi="仿宋" w:eastAsia="仿宋" w:cs="仿宋"/>
                <w:color w:val="000000"/>
                <w:sz w:val="21"/>
                <w:szCs w:val="21"/>
                <w:u w:val="none"/>
              </w:rPr>
            </w:pPr>
          </w:p>
        </w:tc>
        <w:tc>
          <w:tcPr>
            <w:tcW w:w="1080"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1"/>
                <w:szCs w:val="21"/>
                <w:u w:val="none"/>
              </w:rPr>
            </w:pPr>
          </w:p>
        </w:tc>
        <w:tc>
          <w:tcPr>
            <w:tcW w:w="7412" w:type="dxa"/>
            <w:gridSpan w:val="2"/>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14" w:name="_Toc10592"/>
            <w:bookmarkStart w:id="315" w:name="_Toc22780"/>
            <w:r>
              <w:rPr>
                <w:rFonts w:hint="eastAsia" w:ascii="仿宋" w:hAnsi="仿宋" w:eastAsia="仿宋" w:cs="仿宋"/>
                <w:color w:val="000000"/>
                <w:sz w:val="21"/>
                <w:szCs w:val="21"/>
                <w:u w:val="none"/>
              </w:rPr>
              <w:t>详见本章附表3-3（1）</w:t>
            </w:r>
            <w:bookmarkEnd w:id="314"/>
            <w:bookmarkEnd w:id="31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4"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16" w:name="_Toc13250"/>
            <w:bookmarkStart w:id="317" w:name="_Toc5353"/>
            <w:r>
              <w:rPr>
                <w:rFonts w:hint="eastAsia" w:ascii="仿宋" w:hAnsi="仿宋" w:eastAsia="仿宋" w:cs="仿宋"/>
                <w:color w:val="000000"/>
                <w:sz w:val="21"/>
                <w:szCs w:val="21"/>
                <w:u w:val="none"/>
              </w:rPr>
              <w:t>2.1.2（1）</w:t>
            </w:r>
            <w:bookmarkEnd w:id="316"/>
            <w:bookmarkEnd w:id="317"/>
          </w:p>
        </w:tc>
        <w:tc>
          <w:tcPr>
            <w:tcW w:w="1080" w:type="dxa"/>
            <w:vMerge w:val="restart"/>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18" w:name="_Toc26989"/>
            <w:bookmarkStart w:id="319" w:name="_Toc10300"/>
            <w:r>
              <w:rPr>
                <w:rFonts w:hint="eastAsia" w:ascii="仿宋" w:hAnsi="仿宋" w:eastAsia="仿宋" w:cs="仿宋"/>
                <w:color w:val="000000"/>
                <w:sz w:val="21"/>
                <w:szCs w:val="21"/>
                <w:u w:val="none"/>
              </w:rPr>
              <w:t>资格评审标准</w:t>
            </w:r>
            <w:bookmarkEnd w:id="318"/>
            <w:bookmarkEnd w:id="319"/>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20" w:name="_Toc7913"/>
            <w:bookmarkStart w:id="321" w:name="_Toc26724"/>
            <w:r>
              <w:rPr>
                <w:rFonts w:hint="eastAsia" w:ascii="仿宋" w:hAnsi="仿宋" w:eastAsia="仿宋" w:cs="仿宋"/>
                <w:color w:val="000000"/>
                <w:sz w:val="21"/>
                <w:szCs w:val="21"/>
                <w:u w:val="none"/>
              </w:rPr>
              <w:t>营业执照</w:t>
            </w:r>
            <w:bookmarkEnd w:id="320"/>
            <w:bookmarkEnd w:id="321"/>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22" w:name="_Toc2041"/>
            <w:bookmarkStart w:id="323" w:name="_Toc15402"/>
            <w:r>
              <w:rPr>
                <w:rFonts w:hint="eastAsia" w:ascii="仿宋" w:hAnsi="仿宋" w:eastAsia="仿宋" w:cs="仿宋"/>
                <w:color w:val="000000"/>
                <w:sz w:val="21"/>
                <w:szCs w:val="21"/>
                <w:u w:val="none"/>
              </w:rPr>
              <w:t>具备有效的营业执照</w:t>
            </w:r>
            <w:bookmarkEnd w:id="322"/>
            <w:bookmarkEnd w:id="32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74"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24" w:name="_Toc24000"/>
            <w:bookmarkStart w:id="325" w:name="_Toc10170"/>
            <w:r>
              <w:rPr>
                <w:rFonts w:hint="eastAsia" w:ascii="仿宋" w:hAnsi="仿宋" w:eastAsia="仿宋" w:cs="仿宋"/>
                <w:color w:val="000000"/>
                <w:sz w:val="21"/>
                <w:szCs w:val="21"/>
                <w:u w:val="none"/>
              </w:rPr>
              <w:t>2.1.2（2）</w:t>
            </w:r>
            <w:bookmarkEnd w:id="324"/>
            <w:bookmarkEnd w:id="325"/>
          </w:p>
        </w:tc>
        <w:tc>
          <w:tcPr>
            <w:tcW w:w="1080"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1"/>
                <w:szCs w:val="21"/>
                <w:u w:val="none"/>
              </w:rPr>
            </w:pPr>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26" w:name="_Toc196"/>
            <w:bookmarkStart w:id="327" w:name="_Toc26049"/>
            <w:r>
              <w:rPr>
                <w:rFonts w:hint="eastAsia" w:ascii="仿宋" w:hAnsi="仿宋" w:eastAsia="仿宋" w:cs="仿宋"/>
                <w:color w:val="000000"/>
                <w:sz w:val="21"/>
                <w:szCs w:val="21"/>
                <w:u w:val="none"/>
              </w:rPr>
              <w:t>安全生产许可证</w:t>
            </w:r>
            <w:bookmarkEnd w:id="326"/>
            <w:bookmarkEnd w:id="327"/>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28" w:name="_Toc9437"/>
            <w:bookmarkStart w:id="329" w:name="_Toc2421"/>
            <w:r>
              <w:rPr>
                <w:rFonts w:hint="eastAsia" w:ascii="仿宋" w:hAnsi="仿宋" w:eastAsia="仿宋" w:cs="仿宋"/>
                <w:color w:val="000000"/>
                <w:sz w:val="21"/>
                <w:szCs w:val="21"/>
                <w:u w:val="none"/>
              </w:rPr>
              <w:t>具备有效的安全生产许可证</w:t>
            </w:r>
            <w:bookmarkEnd w:id="328"/>
            <w:bookmarkEnd w:id="32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1274"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30" w:name="_Toc25235"/>
            <w:bookmarkStart w:id="331" w:name="_Toc9515"/>
            <w:r>
              <w:rPr>
                <w:rFonts w:hint="eastAsia" w:ascii="仿宋" w:hAnsi="仿宋" w:eastAsia="仿宋" w:cs="仿宋"/>
                <w:color w:val="000000"/>
                <w:sz w:val="21"/>
                <w:szCs w:val="21"/>
                <w:u w:val="none"/>
              </w:rPr>
              <w:t>2.1.2（3）</w:t>
            </w:r>
            <w:bookmarkEnd w:id="330"/>
            <w:bookmarkEnd w:id="331"/>
          </w:p>
        </w:tc>
        <w:tc>
          <w:tcPr>
            <w:tcW w:w="1080"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1"/>
                <w:szCs w:val="21"/>
                <w:u w:val="none"/>
              </w:rPr>
            </w:pPr>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32" w:name="_Toc30498"/>
            <w:bookmarkStart w:id="333" w:name="_Toc7431"/>
            <w:r>
              <w:rPr>
                <w:rFonts w:hint="eastAsia" w:ascii="仿宋" w:hAnsi="仿宋" w:eastAsia="仿宋" w:cs="仿宋"/>
                <w:color w:val="000000"/>
                <w:sz w:val="21"/>
                <w:szCs w:val="21"/>
                <w:u w:val="none"/>
              </w:rPr>
              <w:t>资质证书</w:t>
            </w:r>
            <w:bookmarkEnd w:id="332"/>
            <w:bookmarkEnd w:id="333"/>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34" w:name="_Toc30252"/>
            <w:bookmarkStart w:id="335" w:name="_Toc11597"/>
            <w:r>
              <w:rPr>
                <w:rFonts w:hint="eastAsia" w:ascii="仿宋" w:hAnsi="仿宋" w:eastAsia="仿宋" w:cs="仿宋"/>
                <w:color w:val="000000"/>
                <w:sz w:val="21"/>
                <w:szCs w:val="21"/>
                <w:u w:val="none"/>
              </w:rPr>
              <w:t>具备有效的资质证书且资质等级符合第二章投标人须知第1.4.1项规定</w:t>
            </w:r>
            <w:bookmarkEnd w:id="334"/>
            <w:bookmarkEnd w:id="33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1274"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36" w:name="_Toc22642"/>
            <w:bookmarkStart w:id="337" w:name="_Toc897"/>
            <w:r>
              <w:rPr>
                <w:rFonts w:hint="eastAsia" w:ascii="仿宋" w:hAnsi="仿宋" w:eastAsia="仿宋" w:cs="仿宋"/>
                <w:color w:val="000000"/>
                <w:sz w:val="21"/>
                <w:szCs w:val="21"/>
                <w:u w:val="none"/>
              </w:rPr>
              <w:t>2.1.2（4）</w:t>
            </w:r>
            <w:bookmarkEnd w:id="336"/>
            <w:bookmarkEnd w:id="337"/>
          </w:p>
        </w:tc>
        <w:tc>
          <w:tcPr>
            <w:tcW w:w="1080"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1"/>
                <w:szCs w:val="21"/>
                <w:u w:val="none"/>
              </w:rPr>
            </w:pPr>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38" w:name="_Toc12928"/>
            <w:bookmarkStart w:id="339" w:name="_Toc16491"/>
            <w:r>
              <w:rPr>
                <w:rFonts w:hint="eastAsia" w:ascii="仿宋" w:hAnsi="仿宋" w:eastAsia="仿宋" w:cs="仿宋"/>
                <w:color w:val="000000"/>
                <w:sz w:val="21"/>
                <w:szCs w:val="21"/>
                <w:u w:val="none"/>
              </w:rPr>
              <w:t>业绩</w:t>
            </w:r>
            <w:bookmarkEnd w:id="338"/>
            <w:bookmarkEnd w:id="339"/>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40" w:name="_Toc17439"/>
            <w:bookmarkStart w:id="341" w:name="_Toc21925"/>
            <w:r>
              <w:rPr>
                <w:rFonts w:hint="eastAsia" w:ascii="仿宋" w:hAnsi="仿宋" w:eastAsia="仿宋" w:cs="仿宋"/>
                <w:color w:val="000000"/>
                <w:sz w:val="21"/>
                <w:szCs w:val="21"/>
                <w:u w:val="none"/>
              </w:rPr>
              <w:t>业绩符合第二章投标人须知第1.4.1项规定</w:t>
            </w:r>
            <w:bookmarkEnd w:id="340"/>
            <w:bookmarkEnd w:id="34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274"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42" w:name="_Toc3331"/>
            <w:bookmarkStart w:id="343" w:name="_Toc5320"/>
            <w:r>
              <w:rPr>
                <w:rFonts w:hint="eastAsia" w:ascii="仿宋" w:hAnsi="仿宋" w:eastAsia="仿宋" w:cs="仿宋"/>
                <w:color w:val="000000"/>
                <w:sz w:val="21"/>
                <w:szCs w:val="21"/>
                <w:u w:val="none"/>
              </w:rPr>
              <w:t>2.1.2（5）</w:t>
            </w:r>
            <w:bookmarkEnd w:id="342"/>
            <w:bookmarkEnd w:id="343"/>
          </w:p>
        </w:tc>
        <w:tc>
          <w:tcPr>
            <w:tcW w:w="1080"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1"/>
                <w:szCs w:val="21"/>
                <w:u w:val="none"/>
              </w:rPr>
            </w:pPr>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44" w:name="_Toc22805"/>
            <w:bookmarkStart w:id="345" w:name="_Toc26536"/>
            <w:r>
              <w:rPr>
                <w:rFonts w:hint="eastAsia" w:ascii="仿宋" w:hAnsi="仿宋" w:eastAsia="仿宋" w:cs="仿宋"/>
                <w:color w:val="000000"/>
                <w:sz w:val="21"/>
                <w:szCs w:val="21"/>
                <w:u w:val="none"/>
              </w:rPr>
              <w:t>信誉</w:t>
            </w:r>
            <w:bookmarkEnd w:id="344"/>
            <w:bookmarkEnd w:id="345"/>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46" w:name="_Toc2019"/>
            <w:bookmarkStart w:id="347" w:name="_Toc30226"/>
            <w:r>
              <w:rPr>
                <w:rFonts w:hint="eastAsia" w:ascii="仿宋" w:hAnsi="仿宋" w:eastAsia="仿宋" w:cs="仿宋"/>
                <w:color w:val="000000"/>
                <w:sz w:val="21"/>
                <w:szCs w:val="21"/>
                <w:u w:val="none"/>
              </w:rPr>
              <w:t>信誉符合第二章投标人须知第1.4.1项规定</w:t>
            </w:r>
            <w:bookmarkEnd w:id="346"/>
            <w:bookmarkEnd w:id="34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274"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48" w:name="_Toc31535"/>
            <w:bookmarkStart w:id="349" w:name="_Toc16269"/>
            <w:r>
              <w:rPr>
                <w:rFonts w:hint="eastAsia" w:ascii="仿宋" w:hAnsi="仿宋" w:eastAsia="仿宋" w:cs="仿宋"/>
                <w:color w:val="000000"/>
                <w:sz w:val="21"/>
                <w:szCs w:val="21"/>
                <w:u w:val="none"/>
              </w:rPr>
              <w:t>2.1.2（6）</w:t>
            </w:r>
            <w:bookmarkEnd w:id="348"/>
            <w:bookmarkEnd w:id="349"/>
          </w:p>
        </w:tc>
        <w:tc>
          <w:tcPr>
            <w:tcW w:w="1080"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1"/>
                <w:szCs w:val="21"/>
                <w:u w:val="none"/>
              </w:rPr>
            </w:pPr>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50" w:name="_Toc26284"/>
            <w:bookmarkStart w:id="351" w:name="_Toc30860"/>
            <w:r>
              <w:rPr>
                <w:rFonts w:hint="eastAsia" w:ascii="仿宋" w:hAnsi="仿宋" w:eastAsia="仿宋" w:cs="仿宋"/>
                <w:color w:val="000000"/>
                <w:sz w:val="21"/>
                <w:szCs w:val="21"/>
                <w:u w:val="none"/>
              </w:rPr>
              <w:t>项目负责人</w:t>
            </w:r>
            <w:bookmarkEnd w:id="350"/>
            <w:bookmarkEnd w:id="351"/>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52" w:name="_Toc14214"/>
            <w:bookmarkStart w:id="353" w:name="_Toc364"/>
            <w:r>
              <w:rPr>
                <w:rFonts w:hint="eastAsia" w:ascii="仿宋" w:hAnsi="仿宋" w:eastAsia="仿宋" w:cs="仿宋"/>
                <w:color w:val="000000"/>
                <w:sz w:val="21"/>
                <w:szCs w:val="21"/>
                <w:u w:val="none"/>
              </w:rPr>
              <w:t>项目负责人资格符合第二章投标人须知第1.4.1项规定</w:t>
            </w:r>
            <w:bookmarkEnd w:id="352"/>
            <w:bookmarkEnd w:id="35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1274"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54" w:name="_Toc32217"/>
            <w:bookmarkStart w:id="355" w:name="_Toc20869"/>
            <w:r>
              <w:rPr>
                <w:rFonts w:hint="eastAsia" w:ascii="仿宋" w:hAnsi="仿宋" w:eastAsia="仿宋" w:cs="仿宋"/>
                <w:color w:val="000000"/>
                <w:sz w:val="21"/>
                <w:szCs w:val="21"/>
                <w:u w:val="none"/>
              </w:rPr>
              <w:t>2.1.2（7）</w:t>
            </w:r>
            <w:bookmarkEnd w:id="354"/>
            <w:bookmarkEnd w:id="355"/>
          </w:p>
        </w:tc>
        <w:tc>
          <w:tcPr>
            <w:tcW w:w="1080"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1"/>
                <w:szCs w:val="21"/>
                <w:u w:val="none"/>
              </w:rPr>
            </w:pPr>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56" w:name="_Toc26569"/>
            <w:bookmarkStart w:id="357" w:name="_Toc19993"/>
            <w:r>
              <w:rPr>
                <w:rFonts w:hint="eastAsia" w:ascii="仿宋" w:hAnsi="仿宋" w:eastAsia="仿宋" w:cs="仿宋"/>
                <w:color w:val="000000"/>
                <w:sz w:val="21"/>
                <w:szCs w:val="21"/>
                <w:u w:val="none"/>
              </w:rPr>
              <w:t>企业负责人</w:t>
            </w:r>
            <w:bookmarkEnd w:id="356"/>
            <w:bookmarkEnd w:id="357"/>
          </w:p>
        </w:tc>
        <w:tc>
          <w:tcPr>
            <w:tcW w:w="5090" w:type="dxa"/>
            <w:noWrap w:val="0"/>
            <w:vAlign w:val="center"/>
          </w:tcPr>
          <w:p>
            <w:pPr>
              <w:pStyle w:val="124"/>
              <w:spacing w:line="240" w:lineRule="exact"/>
              <w:ind w:firstLine="0" w:firstLineChars="0"/>
              <w:rPr>
                <w:rFonts w:ascii="仿宋" w:hAnsi="仿宋" w:eastAsia="仿宋" w:cs="仿宋"/>
                <w:color w:val="000000"/>
                <w:sz w:val="21"/>
                <w:szCs w:val="21"/>
                <w:u w:val="none"/>
              </w:rPr>
            </w:pPr>
            <w:r>
              <w:rPr>
                <w:rFonts w:hint="eastAsia" w:ascii="仿宋" w:hAnsi="仿宋" w:eastAsia="仿宋" w:cs="仿宋"/>
                <w:color w:val="000000"/>
                <w:sz w:val="21"/>
                <w:szCs w:val="21"/>
                <w:u w:val="none"/>
              </w:rPr>
              <w:t>企业负责人具备有效的建设或水行政主管部门颁发的安全生产考核合格证书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274"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58" w:name="_Toc21924"/>
            <w:bookmarkStart w:id="359" w:name="_Toc10543"/>
            <w:r>
              <w:rPr>
                <w:rFonts w:hint="eastAsia" w:ascii="仿宋" w:hAnsi="仿宋" w:eastAsia="仿宋" w:cs="仿宋"/>
                <w:color w:val="000000"/>
                <w:sz w:val="21"/>
                <w:szCs w:val="21"/>
                <w:u w:val="none"/>
              </w:rPr>
              <w:t>2.1.2（8）</w:t>
            </w:r>
            <w:bookmarkEnd w:id="358"/>
            <w:bookmarkEnd w:id="359"/>
          </w:p>
        </w:tc>
        <w:tc>
          <w:tcPr>
            <w:tcW w:w="1080"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1"/>
                <w:szCs w:val="21"/>
                <w:u w:val="none"/>
              </w:rPr>
            </w:pPr>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60" w:name="_Toc10195"/>
            <w:bookmarkStart w:id="361" w:name="_Toc16609"/>
            <w:r>
              <w:rPr>
                <w:rFonts w:hint="eastAsia" w:ascii="仿宋" w:hAnsi="仿宋" w:eastAsia="仿宋" w:cs="仿宋"/>
                <w:color w:val="000000"/>
                <w:sz w:val="21"/>
                <w:szCs w:val="21"/>
                <w:u w:val="none"/>
              </w:rPr>
              <w:t>技术负责人</w:t>
            </w:r>
            <w:bookmarkEnd w:id="360"/>
            <w:bookmarkEnd w:id="361"/>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62" w:name="_Toc4186"/>
            <w:bookmarkStart w:id="363" w:name="_Toc28194"/>
            <w:r>
              <w:rPr>
                <w:rFonts w:hint="eastAsia" w:ascii="仿宋" w:hAnsi="仿宋" w:eastAsia="仿宋" w:cs="仿宋"/>
                <w:color w:val="000000"/>
                <w:sz w:val="21"/>
                <w:szCs w:val="21"/>
                <w:u w:val="none"/>
              </w:rPr>
              <w:t>技术负责人资格符合第二章投标人须知第1.4.1项规定</w:t>
            </w:r>
            <w:bookmarkEnd w:id="362"/>
            <w:bookmarkEnd w:id="36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274"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64" w:name="_Toc2958"/>
            <w:bookmarkStart w:id="365" w:name="_Toc9074"/>
            <w:r>
              <w:rPr>
                <w:rFonts w:hint="eastAsia" w:ascii="仿宋" w:hAnsi="仿宋" w:eastAsia="仿宋" w:cs="仿宋"/>
                <w:color w:val="000000"/>
                <w:sz w:val="21"/>
                <w:szCs w:val="21"/>
                <w:u w:val="none"/>
              </w:rPr>
              <w:t>2.1.2（9）</w:t>
            </w:r>
            <w:bookmarkEnd w:id="364"/>
            <w:bookmarkEnd w:id="365"/>
          </w:p>
        </w:tc>
        <w:tc>
          <w:tcPr>
            <w:tcW w:w="1080"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1"/>
                <w:szCs w:val="21"/>
                <w:u w:val="none"/>
              </w:rPr>
            </w:pPr>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66" w:name="_Toc11633"/>
            <w:bookmarkStart w:id="367" w:name="_Toc22037"/>
            <w:r>
              <w:rPr>
                <w:rFonts w:hint="eastAsia" w:ascii="仿宋" w:hAnsi="仿宋" w:eastAsia="仿宋" w:cs="仿宋"/>
                <w:color w:val="000000"/>
                <w:sz w:val="21"/>
                <w:szCs w:val="21"/>
                <w:u w:val="none"/>
              </w:rPr>
              <w:t>专职安全员</w:t>
            </w:r>
            <w:bookmarkEnd w:id="366"/>
            <w:bookmarkEnd w:id="367"/>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68" w:name="_Toc14280"/>
            <w:bookmarkStart w:id="369" w:name="_Toc26904"/>
            <w:r>
              <w:rPr>
                <w:rFonts w:hint="eastAsia" w:ascii="仿宋" w:hAnsi="仿宋" w:eastAsia="仿宋" w:cs="仿宋"/>
                <w:color w:val="000000"/>
                <w:sz w:val="21"/>
                <w:szCs w:val="21"/>
                <w:u w:val="none"/>
              </w:rPr>
              <w:t>专职安全员资格符合第二章投标人须知第1.4.1项规定</w:t>
            </w:r>
            <w:bookmarkEnd w:id="368"/>
            <w:bookmarkEnd w:id="36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1274"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70" w:name="_Toc9018"/>
            <w:bookmarkStart w:id="371" w:name="_Toc28014"/>
            <w:r>
              <w:rPr>
                <w:rFonts w:hint="eastAsia" w:ascii="仿宋" w:hAnsi="仿宋" w:eastAsia="仿宋" w:cs="仿宋"/>
                <w:color w:val="000000"/>
                <w:sz w:val="21"/>
                <w:szCs w:val="21"/>
                <w:u w:val="none"/>
              </w:rPr>
              <w:t>2.1.2（10）</w:t>
            </w:r>
            <w:bookmarkEnd w:id="370"/>
            <w:bookmarkEnd w:id="371"/>
          </w:p>
        </w:tc>
        <w:tc>
          <w:tcPr>
            <w:tcW w:w="1080"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1"/>
                <w:szCs w:val="21"/>
                <w:u w:val="none"/>
              </w:rPr>
            </w:pPr>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72" w:name="_Toc24074"/>
            <w:bookmarkStart w:id="373" w:name="_Toc8298"/>
            <w:r>
              <w:rPr>
                <w:rFonts w:hint="eastAsia" w:ascii="仿宋" w:hAnsi="仿宋" w:eastAsia="仿宋" w:cs="仿宋"/>
                <w:color w:val="000000"/>
                <w:sz w:val="21"/>
                <w:szCs w:val="21"/>
                <w:u w:val="none"/>
              </w:rPr>
              <w:t>其他要求</w:t>
            </w:r>
            <w:bookmarkEnd w:id="372"/>
            <w:bookmarkEnd w:id="373"/>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74" w:name="_Toc21984"/>
            <w:bookmarkStart w:id="375" w:name="_Toc28150"/>
            <w:r>
              <w:rPr>
                <w:rFonts w:hint="eastAsia" w:ascii="仿宋" w:hAnsi="仿宋" w:eastAsia="仿宋" w:cs="仿宋"/>
                <w:color w:val="000000"/>
                <w:sz w:val="21"/>
                <w:szCs w:val="21"/>
                <w:u w:val="none"/>
              </w:rPr>
              <w:t>其他要求符合第二章投标人须知第1.4.1项规定</w:t>
            </w:r>
            <w:bookmarkEnd w:id="374"/>
            <w:bookmarkEnd w:id="37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1274"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76" w:name="_Toc11186"/>
            <w:bookmarkStart w:id="377" w:name="_Toc27302"/>
            <w:r>
              <w:rPr>
                <w:rFonts w:hint="eastAsia" w:ascii="仿宋" w:hAnsi="仿宋" w:eastAsia="仿宋" w:cs="仿宋"/>
                <w:color w:val="000000"/>
                <w:sz w:val="21"/>
                <w:szCs w:val="21"/>
                <w:u w:val="none"/>
              </w:rPr>
              <w:t>2.1.2（11）</w:t>
            </w:r>
            <w:bookmarkEnd w:id="376"/>
            <w:bookmarkEnd w:id="377"/>
          </w:p>
        </w:tc>
        <w:tc>
          <w:tcPr>
            <w:tcW w:w="1080"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1"/>
                <w:szCs w:val="21"/>
                <w:u w:val="none"/>
              </w:rPr>
            </w:pPr>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78" w:name="_Toc25426"/>
            <w:bookmarkStart w:id="379" w:name="_Toc8812"/>
            <w:r>
              <w:rPr>
                <w:rFonts w:hint="eastAsia" w:ascii="仿宋" w:hAnsi="仿宋" w:eastAsia="仿宋" w:cs="仿宋"/>
                <w:color w:val="000000"/>
                <w:sz w:val="21"/>
                <w:szCs w:val="21"/>
                <w:u w:val="none"/>
              </w:rPr>
              <w:t>联合体投标人（如有）</w:t>
            </w:r>
            <w:bookmarkEnd w:id="378"/>
            <w:bookmarkEnd w:id="379"/>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80" w:name="_Toc6151"/>
            <w:bookmarkStart w:id="381" w:name="_Toc32285"/>
            <w:r>
              <w:rPr>
                <w:rFonts w:hint="eastAsia" w:ascii="仿宋" w:hAnsi="仿宋" w:eastAsia="仿宋" w:cs="仿宋"/>
                <w:color w:val="000000"/>
                <w:sz w:val="21"/>
                <w:szCs w:val="21"/>
                <w:u w:val="none"/>
              </w:rPr>
              <w:t>联合体投标人符合第二章投标人须知第1.4.2项规定</w:t>
            </w:r>
            <w:bookmarkEnd w:id="380"/>
            <w:bookmarkEnd w:id="38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1274"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82" w:name="_Toc11556"/>
            <w:bookmarkStart w:id="383" w:name="_Toc25063"/>
            <w:r>
              <w:rPr>
                <w:rFonts w:hint="eastAsia" w:ascii="仿宋" w:hAnsi="仿宋" w:eastAsia="仿宋" w:cs="仿宋"/>
                <w:color w:val="000000"/>
                <w:sz w:val="21"/>
                <w:szCs w:val="21"/>
                <w:u w:val="none"/>
              </w:rPr>
              <w:t>2.1.2（12）</w:t>
            </w:r>
            <w:bookmarkEnd w:id="382"/>
            <w:bookmarkEnd w:id="383"/>
          </w:p>
        </w:tc>
        <w:tc>
          <w:tcPr>
            <w:tcW w:w="1080"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1"/>
                <w:szCs w:val="21"/>
                <w:u w:val="none"/>
              </w:rPr>
            </w:pPr>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84" w:name="_Toc28283"/>
            <w:bookmarkStart w:id="385" w:name="_Toc26099"/>
            <w:r>
              <w:rPr>
                <w:rFonts w:hint="eastAsia" w:ascii="仿宋" w:hAnsi="仿宋" w:eastAsia="仿宋" w:cs="仿宋"/>
                <w:color w:val="000000"/>
                <w:sz w:val="21"/>
                <w:szCs w:val="21"/>
                <w:u w:val="none"/>
              </w:rPr>
              <w:t>其它标准</w:t>
            </w:r>
            <w:bookmarkEnd w:id="384"/>
            <w:bookmarkEnd w:id="385"/>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86" w:name="_Toc1346"/>
            <w:bookmarkStart w:id="387" w:name="_Toc25499"/>
            <w:r>
              <w:rPr>
                <w:rFonts w:hint="eastAsia" w:ascii="仿宋" w:hAnsi="仿宋" w:eastAsia="仿宋" w:cs="仿宋"/>
                <w:color w:val="000000"/>
                <w:sz w:val="21"/>
                <w:szCs w:val="21"/>
                <w:u w:val="none"/>
              </w:rPr>
              <w:t>不存在第二章“投标人须知”第1.4.3项规定的任何一种情形</w:t>
            </w:r>
            <w:bookmarkEnd w:id="386"/>
            <w:bookmarkEnd w:id="38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1274"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88" w:name="_Toc29584"/>
            <w:bookmarkStart w:id="389" w:name="_Toc11154"/>
            <w:r>
              <w:rPr>
                <w:rFonts w:hint="eastAsia" w:ascii="仿宋" w:hAnsi="仿宋" w:eastAsia="仿宋" w:cs="仿宋"/>
                <w:color w:val="000000"/>
                <w:sz w:val="21"/>
                <w:szCs w:val="21"/>
                <w:u w:val="none"/>
              </w:rPr>
              <w:t>2.1.2（13）</w:t>
            </w:r>
            <w:bookmarkEnd w:id="388"/>
            <w:bookmarkEnd w:id="389"/>
          </w:p>
        </w:tc>
        <w:tc>
          <w:tcPr>
            <w:tcW w:w="1080"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1"/>
                <w:szCs w:val="21"/>
                <w:u w:val="none"/>
              </w:rPr>
            </w:pPr>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r>
              <w:rPr>
                <w:rFonts w:hint="eastAsia" w:ascii="仿宋" w:hAnsi="仿宋" w:eastAsia="仿宋" w:cs="仿宋"/>
                <w:color w:val="000000"/>
                <w:sz w:val="21"/>
                <w:szCs w:val="21"/>
                <w:u w:val="none"/>
              </w:rPr>
              <w:t>其它标准</w:t>
            </w:r>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90" w:name="_Toc10247"/>
            <w:bookmarkStart w:id="391" w:name="_Toc9082"/>
            <w:r>
              <w:rPr>
                <w:rFonts w:hint="eastAsia" w:ascii="仿宋" w:hAnsi="仿宋" w:eastAsia="仿宋" w:cs="仿宋"/>
                <w:color w:val="000000"/>
                <w:sz w:val="21"/>
                <w:szCs w:val="21"/>
                <w:u w:val="none"/>
              </w:rPr>
              <w:t>……</w:t>
            </w:r>
            <w:bookmarkEnd w:id="390"/>
            <w:bookmarkEnd w:id="39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1274" w:type="dxa"/>
            <w:noWrap w:val="0"/>
            <w:vAlign w:val="center"/>
          </w:tcPr>
          <w:p>
            <w:pPr>
              <w:pStyle w:val="124"/>
              <w:spacing w:line="240" w:lineRule="exact"/>
              <w:ind w:firstLine="0" w:firstLineChars="0"/>
              <w:outlineLvl w:val="9"/>
              <w:rPr>
                <w:rFonts w:hint="eastAsia" w:ascii="仿宋" w:hAnsi="仿宋" w:eastAsia="仿宋" w:cs="仿宋"/>
                <w:color w:val="000000"/>
                <w:sz w:val="21"/>
                <w:szCs w:val="21"/>
                <w:u w:val="none"/>
              </w:rPr>
            </w:pPr>
          </w:p>
        </w:tc>
        <w:tc>
          <w:tcPr>
            <w:tcW w:w="1080"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1"/>
                <w:szCs w:val="21"/>
                <w:u w:val="none"/>
              </w:rPr>
            </w:pPr>
          </w:p>
        </w:tc>
        <w:tc>
          <w:tcPr>
            <w:tcW w:w="7412" w:type="dxa"/>
            <w:gridSpan w:val="2"/>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92" w:name="_Toc14384"/>
            <w:bookmarkStart w:id="393" w:name="_Toc10500"/>
            <w:r>
              <w:rPr>
                <w:rFonts w:hint="eastAsia" w:ascii="仿宋" w:hAnsi="仿宋" w:eastAsia="仿宋" w:cs="仿宋"/>
                <w:color w:val="000000"/>
                <w:sz w:val="21"/>
                <w:szCs w:val="21"/>
                <w:u w:val="none"/>
              </w:rPr>
              <w:t>详见本章附表3-3（2）</w:t>
            </w:r>
            <w:bookmarkEnd w:id="392"/>
            <w:bookmarkEnd w:id="39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1274"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94" w:name="_Toc18021"/>
            <w:bookmarkStart w:id="395" w:name="_Toc10626"/>
            <w:r>
              <w:rPr>
                <w:rFonts w:hint="eastAsia" w:ascii="仿宋" w:hAnsi="仿宋" w:eastAsia="仿宋" w:cs="仿宋"/>
                <w:color w:val="000000"/>
                <w:sz w:val="21"/>
                <w:szCs w:val="21"/>
                <w:u w:val="none"/>
              </w:rPr>
              <w:t>2.1.3（1）</w:t>
            </w:r>
            <w:bookmarkEnd w:id="394"/>
            <w:bookmarkEnd w:id="395"/>
          </w:p>
        </w:tc>
        <w:tc>
          <w:tcPr>
            <w:tcW w:w="1080" w:type="dxa"/>
            <w:vMerge w:val="restart"/>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96" w:name="_Toc24424"/>
            <w:bookmarkStart w:id="397" w:name="_Toc18150"/>
            <w:r>
              <w:rPr>
                <w:rFonts w:hint="eastAsia" w:ascii="仿宋" w:hAnsi="仿宋" w:eastAsia="仿宋" w:cs="仿宋"/>
                <w:color w:val="000000"/>
                <w:sz w:val="21"/>
                <w:szCs w:val="21"/>
                <w:u w:val="none"/>
              </w:rPr>
              <w:t>响应性评审标准</w:t>
            </w:r>
            <w:bookmarkEnd w:id="396"/>
            <w:bookmarkEnd w:id="397"/>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398" w:name="_Toc6022"/>
            <w:bookmarkStart w:id="399" w:name="_Toc20085"/>
            <w:r>
              <w:rPr>
                <w:rFonts w:hint="eastAsia" w:ascii="仿宋" w:hAnsi="仿宋" w:eastAsia="仿宋" w:cs="仿宋"/>
                <w:color w:val="000000"/>
                <w:sz w:val="21"/>
                <w:szCs w:val="21"/>
                <w:u w:val="none"/>
              </w:rPr>
              <w:t>投标范围</w:t>
            </w:r>
            <w:bookmarkEnd w:id="398"/>
            <w:bookmarkEnd w:id="399"/>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00" w:name="_Toc8678"/>
            <w:bookmarkStart w:id="401" w:name="_Toc15685"/>
            <w:r>
              <w:rPr>
                <w:rFonts w:hint="eastAsia" w:ascii="仿宋" w:hAnsi="仿宋" w:eastAsia="仿宋" w:cs="仿宋"/>
                <w:color w:val="000000"/>
                <w:sz w:val="21"/>
                <w:szCs w:val="21"/>
                <w:u w:val="none"/>
              </w:rPr>
              <w:t>投标范围符合第二章投标人须知第1.3.1项规定</w:t>
            </w:r>
            <w:bookmarkEnd w:id="400"/>
            <w:bookmarkEnd w:id="40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1274"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02" w:name="_Toc15944"/>
            <w:bookmarkStart w:id="403" w:name="_Toc27147"/>
            <w:r>
              <w:rPr>
                <w:rFonts w:hint="eastAsia" w:ascii="仿宋" w:hAnsi="仿宋" w:eastAsia="仿宋" w:cs="仿宋"/>
                <w:color w:val="000000"/>
                <w:sz w:val="21"/>
                <w:szCs w:val="21"/>
                <w:u w:val="none"/>
              </w:rPr>
              <w:t>2.1.3（2）</w:t>
            </w:r>
            <w:bookmarkEnd w:id="402"/>
            <w:bookmarkEnd w:id="403"/>
          </w:p>
        </w:tc>
        <w:tc>
          <w:tcPr>
            <w:tcW w:w="1080"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1"/>
                <w:szCs w:val="21"/>
                <w:u w:val="none"/>
              </w:rPr>
            </w:pPr>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04" w:name="_Toc7550"/>
            <w:bookmarkStart w:id="405" w:name="_Toc30996"/>
            <w:r>
              <w:rPr>
                <w:rFonts w:hint="eastAsia" w:ascii="仿宋" w:hAnsi="仿宋" w:eastAsia="仿宋" w:cs="仿宋"/>
                <w:color w:val="000000"/>
                <w:sz w:val="21"/>
                <w:szCs w:val="21"/>
                <w:u w:val="none"/>
              </w:rPr>
              <w:t>工期</w:t>
            </w:r>
            <w:bookmarkEnd w:id="404"/>
            <w:bookmarkEnd w:id="405"/>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06" w:name="_Toc23714"/>
            <w:bookmarkStart w:id="407" w:name="_Toc23153"/>
            <w:r>
              <w:rPr>
                <w:rFonts w:hint="eastAsia" w:ascii="仿宋" w:hAnsi="仿宋" w:eastAsia="仿宋" w:cs="仿宋"/>
                <w:color w:val="000000"/>
                <w:sz w:val="21"/>
                <w:szCs w:val="21"/>
                <w:u w:val="none"/>
              </w:rPr>
              <w:t>计划工期符合第二章投标人须知第1.3.2项规定</w:t>
            </w:r>
            <w:bookmarkEnd w:id="406"/>
            <w:bookmarkEnd w:id="40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1274"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08" w:name="_Toc19922"/>
            <w:bookmarkStart w:id="409" w:name="_Toc27881"/>
            <w:r>
              <w:rPr>
                <w:rFonts w:hint="eastAsia" w:ascii="仿宋" w:hAnsi="仿宋" w:eastAsia="仿宋" w:cs="仿宋"/>
                <w:color w:val="000000"/>
                <w:sz w:val="21"/>
                <w:szCs w:val="21"/>
                <w:u w:val="none"/>
              </w:rPr>
              <w:t>2.1.3（3）</w:t>
            </w:r>
            <w:bookmarkEnd w:id="408"/>
            <w:bookmarkEnd w:id="409"/>
          </w:p>
        </w:tc>
        <w:tc>
          <w:tcPr>
            <w:tcW w:w="1080"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1"/>
                <w:szCs w:val="21"/>
                <w:u w:val="none"/>
              </w:rPr>
            </w:pPr>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10" w:name="_Toc24486"/>
            <w:bookmarkStart w:id="411" w:name="_Toc11258"/>
            <w:r>
              <w:rPr>
                <w:rFonts w:hint="eastAsia" w:ascii="仿宋" w:hAnsi="仿宋" w:eastAsia="仿宋" w:cs="仿宋"/>
                <w:color w:val="000000"/>
                <w:sz w:val="21"/>
                <w:szCs w:val="21"/>
                <w:u w:val="none"/>
              </w:rPr>
              <w:t>工程质量</w:t>
            </w:r>
            <w:bookmarkEnd w:id="410"/>
            <w:bookmarkEnd w:id="411"/>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12" w:name="_Toc3889"/>
            <w:bookmarkStart w:id="413" w:name="_Toc4617"/>
            <w:r>
              <w:rPr>
                <w:rFonts w:hint="eastAsia" w:ascii="仿宋" w:hAnsi="仿宋" w:eastAsia="仿宋" w:cs="仿宋"/>
                <w:color w:val="000000"/>
                <w:sz w:val="21"/>
                <w:szCs w:val="21"/>
                <w:u w:val="none"/>
              </w:rPr>
              <w:t>工程质量符合第二章投标人须知第1.3.3项规定</w:t>
            </w:r>
            <w:bookmarkEnd w:id="412"/>
            <w:bookmarkEnd w:id="4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1274"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14" w:name="_Toc20975"/>
            <w:bookmarkStart w:id="415" w:name="_Toc17327"/>
            <w:r>
              <w:rPr>
                <w:rFonts w:hint="eastAsia" w:ascii="仿宋" w:hAnsi="仿宋" w:eastAsia="仿宋" w:cs="仿宋"/>
                <w:color w:val="000000"/>
                <w:sz w:val="21"/>
                <w:szCs w:val="21"/>
                <w:u w:val="none"/>
              </w:rPr>
              <w:t>2.1.3（4）</w:t>
            </w:r>
            <w:bookmarkEnd w:id="414"/>
            <w:bookmarkEnd w:id="415"/>
          </w:p>
        </w:tc>
        <w:tc>
          <w:tcPr>
            <w:tcW w:w="1080"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1"/>
                <w:szCs w:val="21"/>
                <w:u w:val="none"/>
              </w:rPr>
            </w:pPr>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16" w:name="_Toc313"/>
            <w:bookmarkStart w:id="417" w:name="_Toc21572"/>
            <w:r>
              <w:rPr>
                <w:rFonts w:hint="eastAsia" w:ascii="仿宋" w:hAnsi="仿宋" w:eastAsia="仿宋" w:cs="仿宋"/>
                <w:color w:val="000000"/>
                <w:sz w:val="21"/>
                <w:szCs w:val="21"/>
                <w:u w:val="none"/>
              </w:rPr>
              <w:t>投标有效期</w:t>
            </w:r>
            <w:bookmarkEnd w:id="416"/>
            <w:bookmarkEnd w:id="417"/>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18" w:name="_Toc20696"/>
            <w:bookmarkStart w:id="419" w:name="_Toc29062"/>
            <w:r>
              <w:rPr>
                <w:rFonts w:hint="eastAsia" w:ascii="仿宋" w:hAnsi="仿宋" w:eastAsia="仿宋" w:cs="仿宋"/>
                <w:color w:val="000000"/>
                <w:sz w:val="21"/>
                <w:szCs w:val="21"/>
                <w:u w:val="none"/>
              </w:rPr>
              <w:t>投标有效期符合第二章投标人须知第3.3.1项规定</w:t>
            </w:r>
            <w:bookmarkEnd w:id="418"/>
            <w:bookmarkEnd w:id="41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1274"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20" w:name="_Toc24883"/>
            <w:bookmarkStart w:id="421" w:name="_Toc2616"/>
            <w:r>
              <w:rPr>
                <w:rFonts w:hint="eastAsia" w:ascii="仿宋" w:hAnsi="仿宋" w:eastAsia="仿宋" w:cs="仿宋"/>
                <w:color w:val="000000"/>
                <w:sz w:val="21"/>
                <w:szCs w:val="21"/>
                <w:u w:val="none"/>
              </w:rPr>
              <w:t>2.1.3（5）</w:t>
            </w:r>
            <w:bookmarkEnd w:id="420"/>
            <w:bookmarkEnd w:id="421"/>
          </w:p>
        </w:tc>
        <w:tc>
          <w:tcPr>
            <w:tcW w:w="1080"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1"/>
                <w:szCs w:val="21"/>
                <w:u w:val="none"/>
              </w:rPr>
            </w:pPr>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22" w:name="_Toc24389"/>
            <w:bookmarkStart w:id="423" w:name="_Toc25230"/>
            <w:r>
              <w:rPr>
                <w:rFonts w:hint="eastAsia" w:ascii="仿宋" w:hAnsi="仿宋" w:eastAsia="仿宋" w:cs="仿宋"/>
                <w:color w:val="000000"/>
                <w:sz w:val="21"/>
                <w:szCs w:val="21"/>
                <w:u w:val="none"/>
              </w:rPr>
              <w:t>投标担保</w:t>
            </w:r>
            <w:bookmarkEnd w:id="422"/>
            <w:bookmarkEnd w:id="423"/>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24" w:name="_Toc5271"/>
            <w:bookmarkStart w:id="425" w:name="_Toc21362"/>
            <w:r>
              <w:rPr>
                <w:rFonts w:hint="eastAsia" w:ascii="仿宋" w:hAnsi="仿宋" w:eastAsia="仿宋" w:cs="仿宋"/>
                <w:color w:val="000000"/>
                <w:sz w:val="21"/>
                <w:szCs w:val="21"/>
                <w:u w:val="none"/>
              </w:rPr>
              <w:t>投标担保符合第二章投标人须知第3.4款规定</w:t>
            </w:r>
            <w:bookmarkEnd w:id="424"/>
            <w:bookmarkEnd w:id="42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1274"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26" w:name="_Toc27313"/>
            <w:bookmarkStart w:id="427" w:name="_Toc13325"/>
            <w:r>
              <w:rPr>
                <w:rFonts w:hint="eastAsia" w:ascii="仿宋" w:hAnsi="仿宋" w:eastAsia="仿宋" w:cs="仿宋"/>
                <w:color w:val="000000"/>
                <w:sz w:val="21"/>
                <w:szCs w:val="21"/>
                <w:u w:val="none"/>
              </w:rPr>
              <w:t>2.1.3（6）</w:t>
            </w:r>
            <w:bookmarkEnd w:id="426"/>
            <w:bookmarkEnd w:id="427"/>
          </w:p>
        </w:tc>
        <w:tc>
          <w:tcPr>
            <w:tcW w:w="1080"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1"/>
                <w:szCs w:val="21"/>
                <w:u w:val="none"/>
              </w:rPr>
            </w:pPr>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28" w:name="_Toc16613"/>
            <w:bookmarkStart w:id="429" w:name="_Toc19663"/>
            <w:r>
              <w:rPr>
                <w:rFonts w:hint="eastAsia" w:ascii="仿宋" w:hAnsi="仿宋" w:eastAsia="仿宋" w:cs="仿宋"/>
                <w:color w:val="000000"/>
                <w:sz w:val="21"/>
                <w:szCs w:val="21"/>
                <w:u w:val="none"/>
              </w:rPr>
              <w:t>权利义务</w:t>
            </w:r>
            <w:bookmarkEnd w:id="428"/>
            <w:bookmarkEnd w:id="429"/>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30" w:name="_Toc25942"/>
            <w:bookmarkStart w:id="431" w:name="_Toc29923"/>
            <w:r>
              <w:rPr>
                <w:rFonts w:hint="eastAsia" w:ascii="仿宋" w:hAnsi="仿宋" w:eastAsia="仿宋" w:cs="仿宋"/>
                <w:color w:val="000000"/>
                <w:sz w:val="21"/>
                <w:szCs w:val="21"/>
                <w:u w:val="none"/>
              </w:rPr>
              <w:t>权利义务符合第四章合同条款及格式规定的权利义务</w:t>
            </w:r>
            <w:bookmarkEnd w:id="430"/>
            <w:bookmarkEnd w:id="43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1274"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32" w:name="_Toc13515"/>
            <w:bookmarkStart w:id="433" w:name="_Toc31698"/>
            <w:r>
              <w:rPr>
                <w:rFonts w:hint="eastAsia" w:ascii="仿宋" w:hAnsi="仿宋" w:eastAsia="仿宋" w:cs="仿宋"/>
                <w:color w:val="000000"/>
                <w:sz w:val="21"/>
                <w:szCs w:val="21"/>
                <w:u w:val="none"/>
              </w:rPr>
              <w:t>2.1.3（7）</w:t>
            </w:r>
            <w:bookmarkEnd w:id="432"/>
            <w:bookmarkEnd w:id="433"/>
          </w:p>
        </w:tc>
        <w:tc>
          <w:tcPr>
            <w:tcW w:w="1080"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1"/>
                <w:szCs w:val="21"/>
                <w:u w:val="none"/>
              </w:rPr>
            </w:pPr>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34" w:name="_Toc24343"/>
            <w:bookmarkStart w:id="435" w:name="_Toc535"/>
            <w:r>
              <w:rPr>
                <w:rFonts w:hint="eastAsia" w:ascii="仿宋" w:hAnsi="仿宋" w:eastAsia="仿宋" w:cs="仿宋"/>
                <w:color w:val="000000"/>
                <w:sz w:val="21"/>
                <w:szCs w:val="21"/>
                <w:u w:val="none"/>
              </w:rPr>
              <w:t>工程量清单</w:t>
            </w:r>
            <w:bookmarkEnd w:id="434"/>
            <w:bookmarkEnd w:id="435"/>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36" w:name="_Toc26901"/>
            <w:bookmarkStart w:id="437" w:name="_Toc5193"/>
            <w:r>
              <w:rPr>
                <w:rFonts w:hint="eastAsia" w:ascii="仿宋" w:hAnsi="仿宋" w:eastAsia="仿宋" w:cs="仿宋"/>
                <w:color w:val="000000"/>
                <w:sz w:val="21"/>
                <w:szCs w:val="21"/>
                <w:u w:val="none"/>
              </w:rPr>
              <w:t>已标价工程量清单符合第五章工程量清单的有关要求</w:t>
            </w:r>
            <w:bookmarkEnd w:id="436"/>
            <w:bookmarkEnd w:id="43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1274"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38" w:name="_Toc7081"/>
            <w:bookmarkStart w:id="439" w:name="_Toc10277"/>
            <w:r>
              <w:rPr>
                <w:rFonts w:hint="eastAsia" w:ascii="仿宋" w:hAnsi="仿宋" w:eastAsia="仿宋" w:cs="仿宋"/>
                <w:color w:val="000000"/>
                <w:sz w:val="21"/>
                <w:szCs w:val="21"/>
                <w:u w:val="none"/>
              </w:rPr>
              <w:t>2.1.3（8）</w:t>
            </w:r>
            <w:bookmarkEnd w:id="438"/>
            <w:bookmarkEnd w:id="439"/>
          </w:p>
        </w:tc>
        <w:tc>
          <w:tcPr>
            <w:tcW w:w="1080"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1"/>
                <w:szCs w:val="21"/>
                <w:u w:val="none"/>
              </w:rPr>
            </w:pPr>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40" w:name="_Toc4278"/>
            <w:bookmarkStart w:id="441" w:name="_Toc8429"/>
            <w:r>
              <w:rPr>
                <w:rFonts w:hint="eastAsia" w:ascii="仿宋" w:hAnsi="仿宋" w:eastAsia="仿宋" w:cs="仿宋"/>
                <w:color w:val="000000"/>
                <w:sz w:val="21"/>
                <w:szCs w:val="21"/>
                <w:u w:val="none"/>
              </w:rPr>
              <w:t>技术标准和要求</w:t>
            </w:r>
            <w:bookmarkEnd w:id="440"/>
            <w:bookmarkEnd w:id="441"/>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42" w:name="_Toc7791"/>
            <w:bookmarkStart w:id="443" w:name="_Toc20449"/>
            <w:r>
              <w:rPr>
                <w:rFonts w:hint="eastAsia" w:ascii="仿宋" w:hAnsi="仿宋" w:eastAsia="仿宋" w:cs="仿宋"/>
                <w:color w:val="000000"/>
                <w:sz w:val="21"/>
                <w:szCs w:val="21"/>
                <w:u w:val="none"/>
              </w:rPr>
              <w:t>技术标准和要求符合第七章技术标准和要求</w:t>
            </w:r>
            <w:bookmarkEnd w:id="442"/>
            <w:bookmarkEnd w:id="443"/>
          </w:p>
          <w:p>
            <w:pPr>
              <w:pStyle w:val="124"/>
              <w:spacing w:line="240" w:lineRule="exact"/>
              <w:ind w:firstLine="0" w:firstLineChars="0"/>
              <w:rPr>
                <w:rFonts w:hint="eastAsia" w:ascii="仿宋" w:hAnsi="仿宋" w:eastAsia="仿宋" w:cs="仿宋"/>
                <w:color w:val="000000"/>
                <w:sz w:val="21"/>
                <w:szCs w:val="21"/>
                <w:u w:val="none"/>
              </w:rPr>
            </w:pPr>
            <w:bookmarkStart w:id="444" w:name="_Toc8074"/>
            <w:bookmarkStart w:id="445" w:name="_Toc10582"/>
            <w:r>
              <w:rPr>
                <w:rFonts w:hint="eastAsia" w:ascii="仿宋" w:hAnsi="仿宋" w:eastAsia="仿宋" w:cs="仿宋"/>
                <w:color w:val="000000"/>
                <w:sz w:val="21"/>
                <w:szCs w:val="21"/>
                <w:u w:val="none"/>
              </w:rPr>
              <w:t>（合同技术条款）的规定</w:t>
            </w:r>
            <w:bookmarkEnd w:id="444"/>
            <w:bookmarkEnd w:id="44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1274"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46" w:name="_Toc16970"/>
            <w:bookmarkStart w:id="447" w:name="_Toc23496"/>
            <w:r>
              <w:rPr>
                <w:rFonts w:hint="eastAsia" w:ascii="仿宋" w:hAnsi="仿宋" w:eastAsia="仿宋" w:cs="仿宋"/>
                <w:color w:val="000000"/>
                <w:sz w:val="21"/>
                <w:szCs w:val="21"/>
                <w:u w:val="none"/>
              </w:rPr>
              <w:t>2.1.3（9）</w:t>
            </w:r>
            <w:bookmarkEnd w:id="446"/>
            <w:bookmarkEnd w:id="447"/>
          </w:p>
        </w:tc>
        <w:tc>
          <w:tcPr>
            <w:tcW w:w="1080"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1"/>
                <w:szCs w:val="21"/>
                <w:u w:val="none"/>
              </w:rPr>
            </w:pPr>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48" w:name="_Toc2281"/>
            <w:bookmarkStart w:id="449" w:name="_Toc8976"/>
            <w:r>
              <w:rPr>
                <w:rFonts w:hint="eastAsia" w:ascii="仿宋" w:hAnsi="仿宋" w:eastAsia="仿宋" w:cs="仿宋"/>
                <w:color w:val="000000"/>
                <w:sz w:val="21"/>
                <w:szCs w:val="21"/>
                <w:u w:val="none"/>
              </w:rPr>
              <w:t>对投标人的纪律要求</w:t>
            </w:r>
            <w:bookmarkEnd w:id="448"/>
            <w:bookmarkEnd w:id="449"/>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50" w:name="_Toc15433"/>
            <w:bookmarkStart w:id="451" w:name="_Toc26910"/>
            <w:r>
              <w:rPr>
                <w:rFonts w:hint="eastAsia" w:ascii="仿宋" w:hAnsi="仿宋" w:eastAsia="仿宋" w:cs="仿宋"/>
                <w:color w:val="000000"/>
                <w:sz w:val="21"/>
                <w:szCs w:val="21"/>
                <w:u w:val="none"/>
              </w:rPr>
              <w:t>符合第二章“投标人须知”第9.2款规定</w:t>
            </w:r>
            <w:bookmarkEnd w:id="450"/>
            <w:bookmarkEnd w:id="45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1274"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52" w:name="_Toc21363"/>
            <w:bookmarkStart w:id="453" w:name="_Toc6493"/>
            <w:r>
              <w:rPr>
                <w:rFonts w:hint="eastAsia" w:ascii="仿宋" w:hAnsi="仿宋" w:eastAsia="仿宋" w:cs="仿宋"/>
                <w:color w:val="000000"/>
                <w:sz w:val="21"/>
                <w:szCs w:val="21"/>
                <w:u w:val="none"/>
              </w:rPr>
              <w:t>2.1.3（10）</w:t>
            </w:r>
            <w:bookmarkEnd w:id="452"/>
            <w:bookmarkEnd w:id="453"/>
          </w:p>
        </w:tc>
        <w:tc>
          <w:tcPr>
            <w:tcW w:w="1080"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1"/>
                <w:szCs w:val="21"/>
                <w:u w:val="none"/>
              </w:rPr>
            </w:pPr>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54" w:name="_Toc13748"/>
            <w:bookmarkStart w:id="455" w:name="_Toc28268"/>
            <w:r>
              <w:rPr>
                <w:rFonts w:hint="eastAsia" w:ascii="仿宋" w:hAnsi="仿宋" w:eastAsia="仿宋" w:cs="仿宋"/>
                <w:color w:val="000000"/>
                <w:sz w:val="21"/>
                <w:szCs w:val="21"/>
                <w:u w:val="none"/>
              </w:rPr>
              <w:t>工程结算款支付账户</w:t>
            </w:r>
            <w:bookmarkEnd w:id="454"/>
            <w:bookmarkEnd w:id="455"/>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56" w:name="_Toc8517"/>
            <w:bookmarkStart w:id="457" w:name="_Toc14951"/>
            <w:r>
              <w:rPr>
                <w:rFonts w:hint="eastAsia" w:ascii="仿宋" w:hAnsi="仿宋" w:eastAsia="仿宋" w:cs="仿宋"/>
                <w:color w:val="000000"/>
                <w:sz w:val="21"/>
                <w:szCs w:val="21"/>
                <w:u w:val="none"/>
              </w:rPr>
              <w:t>符合第二章“投标人须知”第10.3款规定</w:t>
            </w:r>
            <w:bookmarkEnd w:id="456"/>
            <w:bookmarkEnd w:id="45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1274"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58" w:name="_Toc2138"/>
            <w:bookmarkStart w:id="459" w:name="_Toc468"/>
            <w:r>
              <w:rPr>
                <w:rFonts w:hint="eastAsia" w:ascii="仿宋" w:hAnsi="仿宋" w:eastAsia="仿宋" w:cs="仿宋"/>
                <w:color w:val="000000"/>
                <w:sz w:val="21"/>
                <w:szCs w:val="21"/>
                <w:u w:val="none"/>
              </w:rPr>
              <w:t>2.1.3（11）</w:t>
            </w:r>
            <w:bookmarkEnd w:id="458"/>
            <w:bookmarkEnd w:id="459"/>
          </w:p>
        </w:tc>
        <w:tc>
          <w:tcPr>
            <w:tcW w:w="1080"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1"/>
                <w:szCs w:val="21"/>
                <w:u w:val="none"/>
              </w:rPr>
            </w:pPr>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60" w:name="_Toc29553"/>
            <w:bookmarkStart w:id="461" w:name="_Toc17134"/>
            <w:r>
              <w:rPr>
                <w:rFonts w:hint="eastAsia" w:ascii="仿宋" w:hAnsi="仿宋" w:eastAsia="仿宋" w:cs="仿宋"/>
                <w:color w:val="000000"/>
                <w:sz w:val="21"/>
                <w:szCs w:val="21"/>
                <w:u w:val="none"/>
              </w:rPr>
              <w:t>最高投标限价</w:t>
            </w:r>
            <w:bookmarkEnd w:id="460"/>
            <w:bookmarkEnd w:id="461"/>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62" w:name="_Toc13211"/>
            <w:bookmarkStart w:id="463" w:name="_Toc12720"/>
            <w:r>
              <w:rPr>
                <w:rFonts w:hint="eastAsia" w:ascii="仿宋" w:hAnsi="仿宋" w:eastAsia="仿宋" w:cs="仿宋"/>
                <w:color w:val="000000"/>
                <w:sz w:val="21"/>
                <w:szCs w:val="21"/>
                <w:u w:val="none"/>
              </w:rPr>
              <w:t>符合第二章“投标人须知”第10.5款规定</w:t>
            </w:r>
            <w:bookmarkEnd w:id="462"/>
            <w:bookmarkEnd w:id="46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1274"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64" w:name="_Toc9900"/>
            <w:bookmarkStart w:id="465" w:name="_Toc1921"/>
            <w:r>
              <w:rPr>
                <w:rFonts w:hint="eastAsia" w:ascii="仿宋" w:hAnsi="仿宋" w:eastAsia="仿宋" w:cs="仿宋"/>
                <w:color w:val="000000"/>
                <w:sz w:val="21"/>
                <w:szCs w:val="21"/>
                <w:u w:val="none"/>
              </w:rPr>
              <w:t>2.1.3（12）</w:t>
            </w:r>
            <w:bookmarkEnd w:id="464"/>
            <w:bookmarkEnd w:id="465"/>
          </w:p>
        </w:tc>
        <w:tc>
          <w:tcPr>
            <w:tcW w:w="1080"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1"/>
                <w:szCs w:val="21"/>
                <w:u w:val="none"/>
              </w:rPr>
            </w:pPr>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r>
              <w:rPr>
                <w:rFonts w:hint="eastAsia" w:ascii="仿宋" w:hAnsi="仿宋" w:eastAsia="仿宋" w:cs="仿宋"/>
                <w:color w:val="000000"/>
                <w:sz w:val="21"/>
                <w:szCs w:val="21"/>
                <w:u w:val="none"/>
              </w:rPr>
              <w:t>其它标准</w:t>
            </w:r>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66" w:name="_Toc16721"/>
            <w:bookmarkStart w:id="467" w:name="_Toc10748"/>
            <w:r>
              <w:rPr>
                <w:rFonts w:hint="eastAsia" w:ascii="仿宋" w:hAnsi="仿宋" w:eastAsia="仿宋" w:cs="仿宋"/>
                <w:color w:val="000000"/>
                <w:sz w:val="21"/>
                <w:szCs w:val="21"/>
                <w:u w:val="none"/>
              </w:rPr>
              <w:t>……</w:t>
            </w:r>
            <w:bookmarkEnd w:id="466"/>
            <w:bookmarkEnd w:id="46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1274" w:type="dxa"/>
            <w:noWrap w:val="0"/>
            <w:vAlign w:val="center"/>
          </w:tcPr>
          <w:p>
            <w:pPr>
              <w:pStyle w:val="124"/>
              <w:spacing w:line="240" w:lineRule="exact"/>
              <w:ind w:firstLine="0" w:firstLineChars="0"/>
              <w:outlineLvl w:val="9"/>
              <w:rPr>
                <w:rFonts w:hint="eastAsia" w:ascii="仿宋" w:hAnsi="仿宋" w:eastAsia="仿宋" w:cs="仿宋"/>
                <w:color w:val="000000"/>
                <w:sz w:val="21"/>
                <w:szCs w:val="21"/>
                <w:u w:val="none"/>
              </w:rPr>
            </w:pPr>
          </w:p>
        </w:tc>
        <w:tc>
          <w:tcPr>
            <w:tcW w:w="1080"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1"/>
                <w:szCs w:val="21"/>
                <w:u w:val="none"/>
              </w:rPr>
            </w:pPr>
          </w:p>
        </w:tc>
        <w:tc>
          <w:tcPr>
            <w:tcW w:w="7412" w:type="dxa"/>
            <w:gridSpan w:val="2"/>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68" w:name="_Toc22639"/>
            <w:bookmarkStart w:id="469" w:name="_Toc21690"/>
            <w:r>
              <w:rPr>
                <w:rFonts w:hint="eastAsia" w:ascii="仿宋" w:hAnsi="仿宋" w:eastAsia="仿宋" w:cs="仿宋"/>
                <w:color w:val="000000"/>
                <w:sz w:val="21"/>
                <w:szCs w:val="21"/>
                <w:u w:val="none"/>
              </w:rPr>
              <w:t>详见本章附表3-3（3）</w:t>
            </w:r>
            <w:bookmarkEnd w:id="468"/>
            <w:bookmarkEnd w:id="46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1274"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70" w:name="_Toc19743"/>
            <w:bookmarkStart w:id="471" w:name="_Toc7406"/>
            <w:r>
              <w:rPr>
                <w:rFonts w:hint="eastAsia" w:ascii="仿宋" w:hAnsi="仿宋" w:eastAsia="仿宋" w:cs="仿宋"/>
                <w:color w:val="000000"/>
                <w:sz w:val="21"/>
                <w:szCs w:val="21"/>
                <w:u w:val="none"/>
              </w:rPr>
              <w:t>2.1.4（1）</w:t>
            </w:r>
            <w:bookmarkEnd w:id="470"/>
            <w:bookmarkEnd w:id="471"/>
          </w:p>
        </w:tc>
        <w:tc>
          <w:tcPr>
            <w:tcW w:w="1080" w:type="dxa"/>
            <w:vMerge w:val="restart"/>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72" w:name="_Toc8346"/>
            <w:bookmarkStart w:id="473" w:name="_Toc7425"/>
            <w:r>
              <w:rPr>
                <w:rFonts w:hint="eastAsia" w:ascii="仿宋" w:hAnsi="仿宋" w:eastAsia="仿宋" w:cs="仿宋"/>
                <w:color w:val="000000"/>
                <w:sz w:val="21"/>
                <w:szCs w:val="21"/>
                <w:u w:val="none"/>
              </w:rPr>
              <w:t>技术投标文件评审标准</w:t>
            </w:r>
            <w:bookmarkEnd w:id="472"/>
            <w:bookmarkEnd w:id="473"/>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74" w:name="_Toc20310"/>
            <w:bookmarkStart w:id="475" w:name="_Toc8210"/>
            <w:r>
              <w:rPr>
                <w:rFonts w:hint="eastAsia" w:ascii="仿宋" w:hAnsi="仿宋" w:eastAsia="仿宋" w:cs="仿宋"/>
                <w:color w:val="000000"/>
                <w:sz w:val="21"/>
                <w:szCs w:val="21"/>
                <w:u w:val="none"/>
              </w:rPr>
              <w:t>内容完整性和编制水平</w:t>
            </w:r>
            <w:bookmarkEnd w:id="474"/>
            <w:bookmarkEnd w:id="475"/>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76" w:name="_Toc18534"/>
            <w:bookmarkStart w:id="477" w:name="_Toc10966"/>
            <w:r>
              <w:rPr>
                <w:rFonts w:hint="eastAsia" w:ascii="仿宋" w:hAnsi="仿宋" w:eastAsia="仿宋" w:cs="仿宋"/>
                <w:color w:val="000000"/>
                <w:sz w:val="21"/>
                <w:szCs w:val="21"/>
                <w:u w:val="none"/>
              </w:rPr>
              <w:t>合格或不合格</w:t>
            </w:r>
            <w:bookmarkEnd w:id="476"/>
            <w:bookmarkEnd w:id="47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1274"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78" w:name="_Toc18594"/>
            <w:bookmarkStart w:id="479" w:name="_Toc30605"/>
            <w:r>
              <w:rPr>
                <w:rFonts w:hint="eastAsia" w:ascii="仿宋" w:hAnsi="仿宋" w:eastAsia="仿宋" w:cs="仿宋"/>
                <w:color w:val="000000"/>
                <w:sz w:val="21"/>
                <w:szCs w:val="21"/>
                <w:u w:val="none"/>
              </w:rPr>
              <w:t>2.1.4（2）</w:t>
            </w:r>
            <w:bookmarkEnd w:id="478"/>
            <w:bookmarkEnd w:id="479"/>
          </w:p>
        </w:tc>
        <w:tc>
          <w:tcPr>
            <w:tcW w:w="1080"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1"/>
                <w:szCs w:val="21"/>
                <w:u w:val="none"/>
              </w:rPr>
            </w:pPr>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80" w:name="_Toc4020"/>
            <w:bookmarkStart w:id="481" w:name="_Toc21488"/>
            <w:r>
              <w:rPr>
                <w:rFonts w:hint="eastAsia" w:ascii="仿宋" w:hAnsi="仿宋" w:eastAsia="仿宋" w:cs="仿宋"/>
                <w:color w:val="000000"/>
                <w:sz w:val="21"/>
                <w:szCs w:val="21"/>
                <w:u w:val="none"/>
              </w:rPr>
              <w:t>施工方案与技术措施</w:t>
            </w:r>
            <w:bookmarkEnd w:id="480"/>
            <w:bookmarkEnd w:id="481"/>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82" w:name="_Toc14473"/>
            <w:bookmarkStart w:id="483" w:name="_Toc26353"/>
            <w:r>
              <w:rPr>
                <w:rFonts w:hint="eastAsia" w:ascii="仿宋" w:hAnsi="仿宋" w:eastAsia="仿宋" w:cs="仿宋"/>
                <w:color w:val="000000"/>
                <w:sz w:val="21"/>
                <w:szCs w:val="21"/>
                <w:u w:val="none"/>
              </w:rPr>
              <w:t>合格或不合格</w:t>
            </w:r>
            <w:bookmarkEnd w:id="482"/>
            <w:bookmarkEnd w:id="48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1274"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84" w:name="_Toc17501"/>
            <w:bookmarkStart w:id="485" w:name="_Toc26016"/>
            <w:r>
              <w:rPr>
                <w:rFonts w:hint="eastAsia" w:ascii="仿宋" w:hAnsi="仿宋" w:eastAsia="仿宋" w:cs="仿宋"/>
                <w:color w:val="000000"/>
                <w:sz w:val="21"/>
                <w:szCs w:val="21"/>
                <w:u w:val="none"/>
              </w:rPr>
              <w:t>2.1.4（3）</w:t>
            </w:r>
            <w:bookmarkEnd w:id="484"/>
            <w:bookmarkEnd w:id="485"/>
          </w:p>
        </w:tc>
        <w:tc>
          <w:tcPr>
            <w:tcW w:w="1080"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1"/>
                <w:szCs w:val="21"/>
                <w:u w:val="none"/>
              </w:rPr>
            </w:pPr>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86" w:name="_Toc13638"/>
            <w:bookmarkStart w:id="487" w:name="_Toc2370"/>
            <w:r>
              <w:rPr>
                <w:rFonts w:hint="eastAsia" w:ascii="仿宋" w:hAnsi="仿宋" w:eastAsia="仿宋" w:cs="仿宋"/>
                <w:color w:val="000000"/>
                <w:sz w:val="21"/>
                <w:szCs w:val="21"/>
                <w:u w:val="none"/>
              </w:rPr>
              <w:t>质量管理体系与措施</w:t>
            </w:r>
            <w:bookmarkEnd w:id="486"/>
            <w:bookmarkEnd w:id="487"/>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88" w:name="_Toc6281"/>
            <w:bookmarkStart w:id="489" w:name="_Toc458"/>
            <w:r>
              <w:rPr>
                <w:rFonts w:hint="eastAsia" w:ascii="仿宋" w:hAnsi="仿宋" w:eastAsia="仿宋" w:cs="仿宋"/>
                <w:color w:val="000000"/>
                <w:sz w:val="21"/>
                <w:szCs w:val="21"/>
                <w:u w:val="none"/>
              </w:rPr>
              <w:t>合格或不合格</w:t>
            </w:r>
            <w:bookmarkEnd w:id="488"/>
            <w:bookmarkEnd w:id="48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1274"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90" w:name="_Toc13137"/>
            <w:bookmarkStart w:id="491" w:name="_Toc26235"/>
            <w:r>
              <w:rPr>
                <w:rFonts w:hint="eastAsia" w:ascii="仿宋" w:hAnsi="仿宋" w:eastAsia="仿宋" w:cs="仿宋"/>
                <w:color w:val="000000"/>
                <w:sz w:val="21"/>
                <w:szCs w:val="21"/>
                <w:u w:val="none"/>
              </w:rPr>
              <w:t>2.1.4（4）</w:t>
            </w:r>
            <w:bookmarkEnd w:id="490"/>
            <w:bookmarkEnd w:id="491"/>
          </w:p>
        </w:tc>
        <w:tc>
          <w:tcPr>
            <w:tcW w:w="1080"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1"/>
                <w:szCs w:val="21"/>
                <w:u w:val="none"/>
              </w:rPr>
            </w:pPr>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92" w:name="_Toc8642"/>
            <w:bookmarkStart w:id="493" w:name="_Toc9141"/>
            <w:r>
              <w:rPr>
                <w:rFonts w:hint="eastAsia" w:ascii="仿宋" w:hAnsi="仿宋" w:eastAsia="仿宋" w:cs="仿宋"/>
                <w:color w:val="000000"/>
                <w:sz w:val="21"/>
                <w:szCs w:val="21"/>
                <w:u w:val="none"/>
              </w:rPr>
              <w:t>安全管理体系与措施</w:t>
            </w:r>
            <w:bookmarkEnd w:id="492"/>
            <w:bookmarkEnd w:id="493"/>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94" w:name="_Toc30542"/>
            <w:bookmarkStart w:id="495" w:name="_Toc9472"/>
            <w:r>
              <w:rPr>
                <w:rFonts w:hint="eastAsia" w:ascii="仿宋" w:hAnsi="仿宋" w:eastAsia="仿宋" w:cs="仿宋"/>
                <w:color w:val="000000"/>
                <w:sz w:val="21"/>
                <w:szCs w:val="21"/>
                <w:u w:val="none"/>
              </w:rPr>
              <w:t>合格或不合格</w:t>
            </w:r>
            <w:bookmarkEnd w:id="494"/>
            <w:bookmarkEnd w:id="49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1274"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96" w:name="_Toc22069"/>
            <w:bookmarkStart w:id="497" w:name="_Toc11177"/>
            <w:r>
              <w:rPr>
                <w:rFonts w:hint="eastAsia" w:ascii="仿宋" w:hAnsi="仿宋" w:eastAsia="仿宋" w:cs="仿宋"/>
                <w:color w:val="000000"/>
                <w:sz w:val="21"/>
                <w:szCs w:val="21"/>
                <w:u w:val="none"/>
              </w:rPr>
              <w:t>2.1.4（5）</w:t>
            </w:r>
            <w:bookmarkEnd w:id="496"/>
            <w:bookmarkEnd w:id="497"/>
          </w:p>
        </w:tc>
        <w:tc>
          <w:tcPr>
            <w:tcW w:w="1080"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1"/>
                <w:szCs w:val="21"/>
                <w:u w:val="none"/>
              </w:rPr>
            </w:pPr>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498" w:name="_Toc31183"/>
            <w:bookmarkStart w:id="499" w:name="_Toc12867"/>
            <w:r>
              <w:rPr>
                <w:rFonts w:hint="eastAsia" w:ascii="仿宋" w:hAnsi="仿宋" w:eastAsia="仿宋" w:cs="仿宋"/>
                <w:color w:val="000000"/>
                <w:sz w:val="21"/>
                <w:szCs w:val="21"/>
                <w:u w:val="none"/>
              </w:rPr>
              <w:t>环保管理体系与措施</w:t>
            </w:r>
            <w:bookmarkEnd w:id="498"/>
            <w:bookmarkEnd w:id="499"/>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500" w:name="_Toc28994"/>
            <w:bookmarkStart w:id="501" w:name="_Toc24611"/>
            <w:r>
              <w:rPr>
                <w:rFonts w:hint="eastAsia" w:ascii="仿宋" w:hAnsi="仿宋" w:eastAsia="仿宋" w:cs="仿宋"/>
                <w:color w:val="000000"/>
                <w:sz w:val="21"/>
                <w:szCs w:val="21"/>
                <w:u w:val="none"/>
              </w:rPr>
              <w:t>合格或不合格</w:t>
            </w:r>
            <w:bookmarkEnd w:id="500"/>
            <w:bookmarkEnd w:id="50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1274"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502" w:name="_Toc14993"/>
            <w:bookmarkStart w:id="503" w:name="_Toc7462"/>
            <w:r>
              <w:rPr>
                <w:rFonts w:hint="eastAsia" w:ascii="仿宋" w:hAnsi="仿宋" w:eastAsia="仿宋" w:cs="仿宋"/>
                <w:color w:val="000000"/>
                <w:sz w:val="21"/>
                <w:szCs w:val="21"/>
                <w:u w:val="none"/>
              </w:rPr>
              <w:t>2.1.4（6）</w:t>
            </w:r>
            <w:bookmarkEnd w:id="502"/>
            <w:bookmarkEnd w:id="503"/>
          </w:p>
        </w:tc>
        <w:tc>
          <w:tcPr>
            <w:tcW w:w="1080"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1"/>
                <w:szCs w:val="21"/>
                <w:u w:val="none"/>
              </w:rPr>
            </w:pPr>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504" w:name="_Toc12070"/>
            <w:bookmarkStart w:id="505" w:name="_Toc3167"/>
            <w:r>
              <w:rPr>
                <w:rFonts w:hint="eastAsia" w:ascii="仿宋" w:hAnsi="仿宋" w:eastAsia="仿宋" w:cs="仿宋"/>
                <w:color w:val="000000"/>
                <w:sz w:val="21"/>
                <w:szCs w:val="21"/>
                <w:u w:val="none"/>
              </w:rPr>
              <w:t>工程进度计划与措施</w:t>
            </w:r>
            <w:bookmarkEnd w:id="504"/>
            <w:bookmarkEnd w:id="505"/>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506" w:name="_Toc6070"/>
            <w:bookmarkStart w:id="507" w:name="_Toc1851"/>
            <w:r>
              <w:rPr>
                <w:rFonts w:hint="eastAsia" w:ascii="仿宋" w:hAnsi="仿宋" w:eastAsia="仿宋" w:cs="仿宋"/>
                <w:color w:val="000000"/>
                <w:sz w:val="21"/>
                <w:szCs w:val="21"/>
                <w:u w:val="none"/>
              </w:rPr>
              <w:t>合格或不合格</w:t>
            </w:r>
            <w:bookmarkEnd w:id="506"/>
            <w:bookmarkEnd w:id="50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1274"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508" w:name="_Toc22825"/>
            <w:bookmarkStart w:id="509" w:name="_Toc5531"/>
            <w:r>
              <w:rPr>
                <w:rFonts w:hint="eastAsia" w:ascii="仿宋" w:hAnsi="仿宋" w:eastAsia="仿宋" w:cs="仿宋"/>
                <w:color w:val="000000"/>
                <w:sz w:val="21"/>
                <w:szCs w:val="21"/>
                <w:u w:val="none"/>
              </w:rPr>
              <w:t>2.1.4（7）</w:t>
            </w:r>
            <w:bookmarkEnd w:id="508"/>
            <w:bookmarkEnd w:id="509"/>
          </w:p>
        </w:tc>
        <w:tc>
          <w:tcPr>
            <w:tcW w:w="1080"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1"/>
                <w:szCs w:val="21"/>
                <w:u w:val="none"/>
              </w:rPr>
            </w:pPr>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510" w:name="_Toc5541"/>
            <w:bookmarkStart w:id="511" w:name="_Toc1928"/>
            <w:r>
              <w:rPr>
                <w:rFonts w:hint="eastAsia" w:ascii="仿宋" w:hAnsi="仿宋" w:eastAsia="仿宋" w:cs="仿宋"/>
                <w:color w:val="000000"/>
                <w:sz w:val="21"/>
                <w:szCs w:val="21"/>
                <w:u w:val="none"/>
              </w:rPr>
              <w:t>施工总布置</w:t>
            </w:r>
            <w:bookmarkEnd w:id="510"/>
            <w:bookmarkEnd w:id="511"/>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512" w:name="_Toc14304"/>
            <w:bookmarkStart w:id="513" w:name="_Toc23562"/>
            <w:r>
              <w:rPr>
                <w:rFonts w:hint="eastAsia" w:ascii="仿宋" w:hAnsi="仿宋" w:eastAsia="仿宋" w:cs="仿宋"/>
                <w:color w:val="000000"/>
                <w:sz w:val="21"/>
                <w:szCs w:val="21"/>
                <w:u w:val="none"/>
              </w:rPr>
              <w:t>合格或不合格</w:t>
            </w:r>
            <w:bookmarkEnd w:id="512"/>
            <w:bookmarkEnd w:id="5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1274"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514" w:name="_Toc23102"/>
            <w:bookmarkStart w:id="515" w:name="_Toc15532"/>
            <w:r>
              <w:rPr>
                <w:rFonts w:hint="eastAsia" w:ascii="仿宋" w:hAnsi="仿宋" w:eastAsia="仿宋" w:cs="仿宋"/>
                <w:color w:val="000000"/>
                <w:sz w:val="21"/>
                <w:szCs w:val="21"/>
                <w:u w:val="none"/>
              </w:rPr>
              <w:t>2.1.4（8）</w:t>
            </w:r>
            <w:bookmarkEnd w:id="514"/>
            <w:bookmarkEnd w:id="515"/>
          </w:p>
        </w:tc>
        <w:tc>
          <w:tcPr>
            <w:tcW w:w="1080"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1"/>
                <w:szCs w:val="21"/>
                <w:u w:val="none"/>
              </w:rPr>
            </w:pPr>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516" w:name="_Toc15531"/>
            <w:bookmarkStart w:id="517" w:name="_Toc21567"/>
            <w:r>
              <w:rPr>
                <w:rFonts w:hint="eastAsia" w:ascii="仿宋" w:hAnsi="仿宋" w:eastAsia="仿宋" w:cs="仿宋"/>
                <w:color w:val="000000"/>
                <w:sz w:val="21"/>
                <w:szCs w:val="21"/>
                <w:u w:val="none"/>
              </w:rPr>
              <w:t>资源配备计划</w:t>
            </w:r>
            <w:bookmarkEnd w:id="516"/>
            <w:bookmarkEnd w:id="517"/>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518" w:name="_Toc19129"/>
            <w:bookmarkStart w:id="519" w:name="_Toc9554"/>
            <w:r>
              <w:rPr>
                <w:rFonts w:hint="eastAsia" w:ascii="仿宋" w:hAnsi="仿宋" w:eastAsia="仿宋" w:cs="仿宋"/>
                <w:color w:val="000000"/>
                <w:sz w:val="21"/>
                <w:szCs w:val="21"/>
                <w:u w:val="none"/>
              </w:rPr>
              <w:t>合格或不合格</w:t>
            </w:r>
            <w:bookmarkEnd w:id="518"/>
            <w:bookmarkEnd w:id="51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1274" w:type="dxa"/>
            <w:noWrap w:val="0"/>
            <w:vAlign w:val="center"/>
          </w:tcPr>
          <w:p>
            <w:pPr>
              <w:pStyle w:val="124"/>
              <w:spacing w:line="240" w:lineRule="exact"/>
              <w:ind w:firstLine="0" w:firstLineChars="0"/>
              <w:outlineLvl w:val="9"/>
              <w:rPr>
                <w:rFonts w:hint="eastAsia" w:ascii="仿宋" w:hAnsi="仿宋" w:eastAsia="仿宋" w:cs="仿宋"/>
                <w:color w:val="000000"/>
                <w:sz w:val="21"/>
                <w:szCs w:val="21"/>
                <w:u w:val="none"/>
              </w:rPr>
            </w:pPr>
          </w:p>
        </w:tc>
        <w:tc>
          <w:tcPr>
            <w:tcW w:w="1080"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1"/>
                <w:szCs w:val="21"/>
                <w:u w:val="none"/>
              </w:rPr>
            </w:pPr>
          </w:p>
        </w:tc>
        <w:tc>
          <w:tcPr>
            <w:tcW w:w="7412" w:type="dxa"/>
            <w:gridSpan w:val="2"/>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520" w:name="_Toc3494"/>
            <w:bookmarkStart w:id="521" w:name="_Toc23355"/>
            <w:r>
              <w:rPr>
                <w:rFonts w:hint="eastAsia" w:ascii="仿宋" w:hAnsi="仿宋" w:eastAsia="仿宋" w:cs="仿宋"/>
                <w:color w:val="000000"/>
                <w:sz w:val="21"/>
                <w:szCs w:val="21"/>
                <w:u w:val="none"/>
              </w:rPr>
              <w:t>详见本章附表3-3（4）</w:t>
            </w:r>
            <w:bookmarkEnd w:id="520"/>
            <w:bookmarkEnd w:id="52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exact"/>
          <w:jc w:val="center"/>
        </w:trPr>
        <w:tc>
          <w:tcPr>
            <w:tcW w:w="2354" w:type="dxa"/>
            <w:gridSpan w:val="2"/>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522" w:name="_Toc372"/>
            <w:bookmarkStart w:id="523" w:name="_Toc10290"/>
            <w:r>
              <w:rPr>
                <w:rFonts w:hint="eastAsia" w:ascii="仿宋" w:hAnsi="仿宋" w:eastAsia="仿宋" w:cs="仿宋"/>
                <w:color w:val="000000"/>
                <w:sz w:val="21"/>
                <w:szCs w:val="21"/>
                <w:u w:val="none"/>
              </w:rPr>
              <w:t>2.2.1</w:t>
            </w:r>
            <w:bookmarkEnd w:id="522"/>
            <w:bookmarkEnd w:id="523"/>
            <w:r>
              <w:rPr>
                <w:rFonts w:hint="eastAsia" w:ascii="仿宋" w:hAnsi="仿宋" w:eastAsia="仿宋" w:cs="仿宋"/>
                <w:color w:val="000000"/>
                <w:sz w:val="21"/>
                <w:szCs w:val="21"/>
                <w:u w:val="none"/>
              </w:rPr>
              <w:t>（1）</w:t>
            </w:r>
          </w:p>
        </w:tc>
        <w:tc>
          <w:tcPr>
            <w:tcW w:w="2322" w:type="dxa"/>
            <w:vMerge w:val="restart"/>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524" w:name="_Toc3937"/>
            <w:bookmarkStart w:id="525" w:name="_Toc3703"/>
            <w:r>
              <w:rPr>
                <w:rFonts w:hint="eastAsia" w:ascii="仿宋" w:hAnsi="仿宋" w:eastAsia="仿宋" w:cs="仿宋"/>
                <w:color w:val="000000"/>
                <w:sz w:val="21"/>
                <w:szCs w:val="21"/>
                <w:u w:val="none"/>
              </w:rPr>
              <w:t>分值构成</w:t>
            </w:r>
            <w:bookmarkEnd w:id="524"/>
            <w:bookmarkEnd w:id="525"/>
          </w:p>
          <w:p>
            <w:pPr>
              <w:pStyle w:val="124"/>
              <w:spacing w:line="240" w:lineRule="exact"/>
              <w:ind w:firstLine="0" w:firstLineChars="0"/>
              <w:rPr>
                <w:rFonts w:hint="eastAsia" w:ascii="仿宋" w:hAnsi="仿宋" w:eastAsia="仿宋" w:cs="仿宋"/>
                <w:color w:val="000000"/>
                <w:sz w:val="21"/>
                <w:szCs w:val="21"/>
                <w:u w:val="none"/>
              </w:rPr>
            </w:pPr>
            <w:bookmarkStart w:id="526" w:name="_Toc10342"/>
            <w:bookmarkStart w:id="527" w:name="_Toc1534"/>
            <w:r>
              <w:rPr>
                <w:rFonts w:hint="eastAsia" w:ascii="仿宋" w:hAnsi="仿宋" w:eastAsia="仿宋" w:cs="仿宋"/>
                <w:color w:val="000000"/>
                <w:sz w:val="21"/>
                <w:szCs w:val="21"/>
                <w:u w:val="none"/>
              </w:rPr>
              <w:t>（总分100分，在总分得分基础上单独进行不良行为记录扣分）</w:t>
            </w:r>
            <w:bookmarkEnd w:id="526"/>
            <w:bookmarkEnd w:id="527"/>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528" w:name="_Toc30416"/>
            <w:bookmarkStart w:id="529" w:name="_Toc10727"/>
            <w:r>
              <w:rPr>
                <w:rFonts w:hint="eastAsia" w:ascii="仿宋" w:hAnsi="仿宋" w:eastAsia="仿宋" w:cs="仿宋"/>
                <w:color w:val="000000"/>
                <w:sz w:val="21"/>
                <w:szCs w:val="21"/>
                <w:u w:val="none"/>
              </w:rPr>
              <w:t>项目管理机构： 8～15 分</w:t>
            </w:r>
            <w:bookmarkEnd w:id="528"/>
            <w:bookmarkEnd w:id="52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exact"/>
          <w:jc w:val="center"/>
        </w:trPr>
        <w:tc>
          <w:tcPr>
            <w:tcW w:w="2354" w:type="dxa"/>
            <w:gridSpan w:val="2"/>
            <w:noWrap w:val="0"/>
            <w:vAlign w:val="center"/>
          </w:tcPr>
          <w:p>
            <w:pPr>
              <w:pStyle w:val="124"/>
              <w:spacing w:line="240" w:lineRule="exact"/>
              <w:ind w:firstLine="0" w:firstLineChars="0"/>
              <w:rPr>
                <w:rFonts w:hint="eastAsia" w:ascii="仿宋" w:hAnsi="仿宋" w:eastAsia="仿宋" w:cs="仿宋"/>
                <w:color w:val="000000"/>
                <w:sz w:val="21"/>
                <w:szCs w:val="21"/>
                <w:u w:val="none"/>
              </w:rPr>
            </w:pPr>
            <w:r>
              <w:rPr>
                <w:rFonts w:hint="eastAsia" w:ascii="仿宋" w:hAnsi="仿宋" w:eastAsia="仿宋" w:cs="仿宋"/>
                <w:color w:val="000000"/>
                <w:sz w:val="21"/>
                <w:szCs w:val="21"/>
                <w:u w:val="none"/>
              </w:rPr>
              <w:t>2.2.1（2）</w:t>
            </w:r>
          </w:p>
        </w:tc>
        <w:tc>
          <w:tcPr>
            <w:tcW w:w="2322" w:type="dxa"/>
            <w:vMerge w:val="continue"/>
            <w:noWrap w:val="0"/>
            <w:vAlign w:val="center"/>
          </w:tcPr>
          <w:p>
            <w:pPr>
              <w:pStyle w:val="124"/>
              <w:spacing w:line="240" w:lineRule="exact"/>
              <w:ind w:firstLine="0" w:firstLineChars="0"/>
              <w:rPr>
                <w:rFonts w:hint="eastAsia" w:ascii="仿宋" w:hAnsi="仿宋" w:eastAsia="仿宋" w:cs="仿宋"/>
                <w:color w:val="000000"/>
                <w:sz w:val="21"/>
                <w:szCs w:val="21"/>
                <w:u w:val="none"/>
              </w:rPr>
            </w:pPr>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r>
              <w:rPr>
                <w:rFonts w:hint="eastAsia" w:ascii="仿宋" w:hAnsi="仿宋" w:eastAsia="仿宋" w:cs="仿宋"/>
                <w:color w:val="000000"/>
                <w:sz w:val="21"/>
                <w:szCs w:val="21"/>
                <w:u w:val="none"/>
              </w:rPr>
              <w:t>信誉等其他评分因素：10～15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exact"/>
          <w:jc w:val="center"/>
        </w:trPr>
        <w:tc>
          <w:tcPr>
            <w:tcW w:w="2354" w:type="dxa"/>
            <w:gridSpan w:val="2"/>
            <w:noWrap w:val="0"/>
            <w:vAlign w:val="center"/>
          </w:tcPr>
          <w:p>
            <w:pPr>
              <w:pStyle w:val="124"/>
              <w:spacing w:line="240" w:lineRule="exact"/>
              <w:ind w:firstLine="0" w:firstLineChars="0"/>
              <w:rPr>
                <w:rFonts w:hint="eastAsia" w:ascii="仿宋" w:hAnsi="仿宋" w:eastAsia="仿宋" w:cs="仿宋"/>
                <w:color w:val="000000"/>
                <w:sz w:val="21"/>
                <w:szCs w:val="21"/>
                <w:u w:val="none"/>
              </w:rPr>
            </w:pPr>
            <w:r>
              <w:rPr>
                <w:rFonts w:hint="eastAsia" w:ascii="仿宋" w:hAnsi="仿宋" w:eastAsia="仿宋" w:cs="仿宋"/>
                <w:color w:val="000000"/>
                <w:sz w:val="21"/>
                <w:szCs w:val="21"/>
                <w:u w:val="none"/>
              </w:rPr>
              <w:t>2.2.1（3）</w:t>
            </w:r>
          </w:p>
        </w:tc>
        <w:tc>
          <w:tcPr>
            <w:tcW w:w="2322" w:type="dxa"/>
            <w:vMerge w:val="continue"/>
            <w:noWrap w:val="0"/>
            <w:vAlign w:val="center"/>
          </w:tcPr>
          <w:p>
            <w:pPr>
              <w:pStyle w:val="124"/>
              <w:spacing w:line="240" w:lineRule="exact"/>
              <w:ind w:firstLine="0" w:firstLineChars="0"/>
              <w:rPr>
                <w:rFonts w:hint="eastAsia" w:ascii="仿宋" w:hAnsi="仿宋" w:eastAsia="仿宋" w:cs="仿宋"/>
                <w:color w:val="000000"/>
                <w:sz w:val="21"/>
                <w:szCs w:val="21"/>
                <w:u w:val="none"/>
              </w:rPr>
            </w:pPr>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r>
              <w:rPr>
                <w:rFonts w:hint="eastAsia" w:ascii="仿宋" w:hAnsi="仿宋" w:eastAsia="仿宋" w:cs="仿宋"/>
                <w:color w:val="000000"/>
                <w:sz w:val="21"/>
                <w:szCs w:val="21"/>
                <w:u w:val="none"/>
              </w:rPr>
              <w:t>投标报价： 70～80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exact"/>
          <w:jc w:val="center"/>
        </w:trPr>
        <w:tc>
          <w:tcPr>
            <w:tcW w:w="2354" w:type="dxa"/>
            <w:gridSpan w:val="2"/>
            <w:noWrap w:val="0"/>
            <w:vAlign w:val="center"/>
          </w:tcPr>
          <w:p>
            <w:pPr>
              <w:pStyle w:val="124"/>
              <w:spacing w:line="240" w:lineRule="exact"/>
              <w:ind w:firstLine="0" w:firstLineChars="0"/>
              <w:rPr>
                <w:rFonts w:hint="eastAsia" w:ascii="仿宋" w:hAnsi="仿宋" w:eastAsia="仿宋" w:cs="仿宋"/>
                <w:color w:val="000000"/>
                <w:sz w:val="21"/>
                <w:szCs w:val="21"/>
                <w:u w:val="none"/>
              </w:rPr>
            </w:pPr>
            <w:r>
              <w:rPr>
                <w:rFonts w:hint="eastAsia" w:ascii="仿宋" w:hAnsi="仿宋" w:eastAsia="仿宋" w:cs="仿宋"/>
                <w:color w:val="000000"/>
                <w:sz w:val="21"/>
                <w:szCs w:val="21"/>
                <w:u w:val="none"/>
              </w:rPr>
              <w:t>2.2.1（4）</w:t>
            </w:r>
          </w:p>
        </w:tc>
        <w:tc>
          <w:tcPr>
            <w:tcW w:w="2322" w:type="dxa"/>
            <w:vMerge w:val="continue"/>
            <w:noWrap w:val="0"/>
            <w:vAlign w:val="center"/>
          </w:tcPr>
          <w:p>
            <w:pPr>
              <w:pStyle w:val="124"/>
              <w:spacing w:line="240" w:lineRule="exact"/>
              <w:ind w:firstLine="0" w:firstLineChars="0"/>
              <w:rPr>
                <w:rFonts w:hint="eastAsia" w:ascii="仿宋" w:hAnsi="仿宋" w:eastAsia="仿宋" w:cs="仿宋"/>
                <w:color w:val="000000"/>
                <w:sz w:val="21"/>
                <w:szCs w:val="21"/>
                <w:u w:val="none"/>
              </w:rPr>
            </w:pPr>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r>
              <w:rPr>
                <w:rFonts w:hint="eastAsia" w:ascii="仿宋" w:hAnsi="仿宋" w:eastAsia="仿宋" w:cs="仿宋"/>
                <w:color w:val="000000"/>
                <w:sz w:val="21"/>
                <w:szCs w:val="21"/>
                <w:u w:val="none"/>
              </w:rPr>
              <w:t>不良行为记录扣分：每项扣1分或0.25分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2354" w:type="dxa"/>
            <w:gridSpan w:val="2"/>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530" w:name="_Toc6524"/>
            <w:bookmarkStart w:id="531" w:name="_Toc27763"/>
            <w:r>
              <w:rPr>
                <w:rFonts w:hint="eastAsia" w:ascii="仿宋" w:hAnsi="仿宋" w:eastAsia="仿宋" w:cs="仿宋"/>
                <w:color w:val="000000"/>
                <w:sz w:val="21"/>
                <w:szCs w:val="21"/>
                <w:u w:val="none"/>
              </w:rPr>
              <w:t>2.2.2</w:t>
            </w:r>
            <w:bookmarkEnd w:id="530"/>
            <w:bookmarkEnd w:id="531"/>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532" w:name="_Toc23631"/>
            <w:bookmarkStart w:id="533" w:name="_Toc8979"/>
            <w:r>
              <w:rPr>
                <w:rFonts w:hint="eastAsia" w:ascii="仿宋" w:hAnsi="仿宋" w:eastAsia="仿宋" w:cs="仿宋"/>
                <w:color w:val="000000"/>
                <w:sz w:val="21"/>
                <w:szCs w:val="21"/>
                <w:u w:val="none"/>
              </w:rPr>
              <w:t>评标基准价计算方法</w:t>
            </w:r>
            <w:bookmarkEnd w:id="532"/>
            <w:bookmarkEnd w:id="533"/>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534" w:name="_Toc15308"/>
            <w:bookmarkStart w:id="535" w:name="_Toc22764"/>
            <w:r>
              <w:rPr>
                <w:rFonts w:hint="eastAsia" w:ascii="仿宋" w:hAnsi="仿宋" w:eastAsia="仿宋" w:cs="仿宋"/>
                <w:color w:val="000000"/>
                <w:sz w:val="21"/>
                <w:szCs w:val="21"/>
                <w:u w:val="none"/>
              </w:rPr>
              <w:t>详见本章正文“2.2.2 评标基准价计算”。</w:t>
            </w:r>
            <w:bookmarkEnd w:id="534"/>
            <w:bookmarkEnd w:id="53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354" w:type="dxa"/>
            <w:gridSpan w:val="2"/>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536" w:name="_Toc10502"/>
            <w:bookmarkStart w:id="537" w:name="_Toc22917"/>
            <w:r>
              <w:rPr>
                <w:rFonts w:hint="eastAsia" w:ascii="仿宋" w:hAnsi="仿宋" w:eastAsia="仿宋" w:cs="仿宋"/>
                <w:color w:val="000000"/>
                <w:sz w:val="21"/>
                <w:szCs w:val="21"/>
                <w:u w:val="none"/>
              </w:rPr>
              <w:t>2.2.3</w:t>
            </w:r>
            <w:bookmarkEnd w:id="536"/>
            <w:bookmarkEnd w:id="537"/>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538" w:name="_Toc25436"/>
            <w:bookmarkStart w:id="539" w:name="_Toc13213"/>
            <w:r>
              <w:rPr>
                <w:rFonts w:hint="eastAsia" w:ascii="仿宋" w:hAnsi="仿宋" w:eastAsia="仿宋" w:cs="仿宋"/>
                <w:color w:val="000000"/>
                <w:sz w:val="21"/>
                <w:szCs w:val="21"/>
                <w:u w:val="none"/>
              </w:rPr>
              <w:t>投标报价的偏差率</w:t>
            </w:r>
            <w:bookmarkEnd w:id="538"/>
            <w:bookmarkEnd w:id="539"/>
          </w:p>
          <w:p>
            <w:pPr>
              <w:pStyle w:val="124"/>
              <w:spacing w:line="240" w:lineRule="exact"/>
              <w:ind w:firstLine="0" w:firstLineChars="0"/>
              <w:rPr>
                <w:rFonts w:hint="eastAsia" w:ascii="仿宋" w:hAnsi="仿宋" w:eastAsia="仿宋" w:cs="仿宋"/>
                <w:color w:val="000000"/>
                <w:sz w:val="21"/>
                <w:szCs w:val="21"/>
                <w:u w:val="none"/>
              </w:rPr>
            </w:pPr>
            <w:bookmarkStart w:id="540" w:name="_Toc29621"/>
            <w:bookmarkStart w:id="541" w:name="_Toc5664"/>
            <w:r>
              <w:rPr>
                <w:rFonts w:hint="eastAsia" w:ascii="仿宋" w:hAnsi="仿宋" w:eastAsia="仿宋" w:cs="仿宋"/>
                <w:color w:val="000000"/>
                <w:sz w:val="21"/>
                <w:szCs w:val="21"/>
                <w:u w:val="none"/>
              </w:rPr>
              <w:t>计算公式</w:t>
            </w:r>
            <w:bookmarkEnd w:id="540"/>
            <w:bookmarkEnd w:id="541"/>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542" w:name="_Toc20419"/>
            <w:bookmarkStart w:id="543" w:name="_Toc29551"/>
            <w:r>
              <w:rPr>
                <w:rFonts w:hint="eastAsia" w:ascii="仿宋" w:hAnsi="仿宋" w:eastAsia="仿宋" w:cs="仿宋"/>
                <w:color w:val="000000"/>
                <w:sz w:val="21"/>
                <w:szCs w:val="21"/>
                <w:u w:val="none"/>
              </w:rPr>
              <w:t>详见本章正文“2.2.3 投标报价的偏差率计算”。</w:t>
            </w:r>
            <w:bookmarkEnd w:id="542"/>
            <w:bookmarkEnd w:id="54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354" w:type="dxa"/>
            <w:gridSpan w:val="2"/>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544" w:name="_Toc1886"/>
            <w:bookmarkStart w:id="545" w:name="_Toc29384"/>
            <w:r>
              <w:rPr>
                <w:rFonts w:hint="eastAsia" w:ascii="仿宋" w:hAnsi="仿宋" w:eastAsia="仿宋" w:cs="仿宋"/>
                <w:color w:val="000000"/>
                <w:sz w:val="21"/>
                <w:szCs w:val="21"/>
                <w:u w:val="none"/>
              </w:rPr>
              <w:t>条款号</w:t>
            </w:r>
            <w:bookmarkEnd w:id="544"/>
            <w:bookmarkEnd w:id="545"/>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546" w:name="_Toc32665"/>
            <w:bookmarkStart w:id="547" w:name="_Toc25064"/>
            <w:r>
              <w:rPr>
                <w:rFonts w:hint="eastAsia" w:ascii="仿宋" w:hAnsi="仿宋" w:eastAsia="仿宋" w:cs="仿宋"/>
                <w:color w:val="000000"/>
                <w:sz w:val="21"/>
                <w:szCs w:val="21"/>
                <w:u w:val="none"/>
              </w:rPr>
              <w:t>评分因素</w:t>
            </w:r>
            <w:bookmarkEnd w:id="546"/>
            <w:bookmarkEnd w:id="547"/>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548" w:name="_Toc25910"/>
            <w:bookmarkStart w:id="549" w:name="_Toc376"/>
            <w:r>
              <w:rPr>
                <w:rFonts w:hint="eastAsia" w:ascii="仿宋" w:hAnsi="仿宋" w:eastAsia="仿宋" w:cs="仿宋"/>
                <w:color w:val="000000"/>
                <w:sz w:val="21"/>
                <w:szCs w:val="21"/>
                <w:u w:val="none"/>
              </w:rPr>
              <w:t>评分标准</w:t>
            </w:r>
            <w:bookmarkEnd w:id="548"/>
            <w:bookmarkEnd w:id="54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354" w:type="dxa"/>
            <w:gridSpan w:val="2"/>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550" w:name="_Toc1821"/>
            <w:bookmarkStart w:id="551" w:name="_Toc32437"/>
            <w:r>
              <w:rPr>
                <w:rFonts w:hint="eastAsia" w:ascii="仿宋" w:hAnsi="仿宋" w:eastAsia="仿宋" w:cs="仿宋"/>
                <w:color w:val="000000"/>
                <w:sz w:val="21"/>
                <w:szCs w:val="21"/>
                <w:u w:val="none"/>
              </w:rPr>
              <w:t>2.2.4（1）</w:t>
            </w:r>
            <w:bookmarkEnd w:id="550"/>
            <w:bookmarkEnd w:id="551"/>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552" w:name="_Toc30437"/>
            <w:bookmarkStart w:id="553" w:name="_Toc1120"/>
            <w:r>
              <w:rPr>
                <w:rFonts w:hint="eastAsia" w:ascii="仿宋" w:hAnsi="仿宋" w:eastAsia="仿宋" w:cs="仿宋"/>
                <w:color w:val="000000"/>
                <w:sz w:val="21"/>
                <w:szCs w:val="21"/>
                <w:u w:val="none"/>
              </w:rPr>
              <w:t>项目管理机构评分标准</w:t>
            </w:r>
            <w:bookmarkEnd w:id="552"/>
            <w:bookmarkEnd w:id="553"/>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554" w:name="_Toc4637"/>
            <w:bookmarkStart w:id="555" w:name="_Toc29580"/>
            <w:r>
              <w:rPr>
                <w:rFonts w:hint="eastAsia" w:ascii="仿宋" w:hAnsi="仿宋" w:eastAsia="仿宋" w:cs="仿宋"/>
                <w:color w:val="000000"/>
                <w:sz w:val="21"/>
                <w:szCs w:val="21"/>
                <w:u w:val="none"/>
              </w:rPr>
              <w:t>详见本章附表3-7（1）</w:t>
            </w:r>
            <w:bookmarkEnd w:id="554"/>
            <w:bookmarkEnd w:id="55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354" w:type="dxa"/>
            <w:gridSpan w:val="2"/>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556" w:name="_Toc28452"/>
            <w:bookmarkStart w:id="557" w:name="_Toc3335"/>
            <w:r>
              <w:rPr>
                <w:rFonts w:hint="eastAsia" w:ascii="仿宋" w:hAnsi="仿宋" w:eastAsia="仿宋" w:cs="仿宋"/>
                <w:color w:val="000000"/>
                <w:sz w:val="21"/>
                <w:szCs w:val="21"/>
                <w:u w:val="none"/>
              </w:rPr>
              <w:t>2.2.4（2）</w:t>
            </w:r>
            <w:bookmarkEnd w:id="556"/>
            <w:bookmarkEnd w:id="557"/>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558" w:name="_Toc20954"/>
            <w:bookmarkStart w:id="559" w:name="_Toc1063"/>
            <w:r>
              <w:rPr>
                <w:rFonts w:hint="eastAsia" w:ascii="仿宋" w:hAnsi="仿宋" w:eastAsia="仿宋" w:cs="仿宋"/>
                <w:color w:val="000000"/>
                <w:sz w:val="21"/>
                <w:szCs w:val="21"/>
                <w:u w:val="none"/>
              </w:rPr>
              <w:t>信誉等其他评分标准</w:t>
            </w:r>
            <w:bookmarkEnd w:id="558"/>
            <w:bookmarkEnd w:id="559"/>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560" w:name="_Toc22635"/>
            <w:bookmarkStart w:id="561" w:name="_Toc15581"/>
            <w:r>
              <w:rPr>
                <w:rFonts w:hint="eastAsia" w:ascii="仿宋" w:hAnsi="仿宋" w:eastAsia="仿宋" w:cs="仿宋"/>
                <w:color w:val="000000"/>
                <w:sz w:val="21"/>
                <w:szCs w:val="21"/>
                <w:u w:val="none"/>
              </w:rPr>
              <w:t>详见本章附表3-7（2）</w:t>
            </w:r>
            <w:bookmarkEnd w:id="560"/>
            <w:bookmarkEnd w:id="56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354" w:type="dxa"/>
            <w:gridSpan w:val="2"/>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562" w:name="_Toc24993"/>
            <w:bookmarkStart w:id="563" w:name="_Toc204"/>
            <w:r>
              <w:rPr>
                <w:rFonts w:hint="eastAsia" w:ascii="仿宋" w:hAnsi="仿宋" w:eastAsia="仿宋" w:cs="仿宋"/>
                <w:color w:val="000000"/>
                <w:sz w:val="21"/>
                <w:szCs w:val="21"/>
                <w:u w:val="none"/>
              </w:rPr>
              <w:t>2.2.4（3）</w:t>
            </w:r>
            <w:bookmarkEnd w:id="562"/>
            <w:bookmarkEnd w:id="563"/>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564" w:name="_Toc13353"/>
            <w:bookmarkStart w:id="565" w:name="_Toc20937"/>
            <w:r>
              <w:rPr>
                <w:rFonts w:hint="eastAsia" w:ascii="仿宋" w:hAnsi="仿宋" w:eastAsia="仿宋" w:cs="仿宋"/>
                <w:color w:val="000000"/>
                <w:sz w:val="21"/>
                <w:szCs w:val="21"/>
                <w:u w:val="none"/>
              </w:rPr>
              <w:t>投标报价评分标准</w:t>
            </w:r>
            <w:bookmarkEnd w:id="564"/>
            <w:bookmarkEnd w:id="565"/>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566" w:name="_Toc17764"/>
            <w:bookmarkStart w:id="567" w:name="_Toc12679"/>
            <w:r>
              <w:rPr>
                <w:rFonts w:hint="eastAsia" w:ascii="仿宋" w:hAnsi="仿宋" w:eastAsia="仿宋" w:cs="仿宋"/>
                <w:color w:val="000000"/>
                <w:sz w:val="21"/>
                <w:szCs w:val="21"/>
                <w:u w:val="none"/>
              </w:rPr>
              <w:t>详见本章附表3-7（3）</w:t>
            </w:r>
            <w:bookmarkEnd w:id="566"/>
            <w:bookmarkEnd w:id="56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3" w:hRule="atLeast"/>
          <w:jc w:val="center"/>
        </w:trPr>
        <w:tc>
          <w:tcPr>
            <w:tcW w:w="2354" w:type="dxa"/>
            <w:gridSpan w:val="2"/>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568" w:name="_Toc23614"/>
            <w:bookmarkStart w:id="569" w:name="_Toc16401"/>
            <w:r>
              <w:rPr>
                <w:rFonts w:hint="eastAsia" w:ascii="仿宋" w:hAnsi="仿宋" w:eastAsia="仿宋" w:cs="仿宋"/>
                <w:color w:val="000000"/>
                <w:sz w:val="21"/>
                <w:szCs w:val="21"/>
                <w:u w:val="none"/>
              </w:rPr>
              <w:t>2.2.4（4）</w:t>
            </w:r>
            <w:bookmarkEnd w:id="568"/>
            <w:bookmarkEnd w:id="569"/>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570" w:name="_Toc29695"/>
            <w:bookmarkStart w:id="571" w:name="_Toc11922"/>
            <w:r>
              <w:rPr>
                <w:rFonts w:hint="eastAsia" w:ascii="仿宋" w:hAnsi="仿宋" w:eastAsia="仿宋" w:cs="仿宋"/>
                <w:color w:val="000000"/>
                <w:sz w:val="21"/>
                <w:szCs w:val="21"/>
                <w:u w:val="none"/>
              </w:rPr>
              <w:t>不良行为记录扣分</w:t>
            </w:r>
            <w:bookmarkEnd w:id="570"/>
            <w:bookmarkEnd w:id="571"/>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572" w:name="_Toc20312"/>
            <w:bookmarkStart w:id="573" w:name="_Toc16133"/>
            <w:r>
              <w:rPr>
                <w:rFonts w:hint="eastAsia" w:ascii="汉仪书宋二S" w:hAnsi="汉仪书宋二S" w:eastAsia="汉仪书宋二S" w:cs="汉仪书宋二S"/>
                <w:color w:val="000000"/>
                <w:sz w:val="21"/>
                <w:szCs w:val="21"/>
                <w:u w:val="none"/>
              </w:rPr>
              <w:t>①</w:t>
            </w:r>
            <w:r>
              <w:rPr>
                <w:rFonts w:hint="eastAsia" w:ascii="仿宋" w:hAnsi="仿宋" w:eastAsia="仿宋" w:cs="仿宋"/>
                <w:color w:val="000000"/>
                <w:sz w:val="21"/>
                <w:szCs w:val="21"/>
                <w:u w:val="none"/>
              </w:rPr>
              <w:t>湖南省农业农村厅、市州级农业农村局正在处罚或在公告期内的不良行为记录，每项扣1分；</w:t>
            </w:r>
            <w:bookmarkEnd w:id="572"/>
            <w:bookmarkEnd w:id="573"/>
            <w:r>
              <w:rPr>
                <w:rFonts w:hint="eastAsia" w:ascii="仿宋" w:hAnsi="仿宋" w:eastAsia="仿宋" w:cs="仿宋"/>
                <w:color w:val="000000"/>
                <w:sz w:val="21"/>
                <w:szCs w:val="21"/>
                <w:u w:val="none"/>
              </w:rPr>
              <w:t>县市区级农业农村部门正在处罚或在公告期内的不良行为记录，每项扣0.25分；</w:t>
            </w:r>
          </w:p>
          <w:p>
            <w:pPr>
              <w:pStyle w:val="124"/>
              <w:spacing w:line="240" w:lineRule="exact"/>
              <w:ind w:firstLine="0" w:firstLineChars="0"/>
              <w:rPr>
                <w:rFonts w:hint="eastAsia" w:ascii="仿宋" w:hAnsi="仿宋" w:eastAsia="仿宋" w:cs="仿宋"/>
                <w:color w:val="000000"/>
                <w:sz w:val="21"/>
                <w:szCs w:val="21"/>
                <w:u w:val="none"/>
              </w:rPr>
            </w:pPr>
            <w:bookmarkStart w:id="574" w:name="_Toc29041"/>
            <w:bookmarkStart w:id="575" w:name="_Toc14385"/>
            <w:r>
              <w:rPr>
                <w:rFonts w:hint="eastAsia" w:ascii="汉仪书宋二S" w:hAnsi="汉仪书宋二S" w:eastAsia="汉仪书宋二S" w:cs="汉仪书宋二S"/>
                <w:color w:val="000000"/>
                <w:sz w:val="21"/>
                <w:szCs w:val="21"/>
                <w:u w:val="none"/>
              </w:rPr>
              <w:t>②</w:t>
            </w:r>
            <w:r>
              <w:rPr>
                <w:rFonts w:hint="eastAsia" w:ascii="仿宋" w:hAnsi="仿宋" w:eastAsia="仿宋" w:cs="仿宋"/>
                <w:color w:val="000000"/>
                <w:sz w:val="21"/>
                <w:szCs w:val="21"/>
                <w:u w:val="none"/>
              </w:rPr>
              <w:t>从事建设工程项目被湖南省相关行政主管部门正在处罚或在公告期内的不良行为记录，每项扣0.25分</w:t>
            </w:r>
            <w:bookmarkEnd w:id="574"/>
            <w:bookmarkEnd w:id="575"/>
            <w:r>
              <w:rPr>
                <w:rFonts w:hint="eastAsia" w:ascii="仿宋" w:hAnsi="仿宋" w:eastAsia="仿宋" w:cs="仿宋"/>
                <w:color w:val="000000"/>
                <w:sz w:val="21"/>
                <w:szCs w:val="21"/>
                <w:u w:val="none"/>
              </w:rPr>
              <w:t>；</w:t>
            </w:r>
          </w:p>
          <w:p>
            <w:pPr>
              <w:pStyle w:val="124"/>
              <w:spacing w:line="240" w:lineRule="exact"/>
              <w:ind w:firstLine="0" w:firstLineChars="0"/>
              <w:rPr>
                <w:rFonts w:hint="eastAsia" w:ascii="仿宋" w:hAnsi="仿宋" w:eastAsia="仿宋" w:cs="仿宋"/>
                <w:color w:val="000000"/>
                <w:sz w:val="21"/>
                <w:szCs w:val="21"/>
                <w:u w:val="none"/>
              </w:rPr>
            </w:pPr>
            <w:bookmarkStart w:id="576" w:name="_Toc2022"/>
            <w:bookmarkStart w:id="577" w:name="_Toc9433"/>
            <w:r>
              <w:rPr>
                <w:rFonts w:hint="eastAsia" w:ascii="汉仪书宋二S" w:hAnsi="汉仪书宋二S" w:eastAsia="汉仪书宋二S" w:cs="汉仪书宋二S"/>
                <w:color w:val="000000"/>
                <w:sz w:val="21"/>
                <w:szCs w:val="21"/>
                <w:u w:val="none"/>
              </w:rPr>
              <w:t>③</w:t>
            </w:r>
            <w:r>
              <w:rPr>
                <w:rFonts w:hint="eastAsia" w:ascii="仿宋" w:hAnsi="仿宋" w:eastAsia="仿宋" w:cs="仿宋"/>
                <w:color w:val="000000"/>
                <w:sz w:val="21"/>
                <w:szCs w:val="21"/>
                <w:u w:val="none"/>
              </w:rPr>
              <w:t>处罚或不良行为记录累计扣分不超过投标人信誉分值</w:t>
            </w:r>
            <w:bookmarkEnd w:id="576"/>
            <w:bookmarkEnd w:id="577"/>
            <w:r>
              <w:rPr>
                <w:rFonts w:hint="eastAsia" w:ascii="仿宋" w:hAnsi="仿宋" w:eastAsia="仿宋" w:cs="仿宋"/>
                <w:color w:val="000000"/>
                <w:sz w:val="21"/>
                <w:szCs w:val="2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exact"/>
          <w:jc w:val="center"/>
        </w:trPr>
        <w:tc>
          <w:tcPr>
            <w:tcW w:w="2354" w:type="dxa"/>
            <w:gridSpan w:val="2"/>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578" w:name="_Toc3902"/>
            <w:bookmarkStart w:id="579" w:name="_Toc17093"/>
            <w:r>
              <w:rPr>
                <w:rFonts w:hint="eastAsia" w:ascii="仿宋" w:hAnsi="仿宋" w:eastAsia="仿宋" w:cs="仿宋"/>
                <w:color w:val="000000"/>
                <w:sz w:val="21"/>
                <w:szCs w:val="21"/>
                <w:u w:val="none"/>
              </w:rPr>
              <w:t>3.4.1</w:t>
            </w:r>
            <w:bookmarkEnd w:id="578"/>
            <w:bookmarkEnd w:id="579"/>
            <w:r>
              <w:rPr>
                <w:rFonts w:hint="eastAsia" w:ascii="仿宋" w:hAnsi="仿宋" w:eastAsia="仿宋" w:cs="仿宋"/>
                <w:color w:val="000000"/>
                <w:sz w:val="21"/>
                <w:szCs w:val="21"/>
                <w:u w:val="none"/>
              </w:rPr>
              <w:t xml:space="preserve"> </w:t>
            </w:r>
          </w:p>
        </w:tc>
        <w:tc>
          <w:tcPr>
            <w:tcW w:w="2322"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580" w:name="_Toc3364"/>
            <w:bookmarkStart w:id="581" w:name="_Toc16669"/>
            <w:r>
              <w:rPr>
                <w:rFonts w:hint="eastAsia" w:ascii="仿宋" w:hAnsi="仿宋" w:eastAsia="仿宋" w:cs="仿宋"/>
                <w:color w:val="000000"/>
                <w:sz w:val="21"/>
                <w:szCs w:val="21"/>
                <w:u w:val="none"/>
              </w:rPr>
              <w:t>投标人最终得分的计算方法</w:t>
            </w:r>
            <w:bookmarkEnd w:id="580"/>
            <w:bookmarkEnd w:id="581"/>
          </w:p>
        </w:tc>
        <w:tc>
          <w:tcPr>
            <w:tcW w:w="5090" w:type="dxa"/>
            <w:noWrap w:val="0"/>
            <w:vAlign w:val="center"/>
          </w:tcPr>
          <w:p>
            <w:pPr>
              <w:pStyle w:val="124"/>
              <w:spacing w:line="240" w:lineRule="exact"/>
              <w:ind w:firstLine="0" w:firstLineChars="0"/>
              <w:rPr>
                <w:rFonts w:hint="eastAsia" w:ascii="仿宋" w:hAnsi="仿宋" w:eastAsia="仿宋" w:cs="仿宋"/>
                <w:color w:val="000000"/>
                <w:sz w:val="21"/>
                <w:szCs w:val="21"/>
                <w:u w:val="none"/>
              </w:rPr>
            </w:pPr>
            <w:bookmarkStart w:id="582" w:name="_Toc12704"/>
            <w:bookmarkStart w:id="583" w:name="_Toc31786"/>
            <w:r>
              <w:rPr>
                <w:rFonts w:hint="eastAsia" w:ascii="仿宋" w:hAnsi="仿宋" w:eastAsia="仿宋" w:cs="仿宋"/>
                <w:color w:val="000000"/>
                <w:sz w:val="21"/>
                <w:szCs w:val="21"/>
                <w:u w:val="none"/>
              </w:rPr>
              <w:t>投标人最终得分为项目管理机构、信誉等其他评分因素、投标报价和不良行为扣分项4个方面评价得分之和</w:t>
            </w:r>
            <w:bookmarkEnd w:id="582"/>
            <w:bookmarkEnd w:id="583"/>
            <w:r>
              <w:rPr>
                <w:rFonts w:hint="eastAsia" w:ascii="仿宋" w:hAnsi="仿宋" w:eastAsia="仿宋" w:cs="仿宋"/>
                <w:color w:val="000000"/>
                <w:sz w:val="21"/>
                <w:szCs w:val="21"/>
                <w:u w:val="none"/>
              </w:rPr>
              <w:t>。</w:t>
            </w:r>
          </w:p>
        </w:tc>
      </w:tr>
    </w:tbl>
    <w:p>
      <w:pPr>
        <w:pStyle w:val="124"/>
        <w:ind w:firstLine="0" w:firstLineChars="0"/>
        <w:outlineLvl w:val="9"/>
        <w:rPr>
          <w:rFonts w:hint="eastAsia" w:ascii="仿宋" w:hAnsi="仿宋" w:eastAsia="仿宋" w:cs="仿宋"/>
          <w:color w:val="000000"/>
          <w:sz w:val="21"/>
          <w:szCs w:val="21"/>
          <w:u w:val="none"/>
        </w:rPr>
      </w:pPr>
      <w:bookmarkStart w:id="584" w:name="_Toc8182"/>
      <w:bookmarkStart w:id="585" w:name="_Toc10583"/>
      <w:r>
        <w:rPr>
          <w:rFonts w:hint="eastAsia" w:ascii="仿宋" w:hAnsi="仿宋" w:eastAsia="仿宋" w:cs="仿宋"/>
          <w:color w:val="000000"/>
          <w:sz w:val="21"/>
          <w:szCs w:val="21"/>
          <w:u w:val="none"/>
        </w:rPr>
        <w:t>备注：1.相关专业最低资质等级单位承担的工程，类似工程业绩不作为投标人资格审查条件。</w:t>
      </w:r>
      <w:bookmarkEnd w:id="584"/>
      <w:bookmarkEnd w:id="585"/>
    </w:p>
    <w:p>
      <w:pPr>
        <w:pStyle w:val="124"/>
        <w:ind w:firstLine="630"/>
        <w:outlineLvl w:val="9"/>
        <w:rPr>
          <w:rFonts w:hint="eastAsia" w:ascii="仿宋" w:hAnsi="仿宋" w:eastAsia="仿宋" w:cs="仿宋"/>
          <w:color w:val="000000"/>
          <w:sz w:val="21"/>
          <w:szCs w:val="21"/>
          <w:u w:val="none"/>
        </w:rPr>
      </w:pPr>
      <w:bookmarkStart w:id="586" w:name="_Toc5022"/>
      <w:bookmarkStart w:id="587" w:name="_Toc4137"/>
      <w:r>
        <w:rPr>
          <w:rFonts w:hint="eastAsia" w:ascii="仿宋" w:hAnsi="仿宋" w:eastAsia="仿宋" w:cs="仿宋"/>
          <w:color w:val="000000"/>
          <w:sz w:val="21"/>
          <w:szCs w:val="21"/>
          <w:u w:val="none"/>
        </w:rPr>
        <w:t>2.类似工程业绩见投标人须知前附表第1.4.1项、第10.1款的规定和投标人须知第3.5.3项的要求。</w:t>
      </w:r>
      <w:bookmarkEnd w:id="586"/>
      <w:bookmarkEnd w:id="587"/>
    </w:p>
    <w:p>
      <w:pPr>
        <w:pStyle w:val="124"/>
        <w:ind w:firstLine="630"/>
        <w:outlineLvl w:val="9"/>
        <w:rPr>
          <w:rFonts w:hint="eastAsia" w:ascii="仿宋" w:hAnsi="仿宋" w:eastAsia="仿宋" w:cs="仿宋"/>
          <w:color w:val="000000"/>
          <w:sz w:val="21"/>
          <w:szCs w:val="21"/>
          <w:u w:val="none"/>
        </w:rPr>
      </w:pPr>
      <w:r>
        <w:rPr>
          <w:rFonts w:hint="eastAsia" w:ascii="仿宋" w:hAnsi="仿宋" w:eastAsia="仿宋" w:cs="仿宋"/>
          <w:color w:val="000000"/>
          <w:sz w:val="21"/>
          <w:szCs w:val="21"/>
          <w:u w:val="none"/>
        </w:rPr>
        <w:t>3.不良行为记录：住建部门以“全国建筑市场监管公共服务平台”或“湖南省智慧住建云”发布的《湖南省建筑市场责任主体不良行为记录》为准；水利部门以“水利部水利建设市场监管平台”或“湖南省水利建设市场综合监管系统”公示的不良行为为准；其他不良行为记录以相关行政主管部门文件为准。</w:t>
      </w:r>
    </w:p>
    <w:p>
      <w:pPr>
        <w:pStyle w:val="124"/>
        <w:ind w:firstLine="630"/>
        <w:outlineLvl w:val="2"/>
        <w:rPr>
          <w:rFonts w:hint="eastAsia" w:ascii="仿宋" w:hAnsi="仿宋" w:eastAsia="仿宋" w:cs="仿宋"/>
          <w:color w:val="000000"/>
          <w:sz w:val="24"/>
          <w:szCs w:val="24"/>
          <w:u w:val="none"/>
        </w:rPr>
      </w:pPr>
      <w:r>
        <w:rPr>
          <w:rFonts w:hint="eastAsia" w:ascii="仿宋" w:hAnsi="仿宋" w:eastAsia="仿宋" w:cs="仿宋"/>
          <w:color w:val="000000"/>
          <w:sz w:val="21"/>
          <w:szCs w:val="21"/>
        </w:rPr>
        <w:br w:type="page"/>
      </w:r>
      <w:bookmarkStart w:id="588" w:name="_Toc259698653"/>
      <w:bookmarkStart w:id="589" w:name="_Toc269742745"/>
      <w:bookmarkStart w:id="590" w:name="_Toc23938"/>
      <w:bookmarkStart w:id="591" w:name="_Toc51091863"/>
      <w:bookmarkStart w:id="592" w:name="_Toc7601"/>
      <w:r>
        <w:rPr>
          <w:rFonts w:hint="eastAsia" w:ascii="仿宋" w:hAnsi="仿宋" w:eastAsia="仿宋" w:cs="仿宋"/>
          <w:b/>
          <w:bCs/>
          <w:color w:val="000000"/>
          <w:sz w:val="24"/>
          <w:szCs w:val="24"/>
          <w:u w:val="none"/>
        </w:rPr>
        <w:t>1．评标方法</w:t>
      </w:r>
      <w:bookmarkEnd w:id="588"/>
      <w:bookmarkEnd w:id="589"/>
      <w:bookmarkEnd w:id="590"/>
      <w:bookmarkEnd w:id="591"/>
      <w:bookmarkEnd w:id="592"/>
    </w:p>
    <w:p>
      <w:pPr>
        <w:pStyle w:val="124"/>
        <w:ind w:firstLine="720"/>
        <w:outlineLvl w:val="9"/>
        <w:rPr>
          <w:rFonts w:hint="eastAsia" w:ascii="仿宋" w:hAnsi="仿宋" w:eastAsia="仿宋" w:cs="仿宋"/>
          <w:color w:val="000000"/>
          <w:sz w:val="24"/>
          <w:szCs w:val="24"/>
          <w:u w:val="none"/>
        </w:rPr>
      </w:pPr>
      <w:bookmarkStart w:id="593" w:name="_Toc18829"/>
      <w:bookmarkStart w:id="594" w:name="_Toc11571"/>
      <w:bookmarkStart w:id="595" w:name="_Toc269742746"/>
      <w:bookmarkStart w:id="596" w:name="_Toc259698654"/>
      <w:r>
        <w:rPr>
          <w:rFonts w:hint="eastAsia" w:ascii="仿宋" w:hAnsi="仿宋" w:eastAsia="仿宋" w:cs="仿宋"/>
          <w:color w:val="000000"/>
          <w:sz w:val="24"/>
          <w:szCs w:val="24"/>
          <w:u w:val="none"/>
        </w:rPr>
        <w:t>本次评标采用综合评估法，技术投标文件（施工组织设计，下同）采用暗标评审方式。评标委员会对满足招标文件实质性要求的投标文件，按照本章第2.2款规定的评分标准进行打分，并按得分由高到低顺序推荐中标候选人，或根据招标人授权直接确定中标人，但投标报价低于其成本的除外。综合评分相等时，以投标报价低的优先；投标报价也相等的，由招标人自行确定。</w:t>
      </w:r>
      <w:bookmarkEnd w:id="593"/>
      <w:bookmarkEnd w:id="594"/>
    </w:p>
    <w:p>
      <w:pPr>
        <w:pStyle w:val="124"/>
        <w:ind w:firstLine="723"/>
        <w:outlineLvl w:val="2"/>
        <w:rPr>
          <w:rFonts w:hint="eastAsia" w:ascii="仿宋" w:hAnsi="仿宋" w:eastAsia="仿宋" w:cs="仿宋"/>
          <w:b/>
          <w:bCs/>
          <w:color w:val="000000"/>
          <w:sz w:val="24"/>
          <w:szCs w:val="24"/>
          <w:u w:val="none"/>
        </w:rPr>
      </w:pPr>
      <w:bookmarkStart w:id="597" w:name="_Toc7214"/>
      <w:bookmarkStart w:id="598" w:name="_Toc16213"/>
      <w:bookmarkStart w:id="599" w:name="_Toc51091864"/>
      <w:r>
        <w:rPr>
          <w:rFonts w:hint="eastAsia" w:ascii="仿宋" w:hAnsi="仿宋" w:eastAsia="仿宋" w:cs="仿宋"/>
          <w:b/>
          <w:bCs/>
          <w:color w:val="000000"/>
          <w:sz w:val="24"/>
          <w:szCs w:val="24"/>
          <w:u w:val="none"/>
        </w:rPr>
        <w:t>2．评审标准</w:t>
      </w:r>
      <w:bookmarkEnd w:id="595"/>
      <w:bookmarkEnd w:id="596"/>
      <w:bookmarkEnd w:id="597"/>
      <w:bookmarkEnd w:id="598"/>
      <w:bookmarkEnd w:id="599"/>
    </w:p>
    <w:p>
      <w:pPr>
        <w:pStyle w:val="124"/>
        <w:ind w:firstLine="720"/>
        <w:outlineLvl w:val="3"/>
        <w:rPr>
          <w:rFonts w:hint="eastAsia" w:ascii="仿宋" w:hAnsi="仿宋" w:eastAsia="仿宋" w:cs="仿宋"/>
          <w:color w:val="000000"/>
          <w:sz w:val="24"/>
          <w:szCs w:val="24"/>
          <w:u w:val="none"/>
        </w:rPr>
      </w:pPr>
      <w:bookmarkStart w:id="600" w:name="_Toc259698655"/>
      <w:bookmarkStart w:id="601" w:name="_Toc17064"/>
      <w:bookmarkStart w:id="602" w:name="_Toc269742747"/>
      <w:bookmarkStart w:id="603" w:name="_Toc19891"/>
      <w:r>
        <w:rPr>
          <w:rFonts w:hint="eastAsia" w:ascii="仿宋" w:hAnsi="仿宋" w:eastAsia="仿宋" w:cs="仿宋"/>
          <w:color w:val="000000"/>
          <w:sz w:val="24"/>
          <w:szCs w:val="24"/>
          <w:u w:val="none"/>
        </w:rPr>
        <w:t>2.1初步评审标准</w:t>
      </w:r>
      <w:bookmarkEnd w:id="600"/>
      <w:bookmarkEnd w:id="601"/>
      <w:bookmarkEnd w:id="602"/>
      <w:bookmarkEnd w:id="603"/>
    </w:p>
    <w:p>
      <w:pPr>
        <w:pStyle w:val="124"/>
        <w:ind w:firstLine="720"/>
        <w:outlineLvl w:val="9"/>
        <w:rPr>
          <w:rFonts w:hint="eastAsia" w:ascii="仿宋" w:hAnsi="仿宋" w:eastAsia="仿宋" w:cs="仿宋"/>
          <w:color w:val="000000"/>
          <w:sz w:val="24"/>
          <w:szCs w:val="24"/>
          <w:u w:val="none"/>
        </w:rPr>
      </w:pPr>
      <w:bookmarkStart w:id="604" w:name="_Toc20781"/>
      <w:bookmarkStart w:id="605" w:name="_Toc15144"/>
      <w:r>
        <w:rPr>
          <w:rFonts w:hint="eastAsia" w:ascii="仿宋" w:hAnsi="仿宋" w:eastAsia="仿宋" w:cs="仿宋"/>
          <w:color w:val="000000"/>
          <w:sz w:val="24"/>
          <w:szCs w:val="24"/>
          <w:u w:val="none"/>
        </w:rPr>
        <w:t>2.1.1  形式评审标准：</w:t>
      </w:r>
      <w:bookmarkEnd w:id="604"/>
      <w:bookmarkEnd w:id="605"/>
    </w:p>
    <w:p>
      <w:pPr>
        <w:pStyle w:val="124"/>
        <w:ind w:firstLine="720"/>
        <w:outlineLvl w:val="9"/>
        <w:rPr>
          <w:rFonts w:hint="eastAsia" w:ascii="仿宋" w:hAnsi="仿宋" w:eastAsia="仿宋" w:cs="仿宋"/>
          <w:color w:val="000000"/>
          <w:sz w:val="24"/>
          <w:szCs w:val="24"/>
          <w:u w:val="none"/>
        </w:rPr>
      </w:pPr>
      <w:bookmarkStart w:id="606" w:name="_Toc12816"/>
      <w:bookmarkStart w:id="607" w:name="_Toc19249"/>
      <w:r>
        <w:rPr>
          <w:rFonts w:hint="eastAsia" w:ascii="仿宋" w:hAnsi="仿宋" w:eastAsia="仿宋" w:cs="仿宋"/>
          <w:color w:val="000000"/>
          <w:sz w:val="24"/>
          <w:szCs w:val="24"/>
          <w:u w:val="none"/>
        </w:rPr>
        <w:t>（1）投标人名称应与营业执照、资质证书、安全生产许可证一致；</w:t>
      </w:r>
      <w:bookmarkEnd w:id="606"/>
      <w:bookmarkEnd w:id="607"/>
    </w:p>
    <w:p>
      <w:pPr>
        <w:pStyle w:val="124"/>
        <w:ind w:firstLine="720"/>
        <w:outlineLvl w:val="9"/>
        <w:rPr>
          <w:rFonts w:hint="eastAsia" w:ascii="仿宋" w:hAnsi="仿宋" w:eastAsia="仿宋" w:cs="仿宋"/>
          <w:color w:val="000000"/>
          <w:sz w:val="24"/>
          <w:szCs w:val="24"/>
          <w:u w:val="none"/>
        </w:rPr>
      </w:pPr>
      <w:bookmarkStart w:id="608" w:name="_Toc10777"/>
      <w:bookmarkStart w:id="609" w:name="_Toc13489"/>
      <w:r>
        <w:rPr>
          <w:rFonts w:hint="eastAsia" w:ascii="仿宋" w:hAnsi="仿宋" w:eastAsia="仿宋" w:cs="仿宋"/>
          <w:color w:val="000000"/>
          <w:sz w:val="24"/>
          <w:szCs w:val="24"/>
          <w:u w:val="none"/>
        </w:rPr>
        <w:t>（2）投标文件的签字盖章符合第二章投标人须知第3.7.3项规定；</w:t>
      </w:r>
      <w:bookmarkEnd w:id="608"/>
      <w:bookmarkEnd w:id="609"/>
    </w:p>
    <w:p>
      <w:pPr>
        <w:pStyle w:val="124"/>
        <w:ind w:firstLine="720"/>
        <w:outlineLvl w:val="9"/>
        <w:rPr>
          <w:rFonts w:hint="eastAsia" w:ascii="仿宋" w:hAnsi="仿宋" w:eastAsia="仿宋" w:cs="仿宋"/>
          <w:color w:val="000000"/>
          <w:sz w:val="24"/>
          <w:szCs w:val="24"/>
          <w:u w:val="none"/>
        </w:rPr>
      </w:pPr>
      <w:bookmarkStart w:id="610" w:name="_Toc18225"/>
      <w:bookmarkStart w:id="611" w:name="_Toc11635"/>
      <w:r>
        <w:rPr>
          <w:rFonts w:hint="eastAsia" w:ascii="仿宋" w:hAnsi="仿宋" w:eastAsia="仿宋" w:cs="仿宋"/>
          <w:color w:val="000000"/>
          <w:sz w:val="24"/>
          <w:szCs w:val="24"/>
          <w:u w:val="none"/>
        </w:rPr>
        <w:t>（3）投标文件完整性符合第八章投标文件格式的要求；</w:t>
      </w:r>
      <w:bookmarkEnd w:id="610"/>
      <w:bookmarkEnd w:id="611"/>
    </w:p>
    <w:p>
      <w:pPr>
        <w:pStyle w:val="124"/>
        <w:ind w:firstLine="720"/>
        <w:outlineLvl w:val="9"/>
        <w:rPr>
          <w:rFonts w:hint="eastAsia" w:ascii="仿宋" w:hAnsi="仿宋" w:eastAsia="仿宋" w:cs="仿宋"/>
          <w:color w:val="000000"/>
          <w:sz w:val="24"/>
          <w:szCs w:val="24"/>
          <w:u w:val="none"/>
        </w:rPr>
      </w:pPr>
      <w:bookmarkStart w:id="612" w:name="_Toc28259"/>
      <w:bookmarkStart w:id="613" w:name="_Toc3895"/>
      <w:r>
        <w:rPr>
          <w:rFonts w:hint="eastAsia" w:ascii="仿宋" w:hAnsi="仿宋" w:eastAsia="仿宋" w:cs="仿宋"/>
          <w:color w:val="000000"/>
          <w:sz w:val="24"/>
          <w:szCs w:val="24"/>
          <w:u w:val="none"/>
        </w:rPr>
        <w:t>（4）只能有一个报价；</w:t>
      </w:r>
      <w:bookmarkEnd w:id="612"/>
      <w:bookmarkEnd w:id="613"/>
    </w:p>
    <w:p>
      <w:pPr>
        <w:pStyle w:val="124"/>
        <w:ind w:firstLine="720"/>
        <w:outlineLvl w:val="9"/>
        <w:rPr>
          <w:rFonts w:hint="eastAsia" w:ascii="仿宋" w:hAnsi="仿宋" w:eastAsia="仿宋" w:cs="仿宋"/>
          <w:color w:val="000000"/>
          <w:sz w:val="24"/>
          <w:szCs w:val="24"/>
          <w:u w:val="none"/>
        </w:rPr>
      </w:pPr>
      <w:bookmarkStart w:id="614" w:name="_Toc3207"/>
      <w:bookmarkStart w:id="615" w:name="_Toc2316"/>
      <w:r>
        <w:rPr>
          <w:rFonts w:hint="eastAsia" w:ascii="仿宋" w:hAnsi="仿宋" w:eastAsia="仿宋" w:cs="仿宋"/>
          <w:color w:val="000000"/>
          <w:sz w:val="24"/>
          <w:szCs w:val="24"/>
          <w:u w:val="none"/>
        </w:rPr>
        <w:t>（5）联合体投标人应提交联合体协议书，并明确联合体牵头人；</w:t>
      </w:r>
      <w:bookmarkEnd w:id="614"/>
      <w:bookmarkEnd w:id="615"/>
    </w:p>
    <w:p>
      <w:pPr>
        <w:pStyle w:val="124"/>
        <w:ind w:firstLine="720"/>
        <w:outlineLvl w:val="9"/>
        <w:rPr>
          <w:rFonts w:hint="eastAsia" w:ascii="仿宋" w:hAnsi="仿宋" w:eastAsia="仿宋" w:cs="仿宋"/>
          <w:color w:val="000000"/>
          <w:sz w:val="24"/>
          <w:szCs w:val="24"/>
          <w:u w:val="none"/>
        </w:rPr>
      </w:pPr>
      <w:bookmarkStart w:id="616" w:name="_Toc22686"/>
      <w:bookmarkStart w:id="617" w:name="_Toc9558"/>
      <w:r>
        <w:rPr>
          <w:rFonts w:hint="eastAsia" w:ascii="仿宋" w:hAnsi="仿宋" w:eastAsia="仿宋" w:cs="仿宋"/>
          <w:color w:val="000000"/>
          <w:sz w:val="24"/>
          <w:szCs w:val="24"/>
          <w:u w:val="none"/>
        </w:rPr>
        <w:t>（6）技术投标文件暗标的制作要求符合第二章投标人须知第3.7.5项规定；</w:t>
      </w:r>
      <w:bookmarkEnd w:id="616"/>
      <w:bookmarkEnd w:id="617"/>
    </w:p>
    <w:p>
      <w:pPr>
        <w:pStyle w:val="124"/>
        <w:ind w:firstLine="720"/>
        <w:outlineLvl w:val="9"/>
        <w:rPr>
          <w:rFonts w:hint="eastAsia" w:ascii="仿宋" w:hAnsi="仿宋" w:eastAsia="仿宋" w:cs="仿宋"/>
          <w:color w:val="000000"/>
          <w:sz w:val="24"/>
          <w:szCs w:val="24"/>
          <w:u w:val="none"/>
        </w:rPr>
      </w:pPr>
      <w:bookmarkStart w:id="618" w:name="_Toc7094"/>
      <w:bookmarkStart w:id="619" w:name="_Toc15771"/>
      <w:r>
        <w:rPr>
          <w:rFonts w:hint="eastAsia" w:ascii="仿宋" w:hAnsi="仿宋" w:eastAsia="仿宋" w:cs="仿宋"/>
          <w:color w:val="000000"/>
          <w:sz w:val="24"/>
          <w:szCs w:val="24"/>
          <w:u w:val="none"/>
        </w:rPr>
        <w:t>（7）形式评审其它标准见评标办法前附表。</w:t>
      </w:r>
      <w:bookmarkEnd w:id="618"/>
      <w:bookmarkEnd w:id="619"/>
    </w:p>
    <w:p>
      <w:pPr>
        <w:pStyle w:val="124"/>
        <w:ind w:firstLine="720"/>
        <w:outlineLvl w:val="9"/>
        <w:rPr>
          <w:rFonts w:hint="eastAsia" w:ascii="仿宋" w:hAnsi="仿宋" w:eastAsia="仿宋" w:cs="仿宋"/>
          <w:color w:val="000000"/>
          <w:sz w:val="24"/>
          <w:szCs w:val="24"/>
          <w:u w:val="none"/>
        </w:rPr>
      </w:pPr>
      <w:bookmarkStart w:id="620" w:name="_Toc16900"/>
      <w:bookmarkStart w:id="621" w:name="_Toc22413"/>
      <w:r>
        <w:rPr>
          <w:rFonts w:hint="eastAsia" w:ascii="仿宋" w:hAnsi="仿宋" w:eastAsia="仿宋" w:cs="仿宋"/>
          <w:color w:val="000000"/>
          <w:sz w:val="24"/>
          <w:szCs w:val="24"/>
          <w:u w:val="none"/>
        </w:rPr>
        <w:t>2.1.2  资格评审标准：</w:t>
      </w:r>
      <w:bookmarkEnd w:id="620"/>
      <w:bookmarkEnd w:id="621"/>
    </w:p>
    <w:p>
      <w:pPr>
        <w:pStyle w:val="124"/>
        <w:ind w:firstLine="720"/>
        <w:outlineLvl w:val="9"/>
        <w:rPr>
          <w:rFonts w:hint="eastAsia" w:ascii="仿宋" w:hAnsi="仿宋" w:eastAsia="仿宋" w:cs="仿宋"/>
          <w:color w:val="000000"/>
          <w:sz w:val="24"/>
          <w:szCs w:val="24"/>
          <w:u w:val="none"/>
        </w:rPr>
      </w:pPr>
      <w:bookmarkStart w:id="622" w:name="_Toc3911"/>
      <w:bookmarkStart w:id="623" w:name="_Toc8930"/>
      <w:r>
        <w:rPr>
          <w:rFonts w:hint="eastAsia" w:ascii="仿宋" w:hAnsi="仿宋" w:eastAsia="仿宋" w:cs="仿宋"/>
          <w:color w:val="000000"/>
          <w:sz w:val="24"/>
          <w:szCs w:val="24"/>
          <w:u w:val="none"/>
        </w:rPr>
        <w:t>（1）具备有效的营业执照；</w:t>
      </w:r>
      <w:bookmarkEnd w:id="622"/>
      <w:bookmarkEnd w:id="623"/>
    </w:p>
    <w:p>
      <w:pPr>
        <w:pStyle w:val="124"/>
        <w:ind w:firstLine="720"/>
        <w:outlineLvl w:val="9"/>
        <w:rPr>
          <w:rFonts w:hint="eastAsia" w:ascii="仿宋" w:hAnsi="仿宋" w:eastAsia="仿宋" w:cs="仿宋"/>
          <w:color w:val="000000"/>
          <w:sz w:val="24"/>
          <w:szCs w:val="24"/>
          <w:u w:val="none"/>
        </w:rPr>
      </w:pPr>
      <w:bookmarkStart w:id="624" w:name="_Toc31275"/>
      <w:bookmarkStart w:id="625" w:name="_Toc28946"/>
      <w:r>
        <w:rPr>
          <w:rFonts w:hint="eastAsia" w:ascii="仿宋" w:hAnsi="仿宋" w:eastAsia="仿宋" w:cs="仿宋"/>
          <w:color w:val="000000"/>
          <w:sz w:val="24"/>
          <w:szCs w:val="24"/>
          <w:u w:val="none"/>
        </w:rPr>
        <w:t>（2）具备有效的安全生产许可证；</w:t>
      </w:r>
      <w:bookmarkEnd w:id="624"/>
      <w:bookmarkEnd w:id="625"/>
    </w:p>
    <w:p>
      <w:pPr>
        <w:pStyle w:val="124"/>
        <w:ind w:firstLine="720"/>
        <w:outlineLvl w:val="9"/>
        <w:rPr>
          <w:rFonts w:hint="eastAsia" w:ascii="仿宋" w:hAnsi="仿宋" w:eastAsia="仿宋" w:cs="仿宋"/>
          <w:color w:val="000000"/>
          <w:sz w:val="24"/>
          <w:szCs w:val="24"/>
          <w:u w:val="none"/>
        </w:rPr>
      </w:pPr>
      <w:bookmarkStart w:id="626" w:name="_Toc17127"/>
      <w:bookmarkStart w:id="627" w:name="_Toc18404"/>
      <w:r>
        <w:rPr>
          <w:rFonts w:hint="eastAsia" w:ascii="仿宋" w:hAnsi="仿宋" w:eastAsia="仿宋" w:cs="仿宋"/>
          <w:color w:val="000000"/>
          <w:sz w:val="24"/>
          <w:szCs w:val="24"/>
          <w:u w:val="none"/>
        </w:rPr>
        <w:t>（3）具备有效的资质证书且资质等级符合第二章投标人须知第1.4.1项规定；</w:t>
      </w:r>
      <w:bookmarkEnd w:id="626"/>
      <w:bookmarkEnd w:id="627"/>
    </w:p>
    <w:p>
      <w:pPr>
        <w:pStyle w:val="124"/>
        <w:ind w:firstLine="720"/>
        <w:outlineLvl w:val="9"/>
        <w:rPr>
          <w:rFonts w:hint="eastAsia" w:ascii="仿宋" w:hAnsi="仿宋" w:eastAsia="仿宋" w:cs="仿宋"/>
          <w:color w:val="000000"/>
          <w:sz w:val="24"/>
          <w:szCs w:val="24"/>
          <w:u w:val="none"/>
        </w:rPr>
      </w:pPr>
      <w:bookmarkStart w:id="628" w:name="_Toc29034"/>
      <w:bookmarkStart w:id="629" w:name="_Toc24639"/>
      <w:r>
        <w:rPr>
          <w:rFonts w:hint="eastAsia" w:ascii="仿宋" w:hAnsi="仿宋" w:eastAsia="仿宋" w:cs="仿宋"/>
          <w:color w:val="000000"/>
          <w:sz w:val="24"/>
          <w:szCs w:val="24"/>
          <w:u w:val="none"/>
        </w:rPr>
        <w:t>（4）业绩符合第二章投标人须知第1.4.1项规定；</w:t>
      </w:r>
      <w:bookmarkEnd w:id="628"/>
      <w:bookmarkEnd w:id="629"/>
    </w:p>
    <w:p>
      <w:pPr>
        <w:pStyle w:val="124"/>
        <w:ind w:firstLine="720"/>
        <w:outlineLvl w:val="9"/>
        <w:rPr>
          <w:rFonts w:hint="eastAsia" w:ascii="仿宋" w:hAnsi="仿宋" w:eastAsia="仿宋" w:cs="仿宋"/>
          <w:color w:val="000000"/>
          <w:sz w:val="24"/>
          <w:szCs w:val="24"/>
          <w:u w:val="none"/>
        </w:rPr>
      </w:pPr>
      <w:bookmarkStart w:id="630" w:name="_Toc19596"/>
      <w:bookmarkStart w:id="631" w:name="_Toc11849"/>
      <w:r>
        <w:rPr>
          <w:rFonts w:hint="eastAsia" w:ascii="仿宋" w:hAnsi="仿宋" w:eastAsia="仿宋" w:cs="仿宋"/>
          <w:color w:val="000000"/>
          <w:sz w:val="24"/>
          <w:szCs w:val="24"/>
          <w:u w:val="none"/>
        </w:rPr>
        <w:t>（5）信誉符合第二章投标人须知第1.4.1项规定；</w:t>
      </w:r>
      <w:bookmarkEnd w:id="630"/>
      <w:bookmarkEnd w:id="631"/>
    </w:p>
    <w:p>
      <w:pPr>
        <w:pStyle w:val="124"/>
        <w:ind w:firstLine="720"/>
        <w:outlineLvl w:val="9"/>
        <w:rPr>
          <w:rFonts w:hint="eastAsia" w:ascii="仿宋" w:hAnsi="仿宋" w:eastAsia="仿宋" w:cs="仿宋"/>
          <w:color w:val="000000"/>
          <w:sz w:val="24"/>
          <w:szCs w:val="24"/>
          <w:u w:val="none"/>
        </w:rPr>
      </w:pPr>
      <w:bookmarkStart w:id="632" w:name="_Toc16674"/>
      <w:bookmarkStart w:id="633" w:name="_Toc31161"/>
      <w:r>
        <w:rPr>
          <w:rFonts w:hint="eastAsia" w:ascii="仿宋" w:hAnsi="仿宋" w:eastAsia="仿宋" w:cs="仿宋"/>
          <w:color w:val="000000"/>
          <w:sz w:val="24"/>
          <w:szCs w:val="24"/>
          <w:u w:val="none"/>
        </w:rPr>
        <w:t>（6）项目负责人资格符合第二章投标人须知第1.4.1项规定；</w:t>
      </w:r>
      <w:bookmarkEnd w:id="632"/>
      <w:bookmarkEnd w:id="633"/>
    </w:p>
    <w:p>
      <w:pPr>
        <w:pStyle w:val="124"/>
        <w:ind w:firstLine="720"/>
        <w:outlineLvl w:val="9"/>
        <w:rPr>
          <w:rFonts w:hint="eastAsia" w:ascii="仿宋" w:hAnsi="仿宋" w:eastAsia="仿宋" w:cs="仿宋"/>
          <w:color w:val="000000"/>
          <w:sz w:val="24"/>
          <w:szCs w:val="24"/>
          <w:u w:val="none"/>
        </w:rPr>
      </w:pPr>
      <w:bookmarkStart w:id="634" w:name="_Toc9575"/>
      <w:bookmarkStart w:id="635" w:name="_Toc1065"/>
      <w:r>
        <w:rPr>
          <w:rFonts w:hint="eastAsia" w:ascii="仿宋" w:hAnsi="仿宋" w:eastAsia="仿宋" w:cs="仿宋"/>
          <w:color w:val="000000"/>
          <w:sz w:val="24"/>
          <w:szCs w:val="24"/>
          <w:u w:val="none"/>
        </w:rPr>
        <w:t>（7）企业负责人具备有效的建设或水行政主管部门颁发的安全生产考核合格证书；</w:t>
      </w:r>
      <w:bookmarkEnd w:id="634"/>
      <w:bookmarkEnd w:id="635"/>
    </w:p>
    <w:p>
      <w:pPr>
        <w:pStyle w:val="124"/>
        <w:ind w:firstLine="720"/>
        <w:outlineLvl w:val="9"/>
        <w:rPr>
          <w:rFonts w:hint="eastAsia" w:ascii="仿宋" w:hAnsi="仿宋" w:eastAsia="仿宋" w:cs="仿宋"/>
          <w:color w:val="000000"/>
          <w:sz w:val="24"/>
          <w:szCs w:val="24"/>
          <w:u w:val="none"/>
        </w:rPr>
      </w:pPr>
      <w:bookmarkStart w:id="636" w:name="_Toc11374"/>
      <w:bookmarkStart w:id="637" w:name="_Toc145"/>
      <w:r>
        <w:rPr>
          <w:rFonts w:hint="eastAsia" w:ascii="仿宋" w:hAnsi="仿宋" w:eastAsia="仿宋" w:cs="仿宋"/>
          <w:color w:val="000000"/>
          <w:sz w:val="24"/>
          <w:szCs w:val="24"/>
          <w:u w:val="none"/>
        </w:rPr>
        <w:t>（8）技术负责人资格符合第二章投标人须知第1.4.1项规定；</w:t>
      </w:r>
      <w:bookmarkEnd w:id="636"/>
      <w:bookmarkEnd w:id="637"/>
    </w:p>
    <w:p>
      <w:pPr>
        <w:pStyle w:val="124"/>
        <w:ind w:firstLine="720"/>
        <w:outlineLvl w:val="9"/>
        <w:rPr>
          <w:rFonts w:hint="eastAsia" w:ascii="仿宋" w:hAnsi="仿宋" w:eastAsia="仿宋" w:cs="仿宋"/>
          <w:color w:val="000000"/>
          <w:sz w:val="24"/>
          <w:szCs w:val="24"/>
          <w:u w:val="none"/>
        </w:rPr>
      </w:pPr>
      <w:bookmarkStart w:id="638" w:name="_Toc21068"/>
      <w:bookmarkStart w:id="639" w:name="_Toc19992"/>
      <w:r>
        <w:rPr>
          <w:rFonts w:hint="eastAsia" w:ascii="仿宋" w:hAnsi="仿宋" w:eastAsia="仿宋" w:cs="仿宋"/>
          <w:color w:val="000000"/>
          <w:sz w:val="24"/>
          <w:szCs w:val="24"/>
          <w:u w:val="none"/>
        </w:rPr>
        <w:t>（9）专职安全员资格符合第二章投标人须知第1.4.1项规定；</w:t>
      </w:r>
      <w:bookmarkEnd w:id="638"/>
      <w:bookmarkEnd w:id="639"/>
    </w:p>
    <w:p>
      <w:pPr>
        <w:pStyle w:val="124"/>
        <w:ind w:firstLine="720"/>
        <w:outlineLvl w:val="9"/>
        <w:rPr>
          <w:rFonts w:hint="eastAsia" w:ascii="仿宋" w:hAnsi="仿宋" w:eastAsia="仿宋" w:cs="仿宋"/>
          <w:color w:val="000000"/>
          <w:sz w:val="24"/>
          <w:szCs w:val="24"/>
          <w:u w:val="none"/>
        </w:rPr>
      </w:pPr>
      <w:bookmarkStart w:id="640" w:name="_Toc1549"/>
      <w:bookmarkStart w:id="641" w:name="_Toc499"/>
      <w:r>
        <w:rPr>
          <w:rFonts w:hint="eastAsia" w:ascii="仿宋" w:hAnsi="仿宋" w:eastAsia="仿宋" w:cs="仿宋"/>
          <w:color w:val="000000"/>
          <w:sz w:val="24"/>
          <w:szCs w:val="24"/>
          <w:u w:val="none"/>
        </w:rPr>
        <w:t>（10）其它要求符合第二章投标人须知第1.4.1项规定；</w:t>
      </w:r>
      <w:bookmarkEnd w:id="640"/>
      <w:bookmarkEnd w:id="641"/>
    </w:p>
    <w:p>
      <w:pPr>
        <w:pStyle w:val="124"/>
        <w:ind w:firstLine="720"/>
        <w:outlineLvl w:val="9"/>
        <w:rPr>
          <w:rFonts w:hint="eastAsia" w:ascii="仿宋" w:hAnsi="仿宋" w:eastAsia="仿宋" w:cs="仿宋"/>
          <w:color w:val="000000"/>
          <w:sz w:val="24"/>
          <w:szCs w:val="24"/>
          <w:u w:val="none"/>
        </w:rPr>
      </w:pPr>
      <w:bookmarkStart w:id="642" w:name="_Toc962"/>
      <w:bookmarkStart w:id="643" w:name="_Toc22374"/>
      <w:r>
        <w:rPr>
          <w:rFonts w:hint="eastAsia" w:ascii="仿宋" w:hAnsi="仿宋" w:eastAsia="仿宋" w:cs="仿宋"/>
          <w:color w:val="000000"/>
          <w:sz w:val="24"/>
          <w:szCs w:val="24"/>
          <w:u w:val="none"/>
        </w:rPr>
        <w:t>（11）联合体投标人符合第二章投标人须知第1.4.2项规定；</w:t>
      </w:r>
      <w:bookmarkEnd w:id="642"/>
      <w:bookmarkEnd w:id="643"/>
    </w:p>
    <w:p>
      <w:pPr>
        <w:pStyle w:val="124"/>
        <w:ind w:firstLine="720"/>
        <w:outlineLvl w:val="9"/>
        <w:rPr>
          <w:rFonts w:hint="eastAsia" w:ascii="仿宋" w:hAnsi="仿宋" w:eastAsia="仿宋" w:cs="仿宋"/>
          <w:color w:val="000000"/>
          <w:sz w:val="24"/>
          <w:szCs w:val="24"/>
          <w:u w:val="none"/>
        </w:rPr>
      </w:pPr>
      <w:bookmarkStart w:id="644" w:name="_Toc28933"/>
      <w:bookmarkStart w:id="645" w:name="_Toc25753"/>
      <w:r>
        <w:rPr>
          <w:rFonts w:hint="eastAsia" w:ascii="仿宋" w:hAnsi="仿宋" w:eastAsia="仿宋" w:cs="仿宋"/>
          <w:color w:val="000000"/>
          <w:sz w:val="24"/>
          <w:szCs w:val="24"/>
          <w:u w:val="none"/>
        </w:rPr>
        <w:t>（12）其它标准不存在第二章投标人须知第1.4.3 项规定的任何一种情形；</w:t>
      </w:r>
      <w:bookmarkEnd w:id="644"/>
      <w:bookmarkEnd w:id="645"/>
    </w:p>
    <w:p>
      <w:pPr>
        <w:pStyle w:val="124"/>
        <w:ind w:firstLine="720"/>
        <w:outlineLvl w:val="9"/>
        <w:rPr>
          <w:rFonts w:hint="eastAsia" w:ascii="仿宋" w:hAnsi="仿宋" w:eastAsia="仿宋" w:cs="仿宋"/>
          <w:color w:val="000000"/>
          <w:sz w:val="24"/>
          <w:szCs w:val="24"/>
          <w:u w:val="none"/>
        </w:rPr>
      </w:pPr>
      <w:bookmarkStart w:id="646" w:name="_Toc16561"/>
      <w:bookmarkStart w:id="647" w:name="_Toc5149"/>
      <w:r>
        <w:rPr>
          <w:rFonts w:hint="eastAsia" w:ascii="仿宋" w:hAnsi="仿宋" w:eastAsia="仿宋" w:cs="仿宋"/>
          <w:color w:val="000000"/>
          <w:sz w:val="24"/>
          <w:szCs w:val="24"/>
          <w:u w:val="none"/>
        </w:rPr>
        <w:t>（13）资格评审其它标准见评标办法前附表。</w:t>
      </w:r>
      <w:bookmarkEnd w:id="646"/>
      <w:bookmarkEnd w:id="647"/>
    </w:p>
    <w:p>
      <w:pPr>
        <w:pStyle w:val="124"/>
        <w:ind w:firstLine="720"/>
        <w:outlineLvl w:val="9"/>
        <w:rPr>
          <w:rFonts w:hint="eastAsia" w:ascii="仿宋" w:hAnsi="仿宋" w:eastAsia="仿宋" w:cs="仿宋"/>
          <w:color w:val="000000"/>
          <w:sz w:val="24"/>
          <w:szCs w:val="24"/>
          <w:u w:val="none"/>
        </w:rPr>
      </w:pPr>
      <w:bookmarkStart w:id="648" w:name="_Toc31940"/>
      <w:bookmarkStart w:id="649" w:name="_Toc12195"/>
      <w:r>
        <w:rPr>
          <w:rFonts w:hint="eastAsia" w:ascii="仿宋" w:hAnsi="仿宋" w:eastAsia="仿宋" w:cs="仿宋"/>
          <w:color w:val="000000"/>
          <w:sz w:val="24"/>
          <w:szCs w:val="24"/>
          <w:u w:val="none"/>
        </w:rPr>
        <w:t>2.1.3  响应性评审标准：</w:t>
      </w:r>
      <w:bookmarkEnd w:id="648"/>
      <w:bookmarkEnd w:id="649"/>
    </w:p>
    <w:p>
      <w:pPr>
        <w:pStyle w:val="124"/>
        <w:ind w:firstLine="720"/>
        <w:outlineLvl w:val="9"/>
        <w:rPr>
          <w:rFonts w:hint="eastAsia" w:ascii="仿宋" w:hAnsi="仿宋" w:eastAsia="仿宋" w:cs="仿宋"/>
          <w:color w:val="000000"/>
          <w:sz w:val="24"/>
          <w:szCs w:val="24"/>
          <w:u w:val="none"/>
        </w:rPr>
      </w:pPr>
      <w:bookmarkStart w:id="650" w:name="_Toc1335"/>
      <w:bookmarkStart w:id="651" w:name="_Toc15950"/>
      <w:r>
        <w:rPr>
          <w:rFonts w:hint="eastAsia" w:ascii="仿宋" w:hAnsi="仿宋" w:eastAsia="仿宋" w:cs="仿宋"/>
          <w:color w:val="000000"/>
          <w:sz w:val="24"/>
          <w:szCs w:val="24"/>
          <w:u w:val="none"/>
        </w:rPr>
        <w:t>（1）投标范围符合第二章投标人须知第1.3.1项规定；</w:t>
      </w:r>
      <w:bookmarkEnd w:id="650"/>
      <w:bookmarkEnd w:id="651"/>
    </w:p>
    <w:p>
      <w:pPr>
        <w:pStyle w:val="124"/>
        <w:ind w:firstLine="720"/>
        <w:outlineLvl w:val="9"/>
        <w:rPr>
          <w:rFonts w:hint="eastAsia" w:ascii="仿宋" w:hAnsi="仿宋" w:eastAsia="仿宋" w:cs="仿宋"/>
          <w:color w:val="000000"/>
          <w:sz w:val="24"/>
          <w:szCs w:val="24"/>
          <w:u w:val="none"/>
        </w:rPr>
      </w:pPr>
      <w:bookmarkStart w:id="652" w:name="_Toc4167"/>
      <w:bookmarkStart w:id="653" w:name="_Toc15369"/>
      <w:r>
        <w:rPr>
          <w:rFonts w:hint="eastAsia" w:ascii="仿宋" w:hAnsi="仿宋" w:eastAsia="仿宋" w:cs="仿宋"/>
          <w:color w:val="000000"/>
          <w:sz w:val="24"/>
          <w:szCs w:val="24"/>
          <w:u w:val="none"/>
        </w:rPr>
        <w:t>（2）计划工期符合第二章投标人须知第1.3.2项规定；</w:t>
      </w:r>
      <w:bookmarkEnd w:id="652"/>
      <w:bookmarkEnd w:id="653"/>
    </w:p>
    <w:p>
      <w:pPr>
        <w:pStyle w:val="124"/>
        <w:ind w:firstLine="720"/>
        <w:outlineLvl w:val="9"/>
        <w:rPr>
          <w:rFonts w:hint="eastAsia" w:ascii="仿宋" w:hAnsi="仿宋" w:eastAsia="仿宋" w:cs="仿宋"/>
          <w:color w:val="000000"/>
          <w:sz w:val="24"/>
          <w:szCs w:val="24"/>
          <w:u w:val="none"/>
        </w:rPr>
      </w:pPr>
      <w:bookmarkStart w:id="654" w:name="_Toc31581"/>
      <w:bookmarkStart w:id="655" w:name="_Toc21630"/>
      <w:r>
        <w:rPr>
          <w:rFonts w:hint="eastAsia" w:ascii="仿宋" w:hAnsi="仿宋" w:eastAsia="仿宋" w:cs="仿宋"/>
          <w:color w:val="000000"/>
          <w:sz w:val="24"/>
          <w:szCs w:val="24"/>
          <w:u w:val="none"/>
        </w:rPr>
        <w:t>（3）工程质量符合第二章投标人须知第1.3.3项规定；</w:t>
      </w:r>
      <w:bookmarkEnd w:id="654"/>
      <w:bookmarkEnd w:id="655"/>
    </w:p>
    <w:p>
      <w:pPr>
        <w:pStyle w:val="124"/>
        <w:ind w:firstLine="720"/>
        <w:outlineLvl w:val="9"/>
        <w:rPr>
          <w:rFonts w:hint="eastAsia" w:ascii="仿宋" w:hAnsi="仿宋" w:eastAsia="仿宋" w:cs="仿宋"/>
          <w:color w:val="000000"/>
          <w:sz w:val="24"/>
          <w:szCs w:val="24"/>
          <w:u w:val="none"/>
        </w:rPr>
      </w:pPr>
      <w:bookmarkStart w:id="656" w:name="_Toc3090"/>
      <w:bookmarkStart w:id="657" w:name="_Toc17989"/>
      <w:r>
        <w:rPr>
          <w:rFonts w:hint="eastAsia" w:ascii="仿宋" w:hAnsi="仿宋" w:eastAsia="仿宋" w:cs="仿宋"/>
          <w:color w:val="000000"/>
          <w:sz w:val="24"/>
          <w:szCs w:val="24"/>
          <w:u w:val="none"/>
        </w:rPr>
        <w:t>（4）投标有效期符合第二章投标人须知第3.3.1项规定；</w:t>
      </w:r>
      <w:bookmarkEnd w:id="656"/>
      <w:bookmarkEnd w:id="657"/>
    </w:p>
    <w:p>
      <w:pPr>
        <w:pStyle w:val="124"/>
        <w:ind w:firstLine="720"/>
        <w:outlineLvl w:val="9"/>
        <w:rPr>
          <w:rFonts w:hint="eastAsia" w:ascii="仿宋" w:hAnsi="仿宋" w:eastAsia="仿宋" w:cs="仿宋"/>
          <w:color w:val="000000"/>
          <w:sz w:val="24"/>
          <w:szCs w:val="24"/>
          <w:u w:val="none"/>
        </w:rPr>
      </w:pPr>
      <w:bookmarkStart w:id="658" w:name="_Toc29567"/>
      <w:bookmarkStart w:id="659" w:name="_Toc31599"/>
      <w:r>
        <w:rPr>
          <w:rFonts w:hint="eastAsia" w:ascii="仿宋" w:hAnsi="仿宋" w:eastAsia="仿宋" w:cs="仿宋"/>
          <w:color w:val="000000"/>
          <w:sz w:val="24"/>
          <w:szCs w:val="24"/>
          <w:u w:val="none"/>
        </w:rPr>
        <w:t>（5）投标担保符合第二章投标人须知第3.4款规定；</w:t>
      </w:r>
      <w:bookmarkEnd w:id="658"/>
      <w:bookmarkEnd w:id="659"/>
    </w:p>
    <w:p>
      <w:pPr>
        <w:pStyle w:val="124"/>
        <w:ind w:firstLine="720"/>
        <w:outlineLvl w:val="9"/>
        <w:rPr>
          <w:rFonts w:hint="eastAsia" w:ascii="仿宋" w:hAnsi="仿宋" w:eastAsia="仿宋" w:cs="仿宋"/>
          <w:color w:val="000000"/>
          <w:sz w:val="24"/>
          <w:szCs w:val="24"/>
          <w:u w:val="none"/>
        </w:rPr>
      </w:pPr>
      <w:bookmarkStart w:id="660" w:name="_Toc27306"/>
      <w:bookmarkStart w:id="661" w:name="_Toc24630"/>
      <w:r>
        <w:rPr>
          <w:rFonts w:hint="eastAsia" w:ascii="仿宋" w:hAnsi="仿宋" w:eastAsia="仿宋" w:cs="仿宋"/>
          <w:color w:val="000000"/>
          <w:sz w:val="24"/>
          <w:szCs w:val="24"/>
          <w:u w:val="none"/>
        </w:rPr>
        <w:t>（6）权利义务符合第四章合同条款及格式规定的权利义务；</w:t>
      </w:r>
      <w:bookmarkEnd w:id="660"/>
      <w:bookmarkEnd w:id="661"/>
    </w:p>
    <w:p>
      <w:pPr>
        <w:pStyle w:val="124"/>
        <w:ind w:firstLine="720"/>
        <w:outlineLvl w:val="9"/>
        <w:rPr>
          <w:rFonts w:hint="eastAsia" w:ascii="仿宋" w:hAnsi="仿宋" w:eastAsia="仿宋" w:cs="仿宋"/>
          <w:color w:val="000000"/>
          <w:sz w:val="24"/>
          <w:szCs w:val="24"/>
          <w:u w:val="none"/>
        </w:rPr>
      </w:pPr>
      <w:bookmarkStart w:id="662" w:name="_Toc20112"/>
      <w:bookmarkStart w:id="663" w:name="_Toc31163"/>
      <w:r>
        <w:rPr>
          <w:rFonts w:hint="eastAsia" w:ascii="仿宋" w:hAnsi="仿宋" w:eastAsia="仿宋" w:cs="仿宋"/>
          <w:color w:val="000000"/>
          <w:sz w:val="24"/>
          <w:szCs w:val="24"/>
          <w:u w:val="none"/>
        </w:rPr>
        <w:t>（7）已标价工程量清单符合第五章工程量清单的有关要求；</w:t>
      </w:r>
      <w:bookmarkEnd w:id="662"/>
      <w:bookmarkEnd w:id="663"/>
    </w:p>
    <w:p>
      <w:pPr>
        <w:pStyle w:val="124"/>
        <w:ind w:firstLine="720"/>
        <w:outlineLvl w:val="9"/>
        <w:rPr>
          <w:rFonts w:hint="eastAsia" w:ascii="仿宋" w:hAnsi="仿宋" w:eastAsia="仿宋" w:cs="仿宋"/>
          <w:color w:val="000000"/>
          <w:sz w:val="24"/>
          <w:szCs w:val="24"/>
          <w:u w:val="none"/>
        </w:rPr>
      </w:pPr>
      <w:bookmarkStart w:id="664" w:name="_Toc29780"/>
      <w:bookmarkStart w:id="665" w:name="_Toc13533"/>
      <w:r>
        <w:rPr>
          <w:rFonts w:hint="eastAsia" w:ascii="仿宋" w:hAnsi="仿宋" w:eastAsia="仿宋" w:cs="仿宋"/>
          <w:color w:val="000000"/>
          <w:sz w:val="24"/>
          <w:szCs w:val="24"/>
          <w:u w:val="none"/>
        </w:rPr>
        <w:t>（8）技术标准和要求符合第七章技术标准和要求（合同技术条款）的规定；</w:t>
      </w:r>
      <w:bookmarkEnd w:id="664"/>
      <w:bookmarkEnd w:id="665"/>
    </w:p>
    <w:p>
      <w:pPr>
        <w:pStyle w:val="124"/>
        <w:ind w:firstLine="720"/>
        <w:outlineLvl w:val="9"/>
        <w:rPr>
          <w:rFonts w:hint="eastAsia" w:ascii="仿宋" w:hAnsi="仿宋" w:eastAsia="仿宋" w:cs="仿宋"/>
          <w:color w:val="000000"/>
          <w:sz w:val="24"/>
          <w:szCs w:val="24"/>
          <w:u w:val="none"/>
        </w:rPr>
      </w:pPr>
      <w:bookmarkStart w:id="666" w:name="_Toc16746"/>
      <w:bookmarkStart w:id="667" w:name="_Toc4862"/>
      <w:r>
        <w:rPr>
          <w:rFonts w:hint="eastAsia" w:ascii="仿宋" w:hAnsi="仿宋" w:eastAsia="仿宋" w:cs="仿宋"/>
          <w:color w:val="000000"/>
          <w:sz w:val="24"/>
          <w:szCs w:val="24"/>
          <w:u w:val="none"/>
        </w:rPr>
        <w:t>（9）对投标人的纪律要求符合第二章“投标人须知”第9.2款规定；</w:t>
      </w:r>
      <w:bookmarkEnd w:id="666"/>
      <w:bookmarkEnd w:id="667"/>
    </w:p>
    <w:p>
      <w:pPr>
        <w:pStyle w:val="124"/>
        <w:ind w:firstLine="720"/>
        <w:outlineLvl w:val="9"/>
        <w:rPr>
          <w:rFonts w:hint="eastAsia" w:ascii="仿宋" w:hAnsi="仿宋" w:eastAsia="仿宋" w:cs="仿宋"/>
          <w:color w:val="000000"/>
          <w:sz w:val="24"/>
          <w:szCs w:val="24"/>
          <w:u w:val="none"/>
        </w:rPr>
      </w:pPr>
      <w:bookmarkStart w:id="668" w:name="_Toc8138"/>
      <w:bookmarkStart w:id="669" w:name="_Toc15639"/>
      <w:r>
        <w:rPr>
          <w:rFonts w:hint="eastAsia" w:ascii="仿宋" w:hAnsi="仿宋" w:eastAsia="仿宋" w:cs="仿宋"/>
          <w:color w:val="000000"/>
          <w:sz w:val="24"/>
          <w:szCs w:val="24"/>
          <w:u w:val="none"/>
        </w:rPr>
        <w:t>（10）工程结算款支付账户符合第二章投标人须知第10.3款规定；</w:t>
      </w:r>
      <w:bookmarkEnd w:id="668"/>
      <w:bookmarkEnd w:id="669"/>
    </w:p>
    <w:p>
      <w:pPr>
        <w:pStyle w:val="124"/>
        <w:ind w:firstLine="720"/>
        <w:outlineLvl w:val="9"/>
        <w:rPr>
          <w:rFonts w:hint="eastAsia" w:ascii="仿宋" w:hAnsi="仿宋" w:eastAsia="仿宋" w:cs="仿宋"/>
          <w:color w:val="000000"/>
          <w:sz w:val="24"/>
          <w:szCs w:val="24"/>
          <w:u w:val="none"/>
        </w:rPr>
      </w:pPr>
      <w:bookmarkStart w:id="670" w:name="_Toc1798"/>
      <w:bookmarkStart w:id="671" w:name="_Toc17016"/>
      <w:r>
        <w:rPr>
          <w:rFonts w:hint="eastAsia" w:ascii="仿宋" w:hAnsi="仿宋" w:eastAsia="仿宋" w:cs="仿宋"/>
          <w:color w:val="000000"/>
          <w:sz w:val="24"/>
          <w:szCs w:val="24"/>
          <w:u w:val="none"/>
        </w:rPr>
        <w:t>（11）最高投标限价符合第二章投标人须知第10.5款规定；</w:t>
      </w:r>
      <w:bookmarkEnd w:id="670"/>
      <w:bookmarkEnd w:id="671"/>
    </w:p>
    <w:p>
      <w:pPr>
        <w:pStyle w:val="124"/>
        <w:ind w:firstLine="720"/>
        <w:outlineLvl w:val="9"/>
        <w:rPr>
          <w:rFonts w:hint="eastAsia" w:ascii="仿宋" w:hAnsi="仿宋" w:eastAsia="仿宋" w:cs="仿宋"/>
          <w:color w:val="000000"/>
          <w:sz w:val="24"/>
          <w:szCs w:val="24"/>
          <w:u w:val="none"/>
        </w:rPr>
      </w:pPr>
      <w:bookmarkStart w:id="672" w:name="_Toc13545"/>
      <w:bookmarkStart w:id="673" w:name="_Toc20360"/>
      <w:r>
        <w:rPr>
          <w:rFonts w:hint="eastAsia" w:ascii="仿宋" w:hAnsi="仿宋" w:eastAsia="仿宋" w:cs="仿宋"/>
          <w:color w:val="000000"/>
          <w:sz w:val="24"/>
          <w:szCs w:val="24"/>
          <w:u w:val="none"/>
        </w:rPr>
        <w:t>（12）响应性评审其它标准见评标办法前附表。</w:t>
      </w:r>
      <w:bookmarkEnd w:id="672"/>
      <w:bookmarkEnd w:id="673"/>
    </w:p>
    <w:p>
      <w:pPr>
        <w:pStyle w:val="124"/>
        <w:ind w:firstLine="720"/>
        <w:outlineLvl w:val="9"/>
        <w:rPr>
          <w:rFonts w:hint="eastAsia" w:ascii="仿宋" w:hAnsi="仿宋" w:eastAsia="仿宋" w:cs="仿宋"/>
          <w:color w:val="000000"/>
          <w:sz w:val="24"/>
          <w:szCs w:val="24"/>
          <w:u w:val="none"/>
        </w:rPr>
      </w:pPr>
      <w:bookmarkStart w:id="674" w:name="_Toc27926"/>
      <w:bookmarkStart w:id="675" w:name="_Toc11140"/>
      <w:r>
        <w:rPr>
          <w:rFonts w:hint="eastAsia" w:ascii="仿宋" w:hAnsi="仿宋" w:eastAsia="仿宋" w:cs="仿宋"/>
          <w:color w:val="000000"/>
          <w:sz w:val="24"/>
          <w:szCs w:val="24"/>
          <w:u w:val="none"/>
        </w:rPr>
        <w:t>2.1.4  技术投标文件评审标准：见评标办法前附表2.1.4。</w:t>
      </w:r>
      <w:bookmarkEnd w:id="674"/>
      <w:bookmarkEnd w:id="675"/>
    </w:p>
    <w:p>
      <w:pPr>
        <w:pStyle w:val="124"/>
        <w:ind w:firstLine="720"/>
        <w:outlineLvl w:val="3"/>
        <w:rPr>
          <w:rFonts w:hint="eastAsia" w:ascii="仿宋" w:hAnsi="仿宋" w:eastAsia="仿宋" w:cs="仿宋"/>
          <w:color w:val="000000"/>
          <w:sz w:val="24"/>
          <w:szCs w:val="24"/>
          <w:u w:val="none"/>
        </w:rPr>
      </w:pPr>
      <w:bookmarkStart w:id="676" w:name="_Toc15801"/>
      <w:bookmarkStart w:id="677" w:name="_Toc31043"/>
      <w:r>
        <w:rPr>
          <w:rFonts w:hint="eastAsia" w:ascii="仿宋" w:hAnsi="仿宋" w:eastAsia="仿宋" w:cs="仿宋"/>
          <w:color w:val="000000"/>
          <w:sz w:val="24"/>
          <w:szCs w:val="24"/>
          <w:u w:val="none"/>
        </w:rPr>
        <w:t>2.2分值构成与评分标准</w:t>
      </w:r>
      <w:bookmarkEnd w:id="676"/>
      <w:bookmarkEnd w:id="677"/>
    </w:p>
    <w:p>
      <w:pPr>
        <w:pStyle w:val="124"/>
        <w:ind w:firstLine="720"/>
        <w:outlineLvl w:val="9"/>
        <w:rPr>
          <w:rFonts w:hint="eastAsia" w:ascii="仿宋" w:hAnsi="仿宋" w:eastAsia="仿宋" w:cs="仿宋"/>
          <w:color w:val="000000"/>
          <w:sz w:val="24"/>
          <w:szCs w:val="24"/>
          <w:u w:val="none"/>
        </w:rPr>
      </w:pPr>
      <w:bookmarkStart w:id="678" w:name="_Toc141"/>
      <w:bookmarkStart w:id="679" w:name="_Toc19730"/>
      <w:r>
        <w:rPr>
          <w:rFonts w:hint="eastAsia" w:ascii="仿宋" w:hAnsi="仿宋" w:eastAsia="仿宋" w:cs="仿宋"/>
          <w:color w:val="000000"/>
          <w:sz w:val="24"/>
          <w:szCs w:val="24"/>
          <w:u w:val="none"/>
        </w:rPr>
        <w:t>2.2.1  分值构成</w:t>
      </w:r>
      <w:bookmarkEnd w:id="678"/>
      <w:bookmarkEnd w:id="679"/>
    </w:p>
    <w:p>
      <w:pPr>
        <w:pStyle w:val="124"/>
        <w:ind w:firstLine="720"/>
        <w:outlineLvl w:val="9"/>
        <w:rPr>
          <w:rFonts w:hint="eastAsia" w:ascii="仿宋" w:hAnsi="仿宋" w:eastAsia="仿宋" w:cs="仿宋"/>
          <w:color w:val="000000"/>
          <w:sz w:val="24"/>
          <w:szCs w:val="24"/>
          <w:u w:val="none"/>
        </w:rPr>
      </w:pPr>
      <w:bookmarkStart w:id="680" w:name="_Toc25935"/>
      <w:bookmarkStart w:id="681" w:name="_Toc18411"/>
      <w:r>
        <w:rPr>
          <w:rFonts w:hint="eastAsia" w:ascii="仿宋" w:hAnsi="仿宋" w:eastAsia="仿宋" w:cs="仿宋"/>
          <w:color w:val="000000"/>
          <w:sz w:val="24"/>
          <w:szCs w:val="24"/>
          <w:u w:val="none"/>
        </w:rPr>
        <w:t>（1）项目管理机构：见评标办法前附表；</w:t>
      </w:r>
      <w:bookmarkEnd w:id="680"/>
      <w:bookmarkEnd w:id="681"/>
    </w:p>
    <w:p>
      <w:pPr>
        <w:pStyle w:val="124"/>
        <w:ind w:firstLine="720"/>
        <w:outlineLvl w:val="9"/>
        <w:rPr>
          <w:rFonts w:hint="eastAsia" w:ascii="仿宋" w:hAnsi="仿宋" w:eastAsia="仿宋" w:cs="仿宋"/>
          <w:color w:val="000000"/>
          <w:sz w:val="24"/>
          <w:szCs w:val="24"/>
          <w:u w:val="none"/>
        </w:rPr>
      </w:pPr>
      <w:bookmarkStart w:id="682" w:name="_Toc3501"/>
      <w:bookmarkStart w:id="683" w:name="_Toc11148"/>
      <w:r>
        <w:rPr>
          <w:rFonts w:hint="eastAsia" w:ascii="仿宋" w:hAnsi="仿宋" w:eastAsia="仿宋" w:cs="仿宋"/>
          <w:color w:val="000000"/>
          <w:sz w:val="24"/>
          <w:szCs w:val="24"/>
          <w:u w:val="none"/>
        </w:rPr>
        <w:t>（2）信誉等其他评分因素：见评标办法前附表；</w:t>
      </w:r>
      <w:bookmarkEnd w:id="682"/>
      <w:bookmarkEnd w:id="683"/>
    </w:p>
    <w:p>
      <w:pPr>
        <w:pStyle w:val="124"/>
        <w:ind w:firstLine="720"/>
        <w:outlineLvl w:val="9"/>
        <w:rPr>
          <w:rFonts w:hint="eastAsia" w:ascii="仿宋" w:hAnsi="仿宋" w:eastAsia="仿宋" w:cs="仿宋"/>
          <w:color w:val="000000"/>
          <w:sz w:val="24"/>
          <w:szCs w:val="24"/>
          <w:u w:val="none"/>
        </w:rPr>
      </w:pPr>
      <w:bookmarkStart w:id="684" w:name="_Toc18053"/>
      <w:bookmarkStart w:id="685" w:name="_Toc3629"/>
      <w:r>
        <w:rPr>
          <w:rFonts w:hint="eastAsia" w:ascii="仿宋" w:hAnsi="仿宋" w:eastAsia="仿宋" w:cs="仿宋"/>
          <w:color w:val="000000"/>
          <w:sz w:val="24"/>
          <w:szCs w:val="24"/>
          <w:u w:val="none"/>
        </w:rPr>
        <w:t>（3）投标报价：见评标办法前附表；</w:t>
      </w:r>
      <w:bookmarkEnd w:id="684"/>
      <w:bookmarkEnd w:id="685"/>
    </w:p>
    <w:p>
      <w:pPr>
        <w:pStyle w:val="124"/>
        <w:ind w:firstLine="720"/>
        <w:outlineLvl w:val="9"/>
        <w:rPr>
          <w:rFonts w:hint="eastAsia" w:ascii="仿宋" w:hAnsi="仿宋" w:eastAsia="仿宋" w:cs="仿宋"/>
          <w:color w:val="000000"/>
          <w:sz w:val="24"/>
          <w:szCs w:val="24"/>
          <w:u w:val="none"/>
        </w:rPr>
      </w:pPr>
      <w:bookmarkStart w:id="686" w:name="_Toc9365"/>
      <w:bookmarkStart w:id="687" w:name="_Toc24499"/>
      <w:r>
        <w:rPr>
          <w:rFonts w:hint="eastAsia" w:ascii="仿宋" w:hAnsi="仿宋" w:eastAsia="仿宋" w:cs="仿宋"/>
          <w:color w:val="000000"/>
          <w:sz w:val="24"/>
          <w:szCs w:val="24"/>
          <w:u w:val="none"/>
        </w:rPr>
        <w:t>（4）不良行为记录扣分：见评标办法前附表。</w:t>
      </w:r>
      <w:bookmarkEnd w:id="686"/>
      <w:bookmarkEnd w:id="687"/>
    </w:p>
    <w:p>
      <w:pPr>
        <w:pStyle w:val="124"/>
        <w:ind w:firstLine="720"/>
        <w:outlineLvl w:val="9"/>
        <w:rPr>
          <w:rFonts w:hint="eastAsia" w:ascii="仿宋" w:hAnsi="仿宋" w:eastAsia="仿宋" w:cs="仿宋"/>
          <w:color w:val="000000"/>
          <w:sz w:val="24"/>
          <w:szCs w:val="24"/>
          <w:u w:val="none"/>
        </w:rPr>
      </w:pPr>
      <w:bookmarkStart w:id="688" w:name="_Toc29333"/>
      <w:bookmarkStart w:id="689" w:name="_Toc15306"/>
      <w:r>
        <w:rPr>
          <w:rFonts w:hint="eastAsia" w:ascii="仿宋" w:hAnsi="仿宋" w:eastAsia="仿宋" w:cs="仿宋"/>
          <w:color w:val="000000"/>
          <w:sz w:val="24"/>
          <w:szCs w:val="24"/>
          <w:u w:val="none"/>
        </w:rPr>
        <w:t>2.2.2  评标基准价计算</w:t>
      </w:r>
      <w:bookmarkEnd w:id="688"/>
      <w:bookmarkEnd w:id="689"/>
    </w:p>
    <w:p>
      <w:pPr>
        <w:pStyle w:val="124"/>
        <w:ind w:firstLine="720"/>
        <w:outlineLvl w:val="9"/>
        <w:rPr>
          <w:rFonts w:hint="eastAsia" w:ascii="仿宋" w:hAnsi="仿宋" w:eastAsia="仿宋" w:cs="仿宋"/>
          <w:color w:val="000000"/>
          <w:sz w:val="24"/>
          <w:szCs w:val="24"/>
          <w:u w:val="none"/>
        </w:rPr>
      </w:pPr>
      <w:bookmarkStart w:id="690" w:name="_Toc2176"/>
      <w:bookmarkStart w:id="691" w:name="_Toc16493"/>
      <w:r>
        <w:rPr>
          <w:rFonts w:hint="eastAsia" w:ascii="仿宋" w:hAnsi="仿宋" w:eastAsia="仿宋" w:cs="仿宋"/>
          <w:color w:val="000000"/>
          <w:sz w:val="24"/>
          <w:szCs w:val="24"/>
          <w:u w:val="none"/>
        </w:rPr>
        <w:t>采用最高投标限价和所有通过初步评审的合格投标人的有效投标报价的平均数确定评标基准价，评标基准价分两步计算：</w:t>
      </w:r>
      <w:bookmarkEnd w:id="690"/>
      <w:bookmarkEnd w:id="691"/>
    </w:p>
    <w:p>
      <w:pPr>
        <w:pStyle w:val="124"/>
        <w:ind w:firstLine="723"/>
        <w:outlineLvl w:val="9"/>
        <w:rPr>
          <w:rFonts w:hint="eastAsia" w:ascii="仿宋" w:hAnsi="仿宋" w:eastAsia="仿宋" w:cs="仿宋"/>
          <w:b/>
          <w:bCs/>
          <w:color w:val="000000"/>
          <w:sz w:val="24"/>
          <w:szCs w:val="24"/>
          <w:u w:val="none"/>
        </w:rPr>
      </w:pPr>
      <w:bookmarkStart w:id="692" w:name="_Toc27704"/>
      <w:bookmarkStart w:id="693" w:name="_Toc30832"/>
      <w:r>
        <w:rPr>
          <w:rFonts w:hint="eastAsia" w:ascii="仿宋" w:hAnsi="仿宋" w:eastAsia="仿宋" w:cs="仿宋"/>
          <w:b/>
          <w:bCs/>
          <w:color w:val="000000"/>
          <w:sz w:val="24"/>
          <w:szCs w:val="24"/>
          <w:u w:val="none"/>
        </w:rPr>
        <w:t xml:space="preserve">（1）将所有合格投标人的有效投标报价按算术平均的方法计算第一次平均价，若投标人的有效投标报价小于第一次平均价的 </w:t>
      </w:r>
      <w:r>
        <w:rPr>
          <w:rFonts w:hint="eastAsia" w:ascii="仿宋" w:hAnsi="仿宋" w:eastAsia="仿宋" w:cs="仿宋"/>
          <w:b/>
          <w:bCs/>
          <w:color w:val="000000"/>
          <w:sz w:val="24"/>
          <w:szCs w:val="24"/>
        </w:rPr>
        <w:t xml:space="preserve">     </w:t>
      </w:r>
      <w:r>
        <w:rPr>
          <w:rFonts w:hint="eastAsia" w:ascii="仿宋" w:hAnsi="仿宋" w:eastAsia="仿宋" w:cs="仿宋"/>
          <w:b/>
          <w:bCs/>
          <w:color w:val="000000"/>
          <w:sz w:val="24"/>
          <w:szCs w:val="24"/>
          <w:u w:val="none"/>
        </w:rPr>
        <w:t>（取值区间：90%～95%），则该投标人的有效投标报价不进入下一步的评标基准价计算。</w:t>
      </w:r>
      <w:bookmarkEnd w:id="692"/>
      <w:bookmarkEnd w:id="693"/>
    </w:p>
    <w:p>
      <w:pPr>
        <w:pStyle w:val="124"/>
        <w:ind w:firstLine="720"/>
        <w:outlineLvl w:val="9"/>
        <w:rPr>
          <w:rFonts w:hint="eastAsia" w:ascii="仿宋" w:hAnsi="仿宋" w:eastAsia="仿宋" w:cs="仿宋"/>
          <w:color w:val="000000"/>
          <w:sz w:val="24"/>
          <w:szCs w:val="24"/>
          <w:u w:val="none"/>
        </w:rPr>
      </w:pPr>
      <w:bookmarkStart w:id="694" w:name="_Toc23832"/>
      <w:bookmarkStart w:id="695" w:name="_Toc20626"/>
      <w:r>
        <w:rPr>
          <w:rFonts w:hint="eastAsia" w:ascii="仿宋" w:hAnsi="仿宋" w:eastAsia="仿宋" w:cs="仿宋"/>
          <w:color w:val="000000"/>
          <w:sz w:val="24"/>
          <w:szCs w:val="24"/>
          <w:u w:val="none"/>
        </w:rPr>
        <w:t>（2）将余下的合格投标人的有效投标报价再次进行计算，得出经评审的最终评标基准价，基准价计算公式：</w:t>
      </w:r>
      <w:bookmarkEnd w:id="694"/>
      <w:bookmarkEnd w:id="695"/>
    </w:p>
    <w:p>
      <w:pPr>
        <w:rPr>
          <w:rFonts w:hint="eastAsia" w:ascii="仿宋" w:hAnsi="仿宋" w:eastAsia="仿宋" w:cs="仿宋"/>
          <w:color w:val="000000"/>
          <w:sz w:val="24"/>
        </w:rPr>
      </w:pPr>
      <w:r>
        <w:rPr>
          <w:rFonts w:hint="eastAsia" w:ascii="仿宋" w:hAnsi="仿宋" w:eastAsia="仿宋" w:cs="仿宋"/>
          <w:color w:val="000000"/>
          <w:sz w:val="24"/>
        </w:rPr>
        <w:drawing>
          <wp:inline distT="0" distB="0" distL="114300" distR="114300">
            <wp:extent cx="4924425" cy="1390650"/>
            <wp:effectExtent l="0" t="0" r="13335" b="11430"/>
            <wp:docPr id="1" name="图片 1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descr="图片1"/>
                    <pic:cNvPicPr>
                      <a:picLocks noChangeAspect="1"/>
                    </pic:cNvPicPr>
                  </pic:nvPicPr>
                  <pic:blipFill>
                    <a:blip r:embed="rId29"/>
                    <a:stretch>
                      <a:fillRect/>
                    </a:stretch>
                  </pic:blipFill>
                  <pic:spPr>
                    <a:xfrm>
                      <a:off x="0" y="0"/>
                      <a:ext cx="4924425" cy="1390650"/>
                    </a:xfrm>
                    <a:prstGeom prst="rect">
                      <a:avLst/>
                    </a:prstGeom>
                    <a:noFill/>
                    <a:ln>
                      <a:noFill/>
                    </a:ln>
                  </pic:spPr>
                </pic:pic>
              </a:graphicData>
            </a:graphic>
          </wp:inline>
        </w:drawing>
      </w:r>
    </w:p>
    <w:p>
      <w:pPr>
        <w:pStyle w:val="124"/>
        <w:spacing w:line="380" w:lineRule="exact"/>
        <w:ind w:firstLine="720"/>
        <w:outlineLvl w:val="9"/>
        <w:rPr>
          <w:rFonts w:hint="eastAsia" w:ascii="仿宋" w:hAnsi="仿宋" w:eastAsia="仿宋" w:cs="仿宋"/>
          <w:color w:val="000000"/>
          <w:sz w:val="24"/>
          <w:szCs w:val="24"/>
          <w:u w:val="none"/>
        </w:rPr>
      </w:pPr>
      <w:bookmarkStart w:id="696" w:name="_Toc20755"/>
      <w:bookmarkStart w:id="697" w:name="_Toc4566"/>
      <w:r>
        <w:rPr>
          <w:rFonts w:hint="eastAsia" w:ascii="仿宋" w:hAnsi="仿宋" w:eastAsia="仿宋" w:cs="仿宋"/>
          <w:color w:val="000000"/>
          <w:sz w:val="24"/>
          <w:szCs w:val="24"/>
          <w:u w:val="none"/>
        </w:rPr>
        <w:t>式中：</w:t>
      </w:r>
      <w:bookmarkEnd w:id="696"/>
      <w:bookmarkEnd w:id="697"/>
    </w:p>
    <w:p>
      <w:pPr>
        <w:pStyle w:val="124"/>
        <w:spacing w:line="380" w:lineRule="exact"/>
        <w:ind w:firstLine="720"/>
        <w:outlineLvl w:val="9"/>
        <w:rPr>
          <w:rFonts w:hint="eastAsia" w:ascii="仿宋" w:hAnsi="仿宋" w:eastAsia="仿宋" w:cs="仿宋"/>
          <w:color w:val="000000"/>
          <w:sz w:val="24"/>
          <w:szCs w:val="24"/>
          <w:u w:val="none"/>
        </w:rPr>
      </w:pPr>
      <w:bookmarkStart w:id="698" w:name="_Toc4416"/>
      <w:bookmarkStart w:id="699" w:name="_Toc21117"/>
      <w:r>
        <w:rPr>
          <w:rFonts w:hint="eastAsia" w:ascii="仿宋" w:hAnsi="仿宋" w:eastAsia="仿宋" w:cs="仿宋"/>
          <w:color w:val="000000"/>
          <w:sz w:val="24"/>
          <w:szCs w:val="24"/>
          <w:u w:val="none"/>
        </w:rPr>
        <w:t>S—评标基准价；</w:t>
      </w:r>
      <w:bookmarkEnd w:id="698"/>
      <w:bookmarkEnd w:id="699"/>
    </w:p>
    <w:p>
      <w:pPr>
        <w:pStyle w:val="124"/>
        <w:spacing w:line="380" w:lineRule="exact"/>
        <w:ind w:firstLine="720"/>
        <w:outlineLvl w:val="9"/>
        <w:rPr>
          <w:rFonts w:hint="eastAsia" w:ascii="仿宋" w:hAnsi="仿宋" w:eastAsia="仿宋" w:cs="仿宋"/>
          <w:color w:val="000000"/>
          <w:sz w:val="24"/>
          <w:szCs w:val="24"/>
          <w:u w:val="none"/>
        </w:rPr>
      </w:pPr>
      <w:bookmarkStart w:id="700" w:name="_Toc27789"/>
      <w:bookmarkStart w:id="701" w:name="_Toc7904"/>
      <w:r>
        <w:rPr>
          <w:rFonts w:hint="eastAsia" w:ascii="仿宋" w:hAnsi="仿宋" w:eastAsia="仿宋" w:cs="仿宋"/>
          <w:color w:val="000000"/>
          <w:sz w:val="24"/>
          <w:szCs w:val="24"/>
          <w:u w:val="none"/>
        </w:rPr>
        <w:t>T—招标人最高投标限价；</w:t>
      </w:r>
      <w:bookmarkEnd w:id="700"/>
      <w:bookmarkEnd w:id="701"/>
    </w:p>
    <w:p>
      <w:pPr>
        <w:pStyle w:val="124"/>
        <w:spacing w:line="380" w:lineRule="exact"/>
        <w:ind w:firstLine="720"/>
        <w:outlineLvl w:val="9"/>
        <w:rPr>
          <w:rFonts w:hint="eastAsia" w:ascii="仿宋" w:hAnsi="仿宋" w:eastAsia="仿宋" w:cs="仿宋"/>
          <w:color w:val="000000"/>
          <w:sz w:val="24"/>
          <w:szCs w:val="24"/>
          <w:u w:val="none"/>
        </w:rPr>
      </w:pPr>
      <w:bookmarkStart w:id="702" w:name="_Toc31650"/>
      <w:bookmarkStart w:id="703" w:name="_Toc30359"/>
      <w:r>
        <w:rPr>
          <w:rFonts w:hint="eastAsia" w:ascii="仿宋" w:hAnsi="仿宋" w:eastAsia="仿宋" w:cs="仿宋"/>
          <w:color w:val="000000"/>
          <w:sz w:val="24"/>
          <w:szCs w:val="24"/>
          <w:u w:val="none"/>
        </w:rPr>
        <w:t>C1、C2—分别为招标人最高投标限价和合格投标人有效报价平均数的权重系数，（C1，C2）共五组（0.3，0.7）、（0.4，0.6）、（0.5，0.5）、（0.6，0.4）、（0.7，0.3），由招标人在开标现场随机抽取一组；</w:t>
      </w:r>
      <w:bookmarkEnd w:id="702"/>
      <w:bookmarkEnd w:id="703"/>
    </w:p>
    <w:p>
      <w:pPr>
        <w:pStyle w:val="124"/>
        <w:spacing w:line="380" w:lineRule="exact"/>
        <w:ind w:firstLine="720"/>
        <w:outlineLvl w:val="9"/>
        <w:rPr>
          <w:rFonts w:hint="eastAsia" w:ascii="仿宋" w:hAnsi="仿宋" w:eastAsia="仿宋" w:cs="仿宋"/>
          <w:color w:val="000000"/>
          <w:sz w:val="24"/>
          <w:szCs w:val="24"/>
          <w:u w:val="none"/>
        </w:rPr>
      </w:pPr>
      <w:bookmarkStart w:id="704" w:name="_Toc6343"/>
      <w:bookmarkStart w:id="705" w:name="_Toc30296"/>
      <w:r>
        <w:rPr>
          <w:rFonts w:hint="eastAsia" w:ascii="仿宋" w:hAnsi="仿宋" w:eastAsia="仿宋" w:cs="仿宋"/>
          <w:color w:val="000000"/>
          <w:sz w:val="24"/>
          <w:szCs w:val="24"/>
          <w:u w:val="none"/>
        </w:rPr>
        <w:t>β—招标人在开标现场随机抽取的下浮点数，下浮点数为：0.5％、1.0％、1.5％、2.0％、2.5％；</w:t>
      </w:r>
      <w:bookmarkEnd w:id="704"/>
      <w:bookmarkEnd w:id="705"/>
    </w:p>
    <w:p>
      <w:pPr>
        <w:pStyle w:val="124"/>
        <w:spacing w:line="380" w:lineRule="exact"/>
        <w:ind w:firstLine="720"/>
        <w:outlineLvl w:val="9"/>
        <w:rPr>
          <w:rFonts w:hint="eastAsia" w:ascii="仿宋" w:hAnsi="仿宋" w:eastAsia="仿宋" w:cs="仿宋"/>
          <w:color w:val="000000"/>
          <w:sz w:val="24"/>
          <w:szCs w:val="24"/>
          <w:u w:val="none"/>
        </w:rPr>
      </w:pPr>
      <w:bookmarkStart w:id="706" w:name="_Toc31625"/>
      <w:bookmarkStart w:id="707" w:name="_Toc2154"/>
      <w:r>
        <w:rPr>
          <w:rFonts w:hint="eastAsia" w:ascii="仿宋" w:hAnsi="仿宋" w:eastAsia="仿宋" w:cs="仿宋"/>
          <w:color w:val="000000"/>
          <w:sz w:val="24"/>
          <w:szCs w:val="24"/>
          <w:u w:val="none"/>
        </w:rPr>
        <w:t>ai—进入基准价计算的合格投标人的有效报价（i＝1，2，…，n）；</w:t>
      </w:r>
      <w:bookmarkEnd w:id="706"/>
      <w:bookmarkEnd w:id="707"/>
    </w:p>
    <w:p>
      <w:pPr>
        <w:pStyle w:val="124"/>
        <w:spacing w:line="380" w:lineRule="exact"/>
        <w:ind w:firstLine="720"/>
        <w:outlineLvl w:val="9"/>
        <w:rPr>
          <w:rFonts w:hint="eastAsia" w:ascii="仿宋" w:hAnsi="仿宋" w:eastAsia="仿宋" w:cs="仿宋"/>
          <w:color w:val="000000"/>
          <w:sz w:val="24"/>
          <w:szCs w:val="24"/>
          <w:u w:val="none"/>
        </w:rPr>
      </w:pPr>
      <w:bookmarkStart w:id="708" w:name="_Toc26465"/>
      <w:bookmarkStart w:id="709" w:name="_Toc7522"/>
      <w:r>
        <w:rPr>
          <w:rFonts w:hint="eastAsia" w:ascii="仿宋" w:hAnsi="仿宋" w:eastAsia="仿宋" w:cs="仿宋"/>
          <w:color w:val="000000"/>
          <w:sz w:val="24"/>
          <w:szCs w:val="24"/>
          <w:u w:val="none"/>
        </w:rPr>
        <w:t>n—进入基准价计算的合格投标人有效报价个数；</w:t>
      </w:r>
      <w:bookmarkEnd w:id="708"/>
      <w:bookmarkEnd w:id="709"/>
    </w:p>
    <w:p>
      <w:pPr>
        <w:pStyle w:val="124"/>
        <w:spacing w:line="380" w:lineRule="exact"/>
        <w:ind w:firstLine="720"/>
        <w:outlineLvl w:val="9"/>
        <w:rPr>
          <w:rFonts w:hint="eastAsia" w:ascii="仿宋" w:hAnsi="仿宋" w:eastAsia="仿宋" w:cs="仿宋"/>
          <w:color w:val="000000"/>
          <w:sz w:val="24"/>
          <w:szCs w:val="24"/>
          <w:u w:val="none"/>
        </w:rPr>
      </w:pPr>
      <w:bookmarkStart w:id="710" w:name="_Toc16224"/>
      <w:bookmarkStart w:id="711" w:name="_Toc24432"/>
      <w:r>
        <w:rPr>
          <w:rFonts w:hint="eastAsia" w:ascii="仿宋" w:hAnsi="仿宋" w:eastAsia="仿宋" w:cs="仿宋"/>
          <w:color w:val="000000"/>
          <w:sz w:val="24"/>
          <w:szCs w:val="24"/>
          <w:u w:val="none"/>
        </w:rPr>
        <w:t>P—进入基准价计算最高的合格投标人有效报价；</w:t>
      </w:r>
      <w:bookmarkEnd w:id="710"/>
      <w:bookmarkEnd w:id="711"/>
    </w:p>
    <w:p>
      <w:pPr>
        <w:pStyle w:val="124"/>
        <w:spacing w:line="380" w:lineRule="exact"/>
        <w:ind w:firstLine="720"/>
        <w:outlineLvl w:val="9"/>
        <w:rPr>
          <w:rFonts w:hint="eastAsia" w:ascii="仿宋" w:hAnsi="仿宋" w:eastAsia="仿宋" w:cs="仿宋"/>
          <w:color w:val="000000"/>
          <w:sz w:val="24"/>
          <w:szCs w:val="24"/>
          <w:u w:val="none"/>
        </w:rPr>
      </w:pPr>
      <w:bookmarkStart w:id="712" w:name="_Toc12132"/>
      <w:bookmarkStart w:id="713" w:name="_Toc7339"/>
      <w:r>
        <w:rPr>
          <w:rFonts w:hint="eastAsia" w:ascii="仿宋" w:hAnsi="仿宋" w:eastAsia="仿宋" w:cs="仿宋"/>
          <w:color w:val="000000"/>
          <w:sz w:val="24"/>
          <w:szCs w:val="24"/>
          <w:u w:val="none"/>
        </w:rPr>
        <w:t>Q—进入基准价计算最低的合格投标人有效报价。</w:t>
      </w:r>
      <w:bookmarkEnd w:id="712"/>
      <w:bookmarkEnd w:id="713"/>
    </w:p>
    <w:p>
      <w:pPr>
        <w:pStyle w:val="124"/>
        <w:spacing w:line="380" w:lineRule="exact"/>
        <w:ind w:firstLine="720"/>
        <w:outlineLvl w:val="9"/>
        <w:rPr>
          <w:rFonts w:hint="eastAsia" w:ascii="仿宋" w:hAnsi="仿宋" w:eastAsia="仿宋" w:cs="仿宋"/>
          <w:color w:val="000000"/>
          <w:sz w:val="24"/>
          <w:szCs w:val="24"/>
          <w:u w:val="none"/>
        </w:rPr>
      </w:pPr>
      <w:bookmarkStart w:id="714" w:name="_Toc27084"/>
      <w:bookmarkStart w:id="715" w:name="_Toc11316"/>
      <w:r>
        <w:rPr>
          <w:rFonts w:hint="eastAsia" w:ascii="仿宋" w:hAnsi="仿宋" w:eastAsia="仿宋" w:cs="仿宋"/>
          <w:color w:val="000000"/>
          <w:sz w:val="24"/>
          <w:szCs w:val="24"/>
          <w:u w:val="none"/>
        </w:rPr>
        <w:t>2.2.3  投标报价的偏差率计算</w:t>
      </w:r>
      <w:bookmarkEnd w:id="714"/>
      <w:bookmarkEnd w:id="715"/>
    </w:p>
    <w:p>
      <w:pPr>
        <w:pStyle w:val="124"/>
        <w:spacing w:line="380" w:lineRule="exact"/>
        <w:ind w:firstLine="720"/>
        <w:outlineLvl w:val="9"/>
        <w:rPr>
          <w:rFonts w:hint="eastAsia" w:ascii="仿宋" w:hAnsi="仿宋" w:eastAsia="仿宋" w:cs="仿宋"/>
          <w:color w:val="000000"/>
          <w:sz w:val="24"/>
          <w:szCs w:val="24"/>
          <w:u w:val="none"/>
        </w:rPr>
      </w:pPr>
      <w:bookmarkStart w:id="716" w:name="_Toc16794"/>
      <w:bookmarkStart w:id="717" w:name="_Toc1283"/>
      <w:r>
        <w:rPr>
          <w:rFonts w:hint="eastAsia" w:ascii="仿宋" w:hAnsi="仿宋" w:eastAsia="仿宋" w:cs="仿宋"/>
          <w:color w:val="000000"/>
          <w:sz w:val="24"/>
          <w:szCs w:val="24"/>
          <w:u w:val="none"/>
        </w:rPr>
        <w:t>偏差率＝（投标人报价－评标基准价）/评标基准价×100％。</w:t>
      </w:r>
      <w:bookmarkEnd w:id="716"/>
      <w:bookmarkEnd w:id="717"/>
    </w:p>
    <w:p>
      <w:pPr>
        <w:pStyle w:val="124"/>
        <w:spacing w:line="380" w:lineRule="exact"/>
        <w:ind w:firstLine="720"/>
        <w:outlineLvl w:val="9"/>
        <w:rPr>
          <w:rFonts w:hint="eastAsia" w:ascii="仿宋" w:hAnsi="仿宋" w:eastAsia="仿宋" w:cs="仿宋"/>
          <w:color w:val="000000"/>
          <w:sz w:val="24"/>
          <w:szCs w:val="24"/>
          <w:u w:val="none"/>
        </w:rPr>
      </w:pPr>
      <w:bookmarkStart w:id="718" w:name="_Toc10328"/>
      <w:bookmarkStart w:id="719" w:name="_Toc10008"/>
      <w:r>
        <w:rPr>
          <w:rFonts w:hint="eastAsia" w:ascii="仿宋" w:hAnsi="仿宋" w:eastAsia="仿宋" w:cs="仿宋"/>
          <w:color w:val="000000"/>
          <w:sz w:val="24"/>
          <w:szCs w:val="24"/>
          <w:u w:val="none"/>
        </w:rPr>
        <w:t>2.2.4  评分标准</w:t>
      </w:r>
      <w:bookmarkEnd w:id="718"/>
      <w:bookmarkEnd w:id="719"/>
    </w:p>
    <w:p>
      <w:pPr>
        <w:pStyle w:val="124"/>
        <w:spacing w:line="380" w:lineRule="exact"/>
        <w:ind w:firstLine="720"/>
        <w:outlineLvl w:val="9"/>
        <w:rPr>
          <w:rFonts w:hint="eastAsia" w:ascii="仿宋" w:hAnsi="仿宋" w:eastAsia="仿宋" w:cs="仿宋"/>
          <w:color w:val="000000"/>
          <w:sz w:val="24"/>
          <w:szCs w:val="24"/>
          <w:u w:val="none"/>
        </w:rPr>
      </w:pPr>
      <w:bookmarkStart w:id="720" w:name="_Toc5794"/>
      <w:bookmarkStart w:id="721" w:name="_Toc26238"/>
      <w:r>
        <w:rPr>
          <w:rFonts w:hint="eastAsia" w:ascii="仿宋" w:hAnsi="仿宋" w:eastAsia="仿宋" w:cs="仿宋"/>
          <w:color w:val="000000"/>
          <w:sz w:val="24"/>
          <w:szCs w:val="24"/>
          <w:u w:val="none"/>
        </w:rPr>
        <w:t>（1）项目管理机构评分标准：见评标办法前附表；</w:t>
      </w:r>
      <w:bookmarkEnd w:id="720"/>
      <w:bookmarkEnd w:id="721"/>
    </w:p>
    <w:p>
      <w:pPr>
        <w:pStyle w:val="124"/>
        <w:spacing w:line="380" w:lineRule="exact"/>
        <w:ind w:firstLine="720"/>
        <w:outlineLvl w:val="9"/>
        <w:rPr>
          <w:rFonts w:hint="eastAsia" w:ascii="仿宋" w:hAnsi="仿宋" w:eastAsia="仿宋" w:cs="仿宋"/>
          <w:color w:val="000000"/>
          <w:sz w:val="24"/>
          <w:szCs w:val="24"/>
          <w:u w:val="none"/>
        </w:rPr>
      </w:pPr>
      <w:bookmarkStart w:id="722" w:name="_Toc24413"/>
      <w:bookmarkStart w:id="723" w:name="_Toc29653"/>
      <w:r>
        <w:rPr>
          <w:rFonts w:hint="eastAsia" w:ascii="仿宋" w:hAnsi="仿宋" w:eastAsia="仿宋" w:cs="仿宋"/>
          <w:color w:val="000000"/>
          <w:sz w:val="24"/>
          <w:szCs w:val="24"/>
          <w:u w:val="none"/>
        </w:rPr>
        <w:t>（2）信誉等其他评分标准：见评标办法前附表；</w:t>
      </w:r>
      <w:bookmarkEnd w:id="722"/>
      <w:bookmarkEnd w:id="723"/>
    </w:p>
    <w:p>
      <w:pPr>
        <w:pStyle w:val="124"/>
        <w:spacing w:line="380" w:lineRule="exact"/>
        <w:ind w:firstLine="720"/>
        <w:outlineLvl w:val="9"/>
        <w:rPr>
          <w:rFonts w:hint="eastAsia" w:ascii="仿宋" w:hAnsi="仿宋" w:eastAsia="仿宋" w:cs="仿宋"/>
          <w:color w:val="000000"/>
          <w:sz w:val="24"/>
          <w:szCs w:val="24"/>
          <w:u w:val="none"/>
        </w:rPr>
      </w:pPr>
      <w:bookmarkStart w:id="724" w:name="_Toc4402"/>
      <w:bookmarkStart w:id="725" w:name="_Toc31615"/>
      <w:r>
        <w:rPr>
          <w:rFonts w:hint="eastAsia" w:ascii="仿宋" w:hAnsi="仿宋" w:eastAsia="仿宋" w:cs="仿宋"/>
          <w:color w:val="000000"/>
          <w:sz w:val="24"/>
          <w:szCs w:val="24"/>
          <w:u w:val="none"/>
        </w:rPr>
        <w:t>（3）投标报价评分标准：见评标办法前附表；</w:t>
      </w:r>
      <w:bookmarkEnd w:id="724"/>
      <w:bookmarkEnd w:id="725"/>
    </w:p>
    <w:p>
      <w:pPr>
        <w:pStyle w:val="124"/>
        <w:spacing w:line="380" w:lineRule="exact"/>
        <w:ind w:firstLine="720"/>
        <w:outlineLvl w:val="9"/>
        <w:rPr>
          <w:rFonts w:hint="eastAsia" w:ascii="仿宋" w:hAnsi="仿宋" w:eastAsia="仿宋" w:cs="仿宋"/>
          <w:color w:val="000000"/>
          <w:sz w:val="24"/>
          <w:szCs w:val="24"/>
          <w:u w:val="none"/>
        </w:rPr>
      </w:pPr>
      <w:bookmarkStart w:id="726" w:name="_Toc12522"/>
      <w:bookmarkStart w:id="727" w:name="_Toc28876"/>
      <w:r>
        <w:rPr>
          <w:rFonts w:hint="eastAsia" w:ascii="仿宋" w:hAnsi="仿宋" w:eastAsia="仿宋" w:cs="仿宋"/>
          <w:color w:val="000000"/>
          <w:sz w:val="24"/>
          <w:szCs w:val="24"/>
          <w:u w:val="none"/>
        </w:rPr>
        <w:t>（4）不良行为记录扣分：见评标办法前附表。</w:t>
      </w:r>
      <w:bookmarkEnd w:id="726"/>
      <w:bookmarkEnd w:id="727"/>
    </w:p>
    <w:p>
      <w:pPr>
        <w:pStyle w:val="124"/>
        <w:spacing w:line="380" w:lineRule="exact"/>
        <w:ind w:firstLine="723"/>
        <w:outlineLvl w:val="2"/>
        <w:rPr>
          <w:rFonts w:hint="eastAsia" w:ascii="仿宋" w:hAnsi="仿宋" w:eastAsia="仿宋" w:cs="仿宋"/>
          <w:b/>
          <w:bCs/>
          <w:color w:val="000000"/>
          <w:sz w:val="24"/>
          <w:szCs w:val="24"/>
          <w:u w:val="none"/>
        </w:rPr>
      </w:pPr>
      <w:bookmarkStart w:id="728" w:name="_Toc26184"/>
      <w:bookmarkStart w:id="729" w:name="_Toc269742748"/>
      <w:bookmarkStart w:id="730" w:name="_Toc23034"/>
      <w:bookmarkStart w:id="731" w:name="_Toc51091865"/>
      <w:bookmarkStart w:id="732" w:name="_Toc259698656"/>
      <w:r>
        <w:rPr>
          <w:rFonts w:hint="eastAsia" w:ascii="仿宋" w:hAnsi="仿宋" w:eastAsia="仿宋" w:cs="仿宋"/>
          <w:b/>
          <w:bCs/>
          <w:color w:val="000000"/>
          <w:sz w:val="24"/>
          <w:szCs w:val="24"/>
          <w:u w:val="none"/>
        </w:rPr>
        <w:t>3．评标程序</w:t>
      </w:r>
      <w:bookmarkEnd w:id="728"/>
      <w:bookmarkEnd w:id="729"/>
      <w:bookmarkEnd w:id="730"/>
      <w:bookmarkEnd w:id="731"/>
      <w:bookmarkEnd w:id="732"/>
    </w:p>
    <w:p>
      <w:pPr>
        <w:pStyle w:val="124"/>
        <w:spacing w:line="380" w:lineRule="exact"/>
        <w:ind w:firstLine="720"/>
        <w:outlineLvl w:val="3"/>
        <w:rPr>
          <w:rFonts w:hint="eastAsia" w:ascii="仿宋" w:hAnsi="仿宋" w:eastAsia="仿宋" w:cs="仿宋"/>
          <w:color w:val="000000"/>
          <w:sz w:val="24"/>
          <w:szCs w:val="24"/>
          <w:u w:val="none"/>
        </w:rPr>
      </w:pPr>
      <w:bookmarkStart w:id="733" w:name="_Toc4256"/>
      <w:bookmarkStart w:id="734" w:name="_Toc21711"/>
      <w:bookmarkStart w:id="735" w:name="_Toc189386097"/>
      <w:r>
        <w:rPr>
          <w:rFonts w:hint="eastAsia" w:ascii="仿宋" w:hAnsi="仿宋" w:eastAsia="仿宋" w:cs="仿宋"/>
          <w:color w:val="000000"/>
          <w:sz w:val="24"/>
          <w:szCs w:val="24"/>
          <w:u w:val="none"/>
        </w:rPr>
        <w:t>3.1 初步评审</w:t>
      </w:r>
      <w:bookmarkEnd w:id="733"/>
      <w:bookmarkEnd w:id="734"/>
      <w:bookmarkEnd w:id="735"/>
    </w:p>
    <w:p>
      <w:pPr>
        <w:pStyle w:val="124"/>
        <w:spacing w:line="380" w:lineRule="exact"/>
        <w:ind w:firstLine="720"/>
        <w:outlineLvl w:val="9"/>
        <w:rPr>
          <w:rFonts w:hint="eastAsia" w:ascii="仿宋" w:hAnsi="仿宋" w:eastAsia="仿宋" w:cs="仿宋"/>
          <w:color w:val="000000"/>
          <w:sz w:val="24"/>
          <w:szCs w:val="24"/>
          <w:u w:val="none"/>
        </w:rPr>
      </w:pPr>
      <w:bookmarkStart w:id="736" w:name="_Toc28104"/>
      <w:bookmarkStart w:id="737" w:name="_Toc14536"/>
      <w:bookmarkStart w:id="738" w:name="_Toc269742749"/>
      <w:bookmarkStart w:id="739" w:name="_Toc259698657"/>
      <w:r>
        <w:rPr>
          <w:rFonts w:hint="eastAsia" w:ascii="仿宋" w:hAnsi="仿宋" w:eastAsia="仿宋" w:cs="仿宋"/>
          <w:color w:val="000000"/>
          <w:sz w:val="24"/>
          <w:szCs w:val="24"/>
          <w:u w:val="none"/>
        </w:rPr>
        <w:t>3.1.1  评标委员会核验第二章“投标人须知”第3.5.1项至第3.5.5 项规定的有关证明和证件的原件扫描件。评标委员会依据本章第2.1款规定的标准对投标文件进行初步评审。其中：</w:t>
      </w:r>
      <w:bookmarkEnd w:id="736"/>
      <w:bookmarkEnd w:id="737"/>
    </w:p>
    <w:p>
      <w:pPr>
        <w:pStyle w:val="124"/>
        <w:spacing w:line="380" w:lineRule="exact"/>
        <w:ind w:firstLine="720"/>
        <w:outlineLvl w:val="9"/>
        <w:rPr>
          <w:rFonts w:hint="eastAsia" w:ascii="仿宋" w:hAnsi="仿宋" w:eastAsia="仿宋" w:cs="仿宋"/>
          <w:color w:val="000000"/>
          <w:sz w:val="24"/>
          <w:szCs w:val="24"/>
          <w:u w:val="none"/>
        </w:rPr>
      </w:pPr>
      <w:bookmarkStart w:id="740" w:name="_Toc3062"/>
      <w:bookmarkStart w:id="741" w:name="_Toc11229"/>
      <w:r>
        <w:rPr>
          <w:rFonts w:hint="eastAsia" w:ascii="仿宋" w:hAnsi="仿宋" w:eastAsia="仿宋" w:cs="仿宋"/>
          <w:color w:val="000000"/>
          <w:sz w:val="24"/>
          <w:szCs w:val="24"/>
          <w:u w:val="none"/>
        </w:rPr>
        <w:t>（1）第2.1.1、2.1.2、2.1.3项由评标委员会对投标人的投标文件进行评议，表中有一项不符合评审标准的，该投标人的投标文件评审结果为不合格。</w:t>
      </w:r>
      <w:bookmarkEnd w:id="740"/>
      <w:bookmarkEnd w:id="741"/>
    </w:p>
    <w:p>
      <w:pPr>
        <w:pStyle w:val="124"/>
        <w:spacing w:line="380" w:lineRule="exact"/>
        <w:ind w:firstLine="720"/>
        <w:outlineLvl w:val="9"/>
        <w:rPr>
          <w:rFonts w:hint="eastAsia" w:ascii="仿宋" w:hAnsi="仿宋" w:eastAsia="仿宋" w:cs="仿宋"/>
          <w:color w:val="000000"/>
          <w:sz w:val="24"/>
          <w:szCs w:val="24"/>
          <w:u w:val="none"/>
        </w:rPr>
      </w:pPr>
      <w:bookmarkStart w:id="742" w:name="_Toc9648"/>
      <w:bookmarkStart w:id="743" w:name="_Toc11404"/>
      <w:r>
        <w:rPr>
          <w:rFonts w:hint="eastAsia" w:ascii="仿宋" w:hAnsi="仿宋" w:eastAsia="仿宋" w:cs="仿宋"/>
          <w:color w:val="000000"/>
          <w:sz w:val="24"/>
          <w:szCs w:val="24"/>
          <w:u w:val="none"/>
        </w:rPr>
        <w:t>（2）第2.1.4项由评标委员会对投标人的技术投标文件（施工组织设计，下同）进行评议；招标人应列明技术投标文件评审因素保证项目和一般项目，保证项目中有一项及以上评价为不合格者，其评审结果为不合格；一般项目中有二项及以上评价不合格者，其评审结果为不合格。技术投标文件评审中获三分之二及以上的评委评审结果为不合格的，该投标人的投标文件评审结果为不合格。</w:t>
      </w:r>
      <w:bookmarkEnd w:id="742"/>
      <w:bookmarkEnd w:id="743"/>
    </w:p>
    <w:p>
      <w:pPr>
        <w:pStyle w:val="124"/>
        <w:spacing w:line="380" w:lineRule="exact"/>
        <w:ind w:firstLine="720"/>
        <w:outlineLvl w:val="9"/>
        <w:rPr>
          <w:rFonts w:hint="eastAsia" w:ascii="仿宋" w:hAnsi="仿宋" w:eastAsia="仿宋" w:cs="仿宋"/>
          <w:color w:val="000000"/>
          <w:sz w:val="24"/>
          <w:szCs w:val="24"/>
          <w:u w:val="none"/>
        </w:rPr>
      </w:pPr>
      <w:bookmarkStart w:id="744" w:name="_Toc14312"/>
      <w:bookmarkStart w:id="745" w:name="_Toc31776"/>
      <w:r>
        <w:rPr>
          <w:rFonts w:hint="eastAsia" w:ascii="仿宋" w:hAnsi="仿宋" w:eastAsia="仿宋" w:cs="仿宋"/>
          <w:color w:val="000000"/>
          <w:sz w:val="24"/>
          <w:szCs w:val="24"/>
          <w:u w:val="none"/>
        </w:rPr>
        <w:t>3.1.2  投标人有以下情形之一的，评标委员会应当否决其投标：</w:t>
      </w:r>
      <w:bookmarkEnd w:id="744"/>
      <w:bookmarkEnd w:id="745"/>
    </w:p>
    <w:p>
      <w:pPr>
        <w:pStyle w:val="124"/>
        <w:spacing w:line="380" w:lineRule="exact"/>
        <w:ind w:firstLine="720"/>
        <w:outlineLvl w:val="9"/>
        <w:rPr>
          <w:rFonts w:hint="eastAsia" w:ascii="仿宋" w:hAnsi="仿宋" w:eastAsia="仿宋" w:cs="仿宋"/>
          <w:color w:val="000000"/>
          <w:sz w:val="24"/>
          <w:szCs w:val="24"/>
          <w:u w:val="none"/>
        </w:rPr>
      </w:pPr>
      <w:bookmarkStart w:id="746" w:name="_Toc19617"/>
      <w:bookmarkStart w:id="747" w:name="_Toc23563"/>
      <w:r>
        <w:rPr>
          <w:rFonts w:hint="eastAsia" w:ascii="仿宋" w:hAnsi="仿宋" w:eastAsia="仿宋" w:cs="仿宋"/>
          <w:color w:val="000000"/>
          <w:sz w:val="24"/>
          <w:szCs w:val="24"/>
          <w:u w:val="none"/>
        </w:rPr>
        <w:t>（1）第二章“投标人须知”第1.4.3项规定的任何一种情形的；</w:t>
      </w:r>
      <w:bookmarkEnd w:id="746"/>
      <w:bookmarkEnd w:id="747"/>
    </w:p>
    <w:p>
      <w:pPr>
        <w:pStyle w:val="124"/>
        <w:spacing w:line="380" w:lineRule="exact"/>
        <w:ind w:firstLine="720"/>
        <w:outlineLvl w:val="9"/>
        <w:rPr>
          <w:rFonts w:hint="eastAsia" w:ascii="仿宋" w:hAnsi="仿宋" w:eastAsia="仿宋" w:cs="仿宋"/>
          <w:color w:val="000000"/>
          <w:sz w:val="24"/>
          <w:szCs w:val="24"/>
          <w:u w:val="none"/>
        </w:rPr>
      </w:pPr>
      <w:bookmarkStart w:id="748" w:name="_Toc25502"/>
      <w:bookmarkStart w:id="749" w:name="_Toc4529"/>
      <w:r>
        <w:rPr>
          <w:rFonts w:hint="eastAsia" w:ascii="仿宋" w:hAnsi="仿宋" w:eastAsia="仿宋" w:cs="仿宋"/>
          <w:color w:val="000000"/>
          <w:sz w:val="24"/>
          <w:szCs w:val="24"/>
          <w:u w:val="none"/>
        </w:rPr>
        <w:t>（2）串通投标或弄虚作假或有其他违法行为的；</w:t>
      </w:r>
      <w:bookmarkEnd w:id="748"/>
      <w:bookmarkEnd w:id="749"/>
    </w:p>
    <w:p>
      <w:pPr>
        <w:pStyle w:val="124"/>
        <w:spacing w:line="380" w:lineRule="exact"/>
        <w:ind w:firstLine="720"/>
        <w:outlineLvl w:val="9"/>
        <w:rPr>
          <w:rFonts w:hint="eastAsia" w:ascii="仿宋" w:hAnsi="仿宋" w:eastAsia="仿宋" w:cs="仿宋"/>
          <w:color w:val="000000"/>
          <w:sz w:val="24"/>
          <w:szCs w:val="24"/>
          <w:u w:val="none"/>
        </w:rPr>
      </w:pPr>
      <w:bookmarkStart w:id="750" w:name="_Toc27777"/>
      <w:bookmarkStart w:id="751" w:name="_Toc14680"/>
      <w:r>
        <w:rPr>
          <w:rFonts w:hint="eastAsia" w:ascii="仿宋" w:hAnsi="仿宋" w:eastAsia="仿宋" w:cs="仿宋"/>
          <w:color w:val="000000"/>
          <w:sz w:val="24"/>
          <w:szCs w:val="24"/>
          <w:u w:val="none"/>
        </w:rPr>
        <w:t>（3）不按评标委员会要求澄清、说明或补正的。</w:t>
      </w:r>
      <w:bookmarkEnd w:id="750"/>
      <w:bookmarkEnd w:id="751"/>
    </w:p>
    <w:p>
      <w:pPr>
        <w:pStyle w:val="124"/>
        <w:spacing w:line="380" w:lineRule="exact"/>
        <w:ind w:firstLine="720"/>
        <w:outlineLvl w:val="9"/>
        <w:rPr>
          <w:rFonts w:hint="eastAsia" w:ascii="仿宋" w:hAnsi="仿宋" w:eastAsia="仿宋" w:cs="仿宋"/>
          <w:color w:val="000000"/>
          <w:sz w:val="24"/>
          <w:szCs w:val="24"/>
          <w:u w:val="none"/>
        </w:rPr>
      </w:pPr>
      <w:bookmarkStart w:id="752" w:name="_Toc2948"/>
      <w:bookmarkStart w:id="753" w:name="_Toc766"/>
      <w:r>
        <w:rPr>
          <w:rFonts w:hint="eastAsia" w:ascii="仿宋" w:hAnsi="仿宋" w:eastAsia="仿宋" w:cs="仿宋"/>
          <w:color w:val="000000"/>
          <w:sz w:val="24"/>
          <w:szCs w:val="24"/>
          <w:u w:val="none"/>
        </w:rPr>
        <w:t>3.1.3  投标报价有算术错误的，评标委员会按以下原则对投标报价进行修正，修正的价格经投标人书面确认后具有约束力。投标人不接受修正价格的，评标委员会应当否决其投标。</w:t>
      </w:r>
      <w:bookmarkEnd w:id="752"/>
      <w:bookmarkEnd w:id="753"/>
    </w:p>
    <w:p>
      <w:pPr>
        <w:pStyle w:val="124"/>
        <w:spacing w:line="380" w:lineRule="exact"/>
        <w:ind w:firstLine="720"/>
        <w:outlineLvl w:val="9"/>
        <w:rPr>
          <w:rFonts w:hint="eastAsia" w:ascii="仿宋" w:hAnsi="仿宋" w:eastAsia="仿宋" w:cs="仿宋"/>
          <w:color w:val="000000"/>
          <w:sz w:val="24"/>
          <w:szCs w:val="24"/>
          <w:u w:val="none"/>
        </w:rPr>
      </w:pPr>
      <w:bookmarkStart w:id="754" w:name="_Toc28835"/>
      <w:bookmarkStart w:id="755" w:name="_Toc15406"/>
      <w:r>
        <w:rPr>
          <w:rFonts w:hint="eastAsia" w:ascii="仿宋" w:hAnsi="仿宋" w:eastAsia="仿宋" w:cs="仿宋"/>
          <w:color w:val="000000"/>
          <w:sz w:val="24"/>
          <w:szCs w:val="24"/>
          <w:u w:val="none"/>
        </w:rPr>
        <w:t>（1）投标文件中的大写金额与小写金额不一致的，以大写金额为准；</w:t>
      </w:r>
      <w:bookmarkEnd w:id="754"/>
      <w:bookmarkEnd w:id="755"/>
    </w:p>
    <w:p>
      <w:pPr>
        <w:pStyle w:val="124"/>
        <w:spacing w:line="380" w:lineRule="exact"/>
        <w:ind w:firstLine="720"/>
        <w:outlineLvl w:val="9"/>
        <w:rPr>
          <w:rFonts w:hint="eastAsia" w:ascii="仿宋" w:hAnsi="仿宋" w:eastAsia="仿宋" w:cs="仿宋"/>
          <w:color w:val="000000"/>
          <w:sz w:val="24"/>
          <w:szCs w:val="24"/>
          <w:u w:val="none"/>
        </w:rPr>
      </w:pPr>
      <w:bookmarkStart w:id="756" w:name="_Toc27983"/>
      <w:bookmarkStart w:id="757" w:name="_Toc1622"/>
      <w:r>
        <w:rPr>
          <w:rFonts w:hint="eastAsia" w:ascii="仿宋" w:hAnsi="仿宋" w:eastAsia="仿宋" w:cs="仿宋"/>
          <w:color w:val="000000"/>
          <w:sz w:val="24"/>
          <w:szCs w:val="24"/>
          <w:u w:val="none"/>
        </w:rPr>
        <w:t>（2）总价金额与依据单价计算出的结果不一致的，以单价金额为准修正总价，但单价金额小数点有明显错误的除外。</w:t>
      </w:r>
      <w:bookmarkEnd w:id="756"/>
      <w:bookmarkEnd w:id="757"/>
    </w:p>
    <w:p>
      <w:pPr>
        <w:pStyle w:val="124"/>
        <w:spacing w:line="380" w:lineRule="exact"/>
        <w:ind w:firstLine="720"/>
        <w:outlineLvl w:val="3"/>
        <w:rPr>
          <w:rFonts w:hint="eastAsia" w:ascii="仿宋" w:hAnsi="仿宋" w:eastAsia="仿宋" w:cs="仿宋"/>
          <w:color w:val="000000"/>
          <w:sz w:val="24"/>
          <w:szCs w:val="24"/>
          <w:u w:val="none"/>
        </w:rPr>
      </w:pPr>
      <w:bookmarkStart w:id="758" w:name="_Toc17311"/>
      <w:bookmarkStart w:id="759" w:name="_Toc189386098"/>
      <w:bookmarkStart w:id="760" w:name="_Toc30310"/>
      <w:r>
        <w:rPr>
          <w:rFonts w:hint="eastAsia" w:ascii="仿宋" w:hAnsi="仿宋" w:eastAsia="仿宋" w:cs="仿宋"/>
          <w:color w:val="000000"/>
          <w:sz w:val="24"/>
          <w:szCs w:val="24"/>
          <w:u w:val="none"/>
        </w:rPr>
        <w:t>3.2 详细评审</w:t>
      </w:r>
      <w:bookmarkEnd w:id="758"/>
      <w:bookmarkEnd w:id="759"/>
      <w:bookmarkEnd w:id="760"/>
    </w:p>
    <w:p>
      <w:pPr>
        <w:pStyle w:val="124"/>
        <w:spacing w:line="380" w:lineRule="exact"/>
        <w:ind w:firstLine="720"/>
        <w:outlineLvl w:val="9"/>
        <w:rPr>
          <w:rFonts w:hint="eastAsia" w:ascii="仿宋" w:hAnsi="仿宋" w:eastAsia="仿宋" w:cs="仿宋"/>
          <w:color w:val="000000"/>
          <w:sz w:val="24"/>
          <w:szCs w:val="24"/>
          <w:u w:val="none"/>
        </w:rPr>
      </w:pPr>
      <w:bookmarkStart w:id="761" w:name="_Toc5184"/>
      <w:bookmarkStart w:id="762" w:name="_Toc436"/>
      <w:r>
        <w:rPr>
          <w:rFonts w:hint="eastAsia" w:ascii="仿宋" w:hAnsi="仿宋" w:eastAsia="仿宋" w:cs="仿宋"/>
          <w:color w:val="000000"/>
          <w:sz w:val="24"/>
          <w:szCs w:val="24"/>
          <w:u w:val="none"/>
        </w:rPr>
        <w:t>3.2.1  评标委员会根据本章第2.2.2项和附表3-7（3）的规定计算所有通过初步评审的合格投标人（M为合格投标人数量）的投标报价得分，并按由高到低顺序进行排序选取投标报价得分前N名的投标人进入详细评审程序， 进入详细评审程序的投标人数量N按下列规定确定：</w:t>
      </w:r>
      <w:bookmarkEnd w:id="761"/>
      <w:bookmarkEnd w:id="762"/>
    </w:p>
    <w:p>
      <w:pPr>
        <w:pStyle w:val="124"/>
        <w:spacing w:line="380" w:lineRule="exact"/>
        <w:ind w:firstLine="720"/>
        <w:outlineLvl w:val="9"/>
        <w:rPr>
          <w:rFonts w:hint="eastAsia" w:ascii="仿宋" w:hAnsi="仿宋" w:eastAsia="仿宋" w:cs="仿宋"/>
          <w:color w:val="000000"/>
          <w:sz w:val="24"/>
          <w:szCs w:val="24"/>
          <w:u w:val="none"/>
        </w:rPr>
      </w:pPr>
      <w:bookmarkStart w:id="763" w:name="_Toc18971"/>
      <w:bookmarkStart w:id="764" w:name="_Toc11267"/>
      <w:r>
        <w:rPr>
          <w:rFonts w:hint="eastAsia" w:ascii="仿宋" w:hAnsi="仿宋" w:eastAsia="仿宋" w:cs="仿宋"/>
          <w:color w:val="000000"/>
          <w:sz w:val="24"/>
          <w:szCs w:val="24"/>
          <w:u w:val="none"/>
        </w:rPr>
        <w:t>（1）当6＜M≤10时，取Nmax=6，即取投标报价得分由高到低顺序前6名的投标人进入详细评审程序；当3≤M≤6时，则所有合格投标人全部进入详细评审程序；当1≤M＜3时，评标委员会认为不存在明显缺乏竞争的，全部进入详细评审程序；</w:t>
      </w:r>
      <w:bookmarkEnd w:id="763"/>
      <w:bookmarkEnd w:id="764"/>
    </w:p>
    <w:p>
      <w:pPr>
        <w:pStyle w:val="124"/>
        <w:spacing w:line="380" w:lineRule="exact"/>
        <w:ind w:firstLine="720"/>
        <w:outlineLvl w:val="9"/>
        <w:rPr>
          <w:rFonts w:hint="eastAsia" w:ascii="仿宋" w:hAnsi="仿宋" w:eastAsia="仿宋" w:cs="仿宋"/>
          <w:color w:val="000000"/>
          <w:sz w:val="24"/>
          <w:szCs w:val="24"/>
          <w:u w:val="none"/>
        </w:rPr>
      </w:pPr>
      <w:bookmarkStart w:id="765" w:name="_Toc31413"/>
      <w:bookmarkStart w:id="766" w:name="_Toc31655"/>
      <w:r>
        <w:rPr>
          <w:rFonts w:hint="eastAsia" w:ascii="仿宋" w:hAnsi="仿宋" w:eastAsia="仿宋" w:cs="仿宋"/>
          <w:color w:val="000000"/>
          <w:sz w:val="24"/>
          <w:szCs w:val="24"/>
          <w:u w:val="none"/>
        </w:rPr>
        <w:t>（2）当10＜M≤20时，取Nmax=9，即取投标报价得分由高到低顺序前9名的投标人进入详细评审程序；</w:t>
      </w:r>
      <w:bookmarkEnd w:id="765"/>
      <w:bookmarkEnd w:id="766"/>
    </w:p>
    <w:p>
      <w:pPr>
        <w:pStyle w:val="124"/>
        <w:spacing w:line="380" w:lineRule="exact"/>
        <w:ind w:firstLine="720"/>
        <w:outlineLvl w:val="9"/>
        <w:rPr>
          <w:rFonts w:hint="eastAsia" w:ascii="仿宋" w:hAnsi="仿宋" w:eastAsia="仿宋" w:cs="仿宋"/>
          <w:color w:val="000000"/>
          <w:sz w:val="24"/>
          <w:szCs w:val="24"/>
          <w:u w:val="none"/>
        </w:rPr>
      </w:pPr>
      <w:bookmarkStart w:id="767" w:name="_Toc20190"/>
      <w:bookmarkStart w:id="768" w:name="_Toc20142"/>
      <w:r>
        <w:rPr>
          <w:rFonts w:hint="eastAsia" w:ascii="仿宋" w:hAnsi="仿宋" w:eastAsia="仿宋" w:cs="仿宋"/>
          <w:color w:val="000000"/>
          <w:sz w:val="24"/>
          <w:szCs w:val="24"/>
          <w:u w:val="none"/>
        </w:rPr>
        <w:t>（3）当20＜M≤30时，取Nmax=15，即取投标报价得分由高到低顺序前15名的投标人进入详细评审程序；</w:t>
      </w:r>
      <w:bookmarkEnd w:id="767"/>
      <w:bookmarkEnd w:id="768"/>
      <w:r>
        <w:rPr>
          <w:rFonts w:hint="eastAsia" w:ascii="仿宋" w:hAnsi="仿宋" w:eastAsia="仿宋" w:cs="仿宋"/>
          <w:color w:val="000000"/>
          <w:sz w:val="24"/>
          <w:szCs w:val="24"/>
          <w:u w:val="none"/>
        </w:rPr>
        <w:t xml:space="preserve"> </w:t>
      </w:r>
    </w:p>
    <w:p>
      <w:pPr>
        <w:pStyle w:val="124"/>
        <w:spacing w:line="380" w:lineRule="exact"/>
        <w:ind w:firstLine="720"/>
        <w:outlineLvl w:val="9"/>
        <w:rPr>
          <w:rFonts w:hint="eastAsia" w:ascii="仿宋" w:hAnsi="仿宋" w:eastAsia="仿宋" w:cs="仿宋"/>
          <w:color w:val="000000"/>
          <w:sz w:val="24"/>
          <w:szCs w:val="24"/>
          <w:u w:val="none"/>
        </w:rPr>
      </w:pPr>
      <w:bookmarkStart w:id="769" w:name="_Toc18117"/>
      <w:bookmarkStart w:id="770" w:name="_Toc19222"/>
      <w:r>
        <w:rPr>
          <w:rFonts w:hint="eastAsia" w:ascii="仿宋" w:hAnsi="仿宋" w:eastAsia="仿宋" w:cs="仿宋"/>
          <w:color w:val="000000"/>
          <w:sz w:val="24"/>
          <w:szCs w:val="24"/>
          <w:u w:val="none"/>
        </w:rPr>
        <w:t>（4）当M＞30时，取Nmax=M*0.5（四舍五入，取整数），即取投标报价得分由高到低顺序前M*0.5名的投标人进入详细评审程序。</w:t>
      </w:r>
      <w:bookmarkEnd w:id="769"/>
      <w:bookmarkEnd w:id="770"/>
    </w:p>
    <w:p>
      <w:pPr>
        <w:pStyle w:val="124"/>
        <w:spacing w:line="380" w:lineRule="exact"/>
        <w:ind w:firstLine="720"/>
        <w:outlineLvl w:val="9"/>
        <w:rPr>
          <w:rFonts w:hint="eastAsia" w:ascii="仿宋" w:hAnsi="仿宋" w:eastAsia="仿宋" w:cs="仿宋"/>
          <w:color w:val="000000"/>
          <w:sz w:val="24"/>
          <w:szCs w:val="24"/>
          <w:u w:val="none"/>
        </w:rPr>
      </w:pPr>
      <w:bookmarkStart w:id="771" w:name="_Toc9"/>
      <w:bookmarkStart w:id="772" w:name="_Toc21103"/>
      <w:r>
        <w:rPr>
          <w:rFonts w:hint="eastAsia" w:ascii="仿宋" w:hAnsi="仿宋" w:eastAsia="仿宋" w:cs="仿宋"/>
          <w:color w:val="000000"/>
          <w:sz w:val="24"/>
          <w:szCs w:val="24"/>
          <w:u w:val="none"/>
        </w:rPr>
        <w:t>3.2.2  评标委员会按本章第2.2款规定的量化因素和分值进行打分，并计算出综合评估得分。</w:t>
      </w:r>
      <w:bookmarkEnd w:id="771"/>
      <w:bookmarkEnd w:id="772"/>
    </w:p>
    <w:p>
      <w:pPr>
        <w:pStyle w:val="124"/>
        <w:spacing w:line="380" w:lineRule="exact"/>
        <w:ind w:firstLine="720"/>
        <w:outlineLvl w:val="9"/>
        <w:rPr>
          <w:rFonts w:hint="eastAsia" w:ascii="仿宋" w:hAnsi="仿宋" w:eastAsia="仿宋" w:cs="仿宋"/>
          <w:color w:val="000000"/>
          <w:sz w:val="24"/>
          <w:szCs w:val="24"/>
          <w:u w:val="none"/>
        </w:rPr>
      </w:pPr>
      <w:bookmarkStart w:id="773" w:name="_Toc26954"/>
      <w:bookmarkStart w:id="774" w:name="_Toc15701"/>
      <w:r>
        <w:rPr>
          <w:rFonts w:hint="eastAsia" w:ascii="仿宋" w:hAnsi="仿宋" w:eastAsia="仿宋" w:cs="仿宋"/>
          <w:color w:val="000000"/>
          <w:sz w:val="24"/>
          <w:szCs w:val="24"/>
          <w:u w:val="none"/>
        </w:rPr>
        <w:t>（1）按本章第2.2.4（1）目规定的评审因素和分值对项目管理机构计算出得分A；</w:t>
      </w:r>
      <w:bookmarkEnd w:id="773"/>
      <w:bookmarkEnd w:id="774"/>
      <w:r>
        <w:rPr>
          <w:rFonts w:hint="eastAsia" w:ascii="仿宋" w:hAnsi="仿宋" w:eastAsia="仿宋" w:cs="仿宋"/>
          <w:color w:val="000000"/>
          <w:sz w:val="24"/>
          <w:szCs w:val="24"/>
          <w:u w:val="none"/>
        </w:rPr>
        <w:t xml:space="preserve"> </w:t>
      </w:r>
    </w:p>
    <w:p>
      <w:pPr>
        <w:pStyle w:val="124"/>
        <w:spacing w:line="380" w:lineRule="exact"/>
        <w:ind w:firstLine="720"/>
        <w:outlineLvl w:val="9"/>
        <w:rPr>
          <w:rFonts w:hint="eastAsia" w:ascii="仿宋" w:hAnsi="仿宋" w:eastAsia="仿宋" w:cs="仿宋"/>
          <w:color w:val="000000"/>
          <w:sz w:val="24"/>
          <w:szCs w:val="24"/>
          <w:u w:val="none"/>
        </w:rPr>
      </w:pPr>
      <w:bookmarkStart w:id="775" w:name="_Toc18024"/>
      <w:bookmarkStart w:id="776" w:name="_Toc21990"/>
      <w:r>
        <w:rPr>
          <w:rFonts w:hint="eastAsia" w:ascii="仿宋" w:hAnsi="仿宋" w:eastAsia="仿宋" w:cs="仿宋"/>
          <w:color w:val="000000"/>
          <w:sz w:val="24"/>
          <w:szCs w:val="24"/>
          <w:u w:val="none"/>
        </w:rPr>
        <w:t>（2）按本章第2.2.4（2）目规定的评审因素和分值对信誉等其他评分因素计算出得分B；</w:t>
      </w:r>
      <w:bookmarkEnd w:id="775"/>
      <w:bookmarkEnd w:id="776"/>
    </w:p>
    <w:p>
      <w:pPr>
        <w:pStyle w:val="124"/>
        <w:spacing w:line="380" w:lineRule="exact"/>
        <w:ind w:firstLine="720"/>
        <w:outlineLvl w:val="9"/>
        <w:rPr>
          <w:rFonts w:hint="eastAsia" w:ascii="仿宋" w:hAnsi="仿宋" w:eastAsia="仿宋" w:cs="仿宋"/>
          <w:color w:val="000000"/>
          <w:sz w:val="24"/>
          <w:szCs w:val="24"/>
          <w:u w:val="none"/>
        </w:rPr>
      </w:pPr>
      <w:bookmarkStart w:id="777" w:name="_Toc4316"/>
      <w:bookmarkStart w:id="778" w:name="_Toc14232"/>
      <w:r>
        <w:rPr>
          <w:rFonts w:hint="eastAsia" w:ascii="仿宋" w:hAnsi="仿宋" w:eastAsia="仿宋" w:cs="仿宋"/>
          <w:color w:val="000000"/>
          <w:sz w:val="24"/>
          <w:szCs w:val="24"/>
          <w:u w:val="none"/>
        </w:rPr>
        <w:t>（3）按本章第2.2.4（3）目规定的评审因素和分值对投标报价计算出得分C；</w:t>
      </w:r>
      <w:bookmarkEnd w:id="777"/>
      <w:bookmarkEnd w:id="778"/>
    </w:p>
    <w:p>
      <w:pPr>
        <w:pStyle w:val="124"/>
        <w:spacing w:line="380" w:lineRule="exact"/>
        <w:ind w:firstLine="720"/>
        <w:outlineLvl w:val="9"/>
        <w:rPr>
          <w:rFonts w:hint="eastAsia" w:ascii="仿宋" w:hAnsi="仿宋" w:eastAsia="仿宋" w:cs="仿宋"/>
          <w:color w:val="000000"/>
          <w:sz w:val="24"/>
          <w:szCs w:val="24"/>
          <w:u w:val="none"/>
        </w:rPr>
      </w:pPr>
      <w:bookmarkStart w:id="779" w:name="_Toc10949"/>
      <w:bookmarkStart w:id="780" w:name="_Toc18116"/>
      <w:r>
        <w:rPr>
          <w:rFonts w:hint="eastAsia" w:ascii="仿宋" w:hAnsi="仿宋" w:eastAsia="仿宋" w:cs="仿宋"/>
          <w:color w:val="000000"/>
          <w:sz w:val="24"/>
          <w:szCs w:val="24"/>
          <w:u w:val="none"/>
        </w:rPr>
        <w:t>（4）按本章第2.2.4（4）目规定的评审因素和分值对不良行为记录扣分计算出得分D。</w:t>
      </w:r>
      <w:bookmarkEnd w:id="779"/>
      <w:bookmarkEnd w:id="780"/>
    </w:p>
    <w:p>
      <w:pPr>
        <w:pStyle w:val="124"/>
        <w:spacing w:line="380" w:lineRule="exact"/>
        <w:ind w:firstLine="720"/>
        <w:outlineLvl w:val="9"/>
        <w:rPr>
          <w:rFonts w:hint="eastAsia" w:ascii="仿宋" w:hAnsi="仿宋" w:eastAsia="仿宋" w:cs="仿宋"/>
          <w:color w:val="000000"/>
          <w:sz w:val="24"/>
          <w:szCs w:val="24"/>
          <w:u w:val="none"/>
        </w:rPr>
      </w:pPr>
      <w:bookmarkStart w:id="781" w:name="_Toc31009"/>
      <w:bookmarkStart w:id="782" w:name="_Toc30002"/>
      <w:r>
        <w:rPr>
          <w:rFonts w:hint="eastAsia" w:ascii="仿宋" w:hAnsi="仿宋" w:eastAsia="仿宋" w:cs="仿宋"/>
          <w:color w:val="000000"/>
          <w:sz w:val="24"/>
          <w:szCs w:val="24"/>
          <w:u w:val="none"/>
        </w:rPr>
        <w:t>3.2.3  评分分值计算保留小数点后两位，小数点后第三位“四舍五入”。</w:t>
      </w:r>
      <w:bookmarkEnd w:id="781"/>
      <w:bookmarkEnd w:id="782"/>
    </w:p>
    <w:p>
      <w:pPr>
        <w:pStyle w:val="124"/>
        <w:spacing w:line="380" w:lineRule="exact"/>
        <w:ind w:firstLine="720"/>
        <w:outlineLvl w:val="9"/>
        <w:rPr>
          <w:rFonts w:hint="eastAsia" w:ascii="仿宋" w:hAnsi="仿宋" w:eastAsia="仿宋" w:cs="仿宋"/>
          <w:color w:val="000000"/>
          <w:sz w:val="24"/>
          <w:szCs w:val="24"/>
          <w:u w:val="none"/>
        </w:rPr>
      </w:pPr>
      <w:bookmarkStart w:id="783" w:name="_Toc1108"/>
      <w:bookmarkStart w:id="784" w:name="_Toc2471"/>
      <w:r>
        <w:rPr>
          <w:rFonts w:hint="eastAsia" w:ascii="仿宋" w:hAnsi="仿宋" w:eastAsia="仿宋" w:cs="仿宋"/>
          <w:color w:val="000000"/>
          <w:sz w:val="24"/>
          <w:szCs w:val="24"/>
          <w:u w:val="none"/>
        </w:rPr>
        <w:t>3.2.4  投标人得分= A×K1+ B×K2+ C×K3+D，其中K1 、K2 、K3分别为项目管理机构、信誉等其他评分因素、投标报价的权数值。</w:t>
      </w:r>
      <w:bookmarkEnd w:id="783"/>
      <w:bookmarkEnd w:id="784"/>
    </w:p>
    <w:p>
      <w:pPr>
        <w:pStyle w:val="124"/>
        <w:spacing w:line="380" w:lineRule="exact"/>
        <w:ind w:firstLine="720"/>
        <w:outlineLvl w:val="9"/>
        <w:rPr>
          <w:rFonts w:hint="eastAsia" w:ascii="仿宋" w:hAnsi="仿宋" w:eastAsia="仿宋" w:cs="仿宋"/>
          <w:color w:val="000000"/>
          <w:sz w:val="24"/>
          <w:szCs w:val="24"/>
          <w:u w:val="none"/>
        </w:rPr>
      </w:pPr>
      <w:bookmarkStart w:id="785" w:name="_Toc30229"/>
      <w:bookmarkStart w:id="786" w:name="_Toc31871"/>
      <w:r>
        <w:rPr>
          <w:rFonts w:hint="eastAsia" w:ascii="仿宋" w:hAnsi="仿宋" w:eastAsia="仿宋" w:cs="仿宋"/>
          <w:color w:val="000000"/>
          <w:sz w:val="24"/>
          <w:szCs w:val="24"/>
          <w:u w:val="none"/>
        </w:rPr>
        <w:t>3.2.5  评标委员会发现投标人的报价明显低于其他投标报价，或者在设有标底时明显低于标底，使得其投标报价可能低于其个别成本的，应当要求该投标人作出书面说明并提供相应的证明材料。投标人不能合理说明或者不能提供相应证明材料的，由评标委员会认定该投标人以低于成本报价竞标，应当否决其投标。</w:t>
      </w:r>
      <w:bookmarkEnd w:id="785"/>
      <w:bookmarkEnd w:id="786"/>
    </w:p>
    <w:p>
      <w:pPr>
        <w:pStyle w:val="124"/>
        <w:spacing w:line="380" w:lineRule="exact"/>
        <w:ind w:firstLine="720"/>
        <w:outlineLvl w:val="3"/>
        <w:rPr>
          <w:rFonts w:hint="eastAsia" w:ascii="仿宋" w:hAnsi="仿宋" w:eastAsia="仿宋" w:cs="仿宋"/>
          <w:color w:val="000000"/>
          <w:sz w:val="24"/>
          <w:szCs w:val="24"/>
          <w:u w:val="none"/>
        </w:rPr>
      </w:pPr>
      <w:bookmarkStart w:id="787" w:name="_Toc17463"/>
      <w:bookmarkStart w:id="788" w:name="_Toc189386099"/>
      <w:bookmarkStart w:id="789" w:name="_Toc9469"/>
      <w:r>
        <w:rPr>
          <w:rFonts w:hint="eastAsia" w:ascii="仿宋" w:hAnsi="仿宋" w:eastAsia="仿宋" w:cs="仿宋"/>
          <w:color w:val="000000"/>
          <w:sz w:val="24"/>
          <w:szCs w:val="24"/>
          <w:u w:val="none"/>
        </w:rPr>
        <w:t>3.3 投标文件的澄清和补正</w:t>
      </w:r>
      <w:bookmarkEnd w:id="787"/>
      <w:bookmarkEnd w:id="788"/>
      <w:bookmarkEnd w:id="789"/>
    </w:p>
    <w:p>
      <w:pPr>
        <w:pStyle w:val="124"/>
        <w:spacing w:line="380" w:lineRule="exact"/>
        <w:ind w:firstLine="720"/>
        <w:outlineLvl w:val="9"/>
        <w:rPr>
          <w:rFonts w:hint="eastAsia" w:ascii="仿宋" w:hAnsi="仿宋" w:eastAsia="仿宋" w:cs="仿宋"/>
          <w:color w:val="000000"/>
          <w:sz w:val="24"/>
          <w:szCs w:val="24"/>
          <w:u w:val="none"/>
        </w:rPr>
      </w:pPr>
      <w:bookmarkStart w:id="790" w:name="_Toc13154"/>
      <w:bookmarkStart w:id="791" w:name="_Toc5967"/>
      <w:r>
        <w:rPr>
          <w:rFonts w:hint="eastAsia" w:ascii="仿宋" w:hAnsi="仿宋" w:eastAsia="仿宋" w:cs="仿宋"/>
          <w:color w:val="000000"/>
          <w:sz w:val="24"/>
          <w:szCs w:val="24"/>
          <w:u w:val="none"/>
        </w:rPr>
        <w:t>3.3.1  在评标过程中，评标委员会可以书面形式要求投标人对所提交投标文件中不明确的内容进行书面澄清或说明，或者对细微偏差进行补正。评标委员会不接受投标人主动提出的澄清、说明或补正。</w:t>
      </w:r>
      <w:bookmarkEnd w:id="790"/>
      <w:bookmarkEnd w:id="791"/>
    </w:p>
    <w:p>
      <w:pPr>
        <w:pStyle w:val="124"/>
        <w:spacing w:line="380" w:lineRule="exact"/>
        <w:ind w:firstLine="720"/>
        <w:outlineLvl w:val="9"/>
        <w:rPr>
          <w:rFonts w:hint="eastAsia" w:ascii="仿宋" w:hAnsi="仿宋" w:eastAsia="仿宋" w:cs="仿宋"/>
          <w:color w:val="000000"/>
          <w:sz w:val="24"/>
          <w:szCs w:val="24"/>
          <w:u w:val="none"/>
        </w:rPr>
      </w:pPr>
      <w:bookmarkStart w:id="792" w:name="_Toc4039"/>
      <w:bookmarkStart w:id="793" w:name="_Toc11903"/>
      <w:r>
        <w:rPr>
          <w:rFonts w:hint="eastAsia" w:ascii="仿宋" w:hAnsi="仿宋" w:eastAsia="仿宋" w:cs="仿宋"/>
          <w:color w:val="000000"/>
          <w:sz w:val="24"/>
          <w:szCs w:val="24"/>
          <w:u w:val="none"/>
        </w:rPr>
        <w:t>3.3.2  澄清、说明和补正不得改变投标文件的实质性内容（算术性错误修正的除外）。投标人的书面澄清、说明和补正属于投标文件的组成部分。</w:t>
      </w:r>
      <w:bookmarkEnd w:id="792"/>
      <w:bookmarkEnd w:id="793"/>
    </w:p>
    <w:p>
      <w:pPr>
        <w:pStyle w:val="124"/>
        <w:spacing w:line="380" w:lineRule="exact"/>
        <w:ind w:firstLine="720"/>
        <w:outlineLvl w:val="9"/>
        <w:rPr>
          <w:rFonts w:hint="eastAsia" w:ascii="仿宋" w:hAnsi="仿宋" w:eastAsia="仿宋" w:cs="仿宋"/>
          <w:color w:val="000000"/>
          <w:sz w:val="24"/>
          <w:szCs w:val="24"/>
          <w:u w:val="none"/>
        </w:rPr>
      </w:pPr>
      <w:bookmarkStart w:id="794" w:name="_Toc7352"/>
      <w:bookmarkStart w:id="795" w:name="_Toc17992"/>
      <w:r>
        <w:rPr>
          <w:rFonts w:hint="eastAsia" w:ascii="仿宋" w:hAnsi="仿宋" w:eastAsia="仿宋" w:cs="仿宋"/>
          <w:color w:val="000000"/>
          <w:sz w:val="24"/>
          <w:szCs w:val="24"/>
          <w:u w:val="none"/>
        </w:rPr>
        <w:t>3.3.3  评标委员会对投标人提交的澄清、说明或补正有疑问的，可以要求投标人进一步澄清、说明或补正，直至满足评标委员会的要求。</w:t>
      </w:r>
      <w:bookmarkEnd w:id="794"/>
      <w:bookmarkEnd w:id="795"/>
    </w:p>
    <w:p>
      <w:pPr>
        <w:pStyle w:val="124"/>
        <w:spacing w:line="380" w:lineRule="exact"/>
        <w:ind w:firstLine="720"/>
        <w:outlineLvl w:val="3"/>
        <w:rPr>
          <w:rFonts w:hint="eastAsia" w:ascii="仿宋" w:hAnsi="仿宋" w:eastAsia="仿宋" w:cs="仿宋"/>
          <w:color w:val="000000"/>
          <w:sz w:val="24"/>
          <w:szCs w:val="24"/>
          <w:u w:val="none"/>
        </w:rPr>
      </w:pPr>
      <w:bookmarkStart w:id="796" w:name="_Toc22633"/>
      <w:bookmarkStart w:id="797" w:name="_Toc18210"/>
      <w:r>
        <w:rPr>
          <w:rFonts w:hint="eastAsia" w:ascii="仿宋" w:hAnsi="仿宋" w:eastAsia="仿宋" w:cs="仿宋"/>
          <w:color w:val="000000"/>
          <w:sz w:val="24"/>
          <w:szCs w:val="24"/>
          <w:u w:val="none"/>
        </w:rPr>
        <w:t>3.4 评标结果</w:t>
      </w:r>
      <w:bookmarkEnd w:id="738"/>
      <w:bookmarkEnd w:id="739"/>
      <w:bookmarkEnd w:id="796"/>
      <w:bookmarkEnd w:id="797"/>
    </w:p>
    <w:p>
      <w:pPr>
        <w:pStyle w:val="124"/>
        <w:spacing w:line="380" w:lineRule="exact"/>
        <w:ind w:firstLine="720"/>
        <w:outlineLvl w:val="9"/>
        <w:rPr>
          <w:rFonts w:hint="eastAsia" w:ascii="仿宋" w:hAnsi="仿宋" w:eastAsia="仿宋" w:cs="仿宋"/>
          <w:color w:val="000000"/>
          <w:sz w:val="24"/>
          <w:szCs w:val="24"/>
          <w:u w:val="none"/>
        </w:rPr>
      </w:pPr>
      <w:bookmarkStart w:id="798" w:name="_Toc30472"/>
      <w:bookmarkStart w:id="799" w:name="_Toc30551"/>
      <w:r>
        <w:rPr>
          <w:rFonts w:hint="eastAsia" w:ascii="仿宋" w:hAnsi="仿宋" w:eastAsia="仿宋" w:cs="仿宋"/>
          <w:color w:val="000000"/>
          <w:sz w:val="24"/>
          <w:szCs w:val="24"/>
          <w:u w:val="none"/>
        </w:rPr>
        <w:t>3.4.1  评标委员会依据本章第2.2条评分标准进行评分，按评标办法前附表的约定计算投标人最终得分，根据得分由高到低的顺序推荐不超过3名中标候选人，并标明推荐顺序。</w:t>
      </w:r>
      <w:bookmarkEnd w:id="798"/>
      <w:bookmarkEnd w:id="799"/>
    </w:p>
    <w:p>
      <w:pPr>
        <w:pStyle w:val="124"/>
        <w:spacing w:line="380" w:lineRule="exact"/>
        <w:ind w:firstLine="720"/>
        <w:outlineLvl w:val="9"/>
        <w:rPr>
          <w:rFonts w:hint="eastAsia" w:ascii="仿宋" w:hAnsi="仿宋" w:eastAsia="仿宋" w:cs="仿宋"/>
          <w:color w:val="000000"/>
          <w:sz w:val="24"/>
          <w:szCs w:val="24"/>
          <w:u w:val="none"/>
        </w:rPr>
      </w:pPr>
      <w:bookmarkStart w:id="800" w:name="_Toc31317"/>
      <w:bookmarkStart w:id="801" w:name="_Toc27724"/>
      <w:r>
        <w:rPr>
          <w:rFonts w:hint="eastAsia" w:ascii="仿宋" w:hAnsi="仿宋" w:eastAsia="仿宋" w:cs="仿宋"/>
          <w:color w:val="000000"/>
          <w:sz w:val="24"/>
          <w:szCs w:val="24"/>
          <w:u w:val="none"/>
        </w:rPr>
        <w:t>3.4.2  评标委员会完成评标后，应当向招标人提交书面评标报告。</w:t>
      </w:r>
      <w:bookmarkEnd w:id="800"/>
      <w:bookmarkEnd w:id="801"/>
    </w:p>
    <w:bookmarkEnd w:id="263"/>
    <w:p>
      <w:pPr>
        <w:pStyle w:val="32"/>
        <w:spacing w:line="380" w:lineRule="exact"/>
        <w:ind w:left="480" w:hanging="480"/>
        <w:outlineLvl w:val="3"/>
        <w:rPr>
          <w:rFonts w:eastAsia="黑体"/>
          <w:bCs/>
          <w:color w:val="000000"/>
          <w:sz w:val="28"/>
          <w:szCs w:val="20"/>
        </w:rPr>
      </w:pPr>
      <w:r>
        <w:rPr>
          <w:rFonts w:hint="eastAsia" w:ascii="仿宋" w:hAnsi="仿宋" w:eastAsia="仿宋" w:cs="仿宋"/>
          <w:color w:val="000000"/>
          <w:sz w:val="24"/>
        </w:rPr>
        <w:br w:type="page"/>
      </w:r>
      <w:bookmarkStart w:id="802" w:name="_Toc511317979"/>
      <w:bookmarkStart w:id="803" w:name="_Toc511317230"/>
      <w:bookmarkStart w:id="804" w:name="_Toc259698670"/>
      <w:bookmarkStart w:id="805" w:name="_Toc269742759"/>
      <w:r>
        <w:rPr>
          <w:rFonts w:eastAsia="黑体"/>
          <w:bCs/>
          <w:color w:val="000000"/>
          <w:sz w:val="28"/>
          <w:szCs w:val="20"/>
        </w:rPr>
        <w:t>附件1</w:t>
      </w:r>
      <w:bookmarkEnd w:id="802"/>
      <w:bookmarkEnd w:id="803"/>
      <w:bookmarkEnd w:id="804"/>
      <w:bookmarkEnd w:id="805"/>
    </w:p>
    <w:p>
      <w:pPr>
        <w:pStyle w:val="32"/>
        <w:spacing w:line="490" w:lineRule="exact"/>
        <w:ind w:left="800" w:hanging="800"/>
        <w:jc w:val="center"/>
        <w:rPr>
          <w:rFonts w:eastAsia="方正小标宋_GBK"/>
          <w:b/>
          <w:color w:val="000000"/>
          <w:sz w:val="40"/>
          <w:szCs w:val="28"/>
        </w:rPr>
      </w:pPr>
      <w:bookmarkStart w:id="806" w:name="_Toc259698671"/>
    </w:p>
    <w:p>
      <w:pPr>
        <w:pStyle w:val="32"/>
        <w:spacing w:line="490" w:lineRule="exact"/>
        <w:ind w:left="800" w:hanging="800"/>
        <w:jc w:val="center"/>
        <w:rPr>
          <w:rFonts w:hint="eastAsia" w:ascii="方正小标宋简体" w:hAnsi="黑体" w:eastAsia="方正小标宋简体" w:cs="黑体"/>
          <w:color w:val="000000"/>
          <w:sz w:val="40"/>
          <w:szCs w:val="28"/>
        </w:rPr>
      </w:pPr>
      <w:r>
        <w:rPr>
          <w:rFonts w:hint="eastAsia" w:ascii="方正小标宋简体" w:hAnsi="黑体" w:eastAsia="方正小标宋简体" w:cs="黑体"/>
          <w:color w:val="000000"/>
          <w:sz w:val="40"/>
          <w:szCs w:val="28"/>
        </w:rPr>
        <w:t>投标文件澄清通知</w:t>
      </w:r>
      <w:bookmarkEnd w:id="806"/>
    </w:p>
    <w:p>
      <w:pPr>
        <w:pStyle w:val="32"/>
        <w:spacing w:line="490" w:lineRule="exact"/>
        <w:ind w:left="800" w:hanging="800"/>
        <w:jc w:val="center"/>
        <w:rPr>
          <w:rFonts w:eastAsia="方正小标宋_GBK"/>
          <w:b/>
          <w:color w:val="000000"/>
          <w:sz w:val="40"/>
          <w:szCs w:val="28"/>
        </w:rPr>
      </w:pPr>
    </w:p>
    <w:p>
      <w:pPr>
        <w:pStyle w:val="32"/>
        <w:spacing w:line="490" w:lineRule="exact"/>
        <w:ind w:left="560" w:hanging="560"/>
        <w:jc w:val="center"/>
        <w:rPr>
          <w:rFonts w:hint="eastAsia" w:ascii="仿宋" w:hAnsi="仿宋" w:eastAsia="仿宋" w:cs="仿宋"/>
          <w:color w:val="000000"/>
          <w:szCs w:val="21"/>
          <w:u w:val="single"/>
        </w:rPr>
      </w:pPr>
      <w:r>
        <w:rPr>
          <w:rFonts w:eastAsia="仿宋_GB2312"/>
          <w:color w:val="000000"/>
          <w:sz w:val="28"/>
          <w:szCs w:val="32"/>
        </w:rPr>
        <w:t xml:space="preserve">         </w:t>
      </w:r>
      <w:r>
        <w:rPr>
          <w:rFonts w:hint="eastAsia" w:ascii="仿宋" w:hAnsi="仿宋" w:eastAsia="仿宋" w:cs="仿宋"/>
          <w:color w:val="000000"/>
          <w:sz w:val="28"/>
          <w:szCs w:val="32"/>
        </w:rPr>
        <w:t xml:space="preserve">           </w:t>
      </w:r>
      <w:r>
        <w:rPr>
          <w:rFonts w:hint="eastAsia" w:ascii="仿宋" w:hAnsi="仿宋" w:eastAsia="仿宋" w:cs="仿宋"/>
          <w:color w:val="000000"/>
          <w:szCs w:val="21"/>
        </w:rPr>
        <w:t xml:space="preserve">        编号：</w:t>
      </w:r>
      <w:r>
        <w:rPr>
          <w:rFonts w:hint="eastAsia" w:ascii="仿宋" w:hAnsi="仿宋" w:eastAsia="仿宋" w:cs="仿宋"/>
          <w:color w:val="000000"/>
          <w:szCs w:val="21"/>
          <w:u w:val="single"/>
        </w:rPr>
        <w:t xml:space="preserve">                </w:t>
      </w:r>
    </w:p>
    <w:p>
      <w:pPr>
        <w:spacing w:line="490" w:lineRule="exact"/>
        <w:rPr>
          <w:rFonts w:hint="eastAsia" w:ascii="仿宋" w:hAnsi="仿宋" w:eastAsia="仿宋" w:cs="仿宋"/>
          <w:color w:val="000000"/>
          <w:szCs w:val="21"/>
        </w:rPr>
      </w:pPr>
    </w:p>
    <w:p>
      <w:pPr>
        <w:pStyle w:val="19"/>
        <w:spacing w:line="490" w:lineRule="exact"/>
        <w:ind w:left="0" w:leftChars="0"/>
        <w:rPr>
          <w:rFonts w:hint="eastAsia" w:ascii="仿宋" w:hAnsi="仿宋" w:eastAsia="仿宋" w:cs="仿宋"/>
          <w:color w:val="000000"/>
          <w:szCs w:val="21"/>
        </w:rPr>
      </w:pP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（投标人名称）：</w:t>
      </w:r>
    </w:p>
    <w:p>
      <w:pPr>
        <w:spacing w:line="490" w:lineRule="exact"/>
        <w:ind w:firstLine="420" w:firstLineChars="200"/>
        <w:rPr>
          <w:rFonts w:hint="eastAsia" w:ascii="仿宋" w:hAnsi="仿宋" w:eastAsia="仿宋" w:cs="仿宋"/>
          <w:color w:val="000000"/>
          <w:szCs w:val="21"/>
        </w:rPr>
      </w:pP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（项目名称）</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（标段名称）评标委员会对你方的投标文件进行了仔细的审查，现需你方对下列问题以书面形式予以澄清：</w:t>
      </w:r>
    </w:p>
    <w:p>
      <w:pPr>
        <w:spacing w:line="490" w:lineRule="exact"/>
        <w:ind w:firstLine="420" w:firstLineChars="200"/>
        <w:rPr>
          <w:rFonts w:hint="eastAsia" w:ascii="仿宋" w:hAnsi="仿宋" w:eastAsia="仿宋" w:cs="仿宋"/>
          <w:color w:val="000000"/>
          <w:szCs w:val="21"/>
        </w:rPr>
      </w:pPr>
      <w:r>
        <w:rPr>
          <w:rFonts w:hint="eastAsia" w:ascii="仿宋" w:hAnsi="仿宋" w:eastAsia="仿宋" w:cs="仿宋"/>
          <w:color w:val="000000"/>
          <w:szCs w:val="21"/>
        </w:rPr>
        <w:t>1.……</w:t>
      </w:r>
    </w:p>
    <w:p>
      <w:pPr>
        <w:spacing w:line="490" w:lineRule="exact"/>
        <w:ind w:firstLine="420" w:firstLineChars="200"/>
        <w:rPr>
          <w:rFonts w:hint="eastAsia" w:ascii="仿宋" w:hAnsi="仿宋" w:eastAsia="仿宋" w:cs="仿宋"/>
          <w:color w:val="000000"/>
          <w:szCs w:val="21"/>
        </w:rPr>
      </w:pPr>
      <w:r>
        <w:rPr>
          <w:rFonts w:hint="eastAsia" w:ascii="仿宋" w:hAnsi="仿宋" w:eastAsia="仿宋" w:cs="仿宋"/>
          <w:color w:val="000000"/>
          <w:szCs w:val="21"/>
        </w:rPr>
        <w:t>2.……</w:t>
      </w:r>
    </w:p>
    <w:p>
      <w:pPr>
        <w:spacing w:line="490" w:lineRule="exact"/>
        <w:ind w:firstLine="420" w:firstLineChars="200"/>
        <w:rPr>
          <w:rFonts w:hint="eastAsia" w:ascii="仿宋" w:hAnsi="仿宋" w:eastAsia="仿宋" w:cs="仿宋"/>
          <w:color w:val="000000"/>
          <w:szCs w:val="21"/>
        </w:rPr>
      </w:pPr>
      <w:r>
        <w:rPr>
          <w:rFonts w:hint="eastAsia" w:ascii="仿宋" w:hAnsi="仿宋" w:eastAsia="仿宋" w:cs="仿宋"/>
          <w:color w:val="000000"/>
          <w:szCs w:val="21"/>
        </w:rPr>
        <w:t>……</w:t>
      </w:r>
    </w:p>
    <w:p>
      <w:pPr>
        <w:spacing w:line="490" w:lineRule="exact"/>
        <w:rPr>
          <w:rFonts w:hint="eastAsia" w:ascii="仿宋" w:hAnsi="仿宋" w:eastAsia="仿宋" w:cs="仿宋"/>
          <w:color w:val="000000"/>
          <w:szCs w:val="21"/>
        </w:rPr>
      </w:pPr>
    </w:p>
    <w:p>
      <w:pPr>
        <w:spacing w:line="490" w:lineRule="exact"/>
        <w:ind w:firstLine="420" w:firstLineChars="200"/>
        <w:rPr>
          <w:rFonts w:hint="eastAsia" w:ascii="仿宋" w:hAnsi="仿宋" w:eastAsia="仿宋" w:cs="仿宋"/>
          <w:color w:val="000000"/>
          <w:szCs w:val="21"/>
        </w:rPr>
      </w:pPr>
      <w:r>
        <w:rPr>
          <w:rFonts w:hint="eastAsia" w:ascii="仿宋" w:hAnsi="仿宋" w:eastAsia="仿宋" w:cs="仿宋"/>
          <w:color w:val="000000"/>
          <w:szCs w:val="21"/>
        </w:rPr>
        <w:t>请将上述问题的澄清函于</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年</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月</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日</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时（北京时间）前递交至</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（详细地址）或传真至</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（传真号码）或发送至</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（电子邮箱）。采用传真或电子邮件方式的，应在</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年</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月</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日</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 xml:space="preserve">时（北京时间）前将原件递交至 </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（详细地址）。</w:t>
      </w:r>
    </w:p>
    <w:p>
      <w:pPr>
        <w:spacing w:line="490" w:lineRule="exact"/>
        <w:rPr>
          <w:rFonts w:hint="eastAsia" w:ascii="仿宋" w:hAnsi="仿宋" w:eastAsia="仿宋" w:cs="仿宋"/>
          <w:color w:val="000000"/>
          <w:szCs w:val="21"/>
        </w:rPr>
      </w:pPr>
    </w:p>
    <w:p>
      <w:pPr>
        <w:spacing w:line="490" w:lineRule="exact"/>
        <w:rPr>
          <w:rFonts w:hint="eastAsia" w:ascii="仿宋" w:hAnsi="仿宋" w:eastAsia="仿宋" w:cs="仿宋"/>
          <w:color w:val="000000"/>
          <w:szCs w:val="21"/>
        </w:rPr>
      </w:pPr>
    </w:p>
    <w:p>
      <w:pPr>
        <w:spacing w:line="490" w:lineRule="exact"/>
        <w:ind w:firstLine="420" w:firstLineChars="200"/>
        <w:jc w:val="right"/>
        <w:rPr>
          <w:rFonts w:hint="eastAsia" w:ascii="仿宋" w:hAnsi="仿宋" w:eastAsia="仿宋" w:cs="仿宋"/>
          <w:color w:val="000000"/>
          <w:szCs w:val="21"/>
        </w:rPr>
      </w:pPr>
      <w:r>
        <w:rPr>
          <w:rFonts w:hint="eastAsia" w:ascii="仿宋" w:hAnsi="仿宋" w:eastAsia="仿宋" w:cs="仿宋"/>
          <w:color w:val="000000"/>
          <w:szCs w:val="21"/>
        </w:rPr>
        <w:t>评标委员会负责人：</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（签字）</w:t>
      </w:r>
    </w:p>
    <w:p>
      <w:pPr>
        <w:tabs>
          <w:tab w:val="left" w:pos="5812"/>
        </w:tabs>
        <w:spacing w:line="490" w:lineRule="exact"/>
        <w:ind w:right="420" w:firstLine="4454" w:firstLineChars="2121"/>
        <w:rPr>
          <w:rFonts w:hint="eastAsia" w:ascii="仿宋" w:hAnsi="仿宋" w:eastAsia="仿宋" w:cs="仿宋"/>
          <w:color w:val="000000"/>
          <w:szCs w:val="21"/>
          <w:u w:val="single"/>
        </w:rPr>
      </w:pPr>
    </w:p>
    <w:p>
      <w:pPr>
        <w:tabs>
          <w:tab w:val="left" w:pos="5812"/>
        </w:tabs>
        <w:spacing w:line="490" w:lineRule="exact"/>
        <w:ind w:right="420" w:firstLine="6342" w:firstLineChars="3020"/>
        <w:rPr>
          <w:rFonts w:hint="eastAsia" w:ascii="仿宋" w:hAnsi="仿宋" w:eastAsia="仿宋" w:cs="仿宋"/>
          <w:color w:val="000000"/>
          <w:szCs w:val="21"/>
        </w:rPr>
      </w:pP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年</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月</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日</w:t>
      </w:r>
    </w:p>
    <w:p>
      <w:pPr>
        <w:pStyle w:val="32"/>
        <w:spacing w:line="490" w:lineRule="exact"/>
        <w:ind w:left="400" w:hanging="400"/>
        <w:outlineLvl w:val="3"/>
        <w:rPr>
          <w:rFonts w:eastAsia="黑体"/>
          <w:bCs/>
          <w:color w:val="000000"/>
          <w:sz w:val="28"/>
          <w:szCs w:val="20"/>
        </w:rPr>
      </w:pPr>
      <w:r>
        <w:rPr>
          <w:color w:val="000000"/>
          <w:sz w:val="20"/>
        </w:rPr>
        <w:br w:type="page"/>
      </w:r>
      <w:bookmarkStart w:id="807" w:name="_Toc269742760"/>
      <w:bookmarkStart w:id="808" w:name="_Toc259698672"/>
      <w:bookmarkStart w:id="809" w:name="_Toc511317231"/>
      <w:bookmarkStart w:id="810" w:name="_Toc511317980"/>
      <w:r>
        <w:rPr>
          <w:rFonts w:eastAsia="黑体"/>
          <w:bCs/>
          <w:color w:val="000000"/>
          <w:sz w:val="28"/>
          <w:szCs w:val="20"/>
        </w:rPr>
        <w:t>附件2</w:t>
      </w:r>
      <w:bookmarkEnd w:id="807"/>
      <w:bookmarkEnd w:id="808"/>
      <w:bookmarkEnd w:id="809"/>
      <w:bookmarkEnd w:id="810"/>
    </w:p>
    <w:p>
      <w:pPr>
        <w:pStyle w:val="32"/>
        <w:spacing w:line="490" w:lineRule="exact"/>
        <w:ind w:left="800" w:hanging="800"/>
        <w:jc w:val="center"/>
        <w:rPr>
          <w:rFonts w:eastAsia="方正小标宋_GBK"/>
          <w:b/>
          <w:color w:val="000000"/>
          <w:sz w:val="40"/>
          <w:szCs w:val="28"/>
        </w:rPr>
      </w:pPr>
      <w:bookmarkStart w:id="811" w:name="_Toc259698673"/>
    </w:p>
    <w:p>
      <w:pPr>
        <w:pStyle w:val="32"/>
        <w:spacing w:line="490" w:lineRule="exact"/>
        <w:ind w:left="800" w:hanging="800"/>
        <w:jc w:val="center"/>
        <w:rPr>
          <w:rFonts w:hint="eastAsia" w:ascii="方正小标宋简体" w:hAnsi="黑体" w:eastAsia="方正小标宋简体" w:cs="黑体"/>
          <w:color w:val="000000"/>
          <w:sz w:val="40"/>
          <w:szCs w:val="28"/>
        </w:rPr>
      </w:pPr>
      <w:r>
        <w:rPr>
          <w:rFonts w:hint="eastAsia" w:ascii="方正小标宋简体" w:hAnsi="黑体" w:eastAsia="方正小标宋简体" w:cs="黑体"/>
          <w:color w:val="000000"/>
          <w:sz w:val="40"/>
          <w:szCs w:val="28"/>
        </w:rPr>
        <w:t>投标文件澄清函</w:t>
      </w:r>
      <w:bookmarkEnd w:id="811"/>
    </w:p>
    <w:p>
      <w:pPr>
        <w:pStyle w:val="32"/>
        <w:spacing w:line="490" w:lineRule="exact"/>
        <w:ind w:left="800" w:hanging="800"/>
        <w:jc w:val="center"/>
        <w:rPr>
          <w:rFonts w:eastAsia="方正小标宋_GBK"/>
          <w:b/>
          <w:color w:val="000000"/>
          <w:sz w:val="40"/>
          <w:szCs w:val="28"/>
        </w:rPr>
      </w:pPr>
    </w:p>
    <w:p>
      <w:pPr>
        <w:spacing w:line="490" w:lineRule="exact"/>
        <w:jc w:val="center"/>
        <w:rPr>
          <w:rFonts w:hint="eastAsia" w:ascii="仿宋" w:hAnsi="仿宋" w:eastAsia="仿宋" w:cs="仿宋"/>
          <w:color w:val="000000"/>
          <w:szCs w:val="21"/>
          <w:u w:val="single"/>
        </w:rPr>
      </w:pPr>
      <w:r>
        <w:rPr>
          <w:rFonts w:hint="eastAsia" w:ascii="仿宋" w:hAnsi="仿宋" w:eastAsia="仿宋" w:cs="仿宋"/>
          <w:color w:val="000000"/>
          <w:sz w:val="28"/>
          <w:szCs w:val="32"/>
        </w:rPr>
        <w:t xml:space="preserve">                               </w:t>
      </w:r>
      <w:r>
        <w:rPr>
          <w:rFonts w:hint="eastAsia" w:ascii="仿宋" w:hAnsi="仿宋" w:eastAsia="仿宋" w:cs="仿宋"/>
          <w:color w:val="000000"/>
          <w:szCs w:val="21"/>
        </w:rPr>
        <w:t xml:space="preserve"> 编号：</w:t>
      </w:r>
      <w:r>
        <w:rPr>
          <w:rFonts w:hint="eastAsia" w:ascii="仿宋" w:hAnsi="仿宋" w:eastAsia="仿宋" w:cs="仿宋"/>
          <w:color w:val="000000"/>
          <w:szCs w:val="21"/>
          <w:u w:val="single"/>
        </w:rPr>
        <w:t xml:space="preserve">              </w:t>
      </w:r>
    </w:p>
    <w:p>
      <w:pPr>
        <w:spacing w:line="490" w:lineRule="exact"/>
        <w:ind w:firstLine="420" w:firstLineChars="200"/>
        <w:rPr>
          <w:rFonts w:hint="eastAsia" w:ascii="仿宋" w:hAnsi="仿宋" w:eastAsia="仿宋" w:cs="仿宋"/>
          <w:color w:val="000000"/>
          <w:szCs w:val="21"/>
        </w:rPr>
      </w:pPr>
    </w:p>
    <w:p>
      <w:pPr>
        <w:spacing w:line="490" w:lineRule="exact"/>
        <w:ind w:firstLine="420" w:firstLineChars="200"/>
        <w:rPr>
          <w:rFonts w:hint="eastAsia" w:ascii="仿宋" w:hAnsi="仿宋" w:eastAsia="仿宋" w:cs="仿宋"/>
          <w:color w:val="000000"/>
          <w:szCs w:val="21"/>
        </w:rPr>
      </w:pPr>
    </w:p>
    <w:p>
      <w:pPr>
        <w:spacing w:line="490" w:lineRule="exact"/>
        <w:ind w:firstLine="420" w:firstLineChars="200"/>
        <w:rPr>
          <w:rFonts w:hint="eastAsia" w:ascii="仿宋" w:hAnsi="仿宋" w:eastAsia="仿宋" w:cs="仿宋"/>
          <w:color w:val="000000"/>
          <w:szCs w:val="21"/>
        </w:rPr>
      </w:pPr>
    </w:p>
    <w:p>
      <w:pPr>
        <w:spacing w:line="490" w:lineRule="exact"/>
        <w:rPr>
          <w:rFonts w:hint="eastAsia" w:ascii="仿宋" w:hAnsi="仿宋" w:eastAsia="仿宋" w:cs="仿宋"/>
          <w:color w:val="000000"/>
          <w:szCs w:val="21"/>
        </w:rPr>
      </w:pP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（项目名称）</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（标段名称）评标委员会：</w:t>
      </w:r>
    </w:p>
    <w:p>
      <w:pPr>
        <w:spacing w:line="490" w:lineRule="exact"/>
        <w:ind w:firstLine="420" w:firstLineChars="200"/>
        <w:rPr>
          <w:rFonts w:hint="eastAsia" w:ascii="仿宋" w:hAnsi="仿宋" w:eastAsia="仿宋" w:cs="仿宋"/>
          <w:color w:val="000000"/>
          <w:szCs w:val="21"/>
        </w:rPr>
      </w:pPr>
      <w:r>
        <w:rPr>
          <w:rFonts w:hint="eastAsia" w:ascii="仿宋" w:hAnsi="仿宋" w:eastAsia="仿宋" w:cs="仿宋"/>
          <w:color w:val="000000"/>
          <w:szCs w:val="21"/>
        </w:rPr>
        <w:t>投标文件澄清通知（编号：</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）已收悉，现就有关问题澄清如下：</w:t>
      </w:r>
    </w:p>
    <w:p>
      <w:pPr>
        <w:spacing w:line="490" w:lineRule="exact"/>
        <w:ind w:firstLine="420" w:firstLineChars="200"/>
        <w:rPr>
          <w:rFonts w:hint="eastAsia" w:ascii="仿宋" w:hAnsi="仿宋" w:eastAsia="仿宋" w:cs="仿宋"/>
          <w:color w:val="000000"/>
          <w:szCs w:val="21"/>
        </w:rPr>
      </w:pPr>
      <w:r>
        <w:rPr>
          <w:rFonts w:hint="eastAsia" w:ascii="仿宋" w:hAnsi="仿宋" w:eastAsia="仿宋" w:cs="仿宋"/>
          <w:color w:val="000000"/>
          <w:szCs w:val="21"/>
        </w:rPr>
        <w:t>1.……</w:t>
      </w:r>
    </w:p>
    <w:p>
      <w:pPr>
        <w:spacing w:line="490" w:lineRule="exact"/>
        <w:ind w:firstLine="420" w:firstLineChars="200"/>
        <w:rPr>
          <w:rFonts w:hint="eastAsia" w:ascii="仿宋" w:hAnsi="仿宋" w:eastAsia="仿宋" w:cs="仿宋"/>
          <w:color w:val="000000"/>
          <w:szCs w:val="21"/>
        </w:rPr>
      </w:pPr>
      <w:r>
        <w:rPr>
          <w:rFonts w:hint="eastAsia" w:ascii="仿宋" w:hAnsi="仿宋" w:eastAsia="仿宋" w:cs="仿宋"/>
          <w:color w:val="000000"/>
          <w:szCs w:val="21"/>
        </w:rPr>
        <w:t>2.……</w:t>
      </w:r>
    </w:p>
    <w:p>
      <w:pPr>
        <w:spacing w:line="490" w:lineRule="exact"/>
        <w:ind w:firstLine="420" w:firstLineChars="200"/>
        <w:rPr>
          <w:rFonts w:hint="eastAsia" w:ascii="仿宋" w:hAnsi="仿宋" w:eastAsia="仿宋" w:cs="仿宋"/>
          <w:color w:val="000000"/>
          <w:szCs w:val="21"/>
        </w:rPr>
      </w:pPr>
      <w:r>
        <w:rPr>
          <w:rFonts w:hint="eastAsia" w:ascii="仿宋" w:hAnsi="仿宋" w:eastAsia="仿宋" w:cs="仿宋"/>
          <w:color w:val="000000"/>
          <w:szCs w:val="21"/>
        </w:rPr>
        <w:t>……</w:t>
      </w:r>
    </w:p>
    <w:p>
      <w:pPr>
        <w:spacing w:line="490" w:lineRule="exact"/>
        <w:ind w:firstLine="420" w:firstLineChars="200"/>
        <w:rPr>
          <w:rFonts w:hint="eastAsia" w:ascii="仿宋" w:hAnsi="仿宋" w:eastAsia="仿宋" w:cs="仿宋"/>
          <w:color w:val="000000"/>
          <w:szCs w:val="21"/>
        </w:rPr>
      </w:pPr>
    </w:p>
    <w:p>
      <w:pPr>
        <w:spacing w:line="490" w:lineRule="exact"/>
        <w:ind w:firstLine="420" w:firstLineChars="200"/>
        <w:rPr>
          <w:rFonts w:hint="eastAsia" w:ascii="仿宋" w:hAnsi="仿宋" w:eastAsia="仿宋" w:cs="仿宋"/>
          <w:color w:val="000000"/>
          <w:szCs w:val="21"/>
        </w:rPr>
      </w:pPr>
      <w:r>
        <w:rPr>
          <w:rFonts w:hint="eastAsia" w:ascii="仿宋" w:hAnsi="仿宋" w:eastAsia="仿宋" w:cs="仿宋"/>
          <w:color w:val="000000"/>
          <w:szCs w:val="21"/>
        </w:rPr>
        <w:t xml:space="preserve">  </w:t>
      </w:r>
    </w:p>
    <w:p>
      <w:pPr>
        <w:spacing w:line="490" w:lineRule="exact"/>
        <w:ind w:firstLine="4200" w:firstLineChars="2000"/>
        <w:rPr>
          <w:rFonts w:hint="eastAsia" w:ascii="仿宋" w:hAnsi="仿宋" w:eastAsia="仿宋" w:cs="仿宋"/>
          <w:color w:val="000000"/>
          <w:szCs w:val="21"/>
          <w:u w:val="single"/>
        </w:rPr>
      </w:pPr>
      <w:r>
        <w:rPr>
          <w:rFonts w:hint="eastAsia" w:ascii="仿宋" w:hAnsi="仿宋" w:eastAsia="仿宋" w:cs="仿宋"/>
          <w:color w:val="000000"/>
          <w:szCs w:val="21"/>
        </w:rPr>
        <w:t>投标人：</w:t>
      </w:r>
      <w:r>
        <w:rPr>
          <w:rFonts w:hint="eastAsia" w:ascii="仿宋" w:hAnsi="仿宋" w:eastAsia="仿宋" w:cs="仿宋"/>
          <w:color w:val="000000"/>
          <w:szCs w:val="21"/>
          <w:u w:val="single"/>
        </w:rPr>
        <w:t xml:space="preserve">                              </w:t>
      </w:r>
    </w:p>
    <w:p>
      <w:pPr>
        <w:tabs>
          <w:tab w:val="left" w:pos="5446"/>
        </w:tabs>
        <w:spacing w:line="490" w:lineRule="exact"/>
        <w:ind w:firstLine="5363" w:firstLineChars="2554"/>
        <w:rPr>
          <w:rFonts w:hint="eastAsia" w:ascii="仿宋" w:hAnsi="仿宋" w:eastAsia="仿宋" w:cs="仿宋"/>
          <w:color w:val="000000"/>
          <w:szCs w:val="21"/>
        </w:rPr>
      </w:pPr>
      <w:r>
        <w:rPr>
          <w:rFonts w:hint="eastAsia" w:ascii="仿宋" w:hAnsi="仿宋" w:eastAsia="仿宋" w:cs="仿宋"/>
          <w:color w:val="000000"/>
          <w:szCs w:val="21"/>
        </w:rPr>
        <w:t>（盖单位公章）</w:t>
      </w:r>
    </w:p>
    <w:p>
      <w:pPr>
        <w:spacing w:line="490" w:lineRule="exact"/>
        <w:ind w:firstLine="1394" w:firstLineChars="664"/>
        <w:rPr>
          <w:rFonts w:hint="eastAsia" w:ascii="仿宋" w:hAnsi="仿宋" w:eastAsia="仿宋" w:cs="仿宋"/>
          <w:color w:val="000000"/>
          <w:szCs w:val="21"/>
        </w:rPr>
      </w:pPr>
    </w:p>
    <w:p>
      <w:pPr>
        <w:spacing w:line="490" w:lineRule="exact"/>
        <w:ind w:firstLine="4200" w:firstLineChars="2000"/>
        <w:rPr>
          <w:rFonts w:hint="eastAsia" w:ascii="仿宋" w:hAnsi="仿宋" w:eastAsia="仿宋" w:cs="仿宋"/>
          <w:color w:val="000000"/>
          <w:szCs w:val="21"/>
          <w:u w:val="single"/>
        </w:rPr>
      </w:pPr>
      <w:r>
        <w:rPr>
          <w:rFonts w:hint="eastAsia" w:ascii="仿宋" w:hAnsi="仿宋" w:eastAsia="仿宋" w:cs="仿宋"/>
          <w:color w:val="000000"/>
          <w:szCs w:val="21"/>
        </w:rPr>
        <w:t>法定代表人或其委托代理人：</w:t>
      </w:r>
      <w:r>
        <w:rPr>
          <w:rFonts w:hint="eastAsia" w:ascii="仿宋" w:hAnsi="仿宋" w:eastAsia="仿宋" w:cs="仿宋"/>
          <w:color w:val="000000"/>
          <w:szCs w:val="21"/>
          <w:u w:val="single"/>
        </w:rPr>
        <w:t xml:space="preserve">             </w:t>
      </w:r>
    </w:p>
    <w:p>
      <w:pPr>
        <w:spacing w:line="490" w:lineRule="exact"/>
        <w:ind w:firstLine="5814" w:firstLineChars="2769"/>
        <w:rPr>
          <w:rFonts w:hint="eastAsia" w:ascii="仿宋" w:hAnsi="仿宋" w:eastAsia="仿宋" w:cs="仿宋"/>
          <w:color w:val="000000"/>
          <w:szCs w:val="21"/>
        </w:rPr>
      </w:pPr>
      <w:r>
        <w:rPr>
          <w:rFonts w:hint="eastAsia" w:ascii="仿宋" w:hAnsi="仿宋" w:eastAsia="仿宋" w:cs="仿宋"/>
          <w:color w:val="000000"/>
          <w:szCs w:val="21"/>
        </w:rPr>
        <w:t>（签字）</w:t>
      </w:r>
    </w:p>
    <w:p>
      <w:pPr>
        <w:spacing w:line="490" w:lineRule="exact"/>
        <w:ind w:firstLine="420" w:firstLineChars="200"/>
        <w:rPr>
          <w:rFonts w:hint="eastAsia" w:ascii="仿宋" w:hAnsi="仿宋" w:eastAsia="仿宋" w:cs="仿宋"/>
          <w:color w:val="000000"/>
          <w:szCs w:val="21"/>
        </w:rPr>
      </w:pPr>
    </w:p>
    <w:p>
      <w:pPr>
        <w:spacing w:line="490" w:lineRule="exact"/>
        <w:ind w:firstLine="5827" w:firstLineChars="2775"/>
        <w:rPr>
          <w:rFonts w:hint="eastAsia" w:ascii="仿宋" w:hAnsi="仿宋" w:eastAsia="仿宋" w:cs="仿宋"/>
          <w:color w:val="000000"/>
          <w:szCs w:val="21"/>
        </w:rPr>
      </w:pP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年</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月</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日</w:t>
      </w:r>
    </w:p>
    <w:p>
      <w:pPr>
        <w:pStyle w:val="32"/>
        <w:spacing w:line="490" w:lineRule="exact"/>
        <w:ind w:left="420" w:hanging="420"/>
        <w:outlineLvl w:val="3"/>
        <w:rPr>
          <w:rFonts w:eastAsia="黑体"/>
          <w:bCs/>
          <w:color w:val="000000"/>
          <w:sz w:val="28"/>
          <w:szCs w:val="20"/>
        </w:rPr>
      </w:pPr>
      <w:r>
        <w:rPr>
          <w:rFonts w:hint="eastAsia" w:ascii="仿宋" w:hAnsi="仿宋" w:eastAsia="仿宋" w:cs="仿宋"/>
          <w:color w:val="000000"/>
          <w:szCs w:val="21"/>
        </w:rPr>
        <w:br w:type="page"/>
      </w:r>
      <w:bookmarkStart w:id="812" w:name="_Toc511317981"/>
      <w:bookmarkStart w:id="813" w:name="_Toc511317232"/>
      <w:r>
        <w:rPr>
          <w:rFonts w:eastAsia="黑体"/>
          <w:bCs/>
          <w:color w:val="000000"/>
          <w:sz w:val="28"/>
          <w:szCs w:val="20"/>
        </w:rPr>
        <w:t>附件3：评标表格</w:t>
      </w:r>
      <w:bookmarkEnd w:id="812"/>
      <w:bookmarkEnd w:id="813"/>
    </w:p>
    <w:p>
      <w:pPr>
        <w:pStyle w:val="32"/>
        <w:spacing w:line="490" w:lineRule="exact"/>
        <w:ind w:left="560" w:hanging="560"/>
        <w:outlineLvl w:val="4"/>
        <w:rPr>
          <w:rFonts w:eastAsia="黑体"/>
          <w:bCs/>
          <w:color w:val="000000"/>
          <w:sz w:val="28"/>
          <w:szCs w:val="20"/>
        </w:rPr>
      </w:pPr>
      <w:bookmarkStart w:id="814" w:name="_Toc511317233"/>
      <w:bookmarkStart w:id="815" w:name="_Toc511317982"/>
      <w:r>
        <w:rPr>
          <w:rFonts w:eastAsia="黑体"/>
          <w:bCs/>
          <w:color w:val="000000"/>
          <w:sz w:val="28"/>
          <w:szCs w:val="20"/>
        </w:rPr>
        <w:t>附表3-1：基本情况和数据表</w:t>
      </w:r>
      <w:bookmarkEnd w:id="814"/>
      <w:bookmarkEnd w:id="815"/>
    </w:p>
    <w:p>
      <w:pPr>
        <w:spacing w:line="490" w:lineRule="exact"/>
        <w:rPr>
          <w:rFonts w:hint="eastAsia" w:ascii="黑体" w:hAnsi="黑体" w:eastAsia="黑体" w:cs="黑体"/>
          <w:color w:val="000000"/>
          <w:sz w:val="20"/>
        </w:rPr>
      </w:pPr>
    </w:p>
    <w:p>
      <w:pPr>
        <w:spacing w:line="490" w:lineRule="exact"/>
        <w:jc w:val="center"/>
        <w:rPr>
          <w:rFonts w:hint="eastAsia" w:ascii="方正小标宋简体" w:hAnsi="黑体" w:eastAsia="方正小标宋简体" w:cs="黑体"/>
          <w:color w:val="000000"/>
          <w:sz w:val="40"/>
        </w:rPr>
      </w:pPr>
      <w:r>
        <w:rPr>
          <w:rFonts w:hint="eastAsia" w:ascii="方正小标宋简体" w:hAnsi="黑体" w:eastAsia="方正小标宋简体" w:cs="黑体"/>
          <w:color w:val="000000"/>
          <w:sz w:val="40"/>
        </w:rPr>
        <w:t>基本情况和数据表</w:t>
      </w:r>
    </w:p>
    <w:p>
      <w:pPr>
        <w:spacing w:line="600" w:lineRule="exact"/>
        <w:rPr>
          <w:color w:val="000000"/>
        </w:rPr>
      </w:pPr>
    </w:p>
    <w:p>
      <w:pPr>
        <w:spacing w:line="600" w:lineRule="exact"/>
        <w:rPr>
          <w:rFonts w:hint="eastAsia" w:ascii="仿宋" w:hAnsi="仿宋" w:eastAsia="仿宋" w:cs="仿宋"/>
          <w:color w:val="000000"/>
          <w:sz w:val="28"/>
        </w:rPr>
      </w:pPr>
      <w:r>
        <w:rPr>
          <w:rFonts w:hint="eastAsia" w:ascii="仿宋" w:hAnsi="仿宋" w:eastAsia="仿宋" w:cs="仿宋"/>
          <w:color w:val="000000"/>
          <w:sz w:val="28"/>
        </w:rPr>
        <w:t>项目名称：</w:t>
      </w:r>
      <w:r>
        <w:rPr>
          <w:rFonts w:hint="eastAsia" w:ascii="仿宋" w:hAnsi="仿宋" w:eastAsia="仿宋" w:cs="仿宋"/>
          <w:color w:val="000000"/>
          <w:sz w:val="28"/>
          <w:u w:val="single"/>
        </w:rPr>
        <w:t xml:space="preserve">                   </w:t>
      </w:r>
      <w:r>
        <w:rPr>
          <w:rFonts w:hint="eastAsia" w:ascii="仿宋" w:hAnsi="仿宋" w:eastAsia="仿宋" w:cs="仿宋"/>
          <w:color w:val="000000"/>
          <w:sz w:val="28"/>
        </w:rPr>
        <w:t>（标段）</w:t>
      </w:r>
      <w:r>
        <w:rPr>
          <w:rFonts w:hint="eastAsia" w:ascii="仿宋" w:hAnsi="仿宋" w:eastAsia="仿宋" w:cs="仿宋"/>
          <w:color w:val="000000"/>
          <w:sz w:val="28"/>
          <w:u w:val="single"/>
        </w:rPr>
        <w:t xml:space="preserve">                      </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2121"/>
        <w:gridCol w:w="5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1049"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序号</w:t>
            </w:r>
          </w:p>
        </w:tc>
        <w:tc>
          <w:tcPr>
            <w:tcW w:w="2121"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名  称</w:t>
            </w:r>
          </w:p>
        </w:tc>
        <w:tc>
          <w:tcPr>
            <w:tcW w:w="5956"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049"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1</w:t>
            </w:r>
          </w:p>
        </w:tc>
        <w:tc>
          <w:tcPr>
            <w:tcW w:w="2121" w:type="dxa"/>
            <w:noWrap w:val="0"/>
            <w:vAlign w:val="center"/>
          </w:tcPr>
          <w:p>
            <w:pPr>
              <w:adjustRightInd w:val="0"/>
              <w:snapToGrid w:val="0"/>
              <w:jc w:val="center"/>
              <w:rPr>
                <w:rFonts w:hint="eastAsia" w:ascii="仿宋" w:hAnsi="仿宋" w:eastAsia="仿宋" w:cs="仿宋"/>
                <w:color w:val="000000"/>
              </w:rPr>
            </w:pPr>
            <w:r>
              <w:rPr>
                <w:rFonts w:hint="eastAsia" w:ascii="仿宋" w:hAnsi="仿宋" w:eastAsia="仿宋" w:cs="仿宋"/>
                <w:color w:val="000000"/>
              </w:rPr>
              <w:t>项目名称</w:t>
            </w:r>
          </w:p>
        </w:tc>
        <w:tc>
          <w:tcPr>
            <w:tcW w:w="5956" w:type="dxa"/>
            <w:noWrap w:val="0"/>
            <w:vAlign w:val="center"/>
          </w:tcPr>
          <w:p>
            <w:pPr>
              <w:snapToGrid w:val="0"/>
              <w:jc w:val="left"/>
              <w:rPr>
                <w:rFonts w:hint="eastAsia" w:ascii="仿宋" w:hAnsi="仿宋" w:eastAsia="仿宋" w:cs="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049"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w:t>
            </w:r>
          </w:p>
        </w:tc>
        <w:tc>
          <w:tcPr>
            <w:tcW w:w="2121" w:type="dxa"/>
            <w:noWrap w:val="0"/>
            <w:vAlign w:val="center"/>
          </w:tcPr>
          <w:p>
            <w:pPr>
              <w:adjustRightInd w:val="0"/>
              <w:snapToGrid w:val="0"/>
              <w:jc w:val="center"/>
              <w:rPr>
                <w:rFonts w:hint="eastAsia" w:ascii="仿宋" w:hAnsi="仿宋" w:eastAsia="仿宋" w:cs="仿宋"/>
                <w:color w:val="000000"/>
              </w:rPr>
            </w:pPr>
            <w:r>
              <w:rPr>
                <w:rFonts w:hint="eastAsia" w:ascii="仿宋" w:hAnsi="仿宋" w:eastAsia="仿宋" w:cs="仿宋"/>
                <w:color w:val="000000"/>
              </w:rPr>
              <w:t>建设地点</w:t>
            </w:r>
          </w:p>
        </w:tc>
        <w:tc>
          <w:tcPr>
            <w:tcW w:w="5956" w:type="dxa"/>
            <w:noWrap w:val="0"/>
            <w:vAlign w:val="center"/>
          </w:tcPr>
          <w:p>
            <w:pPr>
              <w:snapToGrid w:val="0"/>
              <w:rPr>
                <w:rFonts w:hint="eastAsia" w:ascii="仿宋" w:hAnsi="仿宋" w:eastAsia="仿宋" w:cs="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049"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3</w:t>
            </w:r>
          </w:p>
        </w:tc>
        <w:tc>
          <w:tcPr>
            <w:tcW w:w="2121" w:type="dxa"/>
            <w:noWrap w:val="0"/>
            <w:vAlign w:val="center"/>
          </w:tcPr>
          <w:p>
            <w:pPr>
              <w:adjustRightInd w:val="0"/>
              <w:snapToGrid w:val="0"/>
              <w:jc w:val="center"/>
              <w:rPr>
                <w:rFonts w:hint="eastAsia" w:ascii="仿宋" w:hAnsi="仿宋" w:eastAsia="仿宋" w:cs="仿宋"/>
                <w:color w:val="000000"/>
              </w:rPr>
            </w:pPr>
            <w:r>
              <w:rPr>
                <w:rFonts w:hint="eastAsia" w:ascii="仿宋" w:hAnsi="仿宋" w:eastAsia="仿宋" w:cs="仿宋"/>
                <w:color w:val="000000"/>
              </w:rPr>
              <w:t>招标范围</w:t>
            </w:r>
          </w:p>
        </w:tc>
        <w:tc>
          <w:tcPr>
            <w:tcW w:w="5956" w:type="dxa"/>
            <w:noWrap w:val="0"/>
            <w:vAlign w:val="center"/>
          </w:tcPr>
          <w:p>
            <w:pPr>
              <w:snapToGrid w:val="0"/>
              <w:rPr>
                <w:rFonts w:hint="eastAsia" w:ascii="仿宋" w:hAnsi="仿宋" w:eastAsia="仿宋" w:cs="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049"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4</w:t>
            </w:r>
          </w:p>
        </w:tc>
        <w:tc>
          <w:tcPr>
            <w:tcW w:w="2121" w:type="dxa"/>
            <w:noWrap w:val="0"/>
            <w:vAlign w:val="center"/>
          </w:tcPr>
          <w:p>
            <w:pPr>
              <w:jc w:val="center"/>
              <w:rPr>
                <w:rFonts w:hint="eastAsia" w:ascii="仿宋" w:hAnsi="仿宋" w:eastAsia="仿宋" w:cs="仿宋"/>
                <w:color w:val="000000"/>
              </w:rPr>
            </w:pPr>
            <w:r>
              <w:rPr>
                <w:rFonts w:hint="eastAsia" w:ascii="仿宋" w:hAnsi="仿宋" w:eastAsia="仿宋" w:cs="仿宋"/>
                <w:color w:val="000000"/>
              </w:rPr>
              <w:t>资金来源</w:t>
            </w:r>
          </w:p>
        </w:tc>
        <w:tc>
          <w:tcPr>
            <w:tcW w:w="5956" w:type="dxa"/>
            <w:noWrap w:val="0"/>
            <w:vAlign w:val="center"/>
          </w:tcPr>
          <w:p>
            <w:pPr>
              <w:snapToGrid w:val="0"/>
              <w:rPr>
                <w:rFonts w:hint="eastAsia" w:ascii="仿宋" w:hAnsi="仿宋" w:eastAsia="仿宋" w:cs="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049"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5</w:t>
            </w:r>
          </w:p>
        </w:tc>
        <w:tc>
          <w:tcPr>
            <w:tcW w:w="2121" w:type="dxa"/>
            <w:noWrap w:val="0"/>
            <w:vAlign w:val="center"/>
          </w:tcPr>
          <w:p>
            <w:pPr>
              <w:jc w:val="center"/>
              <w:rPr>
                <w:rFonts w:hint="eastAsia" w:ascii="仿宋" w:hAnsi="仿宋" w:eastAsia="仿宋" w:cs="仿宋"/>
                <w:color w:val="000000"/>
              </w:rPr>
            </w:pPr>
            <w:r>
              <w:rPr>
                <w:rFonts w:hint="eastAsia" w:ascii="仿宋" w:hAnsi="仿宋" w:eastAsia="仿宋" w:cs="仿宋"/>
                <w:color w:val="000000"/>
              </w:rPr>
              <w:t>计划工期</w:t>
            </w:r>
          </w:p>
        </w:tc>
        <w:tc>
          <w:tcPr>
            <w:tcW w:w="5956" w:type="dxa"/>
            <w:noWrap w:val="0"/>
            <w:vAlign w:val="center"/>
          </w:tcPr>
          <w:p>
            <w:pPr>
              <w:snapToGrid w:val="0"/>
              <w:rPr>
                <w:rFonts w:hint="eastAsia" w:ascii="仿宋" w:hAnsi="仿宋" w:eastAsia="仿宋" w:cs="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049"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6</w:t>
            </w:r>
          </w:p>
        </w:tc>
        <w:tc>
          <w:tcPr>
            <w:tcW w:w="2121" w:type="dxa"/>
            <w:noWrap w:val="0"/>
            <w:vAlign w:val="center"/>
          </w:tcPr>
          <w:p>
            <w:pPr>
              <w:adjustRightInd w:val="0"/>
              <w:snapToGrid w:val="0"/>
              <w:jc w:val="center"/>
              <w:rPr>
                <w:rFonts w:hint="eastAsia" w:ascii="仿宋" w:hAnsi="仿宋" w:eastAsia="仿宋" w:cs="仿宋"/>
                <w:color w:val="000000"/>
              </w:rPr>
            </w:pPr>
            <w:r>
              <w:rPr>
                <w:rFonts w:hint="eastAsia" w:ascii="仿宋" w:hAnsi="仿宋" w:eastAsia="仿宋" w:cs="仿宋"/>
                <w:color w:val="000000"/>
              </w:rPr>
              <w:t>要求工程质量</w:t>
            </w:r>
          </w:p>
        </w:tc>
        <w:tc>
          <w:tcPr>
            <w:tcW w:w="5956" w:type="dxa"/>
            <w:noWrap w:val="0"/>
            <w:vAlign w:val="center"/>
          </w:tcPr>
          <w:p>
            <w:pPr>
              <w:snapToGrid w:val="0"/>
              <w:rPr>
                <w:rFonts w:hint="eastAsia" w:ascii="仿宋" w:hAnsi="仿宋" w:eastAsia="仿宋" w:cs="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049"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7</w:t>
            </w:r>
          </w:p>
        </w:tc>
        <w:tc>
          <w:tcPr>
            <w:tcW w:w="2121" w:type="dxa"/>
            <w:noWrap w:val="0"/>
            <w:vAlign w:val="center"/>
          </w:tcPr>
          <w:p>
            <w:pPr>
              <w:jc w:val="center"/>
              <w:rPr>
                <w:rFonts w:hint="eastAsia" w:ascii="仿宋" w:hAnsi="仿宋" w:eastAsia="仿宋" w:cs="仿宋"/>
                <w:color w:val="000000"/>
              </w:rPr>
            </w:pPr>
            <w:r>
              <w:rPr>
                <w:rFonts w:hint="eastAsia" w:ascii="仿宋" w:hAnsi="仿宋" w:eastAsia="仿宋" w:cs="仿宋"/>
                <w:color w:val="000000"/>
              </w:rPr>
              <w:t>招标方式</w:t>
            </w:r>
          </w:p>
        </w:tc>
        <w:tc>
          <w:tcPr>
            <w:tcW w:w="5956" w:type="dxa"/>
            <w:noWrap w:val="0"/>
            <w:vAlign w:val="center"/>
          </w:tcPr>
          <w:p>
            <w:pPr>
              <w:snapToGrid w:val="0"/>
              <w:rPr>
                <w:rFonts w:hint="eastAsia" w:ascii="仿宋" w:hAnsi="仿宋" w:eastAsia="仿宋" w:cs="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049"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8</w:t>
            </w:r>
          </w:p>
        </w:tc>
        <w:tc>
          <w:tcPr>
            <w:tcW w:w="2121" w:type="dxa"/>
            <w:noWrap w:val="0"/>
            <w:vAlign w:val="center"/>
          </w:tcPr>
          <w:p>
            <w:pPr>
              <w:jc w:val="center"/>
              <w:rPr>
                <w:rFonts w:hint="eastAsia" w:ascii="仿宋" w:hAnsi="仿宋" w:eastAsia="仿宋" w:cs="仿宋"/>
                <w:color w:val="000000"/>
              </w:rPr>
            </w:pPr>
            <w:r>
              <w:rPr>
                <w:rFonts w:hint="eastAsia" w:ascii="仿宋" w:hAnsi="仿宋" w:eastAsia="仿宋" w:cs="仿宋"/>
                <w:color w:val="000000"/>
              </w:rPr>
              <w:t>投标文件递交地点</w:t>
            </w:r>
          </w:p>
        </w:tc>
        <w:tc>
          <w:tcPr>
            <w:tcW w:w="5956" w:type="dxa"/>
            <w:noWrap w:val="0"/>
            <w:vAlign w:val="center"/>
          </w:tcPr>
          <w:p>
            <w:pPr>
              <w:snapToGrid w:val="0"/>
              <w:rPr>
                <w:rFonts w:hint="eastAsia" w:ascii="仿宋" w:hAnsi="仿宋" w:eastAsia="仿宋" w:cs="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049"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9</w:t>
            </w:r>
          </w:p>
        </w:tc>
        <w:tc>
          <w:tcPr>
            <w:tcW w:w="2121" w:type="dxa"/>
            <w:noWrap w:val="0"/>
            <w:vAlign w:val="center"/>
          </w:tcPr>
          <w:p>
            <w:pPr>
              <w:jc w:val="center"/>
              <w:rPr>
                <w:rFonts w:hint="eastAsia" w:ascii="仿宋" w:hAnsi="仿宋" w:eastAsia="仿宋" w:cs="仿宋"/>
                <w:color w:val="000000"/>
              </w:rPr>
            </w:pPr>
            <w:r>
              <w:rPr>
                <w:rFonts w:hint="eastAsia" w:ascii="仿宋" w:hAnsi="仿宋" w:eastAsia="仿宋" w:cs="仿宋"/>
                <w:color w:val="000000"/>
              </w:rPr>
              <w:t>投标截止时间</w:t>
            </w:r>
          </w:p>
        </w:tc>
        <w:tc>
          <w:tcPr>
            <w:tcW w:w="5956" w:type="dxa"/>
            <w:noWrap w:val="0"/>
            <w:vAlign w:val="center"/>
          </w:tcPr>
          <w:p>
            <w:pPr>
              <w:snapToGrid w:val="0"/>
              <w:jc w:val="left"/>
              <w:rPr>
                <w:rFonts w:hint="eastAsia" w:ascii="仿宋" w:hAnsi="仿宋" w:eastAsia="仿宋" w:cs="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049"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10</w:t>
            </w:r>
          </w:p>
        </w:tc>
        <w:tc>
          <w:tcPr>
            <w:tcW w:w="2121" w:type="dxa"/>
            <w:noWrap w:val="0"/>
            <w:vAlign w:val="center"/>
          </w:tcPr>
          <w:p>
            <w:pPr>
              <w:jc w:val="center"/>
              <w:rPr>
                <w:rFonts w:hint="eastAsia" w:ascii="仿宋" w:hAnsi="仿宋" w:eastAsia="仿宋" w:cs="仿宋"/>
                <w:color w:val="000000"/>
              </w:rPr>
            </w:pPr>
            <w:r>
              <w:rPr>
                <w:rFonts w:hint="eastAsia" w:ascii="仿宋" w:hAnsi="仿宋" w:eastAsia="仿宋" w:cs="仿宋"/>
                <w:color w:val="000000"/>
              </w:rPr>
              <w:t>收到投标文件数量</w:t>
            </w:r>
          </w:p>
        </w:tc>
        <w:tc>
          <w:tcPr>
            <w:tcW w:w="5956" w:type="dxa"/>
            <w:noWrap w:val="0"/>
            <w:vAlign w:val="center"/>
          </w:tcPr>
          <w:p>
            <w:pPr>
              <w:snapToGrid w:val="0"/>
              <w:jc w:val="left"/>
              <w:rPr>
                <w:rFonts w:hint="eastAsia" w:ascii="仿宋" w:hAnsi="仿宋" w:eastAsia="仿宋" w:cs="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049"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11</w:t>
            </w:r>
          </w:p>
        </w:tc>
        <w:tc>
          <w:tcPr>
            <w:tcW w:w="2121" w:type="dxa"/>
            <w:noWrap w:val="0"/>
            <w:vAlign w:val="center"/>
          </w:tcPr>
          <w:p>
            <w:pPr>
              <w:jc w:val="center"/>
              <w:rPr>
                <w:rFonts w:hint="eastAsia" w:ascii="仿宋" w:hAnsi="仿宋" w:eastAsia="仿宋" w:cs="仿宋"/>
                <w:color w:val="000000"/>
              </w:rPr>
            </w:pPr>
            <w:r>
              <w:rPr>
                <w:rFonts w:hint="eastAsia" w:ascii="仿宋" w:hAnsi="仿宋" w:eastAsia="仿宋" w:cs="仿宋"/>
                <w:color w:val="000000"/>
              </w:rPr>
              <w:t>开标时间</w:t>
            </w:r>
          </w:p>
          <w:p>
            <w:pPr>
              <w:adjustRightInd w:val="0"/>
              <w:snapToGrid w:val="0"/>
              <w:jc w:val="center"/>
              <w:rPr>
                <w:rFonts w:hint="eastAsia" w:ascii="仿宋" w:hAnsi="仿宋" w:eastAsia="仿宋" w:cs="仿宋"/>
                <w:color w:val="000000"/>
              </w:rPr>
            </w:pPr>
            <w:r>
              <w:rPr>
                <w:rFonts w:hint="eastAsia" w:ascii="仿宋" w:hAnsi="仿宋" w:eastAsia="仿宋" w:cs="仿宋"/>
                <w:color w:val="000000"/>
              </w:rPr>
              <w:t>开标地址</w:t>
            </w:r>
          </w:p>
        </w:tc>
        <w:tc>
          <w:tcPr>
            <w:tcW w:w="5956" w:type="dxa"/>
            <w:noWrap w:val="0"/>
            <w:vAlign w:val="center"/>
          </w:tcPr>
          <w:p>
            <w:pPr>
              <w:snapToGrid w:val="0"/>
              <w:jc w:val="left"/>
              <w:rPr>
                <w:rFonts w:hint="eastAsia" w:ascii="仿宋" w:hAnsi="仿宋" w:eastAsia="仿宋" w:cs="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049"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12</w:t>
            </w:r>
          </w:p>
        </w:tc>
        <w:tc>
          <w:tcPr>
            <w:tcW w:w="2121" w:type="dxa"/>
            <w:noWrap w:val="0"/>
            <w:vAlign w:val="center"/>
          </w:tcPr>
          <w:p>
            <w:pPr>
              <w:adjustRightInd w:val="0"/>
              <w:snapToGrid w:val="0"/>
              <w:jc w:val="center"/>
              <w:rPr>
                <w:rFonts w:hint="eastAsia" w:ascii="仿宋" w:hAnsi="仿宋" w:eastAsia="仿宋" w:cs="仿宋"/>
                <w:color w:val="000000"/>
              </w:rPr>
            </w:pPr>
            <w:r>
              <w:rPr>
                <w:rFonts w:hint="eastAsia" w:ascii="仿宋" w:hAnsi="仿宋" w:eastAsia="仿宋" w:cs="仿宋"/>
                <w:color w:val="000000"/>
              </w:rPr>
              <w:t>投标担保</w:t>
            </w:r>
          </w:p>
        </w:tc>
        <w:tc>
          <w:tcPr>
            <w:tcW w:w="5956" w:type="dxa"/>
            <w:noWrap w:val="0"/>
            <w:vAlign w:val="center"/>
          </w:tcPr>
          <w:p>
            <w:pPr>
              <w:snapToGrid w:val="0"/>
              <w:rPr>
                <w:rFonts w:hint="eastAsia" w:ascii="仿宋" w:hAnsi="仿宋" w:eastAsia="仿宋" w:cs="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049"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13</w:t>
            </w:r>
          </w:p>
        </w:tc>
        <w:tc>
          <w:tcPr>
            <w:tcW w:w="2121" w:type="dxa"/>
            <w:noWrap w:val="0"/>
            <w:vAlign w:val="center"/>
          </w:tcPr>
          <w:p>
            <w:pPr>
              <w:adjustRightInd w:val="0"/>
              <w:snapToGrid w:val="0"/>
              <w:jc w:val="center"/>
              <w:rPr>
                <w:rFonts w:hint="eastAsia" w:ascii="仿宋" w:hAnsi="仿宋" w:eastAsia="仿宋" w:cs="仿宋"/>
                <w:color w:val="000000"/>
              </w:rPr>
            </w:pPr>
            <w:r>
              <w:rPr>
                <w:rFonts w:hint="eastAsia" w:ascii="仿宋" w:hAnsi="仿宋" w:eastAsia="仿宋" w:cs="仿宋"/>
                <w:color w:val="000000"/>
              </w:rPr>
              <w:t>投标有效期</w:t>
            </w:r>
          </w:p>
        </w:tc>
        <w:tc>
          <w:tcPr>
            <w:tcW w:w="5956" w:type="dxa"/>
            <w:noWrap w:val="0"/>
            <w:vAlign w:val="center"/>
          </w:tcPr>
          <w:p>
            <w:pPr>
              <w:snapToGrid w:val="0"/>
              <w:rPr>
                <w:rFonts w:hint="eastAsia" w:ascii="仿宋" w:hAnsi="仿宋" w:eastAsia="仿宋" w:cs="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049"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14</w:t>
            </w:r>
          </w:p>
        </w:tc>
        <w:tc>
          <w:tcPr>
            <w:tcW w:w="2121" w:type="dxa"/>
            <w:noWrap w:val="0"/>
            <w:vAlign w:val="center"/>
          </w:tcPr>
          <w:p>
            <w:pPr>
              <w:adjustRightInd w:val="0"/>
              <w:snapToGrid w:val="0"/>
              <w:ind w:left="2520" w:hanging="2520"/>
              <w:jc w:val="center"/>
              <w:rPr>
                <w:rFonts w:hint="eastAsia" w:ascii="仿宋" w:hAnsi="仿宋" w:eastAsia="仿宋" w:cs="仿宋"/>
                <w:color w:val="000000"/>
              </w:rPr>
            </w:pPr>
            <w:r>
              <w:rPr>
                <w:rFonts w:hint="eastAsia" w:ascii="仿宋" w:hAnsi="仿宋" w:eastAsia="仿宋" w:cs="仿宋"/>
                <w:color w:val="000000"/>
              </w:rPr>
              <w:t>评标办法</w:t>
            </w:r>
          </w:p>
        </w:tc>
        <w:tc>
          <w:tcPr>
            <w:tcW w:w="5956" w:type="dxa"/>
            <w:noWrap w:val="0"/>
            <w:vAlign w:val="center"/>
          </w:tcPr>
          <w:p>
            <w:pPr>
              <w:snapToGrid w:val="0"/>
              <w:rPr>
                <w:rFonts w:hint="eastAsia" w:ascii="仿宋" w:hAnsi="仿宋" w:eastAsia="仿宋" w:cs="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049"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15</w:t>
            </w:r>
          </w:p>
        </w:tc>
        <w:tc>
          <w:tcPr>
            <w:tcW w:w="2121" w:type="dxa"/>
            <w:noWrap w:val="0"/>
            <w:vAlign w:val="center"/>
          </w:tcPr>
          <w:p>
            <w:pPr>
              <w:jc w:val="center"/>
              <w:rPr>
                <w:rFonts w:hint="eastAsia" w:ascii="仿宋" w:hAnsi="仿宋" w:eastAsia="仿宋" w:cs="仿宋"/>
                <w:color w:val="000000"/>
              </w:rPr>
            </w:pPr>
            <w:r>
              <w:rPr>
                <w:rFonts w:hint="eastAsia" w:ascii="仿宋" w:hAnsi="仿宋" w:eastAsia="仿宋" w:cs="仿宋"/>
                <w:color w:val="000000"/>
              </w:rPr>
              <w:t>支付方式</w:t>
            </w:r>
          </w:p>
        </w:tc>
        <w:tc>
          <w:tcPr>
            <w:tcW w:w="5956" w:type="dxa"/>
            <w:noWrap w:val="0"/>
            <w:vAlign w:val="center"/>
          </w:tcPr>
          <w:p>
            <w:pPr>
              <w:snapToGrid w:val="0"/>
              <w:rPr>
                <w:rFonts w:hint="eastAsia" w:ascii="仿宋" w:hAnsi="仿宋" w:eastAsia="仿宋" w:cs="仿宋"/>
                <w:color w:val="000000"/>
              </w:rPr>
            </w:pPr>
          </w:p>
        </w:tc>
      </w:tr>
    </w:tbl>
    <w:p>
      <w:pPr>
        <w:snapToGrid w:val="0"/>
        <w:spacing w:line="360" w:lineRule="auto"/>
        <w:rPr>
          <w:color w:val="000000"/>
          <w:kern w:val="0"/>
        </w:rPr>
      </w:pPr>
    </w:p>
    <w:p>
      <w:pPr>
        <w:snapToGrid w:val="0"/>
        <w:spacing w:line="360" w:lineRule="auto"/>
        <w:rPr>
          <w:color w:val="000000"/>
          <w:kern w:val="0"/>
        </w:rPr>
      </w:pPr>
    </w:p>
    <w:p>
      <w:pPr>
        <w:pStyle w:val="32"/>
        <w:spacing w:line="490" w:lineRule="exact"/>
        <w:ind w:left="420" w:hanging="420"/>
        <w:outlineLvl w:val="4"/>
        <w:rPr>
          <w:rFonts w:eastAsia="黑体"/>
          <w:bCs/>
          <w:color w:val="000000"/>
          <w:sz w:val="28"/>
          <w:szCs w:val="20"/>
        </w:rPr>
      </w:pPr>
      <w:r>
        <w:rPr>
          <w:color w:val="000000"/>
          <w:kern w:val="0"/>
        </w:rPr>
        <w:br w:type="page"/>
      </w:r>
      <w:bookmarkStart w:id="816" w:name="_Toc511317983"/>
      <w:bookmarkStart w:id="817" w:name="_Toc511317234"/>
      <w:r>
        <w:rPr>
          <w:rFonts w:eastAsia="黑体"/>
          <w:bCs/>
          <w:color w:val="000000"/>
          <w:sz w:val="28"/>
          <w:szCs w:val="20"/>
        </w:rPr>
        <w:t>附表3-2：评标委员会签到表</w:t>
      </w:r>
      <w:bookmarkEnd w:id="816"/>
      <w:bookmarkEnd w:id="817"/>
    </w:p>
    <w:p>
      <w:pPr>
        <w:spacing w:line="490" w:lineRule="exact"/>
        <w:jc w:val="center"/>
        <w:rPr>
          <w:rFonts w:eastAsia="方正小标宋_GBK"/>
          <w:b/>
          <w:color w:val="000000"/>
          <w:sz w:val="40"/>
        </w:rPr>
      </w:pPr>
    </w:p>
    <w:p>
      <w:pPr>
        <w:spacing w:line="490" w:lineRule="exact"/>
        <w:jc w:val="center"/>
        <w:rPr>
          <w:rFonts w:hint="eastAsia" w:ascii="方正小标宋简体" w:eastAsia="方正小标宋简体"/>
          <w:color w:val="000000"/>
          <w:sz w:val="40"/>
        </w:rPr>
      </w:pPr>
      <w:r>
        <w:rPr>
          <w:rFonts w:hint="eastAsia" w:ascii="方正小标宋简体" w:eastAsia="方正小标宋简体"/>
          <w:color w:val="000000"/>
          <w:sz w:val="40"/>
        </w:rPr>
        <w:t>评标委员会签到表</w:t>
      </w:r>
    </w:p>
    <w:p>
      <w:pPr>
        <w:spacing w:line="490" w:lineRule="exact"/>
        <w:jc w:val="center"/>
        <w:rPr>
          <w:rFonts w:eastAsia="方正小标宋_GBK"/>
          <w:b/>
          <w:color w:val="000000"/>
          <w:sz w:val="40"/>
        </w:rPr>
      </w:pPr>
    </w:p>
    <w:p>
      <w:pPr>
        <w:snapToGrid w:val="0"/>
        <w:spacing w:line="600" w:lineRule="exact"/>
        <w:rPr>
          <w:rFonts w:hint="eastAsia" w:ascii="仿宋" w:hAnsi="仿宋" w:eastAsia="仿宋" w:cs="仿宋"/>
          <w:color w:val="000000"/>
          <w:sz w:val="28"/>
          <w:szCs w:val="28"/>
          <w:u w:val="single"/>
        </w:rPr>
      </w:pPr>
      <w:r>
        <w:rPr>
          <w:rFonts w:hint="eastAsia" w:ascii="仿宋" w:hAnsi="仿宋" w:eastAsia="仿宋" w:cs="仿宋"/>
          <w:color w:val="000000"/>
          <w:sz w:val="28"/>
          <w:szCs w:val="28"/>
        </w:rPr>
        <w:t>项目名称：</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（标段）</w:t>
      </w:r>
      <w:r>
        <w:rPr>
          <w:rFonts w:hint="eastAsia" w:ascii="仿宋" w:hAnsi="仿宋" w:eastAsia="仿宋" w:cs="仿宋"/>
          <w:color w:val="000000"/>
          <w:sz w:val="28"/>
          <w:szCs w:val="28"/>
          <w:u w:val="single"/>
        </w:rPr>
        <w:t xml:space="preserve">                    </w:t>
      </w:r>
    </w:p>
    <w:p>
      <w:pPr>
        <w:snapToGrid w:val="0"/>
        <w:spacing w:line="600" w:lineRule="exact"/>
        <w:rPr>
          <w:rFonts w:hint="eastAsia" w:ascii="仿宋" w:hAnsi="仿宋" w:eastAsia="仿宋" w:cs="仿宋"/>
          <w:color w:val="000000"/>
          <w:sz w:val="28"/>
          <w:szCs w:val="28"/>
        </w:rPr>
      </w:pPr>
      <w:r>
        <w:rPr>
          <w:rFonts w:hint="eastAsia" w:ascii="仿宋" w:hAnsi="仿宋" w:eastAsia="仿宋" w:cs="仿宋"/>
          <w:color w:val="000000"/>
          <w:sz w:val="28"/>
          <w:szCs w:val="28"/>
        </w:rPr>
        <w:t>评标时间：</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年</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月</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日</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900"/>
        <w:gridCol w:w="2251"/>
        <w:gridCol w:w="1327"/>
        <w:gridCol w:w="1327"/>
        <w:gridCol w:w="1327"/>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827"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序号</w:t>
            </w:r>
          </w:p>
        </w:tc>
        <w:tc>
          <w:tcPr>
            <w:tcW w:w="900" w:type="dxa"/>
            <w:noWrap w:val="0"/>
            <w:vAlign w:val="center"/>
          </w:tcPr>
          <w:p>
            <w:pPr>
              <w:jc w:val="center"/>
              <w:rPr>
                <w:rFonts w:hint="eastAsia" w:ascii="仿宋" w:hAnsi="仿宋" w:eastAsia="仿宋" w:cs="仿宋"/>
                <w:color w:val="000000"/>
              </w:rPr>
            </w:pPr>
            <w:r>
              <w:rPr>
                <w:rFonts w:hint="eastAsia" w:ascii="仿宋" w:hAnsi="仿宋" w:eastAsia="仿宋" w:cs="仿宋"/>
                <w:color w:val="000000"/>
              </w:rPr>
              <w:t>姓名</w:t>
            </w:r>
          </w:p>
        </w:tc>
        <w:tc>
          <w:tcPr>
            <w:tcW w:w="2251" w:type="dxa"/>
            <w:noWrap w:val="0"/>
            <w:vAlign w:val="center"/>
          </w:tcPr>
          <w:p>
            <w:pPr>
              <w:jc w:val="center"/>
              <w:rPr>
                <w:rFonts w:hint="eastAsia" w:ascii="仿宋" w:hAnsi="仿宋" w:eastAsia="仿宋" w:cs="仿宋"/>
                <w:color w:val="000000"/>
              </w:rPr>
            </w:pPr>
            <w:r>
              <w:rPr>
                <w:rFonts w:hint="eastAsia" w:ascii="仿宋" w:hAnsi="仿宋" w:eastAsia="仿宋" w:cs="仿宋"/>
                <w:color w:val="000000"/>
              </w:rPr>
              <w:t>工作单位</w:t>
            </w:r>
          </w:p>
        </w:tc>
        <w:tc>
          <w:tcPr>
            <w:tcW w:w="1327" w:type="dxa"/>
            <w:noWrap w:val="0"/>
            <w:vAlign w:val="center"/>
          </w:tcPr>
          <w:p>
            <w:pPr>
              <w:jc w:val="center"/>
              <w:rPr>
                <w:rFonts w:hint="eastAsia" w:ascii="仿宋" w:hAnsi="仿宋" w:eastAsia="仿宋" w:cs="仿宋"/>
                <w:color w:val="000000"/>
              </w:rPr>
            </w:pPr>
            <w:r>
              <w:rPr>
                <w:rFonts w:hint="eastAsia" w:ascii="仿宋" w:hAnsi="仿宋" w:eastAsia="仿宋" w:cs="仿宋"/>
                <w:color w:val="000000"/>
              </w:rPr>
              <w:t>职称</w:t>
            </w:r>
          </w:p>
        </w:tc>
        <w:tc>
          <w:tcPr>
            <w:tcW w:w="1327" w:type="dxa"/>
            <w:noWrap w:val="0"/>
            <w:vAlign w:val="center"/>
          </w:tcPr>
          <w:p>
            <w:pPr>
              <w:jc w:val="center"/>
              <w:rPr>
                <w:rFonts w:hint="eastAsia" w:ascii="仿宋" w:hAnsi="仿宋" w:eastAsia="仿宋" w:cs="仿宋"/>
                <w:color w:val="000000"/>
              </w:rPr>
            </w:pPr>
            <w:r>
              <w:rPr>
                <w:rFonts w:hint="eastAsia" w:ascii="仿宋" w:hAnsi="仿宋" w:eastAsia="仿宋" w:cs="仿宋"/>
                <w:color w:val="000000"/>
              </w:rPr>
              <w:t>专业类别</w:t>
            </w:r>
          </w:p>
        </w:tc>
        <w:tc>
          <w:tcPr>
            <w:tcW w:w="1327" w:type="dxa"/>
            <w:noWrap w:val="0"/>
            <w:vAlign w:val="center"/>
          </w:tcPr>
          <w:p>
            <w:pPr>
              <w:jc w:val="center"/>
              <w:rPr>
                <w:rFonts w:hint="eastAsia" w:ascii="仿宋" w:hAnsi="仿宋" w:eastAsia="仿宋" w:cs="仿宋"/>
                <w:color w:val="000000"/>
              </w:rPr>
            </w:pPr>
            <w:r>
              <w:rPr>
                <w:rFonts w:hint="eastAsia" w:ascii="仿宋" w:hAnsi="仿宋" w:eastAsia="仿宋" w:cs="仿宋"/>
                <w:color w:val="000000"/>
              </w:rPr>
              <w:t>签到时间</w:t>
            </w:r>
          </w:p>
        </w:tc>
        <w:tc>
          <w:tcPr>
            <w:tcW w:w="1327"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827" w:type="dxa"/>
            <w:noWrap w:val="0"/>
            <w:vAlign w:val="center"/>
          </w:tcPr>
          <w:p>
            <w:pPr>
              <w:snapToGrid w:val="0"/>
              <w:ind w:left="1260" w:hanging="420"/>
              <w:jc w:val="center"/>
              <w:rPr>
                <w:rFonts w:hint="eastAsia" w:ascii="仿宋" w:hAnsi="仿宋" w:eastAsia="仿宋" w:cs="仿宋"/>
                <w:color w:val="000000"/>
              </w:rPr>
            </w:pPr>
          </w:p>
        </w:tc>
        <w:tc>
          <w:tcPr>
            <w:tcW w:w="900" w:type="dxa"/>
            <w:noWrap w:val="0"/>
            <w:vAlign w:val="center"/>
          </w:tcPr>
          <w:p>
            <w:pPr>
              <w:snapToGrid w:val="0"/>
              <w:ind w:left="1260" w:hanging="420"/>
              <w:jc w:val="center"/>
              <w:rPr>
                <w:rFonts w:hint="eastAsia" w:ascii="仿宋" w:hAnsi="仿宋" w:eastAsia="仿宋" w:cs="仿宋"/>
                <w:color w:val="000000"/>
              </w:rPr>
            </w:pPr>
          </w:p>
        </w:tc>
        <w:tc>
          <w:tcPr>
            <w:tcW w:w="2251"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827" w:type="dxa"/>
            <w:noWrap w:val="0"/>
            <w:vAlign w:val="center"/>
          </w:tcPr>
          <w:p>
            <w:pPr>
              <w:snapToGrid w:val="0"/>
              <w:ind w:left="1260" w:hanging="420"/>
              <w:jc w:val="center"/>
              <w:rPr>
                <w:rFonts w:hint="eastAsia" w:ascii="仿宋" w:hAnsi="仿宋" w:eastAsia="仿宋" w:cs="仿宋"/>
                <w:color w:val="000000"/>
              </w:rPr>
            </w:pPr>
          </w:p>
        </w:tc>
        <w:tc>
          <w:tcPr>
            <w:tcW w:w="900" w:type="dxa"/>
            <w:noWrap w:val="0"/>
            <w:vAlign w:val="center"/>
          </w:tcPr>
          <w:p>
            <w:pPr>
              <w:snapToGrid w:val="0"/>
              <w:ind w:left="1260" w:hanging="420"/>
              <w:jc w:val="center"/>
              <w:rPr>
                <w:rFonts w:hint="eastAsia" w:ascii="仿宋" w:hAnsi="仿宋" w:eastAsia="仿宋" w:cs="仿宋"/>
                <w:color w:val="000000"/>
              </w:rPr>
            </w:pPr>
          </w:p>
        </w:tc>
        <w:tc>
          <w:tcPr>
            <w:tcW w:w="2251"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827" w:type="dxa"/>
            <w:noWrap w:val="0"/>
            <w:vAlign w:val="center"/>
          </w:tcPr>
          <w:p>
            <w:pPr>
              <w:snapToGrid w:val="0"/>
              <w:ind w:left="1260" w:hanging="420"/>
              <w:jc w:val="center"/>
              <w:rPr>
                <w:rFonts w:hint="eastAsia" w:ascii="仿宋" w:hAnsi="仿宋" w:eastAsia="仿宋" w:cs="仿宋"/>
                <w:color w:val="000000"/>
              </w:rPr>
            </w:pPr>
          </w:p>
        </w:tc>
        <w:tc>
          <w:tcPr>
            <w:tcW w:w="900" w:type="dxa"/>
            <w:noWrap w:val="0"/>
            <w:vAlign w:val="center"/>
          </w:tcPr>
          <w:p>
            <w:pPr>
              <w:snapToGrid w:val="0"/>
              <w:ind w:left="1260" w:hanging="420"/>
              <w:jc w:val="center"/>
              <w:rPr>
                <w:rFonts w:hint="eastAsia" w:ascii="仿宋" w:hAnsi="仿宋" w:eastAsia="仿宋" w:cs="仿宋"/>
                <w:color w:val="000000"/>
              </w:rPr>
            </w:pPr>
          </w:p>
        </w:tc>
        <w:tc>
          <w:tcPr>
            <w:tcW w:w="2251"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827" w:type="dxa"/>
            <w:noWrap w:val="0"/>
            <w:vAlign w:val="center"/>
          </w:tcPr>
          <w:p>
            <w:pPr>
              <w:snapToGrid w:val="0"/>
              <w:ind w:left="1260" w:hanging="420"/>
              <w:jc w:val="center"/>
              <w:rPr>
                <w:rFonts w:hint="eastAsia" w:ascii="仿宋" w:hAnsi="仿宋" w:eastAsia="仿宋" w:cs="仿宋"/>
                <w:color w:val="000000"/>
              </w:rPr>
            </w:pPr>
          </w:p>
        </w:tc>
        <w:tc>
          <w:tcPr>
            <w:tcW w:w="900" w:type="dxa"/>
            <w:noWrap w:val="0"/>
            <w:vAlign w:val="center"/>
          </w:tcPr>
          <w:p>
            <w:pPr>
              <w:snapToGrid w:val="0"/>
              <w:ind w:left="1260" w:hanging="420"/>
              <w:jc w:val="center"/>
              <w:rPr>
                <w:rFonts w:hint="eastAsia" w:ascii="仿宋" w:hAnsi="仿宋" w:eastAsia="仿宋" w:cs="仿宋"/>
                <w:color w:val="000000"/>
              </w:rPr>
            </w:pPr>
          </w:p>
        </w:tc>
        <w:tc>
          <w:tcPr>
            <w:tcW w:w="2251"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827" w:type="dxa"/>
            <w:noWrap w:val="0"/>
            <w:vAlign w:val="center"/>
          </w:tcPr>
          <w:p>
            <w:pPr>
              <w:snapToGrid w:val="0"/>
              <w:ind w:left="1260" w:hanging="420"/>
              <w:jc w:val="center"/>
              <w:rPr>
                <w:rFonts w:hint="eastAsia" w:ascii="仿宋" w:hAnsi="仿宋" w:eastAsia="仿宋" w:cs="仿宋"/>
                <w:color w:val="000000"/>
              </w:rPr>
            </w:pPr>
          </w:p>
        </w:tc>
        <w:tc>
          <w:tcPr>
            <w:tcW w:w="900" w:type="dxa"/>
            <w:noWrap w:val="0"/>
            <w:vAlign w:val="center"/>
          </w:tcPr>
          <w:p>
            <w:pPr>
              <w:snapToGrid w:val="0"/>
              <w:ind w:left="1260" w:hanging="420"/>
              <w:jc w:val="center"/>
              <w:rPr>
                <w:rFonts w:hint="eastAsia" w:ascii="仿宋" w:hAnsi="仿宋" w:eastAsia="仿宋" w:cs="仿宋"/>
                <w:color w:val="000000"/>
              </w:rPr>
            </w:pPr>
          </w:p>
        </w:tc>
        <w:tc>
          <w:tcPr>
            <w:tcW w:w="2251"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827" w:type="dxa"/>
            <w:noWrap w:val="0"/>
            <w:vAlign w:val="center"/>
          </w:tcPr>
          <w:p>
            <w:pPr>
              <w:snapToGrid w:val="0"/>
              <w:ind w:left="1260" w:hanging="420"/>
              <w:jc w:val="center"/>
              <w:rPr>
                <w:rFonts w:hint="eastAsia" w:ascii="仿宋" w:hAnsi="仿宋" w:eastAsia="仿宋" w:cs="仿宋"/>
                <w:color w:val="000000"/>
              </w:rPr>
            </w:pPr>
          </w:p>
        </w:tc>
        <w:tc>
          <w:tcPr>
            <w:tcW w:w="900" w:type="dxa"/>
            <w:noWrap w:val="0"/>
            <w:vAlign w:val="center"/>
          </w:tcPr>
          <w:p>
            <w:pPr>
              <w:snapToGrid w:val="0"/>
              <w:ind w:left="1260" w:hanging="420"/>
              <w:jc w:val="center"/>
              <w:rPr>
                <w:rFonts w:hint="eastAsia" w:ascii="仿宋" w:hAnsi="仿宋" w:eastAsia="仿宋" w:cs="仿宋"/>
                <w:color w:val="000000"/>
              </w:rPr>
            </w:pPr>
          </w:p>
        </w:tc>
        <w:tc>
          <w:tcPr>
            <w:tcW w:w="2251"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r>
    </w:tbl>
    <w:p>
      <w:pPr>
        <w:snapToGrid w:val="0"/>
        <w:spacing w:line="360" w:lineRule="auto"/>
        <w:rPr>
          <w:color w:val="000000"/>
        </w:rPr>
      </w:pPr>
    </w:p>
    <w:p>
      <w:pPr>
        <w:snapToGrid w:val="0"/>
        <w:spacing w:line="360" w:lineRule="auto"/>
        <w:rPr>
          <w:color w:val="000000"/>
        </w:rPr>
      </w:pPr>
    </w:p>
    <w:p>
      <w:pPr>
        <w:pStyle w:val="32"/>
        <w:spacing w:line="490" w:lineRule="exact"/>
        <w:ind w:left="420" w:hanging="420"/>
        <w:outlineLvl w:val="4"/>
        <w:rPr>
          <w:rFonts w:eastAsia="黑体"/>
          <w:bCs/>
          <w:color w:val="000000"/>
          <w:sz w:val="28"/>
          <w:szCs w:val="20"/>
        </w:rPr>
      </w:pPr>
      <w:r>
        <w:rPr>
          <w:color w:val="000000"/>
        </w:rPr>
        <w:br w:type="page"/>
      </w:r>
      <w:bookmarkStart w:id="818" w:name="_Toc511317235"/>
      <w:bookmarkStart w:id="819" w:name="_Toc511317984"/>
      <w:r>
        <w:rPr>
          <w:rFonts w:eastAsia="黑体"/>
          <w:bCs/>
          <w:color w:val="000000"/>
          <w:sz w:val="28"/>
          <w:szCs w:val="20"/>
        </w:rPr>
        <w:t>附表3-3（1）：形式评审表</w:t>
      </w:r>
      <w:bookmarkEnd w:id="818"/>
      <w:bookmarkEnd w:id="819"/>
    </w:p>
    <w:p>
      <w:pPr>
        <w:spacing w:before="120" w:beforeLines="50" w:after="120" w:afterLines="50" w:line="492" w:lineRule="exact"/>
        <w:jc w:val="center"/>
        <w:rPr>
          <w:rFonts w:eastAsia="方正小标宋_GBK"/>
          <w:b/>
          <w:color w:val="000000"/>
          <w:sz w:val="40"/>
          <w:szCs w:val="28"/>
        </w:rPr>
      </w:pPr>
    </w:p>
    <w:p>
      <w:pPr>
        <w:spacing w:before="120" w:beforeLines="50" w:after="120" w:afterLines="50" w:line="492" w:lineRule="exact"/>
        <w:jc w:val="center"/>
        <w:rPr>
          <w:rFonts w:hint="eastAsia" w:ascii="方正小标宋简体" w:eastAsia="方正小标宋简体"/>
          <w:color w:val="000000"/>
          <w:sz w:val="40"/>
          <w:szCs w:val="28"/>
        </w:rPr>
      </w:pPr>
      <w:r>
        <w:rPr>
          <w:rFonts w:hint="eastAsia" w:ascii="方正小标宋简体" w:eastAsia="方正小标宋简体"/>
          <w:color w:val="000000"/>
          <w:sz w:val="40"/>
          <w:szCs w:val="28"/>
        </w:rPr>
        <w:t>形式评审表</w:t>
      </w:r>
    </w:p>
    <w:p>
      <w:pPr>
        <w:snapToGrid w:val="0"/>
        <w:spacing w:line="600" w:lineRule="exact"/>
        <w:rPr>
          <w:rFonts w:hint="eastAsia" w:ascii="仿宋" w:hAnsi="仿宋" w:eastAsia="仿宋" w:cs="仿宋"/>
          <w:color w:val="000000"/>
          <w:sz w:val="24"/>
          <w:u w:val="single"/>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（标段名称）</w:t>
      </w:r>
      <w:r>
        <w:rPr>
          <w:rFonts w:hint="eastAsia" w:ascii="仿宋" w:hAnsi="仿宋" w:eastAsia="仿宋" w:cs="仿宋"/>
          <w:color w:val="000000"/>
          <w:sz w:val="24"/>
          <w:u w:val="single"/>
        </w:rPr>
        <w:t xml:space="preserve">                      </w:t>
      </w:r>
    </w:p>
    <w:p>
      <w:pPr>
        <w:snapToGrid w:val="0"/>
        <w:spacing w:line="600" w:lineRule="exact"/>
        <w:rPr>
          <w:rFonts w:hint="eastAsia" w:ascii="仿宋" w:hAnsi="仿宋" w:eastAsia="仿宋" w:cs="仿宋"/>
          <w:color w:val="000000"/>
          <w:sz w:val="28"/>
          <w:szCs w:val="28"/>
        </w:rPr>
      </w:pPr>
      <w:r>
        <w:rPr>
          <w:rFonts w:hint="eastAsia" w:ascii="仿宋" w:hAnsi="仿宋" w:eastAsia="仿宋" w:cs="仿宋"/>
          <w:color w:val="000000"/>
          <w:sz w:val="24"/>
        </w:rPr>
        <w:t>项目管理编号：</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r>
        <w:rPr>
          <w:rFonts w:hint="eastAsia" w:ascii="仿宋" w:hAnsi="仿宋" w:eastAsia="仿宋" w:cs="仿宋"/>
          <w:color w:val="000000"/>
          <w:sz w:val="28"/>
          <w:szCs w:val="28"/>
        </w:rPr>
        <w:t xml:space="preserve">      </w:t>
      </w:r>
    </w:p>
    <w:tbl>
      <w:tblPr>
        <w:tblStyle w:val="47"/>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078"/>
        <w:gridCol w:w="1253"/>
        <w:gridCol w:w="2707"/>
        <w:gridCol w:w="1139"/>
        <w:gridCol w:w="1140"/>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737" w:type="dxa"/>
            <w:vMerge w:val="restart"/>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序号</w:t>
            </w:r>
          </w:p>
        </w:tc>
        <w:tc>
          <w:tcPr>
            <w:tcW w:w="1078" w:type="dxa"/>
            <w:vMerge w:val="restart"/>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条款号</w:t>
            </w:r>
          </w:p>
        </w:tc>
        <w:tc>
          <w:tcPr>
            <w:tcW w:w="1253" w:type="dxa"/>
            <w:vMerge w:val="restart"/>
            <w:noWrap w:val="0"/>
            <w:vAlign w:val="center"/>
          </w:tcPr>
          <w:p>
            <w:pPr>
              <w:snapToGrid w:val="0"/>
              <w:rPr>
                <w:rFonts w:hint="eastAsia" w:ascii="仿宋" w:hAnsi="仿宋" w:eastAsia="仿宋" w:cs="仿宋"/>
                <w:color w:val="000000"/>
              </w:rPr>
            </w:pPr>
            <w:r>
              <w:rPr>
                <w:rFonts w:hint="eastAsia" w:ascii="仿宋" w:hAnsi="仿宋" w:eastAsia="仿宋" w:cs="仿宋"/>
                <w:color w:val="000000"/>
              </w:rPr>
              <w:t>评审因素</w:t>
            </w:r>
          </w:p>
        </w:tc>
        <w:tc>
          <w:tcPr>
            <w:tcW w:w="2707" w:type="dxa"/>
            <w:vMerge w:val="restart"/>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评审标准</w:t>
            </w:r>
          </w:p>
        </w:tc>
        <w:tc>
          <w:tcPr>
            <w:tcW w:w="3419" w:type="dxa"/>
            <w:gridSpan w:val="3"/>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投标人名称及评审意见</w:t>
            </w:r>
          </w:p>
          <w:p>
            <w:pPr>
              <w:jc w:val="center"/>
              <w:rPr>
                <w:rFonts w:hint="eastAsia" w:ascii="仿宋" w:hAnsi="仿宋" w:eastAsia="仿宋" w:cs="仿宋"/>
                <w:color w:val="000000"/>
                <w:kern w:val="0"/>
              </w:rPr>
            </w:pPr>
            <w:r>
              <w:rPr>
                <w:rFonts w:hint="eastAsia" w:ascii="仿宋" w:hAnsi="仿宋" w:eastAsia="仿宋" w:cs="仿宋"/>
                <w:bCs/>
                <w:color w:val="000000"/>
                <w:kern w:val="0"/>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737" w:type="dxa"/>
            <w:vMerge w:val="continue"/>
            <w:noWrap w:val="0"/>
            <w:vAlign w:val="center"/>
          </w:tcPr>
          <w:p>
            <w:pPr>
              <w:jc w:val="center"/>
              <w:rPr>
                <w:rFonts w:hint="eastAsia" w:ascii="仿宋" w:hAnsi="仿宋" w:eastAsia="仿宋" w:cs="仿宋"/>
                <w:color w:val="000000"/>
                <w:kern w:val="0"/>
              </w:rPr>
            </w:pPr>
          </w:p>
        </w:tc>
        <w:tc>
          <w:tcPr>
            <w:tcW w:w="1078" w:type="dxa"/>
            <w:vMerge w:val="continue"/>
            <w:noWrap w:val="0"/>
            <w:vAlign w:val="center"/>
          </w:tcPr>
          <w:p>
            <w:pPr>
              <w:snapToGrid w:val="0"/>
              <w:jc w:val="center"/>
              <w:rPr>
                <w:rFonts w:hint="eastAsia" w:ascii="仿宋" w:hAnsi="仿宋" w:eastAsia="仿宋" w:cs="仿宋"/>
                <w:color w:val="000000"/>
              </w:rPr>
            </w:pPr>
          </w:p>
        </w:tc>
        <w:tc>
          <w:tcPr>
            <w:tcW w:w="1253" w:type="dxa"/>
            <w:vMerge w:val="continue"/>
            <w:noWrap w:val="0"/>
            <w:vAlign w:val="center"/>
          </w:tcPr>
          <w:p>
            <w:pPr>
              <w:snapToGrid w:val="0"/>
              <w:rPr>
                <w:rFonts w:hint="eastAsia" w:ascii="仿宋" w:hAnsi="仿宋" w:eastAsia="仿宋" w:cs="仿宋"/>
                <w:color w:val="000000"/>
              </w:rPr>
            </w:pPr>
          </w:p>
        </w:tc>
        <w:tc>
          <w:tcPr>
            <w:tcW w:w="2707" w:type="dxa"/>
            <w:vMerge w:val="continue"/>
            <w:noWrap w:val="0"/>
            <w:vAlign w:val="center"/>
          </w:tcPr>
          <w:p>
            <w:pPr>
              <w:snapToGrid w:val="0"/>
              <w:jc w:val="center"/>
              <w:rPr>
                <w:rFonts w:hint="eastAsia" w:ascii="仿宋" w:hAnsi="仿宋" w:eastAsia="仿宋" w:cs="仿宋"/>
                <w:color w:val="000000"/>
              </w:rPr>
            </w:pPr>
          </w:p>
        </w:tc>
        <w:tc>
          <w:tcPr>
            <w:tcW w:w="1139"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1</w:t>
            </w:r>
          </w:p>
        </w:tc>
        <w:tc>
          <w:tcPr>
            <w:tcW w:w="1140"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2</w:t>
            </w:r>
          </w:p>
        </w:tc>
        <w:tc>
          <w:tcPr>
            <w:tcW w:w="1140"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37" w:type="dxa"/>
            <w:vMerge w:val="continue"/>
            <w:noWrap w:val="0"/>
            <w:vAlign w:val="center"/>
          </w:tcPr>
          <w:p>
            <w:pPr>
              <w:jc w:val="center"/>
              <w:rPr>
                <w:rFonts w:hint="eastAsia" w:ascii="仿宋" w:hAnsi="仿宋" w:eastAsia="仿宋" w:cs="仿宋"/>
                <w:color w:val="000000"/>
                <w:kern w:val="0"/>
              </w:rPr>
            </w:pPr>
          </w:p>
        </w:tc>
        <w:tc>
          <w:tcPr>
            <w:tcW w:w="1078" w:type="dxa"/>
            <w:vMerge w:val="continue"/>
            <w:noWrap w:val="0"/>
            <w:vAlign w:val="center"/>
          </w:tcPr>
          <w:p>
            <w:pPr>
              <w:snapToGrid w:val="0"/>
              <w:jc w:val="center"/>
              <w:rPr>
                <w:rFonts w:hint="eastAsia" w:ascii="仿宋" w:hAnsi="仿宋" w:eastAsia="仿宋" w:cs="仿宋"/>
                <w:color w:val="000000"/>
              </w:rPr>
            </w:pPr>
          </w:p>
        </w:tc>
        <w:tc>
          <w:tcPr>
            <w:tcW w:w="1253" w:type="dxa"/>
            <w:vMerge w:val="continue"/>
            <w:noWrap w:val="0"/>
            <w:vAlign w:val="center"/>
          </w:tcPr>
          <w:p>
            <w:pPr>
              <w:snapToGrid w:val="0"/>
              <w:rPr>
                <w:rFonts w:hint="eastAsia" w:ascii="仿宋" w:hAnsi="仿宋" w:eastAsia="仿宋" w:cs="仿宋"/>
                <w:color w:val="000000"/>
              </w:rPr>
            </w:pPr>
          </w:p>
        </w:tc>
        <w:tc>
          <w:tcPr>
            <w:tcW w:w="2707" w:type="dxa"/>
            <w:vMerge w:val="continue"/>
            <w:noWrap w:val="0"/>
            <w:vAlign w:val="center"/>
          </w:tcPr>
          <w:p>
            <w:pPr>
              <w:snapToGrid w:val="0"/>
              <w:jc w:val="center"/>
              <w:rPr>
                <w:rFonts w:hint="eastAsia" w:ascii="仿宋" w:hAnsi="仿宋" w:eastAsia="仿宋" w:cs="仿宋"/>
                <w:color w:val="000000"/>
              </w:rPr>
            </w:pP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737"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w:t>
            </w:r>
          </w:p>
        </w:tc>
        <w:tc>
          <w:tcPr>
            <w:tcW w:w="1078"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2.1.1（1）</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投标人名称</w:t>
            </w:r>
          </w:p>
        </w:tc>
        <w:tc>
          <w:tcPr>
            <w:tcW w:w="2707"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投标人名称应与营业执照、资质证书、安全生产许可证一致</w:t>
            </w: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737"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2</w:t>
            </w:r>
          </w:p>
        </w:tc>
        <w:tc>
          <w:tcPr>
            <w:tcW w:w="1078" w:type="dxa"/>
            <w:noWrap w:val="0"/>
            <w:vAlign w:val="center"/>
          </w:tcPr>
          <w:p>
            <w:pPr>
              <w:snapToGrid w:val="0"/>
              <w:ind w:left="-92" w:leftChars="-44"/>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2.1.1（2）</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投标文件的签字盖章</w:t>
            </w:r>
          </w:p>
        </w:tc>
        <w:tc>
          <w:tcPr>
            <w:tcW w:w="2707"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投标文件的签字盖章符合第二章投标人须知第3.7.3项规定</w:t>
            </w: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737"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3</w:t>
            </w:r>
          </w:p>
        </w:tc>
        <w:tc>
          <w:tcPr>
            <w:tcW w:w="1078"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2.1.1（3）</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投标文件完整性</w:t>
            </w:r>
          </w:p>
        </w:tc>
        <w:tc>
          <w:tcPr>
            <w:tcW w:w="2707"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符合第八章投标文件格式的要求</w:t>
            </w: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737"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4</w:t>
            </w:r>
          </w:p>
        </w:tc>
        <w:tc>
          <w:tcPr>
            <w:tcW w:w="1078"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2.1.1（4）</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投标报价</w:t>
            </w:r>
          </w:p>
        </w:tc>
        <w:tc>
          <w:tcPr>
            <w:tcW w:w="2707"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只能有一个报价</w:t>
            </w: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737"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5</w:t>
            </w:r>
          </w:p>
        </w:tc>
        <w:tc>
          <w:tcPr>
            <w:tcW w:w="1078" w:type="dxa"/>
            <w:noWrap w:val="0"/>
            <w:vAlign w:val="center"/>
          </w:tcPr>
          <w:p>
            <w:pPr>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2.1.1（5）</w:t>
            </w:r>
          </w:p>
        </w:tc>
        <w:tc>
          <w:tcPr>
            <w:tcW w:w="1253" w:type="dxa"/>
            <w:noWrap w:val="0"/>
            <w:vAlign w:val="center"/>
          </w:tcPr>
          <w:p>
            <w:pPr>
              <w:pStyle w:val="106"/>
              <w:jc w:val="center"/>
              <w:rPr>
                <w:rFonts w:hint="eastAsia" w:ascii="仿宋" w:hAnsi="仿宋" w:eastAsia="仿宋" w:cs="仿宋"/>
                <w:kern w:val="2"/>
                <w:sz w:val="18"/>
                <w:szCs w:val="18"/>
              </w:rPr>
            </w:pPr>
            <w:r>
              <w:rPr>
                <w:rFonts w:hint="eastAsia" w:ascii="仿宋" w:hAnsi="仿宋" w:eastAsia="仿宋" w:cs="仿宋"/>
                <w:kern w:val="2"/>
                <w:sz w:val="18"/>
                <w:szCs w:val="18"/>
              </w:rPr>
              <w:t>联合体协议书（如有）</w:t>
            </w:r>
          </w:p>
        </w:tc>
        <w:tc>
          <w:tcPr>
            <w:tcW w:w="2707" w:type="dxa"/>
            <w:noWrap w:val="0"/>
            <w:vAlign w:val="center"/>
          </w:tcPr>
          <w:p>
            <w:pPr>
              <w:pStyle w:val="106"/>
              <w:jc w:val="center"/>
              <w:rPr>
                <w:rFonts w:hint="eastAsia" w:ascii="仿宋" w:hAnsi="仿宋" w:eastAsia="仿宋" w:cs="仿宋"/>
                <w:kern w:val="2"/>
                <w:sz w:val="18"/>
                <w:szCs w:val="18"/>
              </w:rPr>
            </w:pPr>
            <w:r>
              <w:rPr>
                <w:rFonts w:hint="eastAsia" w:ascii="仿宋" w:hAnsi="仿宋" w:eastAsia="仿宋" w:cs="仿宋"/>
                <w:kern w:val="2"/>
                <w:sz w:val="18"/>
                <w:szCs w:val="18"/>
              </w:rPr>
              <w:t>联合体投标人应提交联合体协议书，并明确联合体牵头人</w:t>
            </w: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737"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6</w:t>
            </w:r>
          </w:p>
        </w:tc>
        <w:tc>
          <w:tcPr>
            <w:tcW w:w="1078"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2.1.1（6）</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技术投标文件暗标的制作要求</w:t>
            </w:r>
          </w:p>
        </w:tc>
        <w:tc>
          <w:tcPr>
            <w:tcW w:w="2707" w:type="dxa"/>
            <w:noWrap w:val="0"/>
            <w:vAlign w:val="center"/>
          </w:tcPr>
          <w:p>
            <w:pPr>
              <w:pStyle w:val="106"/>
              <w:rPr>
                <w:rFonts w:hint="eastAsia" w:ascii="仿宋" w:hAnsi="仿宋" w:eastAsia="仿宋" w:cs="仿宋"/>
                <w:sz w:val="18"/>
                <w:szCs w:val="18"/>
              </w:rPr>
            </w:pPr>
            <w:r>
              <w:rPr>
                <w:rFonts w:hint="eastAsia" w:ascii="仿宋" w:hAnsi="仿宋" w:eastAsia="仿宋" w:cs="仿宋"/>
                <w:sz w:val="18"/>
                <w:szCs w:val="18"/>
              </w:rPr>
              <w:t>符合第二章投标人须知第3.7.5项规定</w:t>
            </w: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737"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7</w:t>
            </w:r>
          </w:p>
        </w:tc>
        <w:tc>
          <w:tcPr>
            <w:tcW w:w="1078"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w:t>
            </w:r>
          </w:p>
        </w:tc>
        <w:tc>
          <w:tcPr>
            <w:tcW w:w="2707" w:type="dxa"/>
            <w:noWrap w:val="0"/>
            <w:vAlign w:val="center"/>
          </w:tcPr>
          <w:p>
            <w:pPr>
              <w:pStyle w:val="106"/>
              <w:rPr>
                <w:rFonts w:hint="eastAsia" w:ascii="仿宋" w:hAnsi="仿宋" w:eastAsia="仿宋" w:cs="仿宋"/>
                <w:sz w:val="18"/>
                <w:szCs w:val="18"/>
              </w:rPr>
            </w:pPr>
            <w:r>
              <w:rPr>
                <w:rFonts w:hint="eastAsia" w:ascii="仿宋" w:hAnsi="仿宋" w:eastAsia="仿宋" w:cs="仿宋"/>
                <w:sz w:val="18"/>
                <w:szCs w:val="18"/>
              </w:rPr>
              <w:t>……</w:t>
            </w: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737" w:type="dxa"/>
            <w:noWrap w:val="0"/>
            <w:vAlign w:val="center"/>
          </w:tcPr>
          <w:p>
            <w:pPr>
              <w:jc w:val="center"/>
              <w:rPr>
                <w:rFonts w:hint="eastAsia" w:ascii="仿宋" w:hAnsi="仿宋" w:eastAsia="仿宋" w:cs="仿宋"/>
                <w:color w:val="000000"/>
                <w:kern w:val="0"/>
              </w:rPr>
            </w:pPr>
          </w:p>
        </w:tc>
        <w:tc>
          <w:tcPr>
            <w:tcW w:w="5038" w:type="dxa"/>
            <w:gridSpan w:val="3"/>
            <w:noWrap w:val="0"/>
            <w:vAlign w:val="center"/>
          </w:tcPr>
          <w:p>
            <w:pPr>
              <w:jc w:val="center"/>
              <w:rPr>
                <w:rFonts w:hint="eastAsia" w:ascii="仿宋" w:hAnsi="仿宋" w:eastAsia="仿宋" w:cs="仿宋"/>
                <w:b/>
                <w:bCs/>
                <w:color w:val="000000"/>
                <w:kern w:val="0"/>
              </w:rPr>
            </w:pPr>
            <w:r>
              <w:rPr>
                <w:rFonts w:hint="eastAsia" w:ascii="仿宋" w:hAnsi="仿宋" w:eastAsia="仿宋" w:cs="仿宋"/>
                <w:b/>
                <w:bCs/>
                <w:color w:val="000000"/>
                <w:kern w:val="0"/>
              </w:rPr>
              <w:t>评审结论（合格/不合格）</w:t>
            </w: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r>
    </w:tbl>
    <w:p>
      <w:pPr>
        <w:rPr>
          <w:rFonts w:hint="eastAsia" w:ascii="仿宋" w:hAnsi="仿宋" w:eastAsia="仿宋" w:cs="仿宋"/>
          <w:color w:val="000000"/>
          <w:sz w:val="18"/>
          <w:szCs w:val="18"/>
        </w:rPr>
      </w:pPr>
      <w:r>
        <w:rPr>
          <w:rFonts w:hint="eastAsia" w:ascii="仿宋" w:hAnsi="仿宋" w:eastAsia="仿宋" w:cs="仿宋"/>
          <w:b/>
          <w:color w:val="000000"/>
        </w:rPr>
        <w:t>备注：</w:t>
      </w:r>
      <w:r>
        <w:rPr>
          <w:rFonts w:hint="eastAsia" w:ascii="仿宋" w:hAnsi="仿宋" w:eastAsia="仿宋" w:cs="仿宋"/>
          <w:color w:val="000000"/>
          <w:sz w:val="18"/>
          <w:szCs w:val="18"/>
        </w:rPr>
        <w:t>1.评审项目合格的打“√”，不合格的打“×”。上表中有一项不符合评审标准的，其评审结论为不合格，则不进入投标文件下一轮的评审。</w:t>
      </w:r>
    </w:p>
    <w:p>
      <w:pPr>
        <w:snapToGrid w:val="0"/>
        <w:ind w:firstLine="540" w:firstLineChars="300"/>
        <w:rPr>
          <w:rFonts w:hint="eastAsia" w:ascii="仿宋" w:hAnsi="仿宋" w:eastAsia="仿宋" w:cs="仿宋"/>
          <w:color w:val="000000"/>
        </w:rPr>
      </w:pPr>
      <w:r>
        <w:rPr>
          <w:rFonts w:hint="eastAsia" w:ascii="仿宋" w:hAnsi="仿宋" w:eastAsia="仿宋" w:cs="仿宋"/>
          <w:color w:val="000000"/>
          <w:sz w:val="18"/>
          <w:szCs w:val="18"/>
        </w:rPr>
        <w:t>2.本表由评标委员会集体评议，评标委员会成员中对评审结论有不同意见时，按少数服从多数的原则，确定评审结论。</w:t>
      </w:r>
    </w:p>
    <w:p>
      <w:pPr>
        <w:snapToGrid w:val="0"/>
        <w:spacing w:line="360" w:lineRule="auto"/>
        <w:ind w:firstLine="420" w:firstLineChars="200"/>
        <w:rPr>
          <w:rFonts w:hint="eastAsia" w:ascii="仿宋" w:hAnsi="仿宋" w:eastAsia="仿宋" w:cs="仿宋"/>
          <w:color w:val="000000"/>
        </w:rPr>
      </w:pPr>
    </w:p>
    <w:p>
      <w:pPr>
        <w:snapToGrid w:val="0"/>
        <w:spacing w:line="600" w:lineRule="exact"/>
        <w:rPr>
          <w:rFonts w:hint="eastAsia" w:ascii="仿宋" w:hAnsi="仿宋" w:eastAsia="仿宋" w:cs="仿宋"/>
          <w:color w:val="000000"/>
          <w:sz w:val="28"/>
          <w:szCs w:val="28"/>
        </w:rPr>
      </w:pPr>
      <w:r>
        <w:rPr>
          <w:rFonts w:hint="eastAsia" w:ascii="仿宋" w:hAnsi="仿宋" w:eastAsia="仿宋" w:cs="仿宋"/>
          <w:color w:val="000000"/>
          <w:sz w:val="28"/>
          <w:szCs w:val="28"/>
        </w:rPr>
        <w:t>评标委员会全体成员签字：</w:t>
      </w:r>
    </w:p>
    <w:p>
      <w:pPr>
        <w:pStyle w:val="32"/>
        <w:spacing w:line="490" w:lineRule="exact"/>
        <w:ind w:left="420" w:hanging="420"/>
        <w:outlineLvl w:val="4"/>
        <w:rPr>
          <w:rFonts w:eastAsia="黑体"/>
          <w:bCs/>
          <w:color w:val="000000"/>
          <w:sz w:val="28"/>
          <w:szCs w:val="20"/>
        </w:rPr>
      </w:pPr>
      <w:r>
        <w:rPr>
          <w:rFonts w:hint="eastAsia" w:ascii="仿宋" w:hAnsi="仿宋" w:eastAsia="仿宋" w:cs="仿宋"/>
          <w:color w:val="000000"/>
        </w:rPr>
        <w:br w:type="page"/>
      </w:r>
      <w:bookmarkStart w:id="820" w:name="_Toc511317985"/>
      <w:bookmarkStart w:id="821" w:name="_Toc511317236"/>
      <w:r>
        <w:rPr>
          <w:rFonts w:eastAsia="黑体"/>
          <w:bCs/>
          <w:color w:val="000000"/>
          <w:sz w:val="28"/>
          <w:szCs w:val="20"/>
        </w:rPr>
        <w:t>附表3-3（2）：资格评审表</w:t>
      </w:r>
      <w:bookmarkEnd w:id="820"/>
      <w:bookmarkEnd w:id="821"/>
    </w:p>
    <w:p>
      <w:pPr>
        <w:spacing w:before="120" w:beforeLines="50" w:after="120" w:afterLines="50" w:line="600" w:lineRule="exact"/>
        <w:jc w:val="center"/>
        <w:rPr>
          <w:rFonts w:hint="eastAsia" w:ascii="方正小标宋简体" w:eastAsia="方正小标宋简体"/>
          <w:color w:val="000000"/>
          <w:sz w:val="40"/>
          <w:szCs w:val="28"/>
        </w:rPr>
      </w:pPr>
      <w:r>
        <w:rPr>
          <w:rFonts w:hint="eastAsia" w:ascii="方正小标宋简体" w:eastAsia="方正小标宋简体"/>
          <w:color w:val="000000"/>
          <w:sz w:val="40"/>
          <w:szCs w:val="28"/>
        </w:rPr>
        <w:t>资格评审表</w:t>
      </w:r>
    </w:p>
    <w:p>
      <w:pPr>
        <w:snapToGrid w:val="0"/>
        <w:spacing w:line="480" w:lineRule="exact"/>
        <w:rPr>
          <w:rFonts w:hint="eastAsia" w:ascii="仿宋" w:hAnsi="仿宋" w:eastAsia="仿宋" w:cs="仿宋"/>
          <w:color w:val="000000"/>
          <w:sz w:val="24"/>
          <w:u w:val="single"/>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（标段名称）</w:t>
      </w:r>
      <w:r>
        <w:rPr>
          <w:rFonts w:hint="eastAsia" w:ascii="仿宋" w:hAnsi="仿宋" w:eastAsia="仿宋" w:cs="仿宋"/>
          <w:color w:val="000000"/>
          <w:sz w:val="24"/>
          <w:u w:val="single"/>
        </w:rPr>
        <w:t xml:space="preserve">                      </w:t>
      </w:r>
    </w:p>
    <w:p>
      <w:pPr>
        <w:snapToGrid w:val="0"/>
        <w:spacing w:line="480" w:lineRule="exact"/>
        <w:rPr>
          <w:rFonts w:hint="eastAsia" w:ascii="仿宋" w:hAnsi="仿宋" w:eastAsia="仿宋" w:cs="仿宋"/>
          <w:color w:val="000000"/>
          <w:sz w:val="28"/>
          <w:szCs w:val="28"/>
          <w:u w:val="single"/>
        </w:rPr>
      </w:pPr>
      <w:r>
        <w:rPr>
          <w:rFonts w:hint="eastAsia" w:ascii="仿宋" w:hAnsi="仿宋" w:eastAsia="仿宋" w:cs="仿宋"/>
          <w:color w:val="000000"/>
          <w:sz w:val="24"/>
        </w:rPr>
        <w:t>项目管理编号：</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tbl>
      <w:tblPr>
        <w:tblStyle w:val="47"/>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
        <w:gridCol w:w="1374"/>
        <w:gridCol w:w="1253"/>
        <w:gridCol w:w="2707"/>
        <w:gridCol w:w="903"/>
        <w:gridCol w:w="992"/>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1" w:type="dxa"/>
            <w:vMerge w:val="restart"/>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序号</w:t>
            </w:r>
          </w:p>
        </w:tc>
        <w:tc>
          <w:tcPr>
            <w:tcW w:w="1374" w:type="dxa"/>
            <w:vMerge w:val="restart"/>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条款号</w:t>
            </w:r>
          </w:p>
        </w:tc>
        <w:tc>
          <w:tcPr>
            <w:tcW w:w="1253" w:type="dxa"/>
            <w:vMerge w:val="restart"/>
            <w:noWrap w:val="0"/>
            <w:vAlign w:val="center"/>
          </w:tcPr>
          <w:p>
            <w:pPr>
              <w:snapToGrid w:val="0"/>
              <w:rPr>
                <w:rFonts w:hint="eastAsia" w:ascii="仿宋" w:hAnsi="仿宋" w:eastAsia="仿宋" w:cs="仿宋"/>
                <w:color w:val="000000"/>
              </w:rPr>
            </w:pPr>
            <w:r>
              <w:rPr>
                <w:rFonts w:hint="eastAsia" w:ascii="仿宋" w:hAnsi="仿宋" w:eastAsia="仿宋" w:cs="仿宋"/>
                <w:color w:val="000000"/>
              </w:rPr>
              <w:t>评审因素</w:t>
            </w:r>
          </w:p>
        </w:tc>
        <w:tc>
          <w:tcPr>
            <w:tcW w:w="2707" w:type="dxa"/>
            <w:vMerge w:val="restart"/>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评审标准</w:t>
            </w:r>
          </w:p>
        </w:tc>
        <w:tc>
          <w:tcPr>
            <w:tcW w:w="3029" w:type="dxa"/>
            <w:gridSpan w:val="3"/>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投标人名称及评审意见</w:t>
            </w:r>
          </w:p>
          <w:p>
            <w:pPr>
              <w:jc w:val="center"/>
              <w:rPr>
                <w:rFonts w:hint="eastAsia" w:ascii="仿宋" w:hAnsi="仿宋" w:eastAsia="仿宋" w:cs="仿宋"/>
                <w:color w:val="000000"/>
                <w:kern w:val="0"/>
              </w:rPr>
            </w:pPr>
            <w:r>
              <w:rPr>
                <w:rFonts w:hint="eastAsia" w:ascii="仿宋" w:hAnsi="仿宋" w:eastAsia="仿宋" w:cs="仿宋"/>
                <w:bCs/>
                <w:color w:val="000000"/>
                <w:kern w:val="0"/>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1" w:type="dxa"/>
            <w:vMerge w:val="continue"/>
            <w:noWrap w:val="0"/>
            <w:vAlign w:val="center"/>
          </w:tcPr>
          <w:p>
            <w:pPr>
              <w:jc w:val="center"/>
              <w:rPr>
                <w:rFonts w:hint="eastAsia" w:ascii="仿宋" w:hAnsi="仿宋" w:eastAsia="仿宋" w:cs="仿宋"/>
                <w:color w:val="000000"/>
                <w:kern w:val="0"/>
              </w:rPr>
            </w:pPr>
          </w:p>
        </w:tc>
        <w:tc>
          <w:tcPr>
            <w:tcW w:w="1374" w:type="dxa"/>
            <w:vMerge w:val="continue"/>
            <w:noWrap w:val="0"/>
            <w:vAlign w:val="center"/>
          </w:tcPr>
          <w:p>
            <w:pPr>
              <w:snapToGrid w:val="0"/>
              <w:jc w:val="center"/>
              <w:rPr>
                <w:rFonts w:hint="eastAsia" w:ascii="仿宋" w:hAnsi="仿宋" w:eastAsia="仿宋" w:cs="仿宋"/>
                <w:color w:val="000000"/>
              </w:rPr>
            </w:pPr>
          </w:p>
        </w:tc>
        <w:tc>
          <w:tcPr>
            <w:tcW w:w="1253" w:type="dxa"/>
            <w:vMerge w:val="continue"/>
            <w:noWrap w:val="0"/>
            <w:vAlign w:val="center"/>
          </w:tcPr>
          <w:p>
            <w:pPr>
              <w:snapToGrid w:val="0"/>
              <w:rPr>
                <w:rFonts w:hint="eastAsia" w:ascii="仿宋" w:hAnsi="仿宋" w:eastAsia="仿宋" w:cs="仿宋"/>
                <w:color w:val="000000"/>
              </w:rPr>
            </w:pPr>
          </w:p>
        </w:tc>
        <w:tc>
          <w:tcPr>
            <w:tcW w:w="2707" w:type="dxa"/>
            <w:vMerge w:val="continue"/>
            <w:noWrap w:val="0"/>
            <w:vAlign w:val="center"/>
          </w:tcPr>
          <w:p>
            <w:pPr>
              <w:snapToGrid w:val="0"/>
              <w:jc w:val="center"/>
              <w:rPr>
                <w:rFonts w:hint="eastAsia" w:ascii="仿宋" w:hAnsi="仿宋" w:eastAsia="仿宋" w:cs="仿宋"/>
                <w:color w:val="000000"/>
              </w:rPr>
            </w:pPr>
          </w:p>
        </w:tc>
        <w:tc>
          <w:tcPr>
            <w:tcW w:w="903"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1</w:t>
            </w:r>
          </w:p>
        </w:tc>
        <w:tc>
          <w:tcPr>
            <w:tcW w:w="992"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2</w:t>
            </w:r>
          </w:p>
        </w:tc>
        <w:tc>
          <w:tcPr>
            <w:tcW w:w="1134"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1" w:type="dxa"/>
            <w:vMerge w:val="continue"/>
            <w:noWrap w:val="0"/>
            <w:vAlign w:val="center"/>
          </w:tcPr>
          <w:p>
            <w:pPr>
              <w:jc w:val="center"/>
              <w:rPr>
                <w:rFonts w:hint="eastAsia" w:ascii="仿宋" w:hAnsi="仿宋" w:eastAsia="仿宋" w:cs="仿宋"/>
                <w:color w:val="000000"/>
                <w:kern w:val="0"/>
              </w:rPr>
            </w:pPr>
          </w:p>
        </w:tc>
        <w:tc>
          <w:tcPr>
            <w:tcW w:w="1374" w:type="dxa"/>
            <w:vMerge w:val="continue"/>
            <w:noWrap w:val="0"/>
            <w:vAlign w:val="center"/>
          </w:tcPr>
          <w:p>
            <w:pPr>
              <w:snapToGrid w:val="0"/>
              <w:jc w:val="center"/>
              <w:rPr>
                <w:rFonts w:hint="eastAsia" w:ascii="仿宋" w:hAnsi="仿宋" w:eastAsia="仿宋" w:cs="仿宋"/>
                <w:color w:val="000000"/>
              </w:rPr>
            </w:pPr>
          </w:p>
        </w:tc>
        <w:tc>
          <w:tcPr>
            <w:tcW w:w="1253" w:type="dxa"/>
            <w:vMerge w:val="continue"/>
            <w:noWrap w:val="0"/>
            <w:vAlign w:val="center"/>
          </w:tcPr>
          <w:p>
            <w:pPr>
              <w:snapToGrid w:val="0"/>
              <w:rPr>
                <w:rFonts w:hint="eastAsia" w:ascii="仿宋" w:hAnsi="仿宋" w:eastAsia="仿宋" w:cs="仿宋"/>
                <w:color w:val="000000"/>
              </w:rPr>
            </w:pPr>
          </w:p>
        </w:tc>
        <w:tc>
          <w:tcPr>
            <w:tcW w:w="2707" w:type="dxa"/>
            <w:vMerge w:val="continue"/>
            <w:noWrap w:val="0"/>
            <w:vAlign w:val="center"/>
          </w:tcPr>
          <w:p>
            <w:pPr>
              <w:snapToGrid w:val="0"/>
              <w:jc w:val="center"/>
              <w:rPr>
                <w:rFonts w:hint="eastAsia" w:ascii="仿宋" w:hAnsi="仿宋" w:eastAsia="仿宋" w:cs="仿宋"/>
                <w:color w:val="000000"/>
              </w:rPr>
            </w:pPr>
          </w:p>
        </w:tc>
        <w:tc>
          <w:tcPr>
            <w:tcW w:w="903" w:type="dxa"/>
            <w:noWrap w:val="0"/>
            <w:vAlign w:val="center"/>
          </w:tcPr>
          <w:p>
            <w:pPr>
              <w:jc w:val="center"/>
              <w:rPr>
                <w:rFonts w:hint="eastAsia" w:ascii="仿宋" w:hAnsi="仿宋" w:eastAsia="仿宋" w:cs="仿宋"/>
                <w:color w:val="000000"/>
                <w:kern w:val="0"/>
              </w:rPr>
            </w:pPr>
          </w:p>
        </w:tc>
        <w:tc>
          <w:tcPr>
            <w:tcW w:w="992" w:type="dxa"/>
            <w:noWrap w:val="0"/>
            <w:vAlign w:val="center"/>
          </w:tcPr>
          <w:p>
            <w:pPr>
              <w:jc w:val="center"/>
              <w:rPr>
                <w:rFonts w:hint="eastAsia" w:ascii="仿宋" w:hAnsi="仿宋" w:eastAsia="仿宋" w:cs="仿宋"/>
                <w:color w:val="000000"/>
                <w:kern w:val="0"/>
              </w:rPr>
            </w:pPr>
          </w:p>
        </w:tc>
        <w:tc>
          <w:tcPr>
            <w:tcW w:w="1134"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1"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w:t>
            </w:r>
          </w:p>
        </w:tc>
        <w:tc>
          <w:tcPr>
            <w:tcW w:w="1374"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2.1.2（1）</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营业执照</w:t>
            </w:r>
          </w:p>
        </w:tc>
        <w:tc>
          <w:tcPr>
            <w:tcW w:w="2707" w:type="dxa"/>
            <w:noWrap w:val="0"/>
            <w:vAlign w:val="center"/>
          </w:tcPr>
          <w:p>
            <w:pPr>
              <w:snapToGrid w:val="0"/>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具备有效的营业执照</w:t>
            </w:r>
          </w:p>
        </w:tc>
        <w:tc>
          <w:tcPr>
            <w:tcW w:w="903" w:type="dxa"/>
            <w:noWrap w:val="0"/>
            <w:vAlign w:val="center"/>
          </w:tcPr>
          <w:p>
            <w:pPr>
              <w:jc w:val="center"/>
              <w:rPr>
                <w:rFonts w:hint="eastAsia" w:ascii="仿宋" w:hAnsi="仿宋" w:eastAsia="仿宋" w:cs="仿宋"/>
                <w:color w:val="000000"/>
                <w:kern w:val="0"/>
              </w:rPr>
            </w:pPr>
          </w:p>
        </w:tc>
        <w:tc>
          <w:tcPr>
            <w:tcW w:w="992" w:type="dxa"/>
            <w:noWrap w:val="0"/>
            <w:vAlign w:val="center"/>
          </w:tcPr>
          <w:p>
            <w:pPr>
              <w:jc w:val="center"/>
              <w:rPr>
                <w:rFonts w:hint="eastAsia" w:ascii="仿宋" w:hAnsi="仿宋" w:eastAsia="仿宋" w:cs="仿宋"/>
                <w:color w:val="000000"/>
                <w:kern w:val="0"/>
              </w:rPr>
            </w:pPr>
          </w:p>
        </w:tc>
        <w:tc>
          <w:tcPr>
            <w:tcW w:w="1134"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1"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2</w:t>
            </w:r>
          </w:p>
        </w:tc>
        <w:tc>
          <w:tcPr>
            <w:tcW w:w="1374"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2.1.2（2）</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安全生产许可证</w:t>
            </w:r>
          </w:p>
        </w:tc>
        <w:tc>
          <w:tcPr>
            <w:tcW w:w="2707" w:type="dxa"/>
            <w:noWrap w:val="0"/>
            <w:vAlign w:val="center"/>
          </w:tcPr>
          <w:p>
            <w:pPr>
              <w:pStyle w:val="106"/>
              <w:rPr>
                <w:rFonts w:hint="eastAsia" w:ascii="仿宋" w:hAnsi="仿宋" w:eastAsia="仿宋" w:cs="仿宋"/>
                <w:sz w:val="18"/>
                <w:szCs w:val="18"/>
              </w:rPr>
            </w:pPr>
            <w:r>
              <w:rPr>
                <w:rFonts w:hint="eastAsia" w:ascii="仿宋" w:hAnsi="仿宋" w:eastAsia="仿宋" w:cs="仿宋"/>
                <w:sz w:val="18"/>
                <w:szCs w:val="18"/>
              </w:rPr>
              <w:t>具备有效的安全生产许可证</w:t>
            </w:r>
          </w:p>
        </w:tc>
        <w:tc>
          <w:tcPr>
            <w:tcW w:w="903" w:type="dxa"/>
            <w:noWrap w:val="0"/>
            <w:vAlign w:val="center"/>
          </w:tcPr>
          <w:p>
            <w:pPr>
              <w:jc w:val="center"/>
              <w:rPr>
                <w:rFonts w:hint="eastAsia" w:ascii="仿宋" w:hAnsi="仿宋" w:eastAsia="仿宋" w:cs="仿宋"/>
                <w:color w:val="000000"/>
                <w:kern w:val="0"/>
              </w:rPr>
            </w:pPr>
          </w:p>
        </w:tc>
        <w:tc>
          <w:tcPr>
            <w:tcW w:w="992" w:type="dxa"/>
            <w:noWrap w:val="0"/>
            <w:vAlign w:val="center"/>
          </w:tcPr>
          <w:p>
            <w:pPr>
              <w:jc w:val="center"/>
              <w:rPr>
                <w:rFonts w:hint="eastAsia" w:ascii="仿宋" w:hAnsi="仿宋" w:eastAsia="仿宋" w:cs="仿宋"/>
                <w:color w:val="000000"/>
                <w:kern w:val="0"/>
              </w:rPr>
            </w:pPr>
          </w:p>
        </w:tc>
        <w:tc>
          <w:tcPr>
            <w:tcW w:w="1134"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1"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3</w:t>
            </w:r>
          </w:p>
        </w:tc>
        <w:tc>
          <w:tcPr>
            <w:tcW w:w="1374"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2.1.2（3）</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资质证书</w:t>
            </w:r>
          </w:p>
        </w:tc>
        <w:tc>
          <w:tcPr>
            <w:tcW w:w="2707" w:type="dxa"/>
            <w:noWrap w:val="0"/>
            <w:vAlign w:val="center"/>
          </w:tcPr>
          <w:p>
            <w:pPr>
              <w:pStyle w:val="106"/>
              <w:rPr>
                <w:rFonts w:hint="eastAsia" w:ascii="仿宋" w:hAnsi="仿宋" w:eastAsia="仿宋" w:cs="仿宋"/>
                <w:sz w:val="18"/>
                <w:szCs w:val="18"/>
              </w:rPr>
            </w:pPr>
            <w:r>
              <w:rPr>
                <w:rFonts w:hint="eastAsia" w:ascii="仿宋" w:hAnsi="仿宋" w:eastAsia="仿宋" w:cs="仿宋"/>
                <w:sz w:val="18"/>
                <w:szCs w:val="18"/>
              </w:rPr>
              <w:t>具备有效的资质证书且资质等级符合第二章投标人须知第1.4.1项规定</w:t>
            </w:r>
          </w:p>
        </w:tc>
        <w:tc>
          <w:tcPr>
            <w:tcW w:w="903" w:type="dxa"/>
            <w:noWrap w:val="0"/>
            <w:vAlign w:val="center"/>
          </w:tcPr>
          <w:p>
            <w:pPr>
              <w:jc w:val="center"/>
              <w:rPr>
                <w:rFonts w:hint="eastAsia" w:ascii="仿宋" w:hAnsi="仿宋" w:eastAsia="仿宋" w:cs="仿宋"/>
                <w:color w:val="000000"/>
                <w:kern w:val="0"/>
              </w:rPr>
            </w:pPr>
          </w:p>
        </w:tc>
        <w:tc>
          <w:tcPr>
            <w:tcW w:w="992" w:type="dxa"/>
            <w:noWrap w:val="0"/>
            <w:vAlign w:val="center"/>
          </w:tcPr>
          <w:p>
            <w:pPr>
              <w:jc w:val="center"/>
              <w:rPr>
                <w:rFonts w:hint="eastAsia" w:ascii="仿宋" w:hAnsi="仿宋" w:eastAsia="仿宋" w:cs="仿宋"/>
                <w:color w:val="000000"/>
                <w:kern w:val="0"/>
              </w:rPr>
            </w:pPr>
          </w:p>
        </w:tc>
        <w:tc>
          <w:tcPr>
            <w:tcW w:w="1134"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1"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4</w:t>
            </w:r>
          </w:p>
        </w:tc>
        <w:tc>
          <w:tcPr>
            <w:tcW w:w="1374"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2.1.2（4）</w:t>
            </w:r>
          </w:p>
        </w:tc>
        <w:tc>
          <w:tcPr>
            <w:tcW w:w="1253" w:type="dxa"/>
            <w:noWrap w:val="0"/>
            <w:vAlign w:val="center"/>
          </w:tcPr>
          <w:p>
            <w:pPr>
              <w:pStyle w:val="118"/>
              <w:widowControl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业绩</w:t>
            </w:r>
          </w:p>
        </w:tc>
        <w:tc>
          <w:tcPr>
            <w:tcW w:w="2707" w:type="dxa"/>
            <w:noWrap w:val="0"/>
            <w:vAlign w:val="center"/>
          </w:tcPr>
          <w:p>
            <w:pPr>
              <w:pStyle w:val="118"/>
              <w:widowControl w:val="0"/>
              <w:rPr>
                <w:rFonts w:hint="eastAsia" w:ascii="仿宋" w:hAnsi="仿宋" w:eastAsia="仿宋" w:cs="仿宋"/>
                <w:color w:val="000000"/>
                <w:sz w:val="18"/>
                <w:szCs w:val="18"/>
              </w:rPr>
            </w:pPr>
            <w:r>
              <w:rPr>
                <w:rFonts w:hint="eastAsia" w:ascii="仿宋" w:hAnsi="仿宋" w:eastAsia="仿宋" w:cs="仿宋"/>
                <w:color w:val="000000"/>
                <w:sz w:val="18"/>
                <w:szCs w:val="18"/>
              </w:rPr>
              <w:t>业绩符合第二章投标人须知第1.4.1项规定</w:t>
            </w:r>
          </w:p>
        </w:tc>
        <w:tc>
          <w:tcPr>
            <w:tcW w:w="903" w:type="dxa"/>
            <w:noWrap w:val="0"/>
            <w:vAlign w:val="center"/>
          </w:tcPr>
          <w:p>
            <w:pPr>
              <w:jc w:val="center"/>
              <w:rPr>
                <w:rFonts w:hint="eastAsia" w:ascii="仿宋" w:hAnsi="仿宋" w:eastAsia="仿宋" w:cs="仿宋"/>
                <w:color w:val="000000"/>
                <w:kern w:val="0"/>
              </w:rPr>
            </w:pPr>
          </w:p>
        </w:tc>
        <w:tc>
          <w:tcPr>
            <w:tcW w:w="992" w:type="dxa"/>
            <w:noWrap w:val="0"/>
            <w:vAlign w:val="center"/>
          </w:tcPr>
          <w:p>
            <w:pPr>
              <w:jc w:val="center"/>
              <w:rPr>
                <w:rFonts w:hint="eastAsia" w:ascii="仿宋" w:hAnsi="仿宋" w:eastAsia="仿宋" w:cs="仿宋"/>
                <w:color w:val="000000"/>
                <w:kern w:val="0"/>
              </w:rPr>
            </w:pPr>
          </w:p>
        </w:tc>
        <w:tc>
          <w:tcPr>
            <w:tcW w:w="1134"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1"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5</w:t>
            </w:r>
          </w:p>
        </w:tc>
        <w:tc>
          <w:tcPr>
            <w:tcW w:w="1374"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2.1.2（5）</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信誉</w:t>
            </w:r>
          </w:p>
        </w:tc>
        <w:tc>
          <w:tcPr>
            <w:tcW w:w="2707" w:type="dxa"/>
            <w:noWrap w:val="0"/>
            <w:vAlign w:val="center"/>
          </w:tcPr>
          <w:p>
            <w:pPr>
              <w:pStyle w:val="106"/>
              <w:rPr>
                <w:rFonts w:hint="eastAsia" w:ascii="仿宋" w:hAnsi="仿宋" w:eastAsia="仿宋" w:cs="仿宋"/>
                <w:kern w:val="2"/>
                <w:sz w:val="18"/>
                <w:szCs w:val="18"/>
              </w:rPr>
            </w:pPr>
            <w:r>
              <w:rPr>
                <w:rFonts w:hint="eastAsia" w:ascii="仿宋" w:hAnsi="仿宋" w:eastAsia="仿宋" w:cs="仿宋"/>
                <w:sz w:val="18"/>
                <w:szCs w:val="18"/>
              </w:rPr>
              <w:t>信誉</w:t>
            </w:r>
            <w:r>
              <w:rPr>
                <w:rFonts w:hint="eastAsia" w:ascii="仿宋" w:hAnsi="仿宋" w:eastAsia="仿宋" w:cs="仿宋"/>
                <w:kern w:val="2"/>
                <w:sz w:val="18"/>
                <w:szCs w:val="18"/>
              </w:rPr>
              <w:t>符合第二章投标人须知第1.4.1项规定</w:t>
            </w:r>
          </w:p>
        </w:tc>
        <w:tc>
          <w:tcPr>
            <w:tcW w:w="903" w:type="dxa"/>
            <w:noWrap w:val="0"/>
            <w:vAlign w:val="center"/>
          </w:tcPr>
          <w:p>
            <w:pPr>
              <w:jc w:val="center"/>
              <w:rPr>
                <w:rFonts w:hint="eastAsia" w:ascii="仿宋" w:hAnsi="仿宋" w:eastAsia="仿宋" w:cs="仿宋"/>
                <w:color w:val="000000"/>
                <w:kern w:val="0"/>
              </w:rPr>
            </w:pPr>
          </w:p>
        </w:tc>
        <w:tc>
          <w:tcPr>
            <w:tcW w:w="992" w:type="dxa"/>
            <w:noWrap w:val="0"/>
            <w:vAlign w:val="center"/>
          </w:tcPr>
          <w:p>
            <w:pPr>
              <w:jc w:val="center"/>
              <w:rPr>
                <w:rFonts w:hint="eastAsia" w:ascii="仿宋" w:hAnsi="仿宋" w:eastAsia="仿宋" w:cs="仿宋"/>
                <w:color w:val="000000"/>
                <w:kern w:val="0"/>
              </w:rPr>
            </w:pPr>
          </w:p>
        </w:tc>
        <w:tc>
          <w:tcPr>
            <w:tcW w:w="1134"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1"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6</w:t>
            </w:r>
          </w:p>
        </w:tc>
        <w:tc>
          <w:tcPr>
            <w:tcW w:w="1374"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2.1.2（6）</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项目负责人</w:t>
            </w:r>
          </w:p>
        </w:tc>
        <w:tc>
          <w:tcPr>
            <w:tcW w:w="2707" w:type="dxa"/>
            <w:noWrap w:val="0"/>
            <w:vAlign w:val="center"/>
          </w:tcPr>
          <w:p>
            <w:pPr>
              <w:pStyle w:val="106"/>
              <w:rPr>
                <w:rFonts w:hint="eastAsia" w:ascii="仿宋" w:hAnsi="仿宋" w:eastAsia="仿宋" w:cs="仿宋"/>
                <w:sz w:val="18"/>
                <w:szCs w:val="18"/>
              </w:rPr>
            </w:pPr>
            <w:r>
              <w:rPr>
                <w:rFonts w:hint="eastAsia" w:ascii="仿宋" w:hAnsi="仿宋" w:eastAsia="仿宋" w:cs="仿宋"/>
                <w:sz w:val="18"/>
                <w:szCs w:val="18"/>
              </w:rPr>
              <w:t>项目负责人资格符合第二章投标人须知第1.4.1项规定</w:t>
            </w:r>
          </w:p>
        </w:tc>
        <w:tc>
          <w:tcPr>
            <w:tcW w:w="903" w:type="dxa"/>
            <w:noWrap w:val="0"/>
            <w:vAlign w:val="center"/>
          </w:tcPr>
          <w:p>
            <w:pPr>
              <w:jc w:val="center"/>
              <w:rPr>
                <w:rFonts w:hint="eastAsia" w:ascii="仿宋" w:hAnsi="仿宋" w:eastAsia="仿宋" w:cs="仿宋"/>
                <w:color w:val="000000"/>
                <w:kern w:val="0"/>
              </w:rPr>
            </w:pPr>
          </w:p>
        </w:tc>
        <w:tc>
          <w:tcPr>
            <w:tcW w:w="992" w:type="dxa"/>
            <w:noWrap w:val="0"/>
            <w:vAlign w:val="center"/>
          </w:tcPr>
          <w:p>
            <w:pPr>
              <w:jc w:val="center"/>
              <w:rPr>
                <w:rFonts w:hint="eastAsia" w:ascii="仿宋" w:hAnsi="仿宋" w:eastAsia="仿宋" w:cs="仿宋"/>
                <w:color w:val="000000"/>
                <w:kern w:val="0"/>
              </w:rPr>
            </w:pPr>
          </w:p>
        </w:tc>
        <w:tc>
          <w:tcPr>
            <w:tcW w:w="1134"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1"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7</w:t>
            </w:r>
          </w:p>
        </w:tc>
        <w:tc>
          <w:tcPr>
            <w:tcW w:w="1374"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2.1.2（7）</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企业负责人</w:t>
            </w:r>
          </w:p>
        </w:tc>
        <w:tc>
          <w:tcPr>
            <w:tcW w:w="2707" w:type="dxa"/>
            <w:noWrap w:val="0"/>
            <w:vAlign w:val="center"/>
          </w:tcPr>
          <w:p>
            <w:pPr>
              <w:pStyle w:val="106"/>
              <w:rPr>
                <w:rFonts w:hint="eastAsia" w:ascii="仿宋" w:hAnsi="仿宋" w:eastAsia="仿宋" w:cs="仿宋"/>
                <w:sz w:val="18"/>
                <w:szCs w:val="18"/>
              </w:rPr>
            </w:pPr>
            <w:r>
              <w:rPr>
                <w:rFonts w:hint="eastAsia" w:ascii="仿宋" w:hAnsi="仿宋" w:eastAsia="仿宋" w:cs="仿宋"/>
                <w:sz w:val="18"/>
                <w:szCs w:val="18"/>
              </w:rPr>
              <w:t>企业负责人具备有效的建设或水行政主管部门颁发的安全生产考核合格证书</w:t>
            </w:r>
          </w:p>
        </w:tc>
        <w:tc>
          <w:tcPr>
            <w:tcW w:w="903" w:type="dxa"/>
            <w:noWrap w:val="0"/>
            <w:vAlign w:val="center"/>
          </w:tcPr>
          <w:p>
            <w:pPr>
              <w:jc w:val="center"/>
              <w:rPr>
                <w:rFonts w:hint="eastAsia" w:ascii="仿宋" w:hAnsi="仿宋" w:eastAsia="仿宋" w:cs="仿宋"/>
                <w:color w:val="000000"/>
                <w:kern w:val="0"/>
              </w:rPr>
            </w:pPr>
          </w:p>
        </w:tc>
        <w:tc>
          <w:tcPr>
            <w:tcW w:w="992" w:type="dxa"/>
            <w:noWrap w:val="0"/>
            <w:vAlign w:val="center"/>
          </w:tcPr>
          <w:p>
            <w:pPr>
              <w:jc w:val="center"/>
              <w:rPr>
                <w:rFonts w:hint="eastAsia" w:ascii="仿宋" w:hAnsi="仿宋" w:eastAsia="仿宋" w:cs="仿宋"/>
                <w:color w:val="000000"/>
                <w:kern w:val="0"/>
              </w:rPr>
            </w:pPr>
          </w:p>
        </w:tc>
        <w:tc>
          <w:tcPr>
            <w:tcW w:w="1134"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1"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8</w:t>
            </w:r>
          </w:p>
        </w:tc>
        <w:tc>
          <w:tcPr>
            <w:tcW w:w="1374"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2.1.2（8）</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技术负责人</w:t>
            </w:r>
          </w:p>
        </w:tc>
        <w:tc>
          <w:tcPr>
            <w:tcW w:w="2707" w:type="dxa"/>
            <w:noWrap w:val="0"/>
            <w:vAlign w:val="center"/>
          </w:tcPr>
          <w:p>
            <w:pPr>
              <w:rPr>
                <w:rFonts w:hint="eastAsia" w:ascii="仿宋" w:hAnsi="仿宋" w:eastAsia="仿宋" w:cs="仿宋"/>
                <w:color w:val="000000"/>
                <w:sz w:val="18"/>
                <w:szCs w:val="18"/>
              </w:rPr>
            </w:pPr>
            <w:r>
              <w:rPr>
                <w:rFonts w:hint="eastAsia" w:ascii="仿宋" w:hAnsi="仿宋" w:eastAsia="仿宋" w:cs="仿宋"/>
                <w:color w:val="000000"/>
                <w:sz w:val="18"/>
                <w:szCs w:val="18"/>
              </w:rPr>
              <w:t>技术负责人资格符合第二章投标人须知第1.4.1项规定</w:t>
            </w:r>
          </w:p>
        </w:tc>
        <w:tc>
          <w:tcPr>
            <w:tcW w:w="903" w:type="dxa"/>
            <w:noWrap w:val="0"/>
            <w:vAlign w:val="center"/>
          </w:tcPr>
          <w:p>
            <w:pPr>
              <w:jc w:val="center"/>
              <w:rPr>
                <w:rFonts w:hint="eastAsia" w:ascii="仿宋" w:hAnsi="仿宋" w:eastAsia="仿宋" w:cs="仿宋"/>
                <w:color w:val="000000"/>
                <w:kern w:val="0"/>
              </w:rPr>
            </w:pPr>
          </w:p>
        </w:tc>
        <w:tc>
          <w:tcPr>
            <w:tcW w:w="992" w:type="dxa"/>
            <w:noWrap w:val="0"/>
            <w:vAlign w:val="center"/>
          </w:tcPr>
          <w:p>
            <w:pPr>
              <w:jc w:val="center"/>
              <w:rPr>
                <w:rFonts w:hint="eastAsia" w:ascii="仿宋" w:hAnsi="仿宋" w:eastAsia="仿宋" w:cs="仿宋"/>
                <w:color w:val="000000"/>
                <w:kern w:val="0"/>
              </w:rPr>
            </w:pPr>
          </w:p>
        </w:tc>
        <w:tc>
          <w:tcPr>
            <w:tcW w:w="1134"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1"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9</w:t>
            </w:r>
          </w:p>
        </w:tc>
        <w:tc>
          <w:tcPr>
            <w:tcW w:w="1374"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2.1.2（9）</w:t>
            </w:r>
          </w:p>
        </w:tc>
        <w:tc>
          <w:tcPr>
            <w:tcW w:w="1253" w:type="dxa"/>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专职安全员</w:t>
            </w:r>
          </w:p>
        </w:tc>
        <w:tc>
          <w:tcPr>
            <w:tcW w:w="2707" w:type="dxa"/>
            <w:noWrap w:val="0"/>
            <w:vAlign w:val="center"/>
          </w:tcPr>
          <w:p>
            <w:pPr>
              <w:rPr>
                <w:rFonts w:hint="eastAsia" w:ascii="仿宋" w:hAnsi="仿宋" w:eastAsia="仿宋" w:cs="仿宋"/>
                <w:color w:val="000000"/>
                <w:sz w:val="18"/>
                <w:szCs w:val="18"/>
              </w:rPr>
            </w:pPr>
            <w:r>
              <w:rPr>
                <w:rFonts w:hint="eastAsia" w:ascii="仿宋" w:hAnsi="仿宋" w:eastAsia="仿宋" w:cs="仿宋"/>
                <w:color w:val="000000"/>
                <w:sz w:val="18"/>
                <w:szCs w:val="18"/>
              </w:rPr>
              <w:t>专职安全员资格符合第二章投标人须知第1.4.1项规定</w:t>
            </w:r>
          </w:p>
        </w:tc>
        <w:tc>
          <w:tcPr>
            <w:tcW w:w="903" w:type="dxa"/>
            <w:noWrap w:val="0"/>
            <w:vAlign w:val="center"/>
          </w:tcPr>
          <w:p>
            <w:pPr>
              <w:jc w:val="center"/>
              <w:rPr>
                <w:rFonts w:hint="eastAsia" w:ascii="仿宋" w:hAnsi="仿宋" w:eastAsia="仿宋" w:cs="仿宋"/>
                <w:color w:val="000000"/>
                <w:kern w:val="0"/>
              </w:rPr>
            </w:pPr>
          </w:p>
        </w:tc>
        <w:tc>
          <w:tcPr>
            <w:tcW w:w="992" w:type="dxa"/>
            <w:noWrap w:val="0"/>
            <w:vAlign w:val="center"/>
          </w:tcPr>
          <w:p>
            <w:pPr>
              <w:jc w:val="center"/>
              <w:rPr>
                <w:rFonts w:hint="eastAsia" w:ascii="仿宋" w:hAnsi="仿宋" w:eastAsia="仿宋" w:cs="仿宋"/>
                <w:color w:val="000000"/>
                <w:kern w:val="0"/>
              </w:rPr>
            </w:pPr>
          </w:p>
        </w:tc>
        <w:tc>
          <w:tcPr>
            <w:tcW w:w="1134"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1"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10</w:t>
            </w:r>
          </w:p>
        </w:tc>
        <w:tc>
          <w:tcPr>
            <w:tcW w:w="1374"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2.1.2（10）</w:t>
            </w:r>
          </w:p>
        </w:tc>
        <w:tc>
          <w:tcPr>
            <w:tcW w:w="1253" w:type="dxa"/>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其他要求</w:t>
            </w:r>
          </w:p>
        </w:tc>
        <w:tc>
          <w:tcPr>
            <w:tcW w:w="2707" w:type="dxa"/>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其他要求符合第二章投标人须知第1.4.1项规定</w:t>
            </w:r>
          </w:p>
        </w:tc>
        <w:tc>
          <w:tcPr>
            <w:tcW w:w="903" w:type="dxa"/>
            <w:noWrap w:val="0"/>
            <w:vAlign w:val="center"/>
          </w:tcPr>
          <w:p>
            <w:pPr>
              <w:jc w:val="center"/>
              <w:rPr>
                <w:rFonts w:hint="eastAsia" w:ascii="仿宋" w:hAnsi="仿宋" w:eastAsia="仿宋" w:cs="仿宋"/>
                <w:color w:val="000000"/>
                <w:kern w:val="0"/>
              </w:rPr>
            </w:pPr>
          </w:p>
        </w:tc>
        <w:tc>
          <w:tcPr>
            <w:tcW w:w="992" w:type="dxa"/>
            <w:noWrap w:val="0"/>
            <w:vAlign w:val="center"/>
          </w:tcPr>
          <w:p>
            <w:pPr>
              <w:jc w:val="center"/>
              <w:rPr>
                <w:rFonts w:hint="eastAsia" w:ascii="仿宋" w:hAnsi="仿宋" w:eastAsia="仿宋" w:cs="仿宋"/>
                <w:color w:val="000000"/>
                <w:kern w:val="0"/>
              </w:rPr>
            </w:pPr>
          </w:p>
        </w:tc>
        <w:tc>
          <w:tcPr>
            <w:tcW w:w="1134"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1"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11</w:t>
            </w:r>
          </w:p>
        </w:tc>
        <w:tc>
          <w:tcPr>
            <w:tcW w:w="1374"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2.1.2（11）</w:t>
            </w:r>
          </w:p>
        </w:tc>
        <w:tc>
          <w:tcPr>
            <w:tcW w:w="1253" w:type="dxa"/>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联合体投标人（如有）</w:t>
            </w:r>
          </w:p>
        </w:tc>
        <w:tc>
          <w:tcPr>
            <w:tcW w:w="2707" w:type="dxa"/>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符合第二章投标人须知第1.4.2项规定</w:t>
            </w:r>
          </w:p>
        </w:tc>
        <w:tc>
          <w:tcPr>
            <w:tcW w:w="903" w:type="dxa"/>
            <w:noWrap w:val="0"/>
            <w:vAlign w:val="center"/>
          </w:tcPr>
          <w:p>
            <w:pPr>
              <w:jc w:val="center"/>
              <w:rPr>
                <w:rFonts w:hint="eastAsia" w:ascii="仿宋" w:hAnsi="仿宋" w:eastAsia="仿宋" w:cs="仿宋"/>
                <w:color w:val="000000"/>
                <w:kern w:val="0"/>
              </w:rPr>
            </w:pPr>
          </w:p>
        </w:tc>
        <w:tc>
          <w:tcPr>
            <w:tcW w:w="992" w:type="dxa"/>
            <w:noWrap w:val="0"/>
            <w:vAlign w:val="center"/>
          </w:tcPr>
          <w:p>
            <w:pPr>
              <w:jc w:val="center"/>
              <w:rPr>
                <w:rFonts w:hint="eastAsia" w:ascii="仿宋" w:hAnsi="仿宋" w:eastAsia="仿宋" w:cs="仿宋"/>
                <w:color w:val="000000"/>
                <w:kern w:val="0"/>
              </w:rPr>
            </w:pPr>
          </w:p>
        </w:tc>
        <w:tc>
          <w:tcPr>
            <w:tcW w:w="1134"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1"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12</w:t>
            </w:r>
          </w:p>
        </w:tc>
        <w:tc>
          <w:tcPr>
            <w:tcW w:w="1374"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2.1.2（12）</w:t>
            </w:r>
          </w:p>
        </w:tc>
        <w:tc>
          <w:tcPr>
            <w:tcW w:w="1253" w:type="dxa"/>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其它标准</w:t>
            </w:r>
          </w:p>
        </w:tc>
        <w:tc>
          <w:tcPr>
            <w:tcW w:w="2707" w:type="dxa"/>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不存在第二章“投标人须知”第1.4.3 项规定的任何一种情形</w:t>
            </w:r>
          </w:p>
        </w:tc>
        <w:tc>
          <w:tcPr>
            <w:tcW w:w="903" w:type="dxa"/>
            <w:noWrap w:val="0"/>
            <w:vAlign w:val="center"/>
          </w:tcPr>
          <w:p>
            <w:pPr>
              <w:jc w:val="center"/>
              <w:rPr>
                <w:rFonts w:hint="eastAsia" w:ascii="仿宋" w:hAnsi="仿宋" w:eastAsia="仿宋" w:cs="仿宋"/>
                <w:color w:val="000000"/>
                <w:kern w:val="0"/>
              </w:rPr>
            </w:pPr>
          </w:p>
        </w:tc>
        <w:tc>
          <w:tcPr>
            <w:tcW w:w="992" w:type="dxa"/>
            <w:noWrap w:val="0"/>
            <w:vAlign w:val="center"/>
          </w:tcPr>
          <w:p>
            <w:pPr>
              <w:jc w:val="center"/>
              <w:rPr>
                <w:rFonts w:hint="eastAsia" w:ascii="仿宋" w:hAnsi="仿宋" w:eastAsia="仿宋" w:cs="仿宋"/>
                <w:color w:val="000000"/>
                <w:kern w:val="0"/>
              </w:rPr>
            </w:pPr>
          </w:p>
        </w:tc>
        <w:tc>
          <w:tcPr>
            <w:tcW w:w="1134"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1"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13</w:t>
            </w:r>
          </w:p>
        </w:tc>
        <w:tc>
          <w:tcPr>
            <w:tcW w:w="1374"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2.1.2（13）</w:t>
            </w:r>
          </w:p>
        </w:tc>
        <w:tc>
          <w:tcPr>
            <w:tcW w:w="1253" w:type="dxa"/>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多标段投标</w:t>
            </w:r>
          </w:p>
        </w:tc>
        <w:tc>
          <w:tcPr>
            <w:tcW w:w="2707" w:type="dxa"/>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符合第二章投标人须知第10.9项规定</w:t>
            </w:r>
          </w:p>
        </w:tc>
        <w:tc>
          <w:tcPr>
            <w:tcW w:w="903" w:type="dxa"/>
            <w:noWrap w:val="0"/>
            <w:vAlign w:val="center"/>
          </w:tcPr>
          <w:p>
            <w:pPr>
              <w:jc w:val="center"/>
              <w:rPr>
                <w:rFonts w:hint="eastAsia" w:ascii="仿宋" w:hAnsi="仿宋" w:eastAsia="仿宋" w:cs="仿宋"/>
                <w:color w:val="000000"/>
                <w:kern w:val="0"/>
              </w:rPr>
            </w:pPr>
          </w:p>
        </w:tc>
        <w:tc>
          <w:tcPr>
            <w:tcW w:w="992" w:type="dxa"/>
            <w:noWrap w:val="0"/>
            <w:vAlign w:val="center"/>
          </w:tcPr>
          <w:p>
            <w:pPr>
              <w:jc w:val="center"/>
              <w:rPr>
                <w:rFonts w:hint="eastAsia" w:ascii="仿宋" w:hAnsi="仿宋" w:eastAsia="仿宋" w:cs="仿宋"/>
                <w:color w:val="000000"/>
                <w:kern w:val="0"/>
              </w:rPr>
            </w:pPr>
          </w:p>
        </w:tc>
        <w:tc>
          <w:tcPr>
            <w:tcW w:w="1134"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1" w:type="dxa"/>
            <w:noWrap w:val="0"/>
            <w:vAlign w:val="center"/>
          </w:tcPr>
          <w:p>
            <w:pPr>
              <w:jc w:val="center"/>
              <w:rPr>
                <w:rFonts w:ascii="仿宋" w:hAnsi="仿宋" w:eastAsia="仿宋" w:cs="仿宋"/>
                <w:color w:val="000000"/>
                <w:kern w:val="0"/>
                <w:sz w:val="18"/>
                <w:szCs w:val="18"/>
              </w:rPr>
            </w:pPr>
            <w:r>
              <w:rPr>
                <w:rFonts w:hint="eastAsia" w:ascii="仿宋" w:hAnsi="仿宋" w:eastAsia="仿宋" w:cs="仿宋"/>
                <w:color w:val="000000"/>
                <w:kern w:val="0"/>
                <w:sz w:val="18"/>
                <w:szCs w:val="18"/>
              </w:rPr>
              <w:t>14</w:t>
            </w:r>
          </w:p>
        </w:tc>
        <w:tc>
          <w:tcPr>
            <w:tcW w:w="1374"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2.1.2（14）</w:t>
            </w:r>
          </w:p>
        </w:tc>
        <w:tc>
          <w:tcPr>
            <w:tcW w:w="1253" w:type="dxa"/>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其他</w:t>
            </w:r>
          </w:p>
        </w:tc>
        <w:tc>
          <w:tcPr>
            <w:tcW w:w="2707" w:type="dxa"/>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符合第二章投标人须知第10.10项规定</w:t>
            </w:r>
          </w:p>
        </w:tc>
        <w:tc>
          <w:tcPr>
            <w:tcW w:w="903" w:type="dxa"/>
            <w:noWrap w:val="0"/>
            <w:vAlign w:val="center"/>
          </w:tcPr>
          <w:p>
            <w:pPr>
              <w:jc w:val="center"/>
              <w:rPr>
                <w:rFonts w:hint="eastAsia" w:ascii="仿宋" w:hAnsi="仿宋" w:eastAsia="仿宋" w:cs="仿宋"/>
                <w:color w:val="000000"/>
                <w:kern w:val="0"/>
              </w:rPr>
            </w:pPr>
          </w:p>
        </w:tc>
        <w:tc>
          <w:tcPr>
            <w:tcW w:w="992" w:type="dxa"/>
            <w:noWrap w:val="0"/>
            <w:vAlign w:val="center"/>
          </w:tcPr>
          <w:p>
            <w:pPr>
              <w:jc w:val="center"/>
              <w:rPr>
                <w:rFonts w:hint="eastAsia" w:ascii="仿宋" w:hAnsi="仿宋" w:eastAsia="仿宋" w:cs="仿宋"/>
                <w:color w:val="000000"/>
                <w:kern w:val="0"/>
              </w:rPr>
            </w:pPr>
          </w:p>
        </w:tc>
        <w:tc>
          <w:tcPr>
            <w:tcW w:w="1134"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1" w:type="dxa"/>
            <w:noWrap w:val="0"/>
            <w:vAlign w:val="center"/>
          </w:tcPr>
          <w:p>
            <w:pPr>
              <w:jc w:val="center"/>
              <w:rPr>
                <w:rFonts w:hint="eastAsia" w:ascii="仿宋" w:hAnsi="仿宋" w:eastAsia="仿宋" w:cs="仿宋"/>
                <w:color w:val="000000"/>
                <w:kern w:val="0"/>
              </w:rPr>
            </w:pPr>
          </w:p>
        </w:tc>
        <w:tc>
          <w:tcPr>
            <w:tcW w:w="5334" w:type="dxa"/>
            <w:gridSpan w:val="3"/>
            <w:noWrap w:val="0"/>
            <w:vAlign w:val="center"/>
          </w:tcPr>
          <w:p>
            <w:pPr>
              <w:jc w:val="center"/>
              <w:rPr>
                <w:rFonts w:hint="eastAsia" w:ascii="仿宋" w:hAnsi="仿宋" w:eastAsia="仿宋" w:cs="仿宋"/>
                <w:b/>
                <w:bCs/>
                <w:color w:val="000000"/>
                <w:kern w:val="0"/>
              </w:rPr>
            </w:pPr>
            <w:r>
              <w:rPr>
                <w:rFonts w:hint="eastAsia" w:ascii="仿宋" w:hAnsi="仿宋" w:eastAsia="仿宋" w:cs="仿宋"/>
                <w:b/>
                <w:bCs/>
                <w:color w:val="000000"/>
                <w:kern w:val="0"/>
              </w:rPr>
              <w:t>评审结论（合格/不合格）</w:t>
            </w:r>
          </w:p>
        </w:tc>
        <w:tc>
          <w:tcPr>
            <w:tcW w:w="903" w:type="dxa"/>
            <w:noWrap w:val="0"/>
            <w:vAlign w:val="center"/>
          </w:tcPr>
          <w:p>
            <w:pPr>
              <w:jc w:val="center"/>
              <w:rPr>
                <w:rFonts w:hint="eastAsia" w:ascii="仿宋" w:hAnsi="仿宋" w:eastAsia="仿宋" w:cs="仿宋"/>
                <w:color w:val="000000"/>
                <w:kern w:val="0"/>
              </w:rPr>
            </w:pPr>
          </w:p>
        </w:tc>
        <w:tc>
          <w:tcPr>
            <w:tcW w:w="992" w:type="dxa"/>
            <w:noWrap w:val="0"/>
            <w:vAlign w:val="center"/>
          </w:tcPr>
          <w:p>
            <w:pPr>
              <w:jc w:val="center"/>
              <w:rPr>
                <w:rFonts w:hint="eastAsia" w:ascii="仿宋" w:hAnsi="仿宋" w:eastAsia="仿宋" w:cs="仿宋"/>
                <w:color w:val="000000"/>
                <w:kern w:val="0"/>
              </w:rPr>
            </w:pPr>
          </w:p>
        </w:tc>
        <w:tc>
          <w:tcPr>
            <w:tcW w:w="1134" w:type="dxa"/>
            <w:noWrap w:val="0"/>
            <w:vAlign w:val="center"/>
          </w:tcPr>
          <w:p>
            <w:pPr>
              <w:jc w:val="center"/>
              <w:rPr>
                <w:rFonts w:hint="eastAsia" w:ascii="仿宋" w:hAnsi="仿宋" w:eastAsia="仿宋" w:cs="仿宋"/>
                <w:color w:val="000000"/>
                <w:kern w:val="0"/>
              </w:rPr>
            </w:pPr>
          </w:p>
        </w:tc>
      </w:tr>
    </w:tbl>
    <w:p>
      <w:pPr>
        <w:rPr>
          <w:rFonts w:hint="eastAsia" w:ascii="仿宋" w:hAnsi="仿宋" w:eastAsia="仿宋" w:cs="仿宋"/>
          <w:color w:val="000000"/>
          <w:sz w:val="18"/>
          <w:szCs w:val="18"/>
        </w:rPr>
      </w:pPr>
      <w:r>
        <w:rPr>
          <w:rFonts w:hint="eastAsia" w:ascii="仿宋" w:hAnsi="仿宋" w:eastAsia="仿宋" w:cs="仿宋"/>
          <w:b/>
          <w:color w:val="000000"/>
        </w:rPr>
        <w:t>备注：</w:t>
      </w:r>
      <w:r>
        <w:rPr>
          <w:rFonts w:hint="eastAsia" w:ascii="仿宋" w:hAnsi="仿宋" w:eastAsia="仿宋" w:cs="仿宋"/>
          <w:color w:val="000000"/>
          <w:sz w:val="18"/>
          <w:szCs w:val="18"/>
        </w:rPr>
        <w:t>1.评审项目合格的打“√”，不合格的打“×”。上表中有一项不符合评审标准的，其评审结论为不合格，则不进入投标文件下一轮的评审。</w:t>
      </w:r>
    </w:p>
    <w:p>
      <w:pPr>
        <w:snapToGrid w:val="0"/>
        <w:ind w:firstLine="657" w:firstLineChars="365"/>
        <w:rPr>
          <w:rFonts w:hint="eastAsia" w:ascii="仿宋" w:hAnsi="仿宋" w:eastAsia="仿宋" w:cs="仿宋"/>
          <w:color w:val="000000"/>
          <w:sz w:val="18"/>
          <w:szCs w:val="18"/>
        </w:rPr>
      </w:pPr>
      <w:r>
        <w:rPr>
          <w:rFonts w:hint="eastAsia" w:ascii="仿宋" w:hAnsi="仿宋" w:eastAsia="仿宋" w:cs="仿宋"/>
          <w:color w:val="000000"/>
          <w:sz w:val="18"/>
          <w:szCs w:val="18"/>
        </w:rPr>
        <w:t>2.本表由评标委员会集体评议，评标委员会成员中对评审结论有不同意见时，按少数服从多数的原则，确定评审结论。</w:t>
      </w:r>
    </w:p>
    <w:p>
      <w:pPr>
        <w:snapToGrid w:val="0"/>
        <w:ind w:firstLine="657" w:firstLineChars="365"/>
        <w:rPr>
          <w:rFonts w:hint="eastAsia" w:ascii="仿宋" w:hAnsi="仿宋" w:eastAsia="仿宋" w:cs="仿宋"/>
          <w:color w:val="000000"/>
          <w:sz w:val="28"/>
          <w:szCs w:val="28"/>
        </w:rPr>
      </w:pPr>
      <w:r>
        <w:rPr>
          <w:rFonts w:hint="eastAsia" w:ascii="仿宋" w:hAnsi="仿宋" w:eastAsia="仿宋" w:cs="仿宋"/>
          <w:color w:val="000000"/>
          <w:sz w:val="18"/>
          <w:szCs w:val="18"/>
        </w:rPr>
        <w:t>3.根据</w:t>
      </w:r>
      <w:r>
        <w:rPr>
          <w:rFonts w:hint="eastAsia" w:ascii="仿宋" w:hAnsi="仿宋" w:eastAsia="仿宋" w:cs="仿宋"/>
          <w:color w:val="000000"/>
          <w:sz w:val="18"/>
          <w:szCs w:val="18"/>
          <w:u w:val="single"/>
        </w:rPr>
        <w:t>住建部建办市函〔2016〕462号</w:t>
      </w:r>
      <w:r>
        <w:rPr>
          <w:rFonts w:hint="eastAsia" w:ascii="仿宋" w:hAnsi="仿宋" w:eastAsia="仿宋" w:cs="仿宋"/>
          <w:color w:val="000000"/>
          <w:sz w:val="18"/>
          <w:szCs w:val="18"/>
        </w:rPr>
        <w:t>“招标活动中，不得要求企业提供建筑业企业资质证书原件，企业资质情况可通过扫描建筑业企业资质证书复印件的二维码查询”要求，企业资质情况通过扫描证书复印件的二维码查询。</w:t>
      </w:r>
    </w:p>
    <w:p>
      <w:pPr>
        <w:snapToGrid w:val="0"/>
        <w:spacing w:line="600" w:lineRule="exact"/>
        <w:rPr>
          <w:rFonts w:hint="eastAsia" w:ascii="仿宋" w:hAnsi="仿宋" w:eastAsia="仿宋" w:cs="仿宋"/>
          <w:color w:val="000000"/>
          <w:sz w:val="28"/>
          <w:szCs w:val="28"/>
        </w:rPr>
      </w:pPr>
      <w:r>
        <w:rPr>
          <w:rFonts w:hint="eastAsia" w:ascii="仿宋" w:hAnsi="仿宋" w:eastAsia="仿宋" w:cs="仿宋"/>
          <w:color w:val="000000"/>
          <w:sz w:val="28"/>
          <w:szCs w:val="28"/>
        </w:rPr>
        <w:t>评标委员会全体成员签字：</w:t>
      </w:r>
    </w:p>
    <w:p>
      <w:pPr>
        <w:pStyle w:val="32"/>
        <w:spacing w:line="490" w:lineRule="exact"/>
        <w:ind w:left="420" w:hanging="420"/>
        <w:outlineLvl w:val="4"/>
        <w:rPr>
          <w:rFonts w:eastAsia="黑体"/>
          <w:bCs/>
          <w:color w:val="000000"/>
          <w:sz w:val="28"/>
          <w:szCs w:val="20"/>
        </w:rPr>
      </w:pPr>
      <w:r>
        <w:rPr>
          <w:rFonts w:hint="eastAsia" w:ascii="仿宋" w:hAnsi="仿宋" w:eastAsia="仿宋" w:cs="仿宋"/>
          <w:color w:val="000000"/>
        </w:rPr>
        <w:br w:type="page"/>
      </w:r>
      <w:bookmarkStart w:id="822" w:name="_Toc511317237"/>
      <w:bookmarkStart w:id="823" w:name="_Toc511317986"/>
      <w:r>
        <w:rPr>
          <w:rFonts w:eastAsia="黑体"/>
          <w:bCs/>
          <w:color w:val="000000"/>
          <w:sz w:val="28"/>
          <w:szCs w:val="20"/>
        </w:rPr>
        <w:t>附表3-3（3）：响应性评审表</w:t>
      </w:r>
      <w:bookmarkEnd w:id="822"/>
      <w:bookmarkEnd w:id="823"/>
    </w:p>
    <w:p>
      <w:pPr>
        <w:spacing w:before="240" w:beforeLines="100" w:after="240" w:afterLines="100" w:line="600" w:lineRule="exact"/>
        <w:jc w:val="center"/>
        <w:rPr>
          <w:rFonts w:hint="eastAsia" w:ascii="方正小标宋简体" w:eastAsia="方正小标宋简体"/>
          <w:color w:val="000000"/>
          <w:sz w:val="40"/>
          <w:szCs w:val="28"/>
        </w:rPr>
      </w:pPr>
      <w:r>
        <w:rPr>
          <w:rFonts w:hint="eastAsia" w:ascii="方正小标宋简体" w:eastAsia="方正小标宋简体"/>
          <w:color w:val="000000"/>
          <w:sz w:val="40"/>
          <w:szCs w:val="28"/>
        </w:rPr>
        <w:t>响应性评审表</w:t>
      </w:r>
    </w:p>
    <w:p>
      <w:pPr>
        <w:snapToGrid w:val="0"/>
        <w:spacing w:line="480" w:lineRule="exact"/>
        <w:rPr>
          <w:rFonts w:hint="eastAsia" w:ascii="仿宋" w:hAnsi="仿宋" w:eastAsia="仿宋" w:cs="仿宋"/>
          <w:color w:val="000000"/>
          <w:sz w:val="24"/>
          <w:u w:val="single"/>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（标段名称）</w:t>
      </w:r>
      <w:r>
        <w:rPr>
          <w:rFonts w:hint="eastAsia" w:ascii="仿宋" w:hAnsi="仿宋" w:eastAsia="仿宋" w:cs="仿宋"/>
          <w:color w:val="000000"/>
          <w:sz w:val="24"/>
          <w:u w:val="single"/>
        </w:rPr>
        <w:t xml:space="preserve">                      </w:t>
      </w:r>
    </w:p>
    <w:p>
      <w:pPr>
        <w:snapToGrid w:val="0"/>
        <w:spacing w:line="480" w:lineRule="exact"/>
        <w:rPr>
          <w:rFonts w:hint="eastAsia" w:ascii="仿宋" w:hAnsi="仿宋" w:eastAsia="仿宋" w:cs="仿宋"/>
          <w:color w:val="000000"/>
          <w:sz w:val="24"/>
          <w:u w:val="single"/>
        </w:rPr>
      </w:pPr>
      <w:r>
        <w:rPr>
          <w:rFonts w:hint="eastAsia" w:ascii="仿宋" w:hAnsi="仿宋" w:eastAsia="仿宋" w:cs="仿宋"/>
          <w:color w:val="000000"/>
          <w:sz w:val="24"/>
        </w:rPr>
        <w:t>项目管理编号：</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tbl>
      <w:tblPr>
        <w:tblStyle w:val="47"/>
        <w:tblW w:w="9194"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1260"/>
        <w:gridCol w:w="1253"/>
        <w:gridCol w:w="2707"/>
        <w:gridCol w:w="1139"/>
        <w:gridCol w:w="1140"/>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5" w:type="dxa"/>
            <w:vMerge w:val="restart"/>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序号</w:t>
            </w:r>
          </w:p>
        </w:tc>
        <w:tc>
          <w:tcPr>
            <w:tcW w:w="1260" w:type="dxa"/>
            <w:vMerge w:val="restart"/>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条款号</w:t>
            </w:r>
          </w:p>
        </w:tc>
        <w:tc>
          <w:tcPr>
            <w:tcW w:w="1253" w:type="dxa"/>
            <w:vMerge w:val="restart"/>
            <w:noWrap w:val="0"/>
            <w:vAlign w:val="center"/>
          </w:tcPr>
          <w:p>
            <w:pPr>
              <w:snapToGrid w:val="0"/>
              <w:rPr>
                <w:rFonts w:hint="eastAsia" w:ascii="仿宋" w:hAnsi="仿宋" w:eastAsia="仿宋" w:cs="仿宋"/>
                <w:color w:val="000000"/>
              </w:rPr>
            </w:pPr>
            <w:r>
              <w:rPr>
                <w:rFonts w:hint="eastAsia" w:ascii="仿宋" w:hAnsi="仿宋" w:eastAsia="仿宋" w:cs="仿宋"/>
                <w:color w:val="000000"/>
              </w:rPr>
              <w:t>评审因素</w:t>
            </w:r>
          </w:p>
        </w:tc>
        <w:tc>
          <w:tcPr>
            <w:tcW w:w="2707" w:type="dxa"/>
            <w:vMerge w:val="restart"/>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评审标准</w:t>
            </w:r>
          </w:p>
        </w:tc>
        <w:tc>
          <w:tcPr>
            <w:tcW w:w="3419" w:type="dxa"/>
            <w:gridSpan w:val="3"/>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投标人名称及评审意见</w:t>
            </w:r>
          </w:p>
          <w:p>
            <w:pPr>
              <w:jc w:val="center"/>
              <w:rPr>
                <w:rFonts w:hint="eastAsia" w:ascii="仿宋" w:hAnsi="仿宋" w:eastAsia="仿宋" w:cs="仿宋"/>
                <w:color w:val="000000"/>
                <w:kern w:val="0"/>
              </w:rPr>
            </w:pPr>
            <w:r>
              <w:rPr>
                <w:rFonts w:hint="eastAsia" w:ascii="仿宋" w:hAnsi="仿宋" w:eastAsia="仿宋" w:cs="仿宋"/>
                <w:bCs/>
                <w:color w:val="000000"/>
                <w:kern w:val="0"/>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5" w:type="dxa"/>
            <w:vMerge w:val="continue"/>
            <w:noWrap w:val="0"/>
            <w:vAlign w:val="center"/>
          </w:tcPr>
          <w:p>
            <w:pPr>
              <w:jc w:val="center"/>
              <w:rPr>
                <w:rFonts w:hint="eastAsia" w:ascii="仿宋" w:hAnsi="仿宋" w:eastAsia="仿宋" w:cs="仿宋"/>
                <w:color w:val="000000"/>
                <w:kern w:val="0"/>
              </w:rPr>
            </w:pPr>
          </w:p>
        </w:tc>
        <w:tc>
          <w:tcPr>
            <w:tcW w:w="1260" w:type="dxa"/>
            <w:vMerge w:val="continue"/>
            <w:noWrap w:val="0"/>
            <w:vAlign w:val="center"/>
          </w:tcPr>
          <w:p>
            <w:pPr>
              <w:snapToGrid w:val="0"/>
              <w:jc w:val="center"/>
              <w:rPr>
                <w:rFonts w:hint="eastAsia" w:ascii="仿宋" w:hAnsi="仿宋" w:eastAsia="仿宋" w:cs="仿宋"/>
                <w:color w:val="000000"/>
              </w:rPr>
            </w:pPr>
          </w:p>
        </w:tc>
        <w:tc>
          <w:tcPr>
            <w:tcW w:w="1253" w:type="dxa"/>
            <w:vMerge w:val="continue"/>
            <w:noWrap w:val="0"/>
            <w:vAlign w:val="center"/>
          </w:tcPr>
          <w:p>
            <w:pPr>
              <w:snapToGrid w:val="0"/>
              <w:rPr>
                <w:rFonts w:hint="eastAsia" w:ascii="仿宋" w:hAnsi="仿宋" w:eastAsia="仿宋" w:cs="仿宋"/>
                <w:color w:val="000000"/>
              </w:rPr>
            </w:pPr>
          </w:p>
        </w:tc>
        <w:tc>
          <w:tcPr>
            <w:tcW w:w="2707" w:type="dxa"/>
            <w:vMerge w:val="continue"/>
            <w:noWrap w:val="0"/>
            <w:vAlign w:val="center"/>
          </w:tcPr>
          <w:p>
            <w:pPr>
              <w:snapToGrid w:val="0"/>
              <w:jc w:val="center"/>
              <w:rPr>
                <w:rFonts w:hint="eastAsia" w:ascii="仿宋" w:hAnsi="仿宋" w:eastAsia="仿宋" w:cs="仿宋"/>
                <w:color w:val="000000"/>
              </w:rPr>
            </w:pPr>
          </w:p>
        </w:tc>
        <w:tc>
          <w:tcPr>
            <w:tcW w:w="1139"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1</w:t>
            </w:r>
          </w:p>
        </w:tc>
        <w:tc>
          <w:tcPr>
            <w:tcW w:w="1140"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2</w:t>
            </w:r>
          </w:p>
        </w:tc>
        <w:tc>
          <w:tcPr>
            <w:tcW w:w="1140"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5" w:type="dxa"/>
            <w:vMerge w:val="continue"/>
            <w:noWrap w:val="0"/>
            <w:vAlign w:val="center"/>
          </w:tcPr>
          <w:p>
            <w:pPr>
              <w:jc w:val="center"/>
              <w:rPr>
                <w:rFonts w:hint="eastAsia" w:ascii="仿宋" w:hAnsi="仿宋" w:eastAsia="仿宋" w:cs="仿宋"/>
                <w:color w:val="000000"/>
                <w:kern w:val="0"/>
              </w:rPr>
            </w:pPr>
          </w:p>
        </w:tc>
        <w:tc>
          <w:tcPr>
            <w:tcW w:w="1260" w:type="dxa"/>
            <w:vMerge w:val="continue"/>
            <w:noWrap w:val="0"/>
            <w:vAlign w:val="center"/>
          </w:tcPr>
          <w:p>
            <w:pPr>
              <w:snapToGrid w:val="0"/>
              <w:jc w:val="center"/>
              <w:rPr>
                <w:rFonts w:hint="eastAsia" w:ascii="仿宋" w:hAnsi="仿宋" w:eastAsia="仿宋" w:cs="仿宋"/>
                <w:color w:val="000000"/>
              </w:rPr>
            </w:pPr>
          </w:p>
        </w:tc>
        <w:tc>
          <w:tcPr>
            <w:tcW w:w="1253" w:type="dxa"/>
            <w:vMerge w:val="continue"/>
            <w:noWrap w:val="0"/>
            <w:vAlign w:val="center"/>
          </w:tcPr>
          <w:p>
            <w:pPr>
              <w:snapToGrid w:val="0"/>
              <w:rPr>
                <w:rFonts w:hint="eastAsia" w:ascii="仿宋" w:hAnsi="仿宋" w:eastAsia="仿宋" w:cs="仿宋"/>
                <w:color w:val="000000"/>
              </w:rPr>
            </w:pPr>
          </w:p>
        </w:tc>
        <w:tc>
          <w:tcPr>
            <w:tcW w:w="2707" w:type="dxa"/>
            <w:vMerge w:val="continue"/>
            <w:noWrap w:val="0"/>
            <w:vAlign w:val="center"/>
          </w:tcPr>
          <w:p>
            <w:pPr>
              <w:snapToGrid w:val="0"/>
              <w:jc w:val="center"/>
              <w:rPr>
                <w:rFonts w:hint="eastAsia" w:ascii="仿宋" w:hAnsi="仿宋" w:eastAsia="仿宋" w:cs="仿宋"/>
                <w:color w:val="000000"/>
              </w:rPr>
            </w:pP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w:t>
            </w:r>
          </w:p>
        </w:tc>
        <w:tc>
          <w:tcPr>
            <w:tcW w:w="1260"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2.1.3（1）</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投标范围</w:t>
            </w:r>
          </w:p>
        </w:tc>
        <w:tc>
          <w:tcPr>
            <w:tcW w:w="2707"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投标范围符合第二章投标人须知第1.3.1项规定</w:t>
            </w: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2</w:t>
            </w:r>
          </w:p>
        </w:tc>
        <w:tc>
          <w:tcPr>
            <w:tcW w:w="1260"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2.1.3（2）</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工期</w:t>
            </w:r>
          </w:p>
        </w:tc>
        <w:tc>
          <w:tcPr>
            <w:tcW w:w="2707"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计划工期符合第二章投标人须知第1.3.2项规定</w:t>
            </w: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3</w:t>
            </w:r>
          </w:p>
        </w:tc>
        <w:tc>
          <w:tcPr>
            <w:tcW w:w="1260"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2.1.3（3）</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工程质量</w:t>
            </w:r>
          </w:p>
        </w:tc>
        <w:tc>
          <w:tcPr>
            <w:tcW w:w="2707"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工程质量符合第二章投标人须知第1.3.3项规定</w:t>
            </w: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4</w:t>
            </w:r>
          </w:p>
        </w:tc>
        <w:tc>
          <w:tcPr>
            <w:tcW w:w="1260"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2.1.3（4）</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投标有效期</w:t>
            </w:r>
          </w:p>
        </w:tc>
        <w:tc>
          <w:tcPr>
            <w:tcW w:w="2707"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投标有效期符合第二章投标人须知第3.3.1项规定</w:t>
            </w: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5</w:t>
            </w:r>
          </w:p>
        </w:tc>
        <w:tc>
          <w:tcPr>
            <w:tcW w:w="1260"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2.1.3（5）</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投标担保</w:t>
            </w:r>
          </w:p>
        </w:tc>
        <w:tc>
          <w:tcPr>
            <w:tcW w:w="2707"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投标担保符合第二章投标人须知第3.4款规定</w:t>
            </w: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6</w:t>
            </w:r>
          </w:p>
        </w:tc>
        <w:tc>
          <w:tcPr>
            <w:tcW w:w="1260"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2.1.3（6）</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权利义务</w:t>
            </w:r>
          </w:p>
        </w:tc>
        <w:tc>
          <w:tcPr>
            <w:tcW w:w="2707"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权利义务符合第四章合同条款及格式规定的权利义务</w:t>
            </w: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7</w:t>
            </w:r>
          </w:p>
        </w:tc>
        <w:tc>
          <w:tcPr>
            <w:tcW w:w="1260" w:type="dxa"/>
            <w:noWrap w:val="0"/>
            <w:vAlign w:val="center"/>
          </w:tcPr>
          <w:p>
            <w:pPr>
              <w:snapToGrid w:val="0"/>
              <w:ind w:left="-92" w:leftChars="-44"/>
              <w:jc w:val="center"/>
              <w:rPr>
                <w:rFonts w:hint="eastAsia" w:ascii="仿宋" w:hAnsi="仿宋" w:eastAsia="仿宋" w:cs="仿宋"/>
                <w:color w:val="000000"/>
              </w:rPr>
            </w:pPr>
            <w:r>
              <w:rPr>
                <w:rFonts w:hint="eastAsia" w:ascii="仿宋" w:hAnsi="仿宋" w:eastAsia="仿宋" w:cs="仿宋"/>
                <w:color w:val="000000"/>
              </w:rPr>
              <w:t>2.1.3（7）</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工程量清单</w:t>
            </w:r>
          </w:p>
        </w:tc>
        <w:tc>
          <w:tcPr>
            <w:tcW w:w="2707"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已标价工程量清单符合第五章工程量清单的有关要求</w:t>
            </w: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8</w:t>
            </w:r>
          </w:p>
        </w:tc>
        <w:tc>
          <w:tcPr>
            <w:tcW w:w="1260"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2.1.3（8）</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技术标准和要求</w:t>
            </w:r>
          </w:p>
        </w:tc>
        <w:tc>
          <w:tcPr>
            <w:tcW w:w="2707"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技术标准和要求符合第七章技术标准和要求（合同技术条款）的规定</w:t>
            </w: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9</w:t>
            </w:r>
          </w:p>
        </w:tc>
        <w:tc>
          <w:tcPr>
            <w:tcW w:w="1260"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2.1.3（9）</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对投标人的纪律要求</w:t>
            </w:r>
          </w:p>
        </w:tc>
        <w:tc>
          <w:tcPr>
            <w:tcW w:w="2707"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符合第二章“投标人须知”第9.2款规定</w:t>
            </w: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10</w:t>
            </w:r>
          </w:p>
        </w:tc>
        <w:tc>
          <w:tcPr>
            <w:tcW w:w="1260"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2.1.3（10）</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工程结算款支付账户</w:t>
            </w:r>
          </w:p>
        </w:tc>
        <w:tc>
          <w:tcPr>
            <w:tcW w:w="2707"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符合第二章“投标人须知”第10.3款规定</w:t>
            </w: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11</w:t>
            </w:r>
          </w:p>
        </w:tc>
        <w:tc>
          <w:tcPr>
            <w:tcW w:w="1260"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2.1.3（11）</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最高投标限价</w:t>
            </w:r>
          </w:p>
        </w:tc>
        <w:tc>
          <w:tcPr>
            <w:tcW w:w="2707"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符合第二章“投标人须知</w:t>
            </w:r>
            <w:r>
              <w:rPr>
                <w:rFonts w:hint="eastAsia" w:ascii="仿宋" w:hAnsi="仿宋" w:eastAsia="仿宋" w:cs="仿宋"/>
                <w:kern w:val="2"/>
                <w:sz w:val="18"/>
                <w:szCs w:val="18"/>
              </w:rPr>
              <w:t>”第10.5款</w:t>
            </w:r>
            <w:r>
              <w:rPr>
                <w:rFonts w:hint="eastAsia" w:ascii="仿宋" w:hAnsi="仿宋" w:eastAsia="仿宋" w:cs="仿宋"/>
                <w:sz w:val="18"/>
                <w:szCs w:val="18"/>
              </w:rPr>
              <w:t>规定</w:t>
            </w: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12</w:t>
            </w:r>
          </w:p>
        </w:tc>
        <w:tc>
          <w:tcPr>
            <w:tcW w:w="1260"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w:t>
            </w:r>
          </w:p>
        </w:tc>
        <w:tc>
          <w:tcPr>
            <w:tcW w:w="2707"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w:t>
            </w: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5" w:type="dxa"/>
            <w:noWrap w:val="0"/>
            <w:vAlign w:val="center"/>
          </w:tcPr>
          <w:p>
            <w:pPr>
              <w:jc w:val="center"/>
              <w:rPr>
                <w:rFonts w:hint="eastAsia" w:ascii="仿宋" w:hAnsi="仿宋" w:eastAsia="仿宋" w:cs="仿宋"/>
                <w:color w:val="000000"/>
                <w:kern w:val="0"/>
              </w:rPr>
            </w:pPr>
          </w:p>
        </w:tc>
        <w:tc>
          <w:tcPr>
            <w:tcW w:w="5220" w:type="dxa"/>
            <w:gridSpan w:val="3"/>
            <w:noWrap w:val="0"/>
            <w:vAlign w:val="center"/>
          </w:tcPr>
          <w:p>
            <w:pPr>
              <w:jc w:val="center"/>
              <w:rPr>
                <w:rFonts w:hint="eastAsia" w:ascii="仿宋" w:hAnsi="仿宋" w:eastAsia="仿宋" w:cs="仿宋"/>
                <w:b/>
                <w:bCs/>
                <w:color w:val="000000"/>
                <w:kern w:val="0"/>
              </w:rPr>
            </w:pPr>
            <w:r>
              <w:rPr>
                <w:rFonts w:hint="eastAsia" w:ascii="仿宋" w:hAnsi="仿宋" w:eastAsia="仿宋" w:cs="仿宋"/>
                <w:b/>
                <w:bCs/>
                <w:color w:val="000000"/>
                <w:kern w:val="0"/>
              </w:rPr>
              <w:t>评审结论（合格/不合格）</w:t>
            </w: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r>
    </w:tbl>
    <w:p>
      <w:pPr>
        <w:rPr>
          <w:rFonts w:hint="eastAsia" w:ascii="仿宋" w:hAnsi="仿宋" w:eastAsia="仿宋" w:cs="仿宋"/>
          <w:color w:val="000000"/>
          <w:sz w:val="18"/>
          <w:szCs w:val="18"/>
        </w:rPr>
      </w:pPr>
      <w:r>
        <w:rPr>
          <w:rFonts w:hint="eastAsia" w:ascii="仿宋" w:hAnsi="仿宋" w:eastAsia="仿宋" w:cs="仿宋"/>
          <w:b/>
          <w:color w:val="000000"/>
        </w:rPr>
        <w:t>备注：</w:t>
      </w:r>
      <w:r>
        <w:rPr>
          <w:rFonts w:hint="eastAsia" w:ascii="仿宋" w:hAnsi="仿宋" w:eastAsia="仿宋" w:cs="仿宋"/>
          <w:color w:val="000000"/>
          <w:sz w:val="18"/>
          <w:szCs w:val="18"/>
        </w:rPr>
        <w:t>1.评审项目合格的打“√”，不合格的打“×”。上表中有一项不符合评审标准的，其评审结论为不合格，则不进入投标文件下一轮的评审。</w:t>
      </w:r>
    </w:p>
    <w:p>
      <w:pPr>
        <w:snapToGrid w:val="0"/>
        <w:ind w:firstLine="615" w:firstLineChars="342"/>
        <w:rPr>
          <w:rFonts w:hint="eastAsia" w:ascii="仿宋" w:hAnsi="仿宋" w:eastAsia="仿宋" w:cs="仿宋"/>
          <w:color w:val="000000"/>
          <w:sz w:val="18"/>
          <w:szCs w:val="18"/>
        </w:rPr>
      </w:pPr>
      <w:r>
        <w:rPr>
          <w:rFonts w:hint="eastAsia" w:ascii="仿宋" w:hAnsi="仿宋" w:eastAsia="仿宋" w:cs="仿宋"/>
          <w:color w:val="000000"/>
          <w:sz w:val="18"/>
          <w:szCs w:val="18"/>
        </w:rPr>
        <w:t>2.已标价工程量清单：投标人提供的已标价的工程量清单应符合第五章《工程量清单》的有关要求及给出的范围，给出的范围不得增加和删除，否则视为不符合评审标准。</w:t>
      </w:r>
    </w:p>
    <w:p>
      <w:pPr>
        <w:snapToGrid w:val="0"/>
        <w:ind w:firstLine="615" w:firstLineChars="342"/>
        <w:rPr>
          <w:rFonts w:hint="eastAsia" w:ascii="仿宋" w:hAnsi="仿宋" w:eastAsia="仿宋" w:cs="仿宋"/>
          <w:color w:val="000000"/>
          <w:sz w:val="18"/>
          <w:szCs w:val="18"/>
        </w:rPr>
      </w:pPr>
      <w:r>
        <w:rPr>
          <w:rFonts w:hint="eastAsia" w:ascii="仿宋" w:hAnsi="仿宋" w:eastAsia="仿宋" w:cs="仿宋"/>
          <w:color w:val="000000"/>
          <w:sz w:val="18"/>
          <w:szCs w:val="18"/>
        </w:rPr>
        <w:t>3.本表由评标委员会集体评议，评标委员会成员中对评审结论有不同意见时，按少数服从多数的原则，确定评审结论。</w:t>
      </w:r>
    </w:p>
    <w:p>
      <w:pPr>
        <w:snapToGrid w:val="0"/>
        <w:spacing w:line="480" w:lineRule="exact"/>
        <w:rPr>
          <w:rFonts w:hint="eastAsia" w:ascii="仿宋" w:hAnsi="仿宋" w:eastAsia="仿宋" w:cs="仿宋"/>
          <w:color w:val="000000"/>
          <w:sz w:val="28"/>
          <w:szCs w:val="28"/>
        </w:rPr>
      </w:pPr>
      <w:r>
        <w:rPr>
          <w:rFonts w:hint="eastAsia" w:ascii="仿宋" w:hAnsi="仿宋" w:eastAsia="仿宋" w:cs="仿宋"/>
          <w:color w:val="000000"/>
          <w:sz w:val="28"/>
          <w:szCs w:val="28"/>
        </w:rPr>
        <w:t>评标委员会全体成员签字：</w:t>
      </w:r>
    </w:p>
    <w:p>
      <w:pPr>
        <w:snapToGrid w:val="0"/>
        <w:spacing w:line="480" w:lineRule="exact"/>
        <w:outlineLvl w:val="4"/>
        <w:rPr>
          <w:rFonts w:eastAsia="黑体"/>
          <w:bCs/>
          <w:color w:val="000000"/>
          <w:sz w:val="28"/>
          <w:szCs w:val="20"/>
        </w:rPr>
      </w:pPr>
      <w:r>
        <w:rPr>
          <w:rFonts w:hint="eastAsia" w:ascii="仿宋" w:hAnsi="仿宋" w:eastAsia="仿宋" w:cs="仿宋"/>
          <w:color w:val="000000"/>
        </w:rPr>
        <w:br w:type="page"/>
      </w:r>
      <w:bookmarkStart w:id="824" w:name="_Toc511317238"/>
      <w:bookmarkStart w:id="825" w:name="_Toc511317987"/>
      <w:r>
        <w:rPr>
          <w:rFonts w:eastAsia="黑体"/>
          <w:bCs/>
          <w:color w:val="000000"/>
          <w:sz w:val="28"/>
          <w:szCs w:val="20"/>
        </w:rPr>
        <w:t>附表3-3（4）：技术投标文件评审表</w:t>
      </w:r>
      <w:bookmarkEnd w:id="824"/>
      <w:bookmarkEnd w:id="825"/>
    </w:p>
    <w:p>
      <w:pPr>
        <w:spacing w:before="240" w:beforeLines="100" w:after="240" w:afterLines="100" w:line="600" w:lineRule="exact"/>
        <w:jc w:val="center"/>
        <w:rPr>
          <w:rFonts w:hint="eastAsia" w:ascii="方正小标宋简体" w:eastAsia="方正小标宋简体"/>
          <w:color w:val="000000"/>
          <w:sz w:val="40"/>
          <w:szCs w:val="28"/>
        </w:rPr>
      </w:pPr>
      <w:r>
        <w:rPr>
          <w:rFonts w:hint="eastAsia" w:ascii="方正小标宋简体" w:eastAsia="方正小标宋简体"/>
          <w:color w:val="000000"/>
          <w:sz w:val="40"/>
          <w:szCs w:val="28"/>
        </w:rPr>
        <w:t>技术投标文件评审表</w:t>
      </w:r>
    </w:p>
    <w:p>
      <w:pPr>
        <w:snapToGrid w:val="0"/>
        <w:spacing w:line="500" w:lineRule="exact"/>
        <w:rPr>
          <w:rFonts w:hint="eastAsia" w:ascii="仿宋" w:hAnsi="仿宋" w:eastAsia="仿宋" w:cs="仿宋"/>
          <w:color w:val="000000"/>
          <w:sz w:val="24"/>
          <w:u w:val="single"/>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（标段名称）</w:t>
      </w:r>
      <w:r>
        <w:rPr>
          <w:rFonts w:hint="eastAsia" w:ascii="仿宋" w:hAnsi="仿宋" w:eastAsia="仿宋" w:cs="仿宋"/>
          <w:color w:val="000000"/>
          <w:sz w:val="24"/>
          <w:u w:val="single"/>
        </w:rPr>
        <w:t xml:space="preserve">                      </w:t>
      </w:r>
    </w:p>
    <w:p>
      <w:pPr>
        <w:snapToGrid w:val="0"/>
        <w:spacing w:line="500" w:lineRule="exact"/>
        <w:rPr>
          <w:rFonts w:hint="eastAsia" w:ascii="仿宋" w:hAnsi="仿宋" w:eastAsia="仿宋" w:cs="仿宋"/>
          <w:color w:val="000000"/>
          <w:sz w:val="24"/>
        </w:rPr>
      </w:pPr>
      <w:r>
        <w:rPr>
          <w:rFonts w:hint="eastAsia" w:ascii="仿宋" w:hAnsi="仿宋" w:eastAsia="仿宋" w:cs="仿宋"/>
          <w:color w:val="000000"/>
          <w:sz w:val="24"/>
        </w:rPr>
        <w:t>项目管理编号：</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tbl>
      <w:tblPr>
        <w:tblStyle w:val="47"/>
        <w:tblW w:w="9498"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38"/>
        <w:gridCol w:w="2322"/>
        <w:gridCol w:w="2538"/>
        <w:gridCol w:w="864"/>
        <w:gridCol w:w="567"/>
        <w:gridCol w:w="851"/>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426" w:type="dxa"/>
            <w:vMerge w:val="restart"/>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序号</w:t>
            </w:r>
          </w:p>
        </w:tc>
        <w:tc>
          <w:tcPr>
            <w:tcW w:w="938" w:type="dxa"/>
            <w:vMerge w:val="restart"/>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条款号</w:t>
            </w:r>
          </w:p>
        </w:tc>
        <w:tc>
          <w:tcPr>
            <w:tcW w:w="2322" w:type="dxa"/>
            <w:vMerge w:val="restart"/>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评审因素</w:t>
            </w:r>
          </w:p>
        </w:tc>
        <w:tc>
          <w:tcPr>
            <w:tcW w:w="3402" w:type="dxa"/>
            <w:gridSpan w:val="2"/>
            <w:vMerge w:val="restart"/>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评分标准</w:t>
            </w:r>
          </w:p>
        </w:tc>
        <w:tc>
          <w:tcPr>
            <w:tcW w:w="2410" w:type="dxa"/>
            <w:gridSpan w:val="3"/>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投标人名称及评审意见</w:t>
            </w:r>
          </w:p>
          <w:p>
            <w:pPr>
              <w:jc w:val="center"/>
              <w:rPr>
                <w:rFonts w:hint="eastAsia" w:ascii="仿宋" w:hAnsi="仿宋" w:cs="仿宋"/>
                <w:color w:val="000000"/>
                <w:kern w:val="0"/>
              </w:rPr>
            </w:pPr>
            <w:r>
              <w:rPr>
                <w:rFonts w:hint="eastAsia" w:ascii="仿宋" w:hAnsi="仿宋" w:eastAsia="仿宋" w:cs="仿宋"/>
                <w:bCs/>
                <w:color w:val="000000"/>
                <w:kern w:val="0"/>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426" w:type="dxa"/>
            <w:vMerge w:val="continue"/>
            <w:noWrap w:val="0"/>
            <w:vAlign w:val="center"/>
          </w:tcPr>
          <w:p>
            <w:pPr>
              <w:jc w:val="center"/>
              <w:rPr>
                <w:rFonts w:hint="eastAsia" w:ascii="仿宋" w:hAnsi="仿宋" w:eastAsia="仿宋" w:cs="仿宋"/>
                <w:b/>
                <w:color w:val="000000"/>
                <w:kern w:val="0"/>
              </w:rPr>
            </w:pPr>
          </w:p>
        </w:tc>
        <w:tc>
          <w:tcPr>
            <w:tcW w:w="938" w:type="dxa"/>
            <w:vMerge w:val="continue"/>
            <w:noWrap w:val="0"/>
            <w:vAlign w:val="center"/>
          </w:tcPr>
          <w:p>
            <w:pPr>
              <w:snapToGrid w:val="0"/>
              <w:jc w:val="center"/>
              <w:rPr>
                <w:rFonts w:hint="eastAsia" w:ascii="仿宋" w:hAnsi="仿宋" w:eastAsia="仿宋" w:cs="仿宋"/>
                <w:b/>
                <w:color w:val="000000"/>
              </w:rPr>
            </w:pPr>
          </w:p>
        </w:tc>
        <w:tc>
          <w:tcPr>
            <w:tcW w:w="2322" w:type="dxa"/>
            <w:vMerge w:val="continue"/>
            <w:noWrap w:val="0"/>
            <w:vAlign w:val="center"/>
          </w:tcPr>
          <w:p>
            <w:pPr>
              <w:snapToGrid w:val="0"/>
              <w:jc w:val="center"/>
              <w:rPr>
                <w:rFonts w:hint="eastAsia" w:ascii="仿宋" w:hAnsi="仿宋" w:eastAsia="仿宋" w:cs="仿宋"/>
                <w:b/>
                <w:color w:val="000000"/>
              </w:rPr>
            </w:pPr>
          </w:p>
        </w:tc>
        <w:tc>
          <w:tcPr>
            <w:tcW w:w="3402" w:type="dxa"/>
            <w:gridSpan w:val="2"/>
            <w:vMerge w:val="continue"/>
            <w:noWrap w:val="0"/>
            <w:vAlign w:val="center"/>
          </w:tcPr>
          <w:p>
            <w:pPr>
              <w:snapToGrid w:val="0"/>
              <w:jc w:val="center"/>
              <w:rPr>
                <w:rFonts w:hint="eastAsia" w:ascii="仿宋" w:hAnsi="仿宋" w:eastAsia="仿宋" w:cs="仿宋"/>
                <w:b/>
                <w:color w:val="000000"/>
              </w:rPr>
            </w:pPr>
          </w:p>
        </w:tc>
        <w:tc>
          <w:tcPr>
            <w:tcW w:w="567"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1</w:t>
            </w:r>
          </w:p>
        </w:tc>
        <w:tc>
          <w:tcPr>
            <w:tcW w:w="851"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2</w:t>
            </w:r>
          </w:p>
        </w:tc>
        <w:tc>
          <w:tcPr>
            <w:tcW w:w="992"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426" w:type="dxa"/>
            <w:vMerge w:val="continue"/>
            <w:noWrap w:val="0"/>
            <w:vAlign w:val="center"/>
          </w:tcPr>
          <w:p>
            <w:pPr>
              <w:jc w:val="center"/>
              <w:rPr>
                <w:rFonts w:hint="eastAsia" w:ascii="仿宋" w:hAnsi="仿宋" w:eastAsia="仿宋" w:cs="仿宋"/>
                <w:color w:val="000000"/>
                <w:kern w:val="0"/>
              </w:rPr>
            </w:pPr>
          </w:p>
        </w:tc>
        <w:tc>
          <w:tcPr>
            <w:tcW w:w="938" w:type="dxa"/>
            <w:vMerge w:val="continue"/>
            <w:noWrap w:val="0"/>
            <w:vAlign w:val="center"/>
          </w:tcPr>
          <w:p>
            <w:pPr>
              <w:snapToGrid w:val="0"/>
              <w:jc w:val="center"/>
              <w:rPr>
                <w:rFonts w:hint="eastAsia" w:ascii="仿宋" w:hAnsi="仿宋" w:eastAsia="仿宋" w:cs="仿宋"/>
                <w:color w:val="000000"/>
              </w:rPr>
            </w:pPr>
          </w:p>
        </w:tc>
        <w:tc>
          <w:tcPr>
            <w:tcW w:w="2322" w:type="dxa"/>
            <w:vMerge w:val="continue"/>
            <w:noWrap w:val="0"/>
            <w:vAlign w:val="center"/>
          </w:tcPr>
          <w:p>
            <w:pPr>
              <w:snapToGrid w:val="0"/>
              <w:rPr>
                <w:rFonts w:hint="eastAsia" w:ascii="仿宋" w:hAnsi="仿宋" w:eastAsia="仿宋" w:cs="仿宋"/>
                <w:color w:val="000000"/>
              </w:rPr>
            </w:pPr>
          </w:p>
        </w:tc>
        <w:tc>
          <w:tcPr>
            <w:tcW w:w="3402" w:type="dxa"/>
            <w:gridSpan w:val="2"/>
            <w:vMerge w:val="continue"/>
            <w:noWrap w:val="0"/>
            <w:vAlign w:val="center"/>
          </w:tcPr>
          <w:p>
            <w:pPr>
              <w:snapToGrid w:val="0"/>
              <w:jc w:val="center"/>
              <w:rPr>
                <w:rFonts w:hint="eastAsia" w:ascii="仿宋" w:hAnsi="仿宋" w:eastAsia="仿宋" w:cs="仿宋"/>
                <w:color w:val="000000"/>
              </w:rPr>
            </w:pPr>
          </w:p>
        </w:tc>
        <w:tc>
          <w:tcPr>
            <w:tcW w:w="567" w:type="dxa"/>
            <w:noWrap w:val="0"/>
            <w:vAlign w:val="center"/>
          </w:tcPr>
          <w:p>
            <w:pPr>
              <w:jc w:val="center"/>
              <w:rPr>
                <w:rFonts w:hint="eastAsia" w:ascii="仿宋" w:hAnsi="仿宋" w:eastAsia="仿宋" w:cs="仿宋"/>
                <w:color w:val="000000"/>
                <w:kern w:val="0"/>
              </w:rPr>
            </w:pPr>
          </w:p>
        </w:tc>
        <w:tc>
          <w:tcPr>
            <w:tcW w:w="851" w:type="dxa"/>
            <w:noWrap w:val="0"/>
            <w:vAlign w:val="center"/>
          </w:tcPr>
          <w:p>
            <w:pPr>
              <w:jc w:val="center"/>
              <w:rPr>
                <w:rFonts w:hint="eastAsia" w:ascii="仿宋" w:hAnsi="仿宋" w:eastAsia="仿宋" w:cs="仿宋"/>
                <w:color w:val="000000"/>
                <w:kern w:val="0"/>
              </w:rPr>
            </w:pPr>
          </w:p>
        </w:tc>
        <w:tc>
          <w:tcPr>
            <w:tcW w:w="992"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426" w:type="dxa"/>
            <w:vMerge w:val="restart"/>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w:t>
            </w:r>
          </w:p>
        </w:tc>
        <w:tc>
          <w:tcPr>
            <w:tcW w:w="938" w:type="dxa"/>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2.2.4（1）</w:t>
            </w:r>
          </w:p>
        </w:tc>
        <w:tc>
          <w:tcPr>
            <w:tcW w:w="2322" w:type="dxa"/>
            <w:vMerge w:val="restart"/>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内容完整性和编制水平</w:t>
            </w:r>
          </w:p>
        </w:tc>
        <w:tc>
          <w:tcPr>
            <w:tcW w:w="2538"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内容基本完整</w:t>
            </w:r>
          </w:p>
        </w:tc>
        <w:tc>
          <w:tcPr>
            <w:tcW w:w="864"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合格</w:t>
            </w:r>
          </w:p>
        </w:tc>
        <w:tc>
          <w:tcPr>
            <w:tcW w:w="567" w:type="dxa"/>
            <w:vMerge w:val="restart"/>
            <w:noWrap w:val="0"/>
            <w:vAlign w:val="center"/>
          </w:tcPr>
          <w:p>
            <w:pPr>
              <w:pStyle w:val="106"/>
              <w:jc w:val="center"/>
              <w:rPr>
                <w:rFonts w:hint="eastAsia" w:ascii="仿宋" w:hAnsi="仿宋" w:eastAsia="仿宋" w:cs="仿宋"/>
                <w:sz w:val="18"/>
                <w:szCs w:val="18"/>
              </w:rPr>
            </w:pPr>
          </w:p>
        </w:tc>
        <w:tc>
          <w:tcPr>
            <w:tcW w:w="851" w:type="dxa"/>
            <w:vMerge w:val="restart"/>
            <w:noWrap w:val="0"/>
            <w:vAlign w:val="center"/>
          </w:tcPr>
          <w:p>
            <w:pPr>
              <w:jc w:val="center"/>
              <w:rPr>
                <w:rFonts w:hint="eastAsia" w:ascii="仿宋" w:hAnsi="仿宋" w:eastAsia="仿宋" w:cs="仿宋"/>
                <w:color w:val="000000"/>
                <w:kern w:val="0"/>
                <w:sz w:val="18"/>
                <w:szCs w:val="18"/>
              </w:rPr>
            </w:pPr>
          </w:p>
        </w:tc>
        <w:tc>
          <w:tcPr>
            <w:tcW w:w="992" w:type="dxa"/>
            <w:vMerge w:val="restart"/>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26" w:type="dxa"/>
            <w:vMerge w:val="continue"/>
            <w:noWrap w:val="0"/>
            <w:vAlign w:val="center"/>
          </w:tcPr>
          <w:p>
            <w:pPr>
              <w:jc w:val="center"/>
              <w:rPr>
                <w:rFonts w:hint="eastAsia" w:ascii="仿宋" w:hAnsi="仿宋" w:eastAsia="仿宋" w:cs="仿宋"/>
                <w:color w:val="000000"/>
                <w:kern w:val="0"/>
                <w:sz w:val="18"/>
                <w:szCs w:val="18"/>
              </w:rPr>
            </w:pPr>
          </w:p>
        </w:tc>
        <w:tc>
          <w:tcPr>
            <w:tcW w:w="938" w:type="dxa"/>
            <w:vMerge w:val="continue"/>
            <w:noWrap w:val="0"/>
            <w:vAlign w:val="center"/>
          </w:tcPr>
          <w:p>
            <w:pPr>
              <w:snapToGrid w:val="0"/>
              <w:jc w:val="center"/>
              <w:rPr>
                <w:rFonts w:hint="eastAsia" w:ascii="仿宋" w:hAnsi="仿宋" w:eastAsia="仿宋" w:cs="仿宋"/>
                <w:color w:val="000000"/>
              </w:rPr>
            </w:pPr>
          </w:p>
        </w:tc>
        <w:tc>
          <w:tcPr>
            <w:tcW w:w="2322" w:type="dxa"/>
            <w:vMerge w:val="continue"/>
            <w:noWrap w:val="0"/>
            <w:vAlign w:val="center"/>
          </w:tcPr>
          <w:p>
            <w:pPr>
              <w:pStyle w:val="106"/>
              <w:jc w:val="center"/>
              <w:rPr>
                <w:rFonts w:hint="eastAsia" w:ascii="仿宋" w:hAnsi="仿宋" w:eastAsia="仿宋" w:cs="仿宋"/>
                <w:sz w:val="18"/>
                <w:szCs w:val="18"/>
              </w:rPr>
            </w:pPr>
          </w:p>
        </w:tc>
        <w:tc>
          <w:tcPr>
            <w:tcW w:w="2538" w:type="dxa"/>
            <w:noWrap w:val="0"/>
            <w:vAlign w:val="center"/>
          </w:tcPr>
          <w:p>
            <w:pPr>
              <w:pStyle w:val="106"/>
              <w:jc w:val="center"/>
              <w:rPr>
                <w:rFonts w:ascii="仿宋" w:hAnsi="仿宋" w:eastAsia="仿宋" w:cs="仿宋"/>
                <w:sz w:val="18"/>
                <w:szCs w:val="18"/>
              </w:rPr>
            </w:pPr>
            <w:r>
              <w:rPr>
                <w:rFonts w:hint="eastAsia" w:ascii="仿宋" w:hAnsi="仿宋" w:eastAsia="仿宋" w:cs="仿宋"/>
                <w:sz w:val="18"/>
                <w:szCs w:val="18"/>
              </w:rPr>
              <w:t>内容缺项；引用强制性技术标准错误，或明显违反国家和省有关规定</w:t>
            </w:r>
          </w:p>
        </w:tc>
        <w:tc>
          <w:tcPr>
            <w:tcW w:w="864"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不合格</w:t>
            </w:r>
          </w:p>
        </w:tc>
        <w:tc>
          <w:tcPr>
            <w:tcW w:w="567" w:type="dxa"/>
            <w:vMerge w:val="continue"/>
            <w:noWrap w:val="0"/>
            <w:vAlign w:val="center"/>
          </w:tcPr>
          <w:p>
            <w:pPr>
              <w:pStyle w:val="106"/>
              <w:jc w:val="center"/>
              <w:rPr>
                <w:rFonts w:hint="eastAsia" w:ascii="仿宋" w:hAnsi="仿宋" w:eastAsia="仿宋" w:cs="仿宋"/>
                <w:sz w:val="18"/>
                <w:szCs w:val="18"/>
              </w:rPr>
            </w:pPr>
          </w:p>
        </w:tc>
        <w:tc>
          <w:tcPr>
            <w:tcW w:w="851" w:type="dxa"/>
            <w:vMerge w:val="continue"/>
            <w:noWrap w:val="0"/>
            <w:vAlign w:val="center"/>
          </w:tcPr>
          <w:p>
            <w:pPr>
              <w:jc w:val="center"/>
              <w:rPr>
                <w:rFonts w:hint="eastAsia" w:ascii="仿宋" w:hAnsi="仿宋" w:eastAsia="仿宋" w:cs="仿宋"/>
                <w:color w:val="000000"/>
                <w:kern w:val="0"/>
                <w:sz w:val="18"/>
                <w:szCs w:val="18"/>
              </w:rPr>
            </w:pPr>
          </w:p>
        </w:tc>
        <w:tc>
          <w:tcPr>
            <w:tcW w:w="992" w:type="dxa"/>
            <w:vMerge w:val="continue"/>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426" w:type="dxa"/>
            <w:vMerge w:val="restart"/>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2</w:t>
            </w:r>
          </w:p>
        </w:tc>
        <w:tc>
          <w:tcPr>
            <w:tcW w:w="938" w:type="dxa"/>
            <w:vMerge w:val="continue"/>
            <w:noWrap w:val="0"/>
            <w:vAlign w:val="center"/>
          </w:tcPr>
          <w:p>
            <w:pPr>
              <w:snapToGrid w:val="0"/>
              <w:jc w:val="center"/>
              <w:rPr>
                <w:rFonts w:hint="eastAsia" w:ascii="仿宋" w:hAnsi="仿宋" w:eastAsia="仿宋" w:cs="仿宋"/>
                <w:color w:val="000000"/>
              </w:rPr>
            </w:pPr>
          </w:p>
        </w:tc>
        <w:tc>
          <w:tcPr>
            <w:tcW w:w="2322" w:type="dxa"/>
            <w:vMerge w:val="restart"/>
            <w:noWrap w:val="0"/>
            <w:vAlign w:val="center"/>
          </w:tcPr>
          <w:p>
            <w:pPr>
              <w:pStyle w:val="106"/>
              <w:jc w:val="center"/>
              <w:rPr>
                <w:rFonts w:hint="eastAsia" w:ascii="仿宋" w:hAnsi="仿宋" w:eastAsia="仿宋" w:cs="仿宋"/>
                <w:sz w:val="18"/>
                <w:szCs w:val="18"/>
              </w:rPr>
            </w:pPr>
            <w:r>
              <w:rPr>
                <w:rFonts w:hint="eastAsia" w:ascii="仿宋" w:hAnsi="仿宋" w:eastAsia="仿宋" w:cs="仿宋"/>
                <w:kern w:val="2"/>
                <w:sz w:val="18"/>
                <w:szCs w:val="18"/>
              </w:rPr>
              <w:t>施工方案与技术措施</w:t>
            </w:r>
          </w:p>
        </w:tc>
        <w:tc>
          <w:tcPr>
            <w:tcW w:w="2538"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内容基本完整</w:t>
            </w:r>
          </w:p>
        </w:tc>
        <w:tc>
          <w:tcPr>
            <w:tcW w:w="864"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合格</w:t>
            </w:r>
          </w:p>
        </w:tc>
        <w:tc>
          <w:tcPr>
            <w:tcW w:w="567" w:type="dxa"/>
            <w:vMerge w:val="restart"/>
            <w:noWrap w:val="0"/>
            <w:vAlign w:val="center"/>
          </w:tcPr>
          <w:p>
            <w:pPr>
              <w:pStyle w:val="134"/>
              <w:keepNext w:val="0"/>
              <w:keepLines w:val="0"/>
              <w:widowControl w:val="0"/>
              <w:spacing w:before="0" w:line="240" w:lineRule="auto"/>
              <w:jc w:val="center"/>
              <w:rPr>
                <w:rFonts w:hint="eastAsia" w:ascii="仿宋" w:hAnsi="仿宋" w:eastAsia="仿宋" w:cs="仿宋"/>
                <w:color w:val="000000"/>
                <w:sz w:val="18"/>
                <w:szCs w:val="18"/>
              </w:rPr>
            </w:pPr>
          </w:p>
        </w:tc>
        <w:tc>
          <w:tcPr>
            <w:tcW w:w="851" w:type="dxa"/>
            <w:vMerge w:val="restart"/>
            <w:noWrap w:val="0"/>
            <w:vAlign w:val="center"/>
          </w:tcPr>
          <w:p>
            <w:pPr>
              <w:jc w:val="center"/>
              <w:rPr>
                <w:rFonts w:hint="eastAsia" w:ascii="仿宋" w:hAnsi="仿宋" w:eastAsia="仿宋" w:cs="仿宋"/>
                <w:color w:val="000000"/>
                <w:kern w:val="0"/>
                <w:sz w:val="18"/>
                <w:szCs w:val="18"/>
              </w:rPr>
            </w:pPr>
          </w:p>
        </w:tc>
        <w:tc>
          <w:tcPr>
            <w:tcW w:w="992" w:type="dxa"/>
            <w:vMerge w:val="restart"/>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26" w:type="dxa"/>
            <w:vMerge w:val="continue"/>
            <w:noWrap w:val="0"/>
            <w:vAlign w:val="center"/>
          </w:tcPr>
          <w:p>
            <w:pPr>
              <w:jc w:val="center"/>
              <w:rPr>
                <w:rFonts w:hint="eastAsia" w:ascii="仿宋" w:hAnsi="仿宋" w:eastAsia="仿宋" w:cs="仿宋"/>
                <w:color w:val="000000"/>
                <w:kern w:val="0"/>
                <w:sz w:val="18"/>
                <w:szCs w:val="18"/>
              </w:rPr>
            </w:pPr>
          </w:p>
        </w:tc>
        <w:tc>
          <w:tcPr>
            <w:tcW w:w="938" w:type="dxa"/>
            <w:vMerge w:val="continue"/>
            <w:noWrap w:val="0"/>
            <w:vAlign w:val="center"/>
          </w:tcPr>
          <w:p>
            <w:pPr>
              <w:snapToGrid w:val="0"/>
              <w:jc w:val="center"/>
              <w:rPr>
                <w:rFonts w:hint="eastAsia" w:ascii="仿宋" w:hAnsi="仿宋" w:eastAsia="仿宋" w:cs="仿宋"/>
                <w:color w:val="000000"/>
              </w:rPr>
            </w:pPr>
          </w:p>
        </w:tc>
        <w:tc>
          <w:tcPr>
            <w:tcW w:w="2322" w:type="dxa"/>
            <w:vMerge w:val="continue"/>
            <w:noWrap w:val="0"/>
            <w:vAlign w:val="center"/>
          </w:tcPr>
          <w:p>
            <w:pPr>
              <w:pStyle w:val="106"/>
              <w:jc w:val="center"/>
              <w:rPr>
                <w:rFonts w:hint="eastAsia" w:ascii="仿宋" w:hAnsi="仿宋" w:eastAsia="仿宋" w:cs="仿宋"/>
                <w:sz w:val="18"/>
                <w:szCs w:val="18"/>
              </w:rPr>
            </w:pPr>
          </w:p>
        </w:tc>
        <w:tc>
          <w:tcPr>
            <w:tcW w:w="2538"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内容缺项；引用强制性技术标准错误，或明显违反国家和省有关规定</w:t>
            </w:r>
          </w:p>
        </w:tc>
        <w:tc>
          <w:tcPr>
            <w:tcW w:w="864"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不合格</w:t>
            </w:r>
          </w:p>
        </w:tc>
        <w:tc>
          <w:tcPr>
            <w:tcW w:w="567" w:type="dxa"/>
            <w:vMerge w:val="continue"/>
            <w:noWrap w:val="0"/>
            <w:vAlign w:val="center"/>
          </w:tcPr>
          <w:p>
            <w:pPr>
              <w:pStyle w:val="134"/>
              <w:keepNext w:val="0"/>
              <w:keepLines w:val="0"/>
              <w:widowControl w:val="0"/>
              <w:spacing w:before="0" w:line="240" w:lineRule="auto"/>
              <w:jc w:val="center"/>
              <w:rPr>
                <w:rFonts w:hint="eastAsia" w:ascii="仿宋" w:hAnsi="仿宋" w:eastAsia="仿宋" w:cs="仿宋"/>
                <w:b w:val="0"/>
                <w:color w:val="000000"/>
                <w:sz w:val="18"/>
                <w:szCs w:val="18"/>
              </w:rPr>
            </w:pPr>
          </w:p>
        </w:tc>
        <w:tc>
          <w:tcPr>
            <w:tcW w:w="851" w:type="dxa"/>
            <w:vMerge w:val="continue"/>
            <w:noWrap w:val="0"/>
            <w:vAlign w:val="center"/>
          </w:tcPr>
          <w:p>
            <w:pPr>
              <w:jc w:val="center"/>
              <w:rPr>
                <w:rFonts w:hint="eastAsia" w:ascii="仿宋" w:hAnsi="仿宋" w:eastAsia="仿宋" w:cs="仿宋"/>
                <w:color w:val="000000"/>
                <w:kern w:val="0"/>
                <w:sz w:val="18"/>
                <w:szCs w:val="18"/>
              </w:rPr>
            </w:pPr>
          </w:p>
        </w:tc>
        <w:tc>
          <w:tcPr>
            <w:tcW w:w="992" w:type="dxa"/>
            <w:vMerge w:val="continue"/>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426" w:type="dxa"/>
            <w:vMerge w:val="restart"/>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3</w:t>
            </w:r>
          </w:p>
        </w:tc>
        <w:tc>
          <w:tcPr>
            <w:tcW w:w="938" w:type="dxa"/>
            <w:vMerge w:val="continue"/>
            <w:noWrap w:val="0"/>
            <w:vAlign w:val="center"/>
          </w:tcPr>
          <w:p>
            <w:pPr>
              <w:snapToGrid w:val="0"/>
              <w:jc w:val="center"/>
              <w:rPr>
                <w:rFonts w:hint="eastAsia" w:ascii="仿宋" w:hAnsi="仿宋" w:eastAsia="仿宋" w:cs="仿宋"/>
                <w:color w:val="000000"/>
              </w:rPr>
            </w:pPr>
          </w:p>
        </w:tc>
        <w:tc>
          <w:tcPr>
            <w:tcW w:w="2322" w:type="dxa"/>
            <w:vMerge w:val="restart"/>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质量管理体系与措施</w:t>
            </w:r>
          </w:p>
        </w:tc>
        <w:tc>
          <w:tcPr>
            <w:tcW w:w="2538"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内容基本完整</w:t>
            </w:r>
          </w:p>
        </w:tc>
        <w:tc>
          <w:tcPr>
            <w:tcW w:w="864"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合格</w:t>
            </w:r>
          </w:p>
        </w:tc>
        <w:tc>
          <w:tcPr>
            <w:tcW w:w="567" w:type="dxa"/>
            <w:vMerge w:val="restart"/>
            <w:noWrap w:val="0"/>
            <w:vAlign w:val="center"/>
          </w:tcPr>
          <w:p>
            <w:pPr>
              <w:pStyle w:val="106"/>
              <w:jc w:val="center"/>
              <w:rPr>
                <w:rFonts w:hint="eastAsia" w:ascii="仿宋" w:hAnsi="仿宋" w:eastAsia="仿宋" w:cs="仿宋"/>
                <w:sz w:val="18"/>
                <w:szCs w:val="18"/>
              </w:rPr>
            </w:pPr>
          </w:p>
        </w:tc>
        <w:tc>
          <w:tcPr>
            <w:tcW w:w="851" w:type="dxa"/>
            <w:vMerge w:val="restart"/>
            <w:noWrap w:val="0"/>
            <w:vAlign w:val="center"/>
          </w:tcPr>
          <w:p>
            <w:pPr>
              <w:jc w:val="center"/>
              <w:rPr>
                <w:rFonts w:hint="eastAsia" w:ascii="仿宋" w:hAnsi="仿宋" w:eastAsia="仿宋" w:cs="仿宋"/>
                <w:color w:val="000000"/>
                <w:kern w:val="0"/>
                <w:sz w:val="18"/>
                <w:szCs w:val="18"/>
              </w:rPr>
            </w:pPr>
          </w:p>
        </w:tc>
        <w:tc>
          <w:tcPr>
            <w:tcW w:w="992" w:type="dxa"/>
            <w:vMerge w:val="restart"/>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26" w:type="dxa"/>
            <w:vMerge w:val="continue"/>
            <w:noWrap w:val="0"/>
            <w:vAlign w:val="center"/>
          </w:tcPr>
          <w:p>
            <w:pPr>
              <w:jc w:val="center"/>
              <w:rPr>
                <w:rFonts w:hint="eastAsia" w:ascii="仿宋" w:hAnsi="仿宋" w:eastAsia="仿宋" w:cs="仿宋"/>
                <w:color w:val="000000"/>
                <w:kern w:val="0"/>
                <w:sz w:val="18"/>
                <w:szCs w:val="18"/>
              </w:rPr>
            </w:pPr>
          </w:p>
        </w:tc>
        <w:tc>
          <w:tcPr>
            <w:tcW w:w="938" w:type="dxa"/>
            <w:vMerge w:val="continue"/>
            <w:noWrap w:val="0"/>
            <w:vAlign w:val="center"/>
          </w:tcPr>
          <w:p>
            <w:pPr>
              <w:snapToGrid w:val="0"/>
              <w:jc w:val="center"/>
              <w:rPr>
                <w:rFonts w:hint="eastAsia" w:ascii="仿宋" w:hAnsi="仿宋" w:eastAsia="仿宋" w:cs="仿宋"/>
                <w:color w:val="000000"/>
              </w:rPr>
            </w:pPr>
          </w:p>
        </w:tc>
        <w:tc>
          <w:tcPr>
            <w:tcW w:w="2322" w:type="dxa"/>
            <w:vMerge w:val="continue"/>
            <w:noWrap w:val="0"/>
            <w:vAlign w:val="center"/>
          </w:tcPr>
          <w:p>
            <w:pPr>
              <w:pStyle w:val="106"/>
              <w:jc w:val="center"/>
              <w:rPr>
                <w:rFonts w:hint="eastAsia" w:ascii="仿宋" w:hAnsi="仿宋" w:eastAsia="仿宋" w:cs="仿宋"/>
                <w:sz w:val="18"/>
                <w:szCs w:val="18"/>
              </w:rPr>
            </w:pPr>
          </w:p>
        </w:tc>
        <w:tc>
          <w:tcPr>
            <w:tcW w:w="2538"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内容缺项；引用强制性技术标准错误，或明显违反国家和省有关规定</w:t>
            </w:r>
          </w:p>
        </w:tc>
        <w:tc>
          <w:tcPr>
            <w:tcW w:w="864"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不合格</w:t>
            </w:r>
          </w:p>
        </w:tc>
        <w:tc>
          <w:tcPr>
            <w:tcW w:w="567" w:type="dxa"/>
            <w:vMerge w:val="continue"/>
            <w:noWrap w:val="0"/>
            <w:vAlign w:val="center"/>
          </w:tcPr>
          <w:p>
            <w:pPr>
              <w:pStyle w:val="106"/>
              <w:jc w:val="center"/>
              <w:rPr>
                <w:rFonts w:hint="eastAsia" w:ascii="仿宋" w:hAnsi="仿宋" w:eastAsia="仿宋" w:cs="仿宋"/>
                <w:sz w:val="18"/>
                <w:szCs w:val="18"/>
              </w:rPr>
            </w:pPr>
          </w:p>
        </w:tc>
        <w:tc>
          <w:tcPr>
            <w:tcW w:w="851" w:type="dxa"/>
            <w:vMerge w:val="continue"/>
            <w:noWrap w:val="0"/>
            <w:vAlign w:val="center"/>
          </w:tcPr>
          <w:p>
            <w:pPr>
              <w:jc w:val="center"/>
              <w:rPr>
                <w:rFonts w:hint="eastAsia" w:ascii="仿宋" w:hAnsi="仿宋" w:eastAsia="仿宋" w:cs="仿宋"/>
                <w:color w:val="000000"/>
                <w:kern w:val="0"/>
                <w:sz w:val="18"/>
                <w:szCs w:val="18"/>
              </w:rPr>
            </w:pPr>
          </w:p>
        </w:tc>
        <w:tc>
          <w:tcPr>
            <w:tcW w:w="992" w:type="dxa"/>
            <w:vMerge w:val="continue"/>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426" w:type="dxa"/>
            <w:vMerge w:val="restart"/>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4</w:t>
            </w:r>
          </w:p>
        </w:tc>
        <w:tc>
          <w:tcPr>
            <w:tcW w:w="938" w:type="dxa"/>
            <w:vMerge w:val="continue"/>
            <w:noWrap w:val="0"/>
            <w:vAlign w:val="center"/>
          </w:tcPr>
          <w:p>
            <w:pPr>
              <w:snapToGrid w:val="0"/>
              <w:jc w:val="center"/>
              <w:rPr>
                <w:rFonts w:hint="eastAsia" w:ascii="仿宋" w:hAnsi="仿宋" w:eastAsia="仿宋" w:cs="仿宋"/>
                <w:color w:val="000000"/>
              </w:rPr>
            </w:pPr>
          </w:p>
        </w:tc>
        <w:tc>
          <w:tcPr>
            <w:tcW w:w="2322" w:type="dxa"/>
            <w:vMerge w:val="restart"/>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安全管理体系与措施</w:t>
            </w:r>
          </w:p>
        </w:tc>
        <w:tc>
          <w:tcPr>
            <w:tcW w:w="2538" w:type="dxa"/>
            <w:noWrap w:val="0"/>
            <w:vAlign w:val="center"/>
          </w:tcPr>
          <w:p>
            <w:pPr>
              <w:pStyle w:val="106"/>
              <w:tabs>
                <w:tab w:val="left" w:pos="554"/>
                <w:tab w:val="center" w:pos="1221"/>
              </w:tabs>
              <w:rPr>
                <w:rFonts w:hint="eastAsia" w:ascii="仿宋" w:hAnsi="仿宋" w:eastAsia="仿宋" w:cs="仿宋"/>
                <w:sz w:val="18"/>
                <w:szCs w:val="18"/>
              </w:rPr>
            </w:pPr>
            <w:r>
              <w:rPr>
                <w:rFonts w:hint="eastAsia" w:ascii="仿宋" w:hAnsi="仿宋" w:eastAsia="仿宋" w:cs="仿宋"/>
                <w:sz w:val="18"/>
                <w:szCs w:val="18"/>
              </w:rPr>
              <w:tab/>
            </w:r>
            <w:r>
              <w:rPr>
                <w:rFonts w:hint="eastAsia" w:ascii="仿宋" w:hAnsi="仿宋" w:eastAsia="仿宋" w:cs="仿宋"/>
                <w:sz w:val="18"/>
                <w:szCs w:val="18"/>
              </w:rPr>
              <w:t>内容基本完整</w:t>
            </w:r>
          </w:p>
        </w:tc>
        <w:tc>
          <w:tcPr>
            <w:tcW w:w="864"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合格</w:t>
            </w:r>
          </w:p>
        </w:tc>
        <w:tc>
          <w:tcPr>
            <w:tcW w:w="567" w:type="dxa"/>
            <w:vMerge w:val="restart"/>
            <w:noWrap w:val="0"/>
            <w:vAlign w:val="center"/>
          </w:tcPr>
          <w:p>
            <w:pPr>
              <w:pStyle w:val="106"/>
              <w:jc w:val="center"/>
              <w:rPr>
                <w:rFonts w:hint="eastAsia" w:ascii="仿宋" w:hAnsi="仿宋" w:eastAsia="仿宋" w:cs="仿宋"/>
                <w:sz w:val="18"/>
                <w:szCs w:val="18"/>
              </w:rPr>
            </w:pPr>
          </w:p>
        </w:tc>
        <w:tc>
          <w:tcPr>
            <w:tcW w:w="851" w:type="dxa"/>
            <w:vMerge w:val="restart"/>
            <w:noWrap w:val="0"/>
            <w:vAlign w:val="center"/>
          </w:tcPr>
          <w:p>
            <w:pPr>
              <w:jc w:val="center"/>
              <w:rPr>
                <w:rFonts w:hint="eastAsia" w:ascii="仿宋" w:hAnsi="仿宋" w:eastAsia="仿宋" w:cs="仿宋"/>
                <w:color w:val="000000"/>
                <w:kern w:val="0"/>
                <w:sz w:val="18"/>
                <w:szCs w:val="18"/>
              </w:rPr>
            </w:pPr>
          </w:p>
        </w:tc>
        <w:tc>
          <w:tcPr>
            <w:tcW w:w="992" w:type="dxa"/>
            <w:vMerge w:val="restart"/>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26" w:type="dxa"/>
            <w:vMerge w:val="continue"/>
            <w:noWrap w:val="0"/>
            <w:vAlign w:val="center"/>
          </w:tcPr>
          <w:p>
            <w:pPr>
              <w:jc w:val="center"/>
              <w:rPr>
                <w:rFonts w:hint="eastAsia" w:ascii="仿宋" w:hAnsi="仿宋" w:eastAsia="仿宋" w:cs="仿宋"/>
                <w:color w:val="000000"/>
                <w:kern w:val="0"/>
                <w:sz w:val="18"/>
                <w:szCs w:val="18"/>
              </w:rPr>
            </w:pPr>
          </w:p>
        </w:tc>
        <w:tc>
          <w:tcPr>
            <w:tcW w:w="938" w:type="dxa"/>
            <w:vMerge w:val="continue"/>
            <w:noWrap w:val="0"/>
            <w:vAlign w:val="center"/>
          </w:tcPr>
          <w:p>
            <w:pPr>
              <w:snapToGrid w:val="0"/>
              <w:jc w:val="center"/>
              <w:rPr>
                <w:rFonts w:hint="eastAsia" w:ascii="仿宋" w:hAnsi="仿宋" w:eastAsia="仿宋" w:cs="仿宋"/>
                <w:color w:val="000000"/>
              </w:rPr>
            </w:pPr>
          </w:p>
        </w:tc>
        <w:tc>
          <w:tcPr>
            <w:tcW w:w="2322" w:type="dxa"/>
            <w:vMerge w:val="continue"/>
            <w:noWrap w:val="0"/>
            <w:vAlign w:val="center"/>
          </w:tcPr>
          <w:p>
            <w:pPr>
              <w:pStyle w:val="106"/>
              <w:jc w:val="center"/>
              <w:rPr>
                <w:rFonts w:hint="eastAsia" w:ascii="仿宋" w:hAnsi="仿宋" w:eastAsia="仿宋" w:cs="仿宋"/>
                <w:sz w:val="18"/>
                <w:szCs w:val="18"/>
              </w:rPr>
            </w:pPr>
          </w:p>
        </w:tc>
        <w:tc>
          <w:tcPr>
            <w:tcW w:w="2538"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内容缺项；引用强制性技术标准错误，或明显违反国家和省有关规定</w:t>
            </w:r>
          </w:p>
        </w:tc>
        <w:tc>
          <w:tcPr>
            <w:tcW w:w="864"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不合格</w:t>
            </w:r>
          </w:p>
        </w:tc>
        <w:tc>
          <w:tcPr>
            <w:tcW w:w="567" w:type="dxa"/>
            <w:vMerge w:val="continue"/>
            <w:noWrap w:val="0"/>
            <w:vAlign w:val="center"/>
          </w:tcPr>
          <w:p>
            <w:pPr>
              <w:pStyle w:val="106"/>
              <w:jc w:val="center"/>
              <w:rPr>
                <w:rFonts w:hint="eastAsia" w:ascii="仿宋" w:hAnsi="仿宋" w:eastAsia="仿宋" w:cs="仿宋"/>
                <w:sz w:val="18"/>
                <w:szCs w:val="18"/>
              </w:rPr>
            </w:pPr>
          </w:p>
        </w:tc>
        <w:tc>
          <w:tcPr>
            <w:tcW w:w="851" w:type="dxa"/>
            <w:vMerge w:val="continue"/>
            <w:noWrap w:val="0"/>
            <w:vAlign w:val="center"/>
          </w:tcPr>
          <w:p>
            <w:pPr>
              <w:jc w:val="center"/>
              <w:rPr>
                <w:rFonts w:hint="eastAsia" w:ascii="仿宋" w:hAnsi="仿宋" w:eastAsia="仿宋" w:cs="仿宋"/>
                <w:color w:val="000000"/>
                <w:kern w:val="0"/>
                <w:sz w:val="18"/>
                <w:szCs w:val="18"/>
              </w:rPr>
            </w:pPr>
          </w:p>
        </w:tc>
        <w:tc>
          <w:tcPr>
            <w:tcW w:w="992" w:type="dxa"/>
            <w:vMerge w:val="continue"/>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426" w:type="dxa"/>
            <w:vMerge w:val="restart"/>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5</w:t>
            </w:r>
          </w:p>
        </w:tc>
        <w:tc>
          <w:tcPr>
            <w:tcW w:w="938" w:type="dxa"/>
            <w:vMerge w:val="continue"/>
            <w:noWrap w:val="0"/>
            <w:vAlign w:val="center"/>
          </w:tcPr>
          <w:p>
            <w:pPr>
              <w:snapToGrid w:val="0"/>
              <w:jc w:val="center"/>
              <w:rPr>
                <w:rFonts w:hint="eastAsia" w:ascii="仿宋" w:hAnsi="仿宋" w:eastAsia="仿宋" w:cs="仿宋"/>
                <w:color w:val="000000"/>
              </w:rPr>
            </w:pPr>
          </w:p>
        </w:tc>
        <w:tc>
          <w:tcPr>
            <w:tcW w:w="2322" w:type="dxa"/>
            <w:vMerge w:val="restart"/>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环境保护管理体系与措施</w:t>
            </w:r>
          </w:p>
        </w:tc>
        <w:tc>
          <w:tcPr>
            <w:tcW w:w="2538" w:type="dxa"/>
            <w:noWrap w:val="0"/>
            <w:vAlign w:val="center"/>
          </w:tcPr>
          <w:p>
            <w:pPr>
              <w:pStyle w:val="106"/>
              <w:tabs>
                <w:tab w:val="left" w:pos="554"/>
                <w:tab w:val="center" w:pos="1221"/>
              </w:tabs>
              <w:rPr>
                <w:rFonts w:hint="eastAsia" w:ascii="仿宋" w:hAnsi="仿宋" w:eastAsia="仿宋" w:cs="仿宋"/>
                <w:sz w:val="18"/>
                <w:szCs w:val="18"/>
              </w:rPr>
            </w:pPr>
            <w:r>
              <w:rPr>
                <w:rFonts w:hint="eastAsia" w:ascii="仿宋" w:hAnsi="仿宋" w:eastAsia="仿宋" w:cs="仿宋"/>
                <w:sz w:val="18"/>
                <w:szCs w:val="18"/>
              </w:rPr>
              <w:tab/>
            </w:r>
            <w:r>
              <w:rPr>
                <w:rFonts w:hint="eastAsia" w:ascii="仿宋" w:hAnsi="仿宋" w:eastAsia="仿宋" w:cs="仿宋"/>
                <w:sz w:val="18"/>
                <w:szCs w:val="18"/>
              </w:rPr>
              <w:t>内容基本完整</w:t>
            </w:r>
          </w:p>
        </w:tc>
        <w:tc>
          <w:tcPr>
            <w:tcW w:w="864"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合格</w:t>
            </w:r>
          </w:p>
        </w:tc>
        <w:tc>
          <w:tcPr>
            <w:tcW w:w="567" w:type="dxa"/>
            <w:vMerge w:val="restart"/>
            <w:noWrap w:val="0"/>
            <w:vAlign w:val="center"/>
          </w:tcPr>
          <w:p>
            <w:pPr>
              <w:pStyle w:val="106"/>
              <w:jc w:val="center"/>
              <w:rPr>
                <w:rFonts w:hint="eastAsia" w:ascii="仿宋" w:hAnsi="仿宋" w:eastAsia="仿宋" w:cs="仿宋"/>
                <w:sz w:val="18"/>
                <w:szCs w:val="18"/>
              </w:rPr>
            </w:pPr>
          </w:p>
        </w:tc>
        <w:tc>
          <w:tcPr>
            <w:tcW w:w="851" w:type="dxa"/>
            <w:vMerge w:val="restart"/>
            <w:noWrap w:val="0"/>
            <w:vAlign w:val="center"/>
          </w:tcPr>
          <w:p>
            <w:pPr>
              <w:jc w:val="center"/>
              <w:rPr>
                <w:rFonts w:hint="eastAsia" w:ascii="仿宋" w:hAnsi="仿宋" w:eastAsia="仿宋" w:cs="仿宋"/>
                <w:color w:val="000000"/>
                <w:kern w:val="0"/>
                <w:sz w:val="18"/>
                <w:szCs w:val="18"/>
              </w:rPr>
            </w:pPr>
          </w:p>
        </w:tc>
        <w:tc>
          <w:tcPr>
            <w:tcW w:w="992" w:type="dxa"/>
            <w:vMerge w:val="restart"/>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26" w:type="dxa"/>
            <w:vMerge w:val="continue"/>
            <w:noWrap w:val="0"/>
            <w:vAlign w:val="center"/>
          </w:tcPr>
          <w:p>
            <w:pPr>
              <w:jc w:val="center"/>
              <w:rPr>
                <w:rFonts w:hint="eastAsia" w:ascii="仿宋" w:hAnsi="仿宋" w:eastAsia="仿宋" w:cs="仿宋"/>
                <w:color w:val="000000"/>
                <w:kern w:val="0"/>
                <w:sz w:val="18"/>
                <w:szCs w:val="18"/>
              </w:rPr>
            </w:pPr>
          </w:p>
        </w:tc>
        <w:tc>
          <w:tcPr>
            <w:tcW w:w="938" w:type="dxa"/>
            <w:vMerge w:val="continue"/>
            <w:noWrap w:val="0"/>
            <w:vAlign w:val="center"/>
          </w:tcPr>
          <w:p>
            <w:pPr>
              <w:snapToGrid w:val="0"/>
              <w:jc w:val="center"/>
              <w:rPr>
                <w:rFonts w:hint="eastAsia" w:ascii="仿宋" w:hAnsi="仿宋" w:eastAsia="仿宋" w:cs="仿宋"/>
                <w:color w:val="000000"/>
              </w:rPr>
            </w:pPr>
          </w:p>
        </w:tc>
        <w:tc>
          <w:tcPr>
            <w:tcW w:w="2322" w:type="dxa"/>
            <w:vMerge w:val="continue"/>
            <w:noWrap w:val="0"/>
            <w:vAlign w:val="center"/>
          </w:tcPr>
          <w:p>
            <w:pPr>
              <w:pStyle w:val="106"/>
              <w:jc w:val="center"/>
              <w:rPr>
                <w:rFonts w:hint="eastAsia" w:ascii="仿宋" w:hAnsi="仿宋" w:eastAsia="仿宋" w:cs="仿宋"/>
                <w:sz w:val="18"/>
                <w:szCs w:val="18"/>
              </w:rPr>
            </w:pPr>
          </w:p>
        </w:tc>
        <w:tc>
          <w:tcPr>
            <w:tcW w:w="2538"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内容缺项；引用强制性技术标准错误，或明显违反国家和省有关规定</w:t>
            </w:r>
          </w:p>
        </w:tc>
        <w:tc>
          <w:tcPr>
            <w:tcW w:w="864"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不合格</w:t>
            </w:r>
          </w:p>
        </w:tc>
        <w:tc>
          <w:tcPr>
            <w:tcW w:w="567" w:type="dxa"/>
            <w:vMerge w:val="continue"/>
            <w:noWrap w:val="0"/>
            <w:vAlign w:val="center"/>
          </w:tcPr>
          <w:p>
            <w:pPr>
              <w:pStyle w:val="106"/>
              <w:jc w:val="center"/>
              <w:rPr>
                <w:rFonts w:hint="eastAsia" w:ascii="仿宋" w:hAnsi="仿宋" w:eastAsia="仿宋" w:cs="仿宋"/>
                <w:sz w:val="18"/>
                <w:szCs w:val="18"/>
              </w:rPr>
            </w:pPr>
          </w:p>
        </w:tc>
        <w:tc>
          <w:tcPr>
            <w:tcW w:w="851" w:type="dxa"/>
            <w:vMerge w:val="continue"/>
            <w:noWrap w:val="0"/>
            <w:vAlign w:val="center"/>
          </w:tcPr>
          <w:p>
            <w:pPr>
              <w:jc w:val="center"/>
              <w:rPr>
                <w:rFonts w:hint="eastAsia" w:ascii="仿宋" w:hAnsi="仿宋" w:eastAsia="仿宋" w:cs="仿宋"/>
                <w:color w:val="000000"/>
                <w:kern w:val="0"/>
                <w:sz w:val="18"/>
                <w:szCs w:val="18"/>
              </w:rPr>
            </w:pPr>
          </w:p>
        </w:tc>
        <w:tc>
          <w:tcPr>
            <w:tcW w:w="992" w:type="dxa"/>
            <w:vMerge w:val="continue"/>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426" w:type="dxa"/>
            <w:vMerge w:val="restart"/>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6</w:t>
            </w:r>
          </w:p>
        </w:tc>
        <w:tc>
          <w:tcPr>
            <w:tcW w:w="938" w:type="dxa"/>
            <w:vMerge w:val="continue"/>
            <w:noWrap w:val="0"/>
            <w:vAlign w:val="center"/>
          </w:tcPr>
          <w:p>
            <w:pPr>
              <w:snapToGrid w:val="0"/>
              <w:jc w:val="center"/>
              <w:rPr>
                <w:rFonts w:hint="eastAsia" w:ascii="仿宋" w:hAnsi="仿宋" w:eastAsia="仿宋" w:cs="仿宋"/>
                <w:color w:val="000000"/>
              </w:rPr>
            </w:pPr>
          </w:p>
        </w:tc>
        <w:tc>
          <w:tcPr>
            <w:tcW w:w="2322" w:type="dxa"/>
            <w:vMerge w:val="restart"/>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工程进度计划与措施</w:t>
            </w:r>
          </w:p>
        </w:tc>
        <w:tc>
          <w:tcPr>
            <w:tcW w:w="2538" w:type="dxa"/>
            <w:noWrap w:val="0"/>
            <w:vAlign w:val="center"/>
          </w:tcPr>
          <w:p>
            <w:pPr>
              <w:pStyle w:val="106"/>
              <w:tabs>
                <w:tab w:val="left" w:pos="554"/>
                <w:tab w:val="center" w:pos="1221"/>
              </w:tabs>
              <w:rPr>
                <w:rFonts w:hint="eastAsia" w:ascii="仿宋" w:hAnsi="仿宋" w:eastAsia="仿宋" w:cs="仿宋"/>
                <w:sz w:val="18"/>
                <w:szCs w:val="18"/>
              </w:rPr>
            </w:pPr>
            <w:r>
              <w:rPr>
                <w:rFonts w:hint="eastAsia" w:ascii="仿宋" w:hAnsi="仿宋" w:eastAsia="仿宋" w:cs="仿宋"/>
                <w:sz w:val="18"/>
                <w:szCs w:val="18"/>
              </w:rPr>
              <w:tab/>
            </w:r>
            <w:r>
              <w:rPr>
                <w:rFonts w:hint="eastAsia" w:ascii="仿宋" w:hAnsi="仿宋" w:eastAsia="仿宋" w:cs="仿宋"/>
                <w:sz w:val="18"/>
                <w:szCs w:val="18"/>
              </w:rPr>
              <w:t>内容基本完整</w:t>
            </w:r>
          </w:p>
        </w:tc>
        <w:tc>
          <w:tcPr>
            <w:tcW w:w="864"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合格</w:t>
            </w:r>
          </w:p>
        </w:tc>
        <w:tc>
          <w:tcPr>
            <w:tcW w:w="567" w:type="dxa"/>
            <w:vMerge w:val="restart"/>
            <w:noWrap w:val="0"/>
            <w:vAlign w:val="center"/>
          </w:tcPr>
          <w:p>
            <w:pPr>
              <w:pStyle w:val="106"/>
              <w:jc w:val="center"/>
              <w:rPr>
                <w:rFonts w:hint="eastAsia" w:ascii="仿宋" w:hAnsi="仿宋" w:eastAsia="仿宋" w:cs="仿宋"/>
                <w:sz w:val="18"/>
                <w:szCs w:val="18"/>
              </w:rPr>
            </w:pPr>
          </w:p>
        </w:tc>
        <w:tc>
          <w:tcPr>
            <w:tcW w:w="851" w:type="dxa"/>
            <w:vMerge w:val="restart"/>
            <w:noWrap w:val="0"/>
            <w:vAlign w:val="center"/>
          </w:tcPr>
          <w:p>
            <w:pPr>
              <w:jc w:val="center"/>
              <w:rPr>
                <w:rFonts w:hint="eastAsia" w:ascii="仿宋" w:hAnsi="仿宋" w:eastAsia="仿宋" w:cs="仿宋"/>
                <w:color w:val="000000"/>
                <w:kern w:val="0"/>
                <w:sz w:val="18"/>
                <w:szCs w:val="18"/>
              </w:rPr>
            </w:pPr>
          </w:p>
        </w:tc>
        <w:tc>
          <w:tcPr>
            <w:tcW w:w="992" w:type="dxa"/>
            <w:vMerge w:val="restart"/>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26" w:type="dxa"/>
            <w:vMerge w:val="continue"/>
            <w:noWrap w:val="0"/>
            <w:vAlign w:val="center"/>
          </w:tcPr>
          <w:p>
            <w:pPr>
              <w:jc w:val="center"/>
              <w:rPr>
                <w:rFonts w:hint="eastAsia" w:ascii="仿宋" w:hAnsi="仿宋" w:eastAsia="仿宋" w:cs="仿宋"/>
                <w:color w:val="000000"/>
                <w:kern w:val="0"/>
                <w:sz w:val="18"/>
                <w:szCs w:val="18"/>
              </w:rPr>
            </w:pPr>
          </w:p>
        </w:tc>
        <w:tc>
          <w:tcPr>
            <w:tcW w:w="938" w:type="dxa"/>
            <w:vMerge w:val="continue"/>
            <w:noWrap w:val="0"/>
            <w:vAlign w:val="center"/>
          </w:tcPr>
          <w:p>
            <w:pPr>
              <w:snapToGrid w:val="0"/>
              <w:jc w:val="center"/>
              <w:rPr>
                <w:rFonts w:hint="eastAsia" w:ascii="仿宋" w:hAnsi="仿宋" w:eastAsia="仿宋" w:cs="仿宋"/>
                <w:color w:val="000000"/>
              </w:rPr>
            </w:pPr>
          </w:p>
        </w:tc>
        <w:tc>
          <w:tcPr>
            <w:tcW w:w="2322" w:type="dxa"/>
            <w:vMerge w:val="continue"/>
            <w:noWrap w:val="0"/>
            <w:vAlign w:val="center"/>
          </w:tcPr>
          <w:p>
            <w:pPr>
              <w:pStyle w:val="106"/>
              <w:jc w:val="center"/>
              <w:rPr>
                <w:rFonts w:hint="eastAsia" w:ascii="仿宋" w:hAnsi="仿宋" w:eastAsia="仿宋" w:cs="仿宋"/>
                <w:sz w:val="18"/>
                <w:szCs w:val="18"/>
              </w:rPr>
            </w:pPr>
          </w:p>
        </w:tc>
        <w:tc>
          <w:tcPr>
            <w:tcW w:w="2538"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内容缺项；引用强制性技术标准错误，或明显违反国家和省有关规定</w:t>
            </w:r>
          </w:p>
        </w:tc>
        <w:tc>
          <w:tcPr>
            <w:tcW w:w="864"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不合格</w:t>
            </w:r>
          </w:p>
        </w:tc>
        <w:tc>
          <w:tcPr>
            <w:tcW w:w="567" w:type="dxa"/>
            <w:vMerge w:val="continue"/>
            <w:noWrap w:val="0"/>
            <w:vAlign w:val="center"/>
          </w:tcPr>
          <w:p>
            <w:pPr>
              <w:pStyle w:val="106"/>
              <w:jc w:val="center"/>
              <w:rPr>
                <w:rFonts w:hint="eastAsia" w:ascii="仿宋" w:hAnsi="仿宋" w:eastAsia="仿宋" w:cs="仿宋"/>
                <w:sz w:val="18"/>
                <w:szCs w:val="18"/>
              </w:rPr>
            </w:pPr>
          </w:p>
        </w:tc>
        <w:tc>
          <w:tcPr>
            <w:tcW w:w="851" w:type="dxa"/>
            <w:vMerge w:val="continue"/>
            <w:noWrap w:val="0"/>
            <w:vAlign w:val="center"/>
          </w:tcPr>
          <w:p>
            <w:pPr>
              <w:jc w:val="center"/>
              <w:rPr>
                <w:rFonts w:hint="eastAsia" w:ascii="仿宋" w:hAnsi="仿宋" w:eastAsia="仿宋" w:cs="仿宋"/>
                <w:color w:val="000000"/>
                <w:kern w:val="0"/>
                <w:sz w:val="18"/>
                <w:szCs w:val="18"/>
              </w:rPr>
            </w:pPr>
          </w:p>
        </w:tc>
        <w:tc>
          <w:tcPr>
            <w:tcW w:w="992" w:type="dxa"/>
            <w:vMerge w:val="continue"/>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426" w:type="dxa"/>
            <w:vMerge w:val="restart"/>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7</w:t>
            </w:r>
          </w:p>
        </w:tc>
        <w:tc>
          <w:tcPr>
            <w:tcW w:w="938" w:type="dxa"/>
            <w:vMerge w:val="continue"/>
            <w:noWrap w:val="0"/>
            <w:vAlign w:val="center"/>
          </w:tcPr>
          <w:p>
            <w:pPr>
              <w:snapToGrid w:val="0"/>
              <w:jc w:val="center"/>
              <w:rPr>
                <w:rFonts w:hint="eastAsia" w:ascii="仿宋" w:hAnsi="仿宋" w:eastAsia="仿宋" w:cs="仿宋"/>
                <w:color w:val="000000"/>
              </w:rPr>
            </w:pPr>
          </w:p>
        </w:tc>
        <w:tc>
          <w:tcPr>
            <w:tcW w:w="2322" w:type="dxa"/>
            <w:vMerge w:val="restart"/>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施工总布置</w:t>
            </w:r>
          </w:p>
        </w:tc>
        <w:tc>
          <w:tcPr>
            <w:tcW w:w="2538" w:type="dxa"/>
            <w:noWrap w:val="0"/>
            <w:vAlign w:val="center"/>
          </w:tcPr>
          <w:p>
            <w:pPr>
              <w:pStyle w:val="106"/>
              <w:tabs>
                <w:tab w:val="left" w:pos="554"/>
                <w:tab w:val="center" w:pos="1221"/>
              </w:tabs>
              <w:rPr>
                <w:rFonts w:hint="eastAsia" w:ascii="仿宋" w:hAnsi="仿宋" w:eastAsia="仿宋" w:cs="仿宋"/>
                <w:sz w:val="18"/>
                <w:szCs w:val="18"/>
              </w:rPr>
            </w:pPr>
            <w:r>
              <w:rPr>
                <w:rFonts w:hint="eastAsia" w:ascii="仿宋" w:hAnsi="仿宋" w:eastAsia="仿宋" w:cs="仿宋"/>
                <w:sz w:val="18"/>
                <w:szCs w:val="18"/>
              </w:rPr>
              <w:tab/>
            </w:r>
            <w:r>
              <w:rPr>
                <w:rFonts w:hint="eastAsia" w:ascii="仿宋" w:hAnsi="仿宋" w:eastAsia="仿宋" w:cs="仿宋"/>
                <w:sz w:val="18"/>
                <w:szCs w:val="18"/>
              </w:rPr>
              <w:t>内容基本完整</w:t>
            </w:r>
          </w:p>
        </w:tc>
        <w:tc>
          <w:tcPr>
            <w:tcW w:w="864"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合格</w:t>
            </w:r>
          </w:p>
        </w:tc>
        <w:tc>
          <w:tcPr>
            <w:tcW w:w="567" w:type="dxa"/>
            <w:vMerge w:val="restart"/>
            <w:noWrap w:val="0"/>
            <w:vAlign w:val="center"/>
          </w:tcPr>
          <w:p>
            <w:pPr>
              <w:pStyle w:val="106"/>
              <w:jc w:val="center"/>
              <w:rPr>
                <w:rFonts w:hint="eastAsia" w:ascii="仿宋" w:hAnsi="仿宋" w:eastAsia="仿宋" w:cs="仿宋"/>
                <w:sz w:val="18"/>
                <w:szCs w:val="18"/>
              </w:rPr>
            </w:pPr>
          </w:p>
        </w:tc>
        <w:tc>
          <w:tcPr>
            <w:tcW w:w="851" w:type="dxa"/>
            <w:vMerge w:val="restart"/>
            <w:noWrap w:val="0"/>
            <w:vAlign w:val="center"/>
          </w:tcPr>
          <w:p>
            <w:pPr>
              <w:jc w:val="center"/>
              <w:rPr>
                <w:rFonts w:hint="eastAsia" w:ascii="仿宋" w:hAnsi="仿宋" w:eastAsia="仿宋" w:cs="仿宋"/>
                <w:color w:val="000000"/>
                <w:kern w:val="0"/>
                <w:sz w:val="18"/>
                <w:szCs w:val="18"/>
              </w:rPr>
            </w:pPr>
          </w:p>
        </w:tc>
        <w:tc>
          <w:tcPr>
            <w:tcW w:w="992" w:type="dxa"/>
            <w:vMerge w:val="restart"/>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26" w:type="dxa"/>
            <w:vMerge w:val="continue"/>
            <w:noWrap w:val="0"/>
            <w:vAlign w:val="center"/>
          </w:tcPr>
          <w:p>
            <w:pPr>
              <w:jc w:val="center"/>
              <w:rPr>
                <w:rFonts w:hint="eastAsia" w:ascii="仿宋" w:hAnsi="仿宋" w:eastAsia="仿宋" w:cs="仿宋"/>
                <w:color w:val="000000"/>
                <w:kern w:val="0"/>
                <w:sz w:val="18"/>
                <w:szCs w:val="18"/>
              </w:rPr>
            </w:pPr>
          </w:p>
        </w:tc>
        <w:tc>
          <w:tcPr>
            <w:tcW w:w="938" w:type="dxa"/>
            <w:vMerge w:val="continue"/>
            <w:noWrap w:val="0"/>
            <w:vAlign w:val="center"/>
          </w:tcPr>
          <w:p>
            <w:pPr>
              <w:snapToGrid w:val="0"/>
              <w:jc w:val="center"/>
              <w:rPr>
                <w:rFonts w:hint="eastAsia" w:ascii="仿宋" w:hAnsi="仿宋" w:eastAsia="仿宋" w:cs="仿宋"/>
                <w:color w:val="000000"/>
              </w:rPr>
            </w:pPr>
          </w:p>
        </w:tc>
        <w:tc>
          <w:tcPr>
            <w:tcW w:w="2322" w:type="dxa"/>
            <w:vMerge w:val="continue"/>
            <w:noWrap w:val="0"/>
            <w:vAlign w:val="center"/>
          </w:tcPr>
          <w:p>
            <w:pPr>
              <w:pStyle w:val="106"/>
              <w:jc w:val="center"/>
              <w:rPr>
                <w:rFonts w:hint="eastAsia" w:ascii="仿宋" w:hAnsi="仿宋" w:eastAsia="仿宋" w:cs="仿宋"/>
                <w:sz w:val="18"/>
                <w:szCs w:val="18"/>
              </w:rPr>
            </w:pPr>
          </w:p>
        </w:tc>
        <w:tc>
          <w:tcPr>
            <w:tcW w:w="2538"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内容缺项；引用强制性技术标准错误，或明显违反国家和省有关规定</w:t>
            </w:r>
          </w:p>
        </w:tc>
        <w:tc>
          <w:tcPr>
            <w:tcW w:w="864"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不合格</w:t>
            </w:r>
          </w:p>
        </w:tc>
        <w:tc>
          <w:tcPr>
            <w:tcW w:w="567" w:type="dxa"/>
            <w:vMerge w:val="continue"/>
            <w:noWrap w:val="0"/>
            <w:vAlign w:val="center"/>
          </w:tcPr>
          <w:p>
            <w:pPr>
              <w:pStyle w:val="106"/>
              <w:jc w:val="center"/>
              <w:rPr>
                <w:rFonts w:hint="eastAsia" w:ascii="仿宋" w:hAnsi="仿宋" w:eastAsia="仿宋" w:cs="仿宋"/>
                <w:sz w:val="18"/>
                <w:szCs w:val="18"/>
              </w:rPr>
            </w:pPr>
          </w:p>
        </w:tc>
        <w:tc>
          <w:tcPr>
            <w:tcW w:w="851" w:type="dxa"/>
            <w:vMerge w:val="continue"/>
            <w:noWrap w:val="0"/>
            <w:vAlign w:val="center"/>
          </w:tcPr>
          <w:p>
            <w:pPr>
              <w:jc w:val="center"/>
              <w:rPr>
                <w:rFonts w:hint="eastAsia" w:ascii="仿宋" w:hAnsi="仿宋" w:eastAsia="仿宋" w:cs="仿宋"/>
                <w:color w:val="000000"/>
                <w:kern w:val="0"/>
                <w:sz w:val="18"/>
                <w:szCs w:val="18"/>
              </w:rPr>
            </w:pPr>
          </w:p>
        </w:tc>
        <w:tc>
          <w:tcPr>
            <w:tcW w:w="992" w:type="dxa"/>
            <w:vMerge w:val="continue"/>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426" w:type="dxa"/>
            <w:vMerge w:val="restart"/>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8</w:t>
            </w:r>
          </w:p>
        </w:tc>
        <w:tc>
          <w:tcPr>
            <w:tcW w:w="938" w:type="dxa"/>
            <w:vMerge w:val="continue"/>
            <w:noWrap w:val="0"/>
            <w:vAlign w:val="center"/>
          </w:tcPr>
          <w:p>
            <w:pPr>
              <w:snapToGrid w:val="0"/>
              <w:jc w:val="center"/>
              <w:rPr>
                <w:rFonts w:hint="eastAsia" w:ascii="仿宋" w:hAnsi="仿宋" w:eastAsia="仿宋" w:cs="仿宋"/>
                <w:color w:val="000000"/>
              </w:rPr>
            </w:pPr>
          </w:p>
        </w:tc>
        <w:tc>
          <w:tcPr>
            <w:tcW w:w="2322" w:type="dxa"/>
            <w:vMerge w:val="restart"/>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资源配备计划</w:t>
            </w:r>
          </w:p>
        </w:tc>
        <w:tc>
          <w:tcPr>
            <w:tcW w:w="2538" w:type="dxa"/>
            <w:noWrap w:val="0"/>
            <w:vAlign w:val="center"/>
          </w:tcPr>
          <w:p>
            <w:pPr>
              <w:pStyle w:val="106"/>
              <w:tabs>
                <w:tab w:val="left" w:pos="554"/>
                <w:tab w:val="center" w:pos="1221"/>
              </w:tabs>
              <w:rPr>
                <w:rFonts w:hint="eastAsia" w:ascii="仿宋" w:hAnsi="仿宋" w:eastAsia="仿宋" w:cs="仿宋"/>
                <w:sz w:val="18"/>
                <w:szCs w:val="18"/>
              </w:rPr>
            </w:pPr>
            <w:r>
              <w:rPr>
                <w:rFonts w:hint="eastAsia" w:ascii="仿宋" w:hAnsi="仿宋" w:eastAsia="仿宋" w:cs="仿宋"/>
                <w:sz w:val="18"/>
                <w:szCs w:val="18"/>
              </w:rPr>
              <w:tab/>
            </w:r>
            <w:r>
              <w:rPr>
                <w:rFonts w:hint="eastAsia" w:ascii="仿宋" w:hAnsi="仿宋" w:eastAsia="仿宋" w:cs="仿宋"/>
                <w:sz w:val="18"/>
                <w:szCs w:val="18"/>
              </w:rPr>
              <w:t>内容基本完整</w:t>
            </w:r>
          </w:p>
        </w:tc>
        <w:tc>
          <w:tcPr>
            <w:tcW w:w="864"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合格</w:t>
            </w:r>
          </w:p>
        </w:tc>
        <w:tc>
          <w:tcPr>
            <w:tcW w:w="567" w:type="dxa"/>
            <w:vMerge w:val="restart"/>
            <w:noWrap w:val="0"/>
            <w:vAlign w:val="center"/>
          </w:tcPr>
          <w:p>
            <w:pPr>
              <w:pStyle w:val="106"/>
              <w:jc w:val="center"/>
              <w:rPr>
                <w:rFonts w:hint="eastAsia" w:ascii="仿宋" w:hAnsi="仿宋" w:eastAsia="仿宋" w:cs="仿宋"/>
                <w:sz w:val="18"/>
                <w:szCs w:val="18"/>
              </w:rPr>
            </w:pPr>
          </w:p>
        </w:tc>
        <w:tc>
          <w:tcPr>
            <w:tcW w:w="851" w:type="dxa"/>
            <w:vMerge w:val="restart"/>
            <w:noWrap w:val="0"/>
            <w:vAlign w:val="center"/>
          </w:tcPr>
          <w:p>
            <w:pPr>
              <w:jc w:val="center"/>
              <w:rPr>
                <w:rFonts w:hint="eastAsia" w:ascii="仿宋" w:hAnsi="仿宋" w:eastAsia="仿宋" w:cs="仿宋"/>
                <w:color w:val="000000"/>
                <w:kern w:val="0"/>
                <w:sz w:val="18"/>
                <w:szCs w:val="18"/>
              </w:rPr>
            </w:pPr>
          </w:p>
        </w:tc>
        <w:tc>
          <w:tcPr>
            <w:tcW w:w="992" w:type="dxa"/>
            <w:vMerge w:val="restart"/>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26" w:type="dxa"/>
            <w:vMerge w:val="continue"/>
            <w:noWrap w:val="0"/>
            <w:vAlign w:val="center"/>
          </w:tcPr>
          <w:p>
            <w:pPr>
              <w:jc w:val="center"/>
              <w:rPr>
                <w:rFonts w:hint="eastAsia" w:ascii="仿宋" w:hAnsi="仿宋" w:eastAsia="仿宋" w:cs="仿宋"/>
                <w:color w:val="000000"/>
                <w:kern w:val="0"/>
                <w:sz w:val="18"/>
                <w:szCs w:val="18"/>
              </w:rPr>
            </w:pPr>
          </w:p>
        </w:tc>
        <w:tc>
          <w:tcPr>
            <w:tcW w:w="938" w:type="dxa"/>
            <w:vMerge w:val="continue"/>
            <w:noWrap w:val="0"/>
            <w:vAlign w:val="center"/>
          </w:tcPr>
          <w:p>
            <w:pPr>
              <w:snapToGrid w:val="0"/>
              <w:jc w:val="center"/>
              <w:rPr>
                <w:rFonts w:hint="eastAsia" w:ascii="仿宋" w:hAnsi="仿宋" w:eastAsia="仿宋" w:cs="仿宋"/>
                <w:color w:val="000000"/>
              </w:rPr>
            </w:pPr>
          </w:p>
        </w:tc>
        <w:tc>
          <w:tcPr>
            <w:tcW w:w="2322" w:type="dxa"/>
            <w:vMerge w:val="continue"/>
            <w:noWrap w:val="0"/>
            <w:vAlign w:val="center"/>
          </w:tcPr>
          <w:p>
            <w:pPr>
              <w:pStyle w:val="106"/>
              <w:jc w:val="center"/>
              <w:rPr>
                <w:rFonts w:hint="eastAsia" w:ascii="仿宋" w:hAnsi="仿宋" w:eastAsia="仿宋" w:cs="仿宋"/>
                <w:sz w:val="18"/>
                <w:szCs w:val="18"/>
              </w:rPr>
            </w:pPr>
          </w:p>
        </w:tc>
        <w:tc>
          <w:tcPr>
            <w:tcW w:w="2538"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内容缺项；引用强制性技术标准错误，或明显违反国家和省有关规定</w:t>
            </w:r>
          </w:p>
        </w:tc>
        <w:tc>
          <w:tcPr>
            <w:tcW w:w="864"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不合格</w:t>
            </w:r>
          </w:p>
        </w:tc>
        <w:tc>
          <w:tcPr>
            <w:tcW w:w="567" w:type="dxa"/>
            <w:vMerge w:val="continue"/>
            <w:noWrap w:val="0"/>
            <w:vAlign w:val="center"/>
          </w:tcPr>
          <w:p>
            <w:pPr>
              <w:pStyle w:val="106"/>
              <w:jc w:val="center"/>
              <w:rPr>
                <w:rFonts w:hint="eastAsia" w:ascii="仿宋" w:hAnsi="仿宋" w:eastAsia="仿宋" w:cs="仿宋"/>
                <w:sz w:val="18"/>
                <w:szCs w:val="18"/>
              </w:rPr>
            </w:pPr>
          </w:p>
        </w:tc>
        <w:tc>
          <w:tcPr>
            <w:tcW w:w="851" w:type="dxa"/>
            <w:vMerge w:val="continue"/>
            <w:noWrap w:val="0"/>
            <w:vAlign w:val="center"/>
          </w:tcPr>
          <w:p>
            <w:pPr>
              <w:jc w:val="center"/>
              <w:rPr>
                <w:rFonts w:hint="eastAsia" w:ascii="仿宋" w:hAnsi="仿宋" w:eastAsia="仿宋" w:cs="仿宋"/>
                <w:color w:val="000000"/>
                <w:kern w:val="0"/>
                <w:sz w:val="18"/>
                <w:szCs w:val="18"/>
              </w:rPr>
            </w:pPr>
          </w:p>
        </w:tc>
        <w:tc>
          <w:tcPr>
            <w:tcW w:w="992" w:type="dxa"/>
            <w:vMerge w:val="continue"/>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426" w:type="dxa"/>
            <w:vMerge w:val="restart"/>
            <w:noWrap w:val="0"/>
            <w:vAlign w:val="center"/>
          </w:tcPr>
          <w:p>
            <w:pPr>
              <w:jc w:val="center"/>
              <w:rPr>
                <w:rFonts w:hint="eastAsia" w:ascii="仿宋" w:hAnsi="仿宋" w:eastAsia="仿宋" w:cs="仿宋"/>
                <w:color w:val="000000"/>
                <w:kern w:val="0"/>
                <w:sz w:val="18"/>
                <w:szCs w:val="18"/>
              </w:rPr>
            </w:pPr>
          </w:p>
        </w:tc>
        <w:tc>
          <w:tcPr>
            <w:tcW w:w="938" w:type="dxa"/>
            <w:vMerge w:val="continue"/>
            <w:noWrap w:val="0"/>
            <w:vAlign w:val="center"/>
          </w:tcPr>
          <w:p>
            <w:pPr>
              <w:snapToGrid w:val="0"/>
              <w:jc w:val="center"/>
              <w:rPr>
                <w:rFonts w:hint="eastAsia" w:ascii="仿宋" w:hAnsi="仿宋" w:eastAsia="仿宋" w:cs="仿宋"/>
                <w:color w:val="000000"/>
              </w:rPr>
            </w:pPr>
          </w:p>
        </w:tc>
        <w:tc>
          <w:tcPr>
            <w:tcW w:w="2322" w:type="dxa"/>
            <w:vMerge w:val="restart"/>
            <w:noWrap w:val="0"/>
            <w:vAlign w:val="center"/>
          </w:tcPr>
          <w:p>
            <w:pPr>
              <w:pStyle w:val="106"/>
              <w:jc w:val="center"/>
              <w:rPr>
                <w:rFonts w:hint="eastAsia" w:ascii="仿宋" w:hAnsi="仿宋" w:eastAsia="仿宋" w:cs="仿宋"/>
                <w:sz w:val="18"/>
                <w:szCs w:val="18"/>
              </w:rPr>
            </w:pPr>
            <w:r>
              <w:rPr>
                <w:rFonts w:hint="eastAsia" w:ascii="仿宋" w:hAnsi="仿宋" w:eastAsia="仿宋" w:cs="仿宋"/>
                <w:b/>
                <w:sz w:val="18"/>
                <w:szCs w:val="18"/>
              </w:rPr>
              <w:t>……</w:t>
            </w:r>
          </w:p>
        </w:tc>
        <w:tc>
          <w:tcPr>
            <w:tcW w:w="2538" w:type="dxa"/>
            <w:noWrap w:val="0"/>
            <w:vAlign w:val="center"/>
          </w:tcPr>
          <w:p>
            <w:pPr>
              <w:pStyle w:val="106"/>
              <w:jc w:val="center"/>
              <w:rPr>
                <w:rFonts w:hint="eastAsia" w:ascii="仿宋" w:hAnsi="仿宋" w:eastAsia="仿宋" w:cs="仿宋"/>
                <w:sz w:val="18"/>
                <w:szCs w:val="18"/>
              </w:rPr>
            </w:pPr>
          </w:p>
        </w:tc>
        <w:tc>
          <w:tcPr>
            <w:tcW w:w="864" w:type="dxa"/>
            <w:noWrap w:val="0"/>
            <w:vAlign w:val="center"/>
          </w:tcPr>
          <w:p>
            <w:pPr>
              <w:pStyle w:val="106"/>
              <w:jc w:val="center"/>
              <w:rPr>
                <w:rFonts w:hint="eastAsia" w:ascii="仿宋" w:hAnsi="仿宋" w:eastAsia="仿宋" w:cs="仿宋"/>
                <w:sz w:val="18"/>
                <w:szCs w:val="18"/>
              </w:rPr>
            </w:pPr>
          </w:p>
        </w:tc>
        <w:tc>
          <w:tcPr>
            <w:tcW w:w="567" w:type="dxa"/>
            <w:vMerge w:val="restart"/>
            <w:noWrap w:val="0"/>
            <w:vAlign w:val="center"/>
          </w:tcPr>
          <w:p>
            <w:pPr>
              <w:pStyle w:val="106"/>
              <w:jc w:val="center"/>
              <w:rPr>
                <w:rFonts w:hint="eastAsia" w:ascii="仿宋" w:hAnsi="仿宋" w:eastAsia="仿宋" w:cs="仿宋"/>
                <w:sz w:val="18"/>
                <w:szCs w:val="18"/>
              </w:rPr>
            </w:pPr>
          </w:p>
        </w:tc>
        <w:tc>
          <w:tcPr>
            <w:tcW w:w="851" w:type="dxa"/>
            <w:vMerge w:val="restart"/>
            <w:noWrap w:val="0"/>
            <w:vAlign w:val="center"/>
          </w:tcPr>
          <w:p>
            <w:pPr>
              <w:jc w:val="center"/>
              <w:rPr>
                <w:rFonts w:hint="eastAsia" w:ascii="仿宋" w:hAnsi="仿宋" w:eastAsia="仿宋" w:cs="仿宋"/>
                <w:color w:val="000000"/>
                <w:kern w:val="0"/>
                <w:sz w:val="18"/>
                <w:szCs w:val="18"/>
              </w:rPr>
            </w:pPr>
          </w:p>
        </w:tc>
        <w:tc>
          <w:tcPr>
            <w:tcW w:w="992" w:type="dxa"/>
            <w:vMerge w:val="restart"/>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26" w:type="dxa"/>
            <w:vMerge w:val="continue"/>
            <w:noWrap w:val="0"/>
            <w:vAlign w:val="center"/>
          </w:tcPr>
          <w:p>
            <w:pPr>
              <w:jc w:val="center"/>
              <w:rPr>
                <w:rFonts w:hint="eastAsia" w:ascii="仿宋" w:hAnsi="仿宋" w:eastAsia="仿宋" w:cs="仿宋"/>
                <w:color w:val="000000"/>
                <w:kern w:val="0"/>
                <w:sz w:val="18"/>
                <w:szCs w:val="18"/>
              </w:rPr>
            </w:pPr>
          </w:p>
        </w:tc>
        <w:tc>
          <w:tcPr>
            <w:tcW w:w="938" w:type="dxa"/>
            <w:vMerge w:val="continue"/>
            <w:noWrap w:val="0"/>
            <w:vAlign w:val="center"/>
          </w:tcPr>
          <w:p>
            <w:pPr>
              <w:snapToGrid w:val="0"/>
              <w:jc w:val="center"/>
              <w:rPr>
                <w:rFonts w:hint="eastAsia" w:ascii="仿宋" w:hAnsi="仿宋" w:eastAsia="仿宋" w:cs="仿宋"/>
                <w:color w:val="000000"/>
              </w:rPr>
            </w:pPr>
          </w:p>
        </w:tc>
        <w:tc>
          <w:tcPr>
            <w:tcW w:w="2322" w:type="dxa"/>
            <w:vMerge w:val="continue"/>
            <w:noWrap w:val="0"/>
            <w:vAlign w:val="center"/>
          </w:tcPr>
          <w:p>
            <w:pPr>
              <w:pStyle w:val="106"/>
              <w:jc w:val="center"/>
              <w:rPr>
                <w:rFonts w:hint="eastAsia" w:ascii="仿宋" w:hAnsi="仿宋" w:eastAsia="仿宋" w:cs="仿宋"/>
                <w:sz w:val="18"/>
                <w:szCs w:val="18"/>
              </w:rPr>
            </w:pPr>
          </w:p>
        </w:tc>
        <w:tc>
          <w:tcPr>
            <w:tcW w:w="2538" w:type="dxa"/>
            <w:noWrap w:val="0"/>
            <w:vAlign w:val="center"/>
          </w:tcPr>
          <w:p>
            <w:pPr>
              <w:pStyle w:val="106"/>
              <w:jc w:val="center"/>
              <w:rPr>
                <w:rFonts w:hint="eastAsia" w:ascii="仿宋" w:hAnsi="仿宋" w:eastAsia="仿宋" w:cs="仿宋"/>
                <w:sz w:val="18"/>
                <w:szCs w:val="18"/>
              </w:rPr>
            </w:pPr>
          </w:p>
        </w:tc>
        <w:tc>
          <w:tcPr>
            <w:tcW w:w="864" w:type="dxa"/>
            <w:noWrap w:val="0"/>
            <w:vAlign w:val="center"/>
          </w:tcPr>
          <w:p>
            <w:pPr>
              <w:pStyle w:val="106"/>
              <w:jc w:val="center"/>
              <w:rPr>
                <w:rFonts w:hint="eastAsia" w:ascii="仿宋" w:hAnsi="仿宋" w:eastAsia="仿宋" w:cs="仿宋"/>
                <w:sz w:val="18"/>
                <w:szCs w:val="18"/>
              </w:rPr>
            </w:pPr>
          </w:p>
        </w:tc>
        <w:tc>
          <w:tcPr>
            <w:tcW w:w="567" w:type="dxa"/>
            <w:vMerge w:val="continue"/>
            <w:noWrap w:val="0"/>
            <w:vAlign w:val="center"/>
          </w:tcPr>
          <w:p>
            <w:pPr>
              <w:pStyle w:val="106"/>
              <w:jc w:val="center"/>
              <w:rPr>
                <w:rFonts w:hint="eastAsia" w:ascii="仿宋" w:hAnsi="仿宋" w:eastAsia="仿宋" w:cs="仿宋"/>
                <w:sz w:val="18"/>
                <w:szCs w:val="18"/>
              </w:rPr>
            </w:pPr>
          </w:p>
        </w:tc>
        <w:tc>
          <w:tcPr>
            <w:tcW w:w="851" w:type="dxa"/>
            <w:vMerge w:val="continue"/>
            <w:noWrap w:val="0"/>
            <w:vAlign w:val="center"/>
          </w:tcPr>
          <w:p>
            <w:pPr>
              <w:jc w:val="center"/>
              <w:rPr>
                <w:rFonts w:hint="eastAsia" w:ascii="仿宋" w:hAnsi="仿宋" w:eastAsia="仿宋" w:cs="仿宋"/>
                <w:color w:val="000000"/>
                <w:kern w:val="0"/>
                <w:sz w:val="18"/>
                <w:szCs w:val="18"/>
              </w:rPr>
            </w:pPr>
          </w:p>
        </w:tc>
        <w:tc>
          <w:tcPr>
            <w:tcW w:w="992" w:type="dxa"/>
            <w:vMerge w:val="continue"/>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426" w:type="dxa"/>
            <w:noWrap w:val="0"/>
            <w:vAlign w:val="center"/>
          </w:tcPr>
          <w:p>
            <w:pPr>
              <w:jc w:val="center"/>
              <w:rPr>
                <w:rFonts w:hint="eastAsia" w:ascii="仿宋" w:hAnsi="仿宋" w:eastAsia="仿宋" w:cs="仿宋"/>
                <w:color w:val="000000"/>
                <w:kern w:val="0"/>
              </w:rPr>
            </w:pPr>
          </w:p>
        </w:tc>
        <w:tc>
          <w:tcPr>
            <w:tcW w:w="6662" w:type="dxa"/>
            <w:gridSpan w:val="4"/>
            <w:noWrap w:val="0"/>
            <w:vAlign w:val="center"/>
          </w:tcPr>
          <w:p>
            <w:pPr>
              <w:jc w:val="center"/>
              <w:rPr>
                <w:rFonts w:hint="eastAsia" w:ascii="仿宋" w:hAnsi="仿宋" w:eastAsia="仿宋" w:cs="仿宋"/>
                <w:b/>
                <w:bCs/>
                <w:color w:val="000000"/>
                <w:kern w:val="0"/>
              </w:rPr>
            </w:pPr>
            <w:r>
              <w:rPr>
                <w:rFonts w:hint="eastAsia" w:ascii="仿宋" w:hAnsi="仿宋" w:eastAsia="仿宋" w:cs="仿宋"/>
                <w:b/>
                <w:bCs/>
                <w:color w:val="000000"/>
                <w:kern w:val="0"/>
              </w:rPr>
              <w:t>评审结论（合格/不合格）</w:t>
            </w:r>
          </w:p>
        </w:tc>
        <w:tc>
          <w:tcPr>
            <w:tcW w:w="567" w:type="dxa"/>
            <w:noWrap w:val="0"/>
            <w:vAlign w:val="center"/>
          </w:tcPr>
          <w:p>
            <w:pPr>
              <w:jc w:val="center"/>
              <w:rPr>
                <w:rFonts w:hint="eastAsia" w:ascii="仿宋" w:hAnsi="仿宋" w:eastAsia="仿宋" w:cs="仿宋"/>
                <w:color w:val="000000"/>
                <w:kern w:val="0"/>
              </w:rPr>
            </w:pPr>
          </w:p>
        </w:tc>
        <w:tc>
          <w:tcPr>
            <w:tcW w:w="851" w:type="dxa"/>
            <w:noWrap w:val="0"/>
            <w:vAlign w:val="center"/>
          </w:tcPr>
          <w:p>
            <w:pPr>
              <w:jc w:val="center"/>
              <w:rPr>
                <w:rFonts w:hint="eastAsia" w:ascii="仿宋" w:hAnsi="仿宋" w:eastAsia="仿宋" w:cs="仿宋"/>
                <w:color w:val="000000"/>
                <w:kern w:val="0"/>
              </w:rPr>
            </w:pPr>
          </w:p>
        </w:tc>
        <w:tc>
          <w:tcPr>
            <w:tcW w:w="992" w:type="dxa"/>
            <w:noWrap w:val="0"/>
            <w:vAlign w:val="center"/>
          </w:tcPr>
          <w:p>
            <w:pPr>
              <w:jc w:val="center"/>
              <w:rPr>
                <w:rFonts w:hint="eastAsia" w:ascii="仿宋" w:hAnsi="仿宋" w:eastAsia="仿宋" w:cs="仿宋"/>
                <w:color w:val="000000"/>
                <w:kern w:val="0"/>
              </w:rPr>
            </w:pPr>
          </w:p>
        </w:tc>
      </w:tr>
    </w:tbl>
    <w:p>
      <w:pPr>
        <w:snapToGrid w:val="0"/>
        <w:rPr>
          <w:rFonts w:hint="eastAsia" w:ascii="仿宋" w:hAnsi="仿宋" w:eastAsia="仿宋" w:cs="仿宋"/>
          <w:color w:val="000000"/>
          <w:sz w:val="18"/>
          <w:szCs w:val="18"/>
        </w:rPr>
      </w:pPr>
      <w:r>
        <w:rPr>
          <w:rFonts w:hint="eastAsia" w:ascii="仿宋" w:hAnsi="仿宋" w:eastAsia="仿宋" w:cs="仿宋"/>
          <w:b/>
          <w:color w:val="000000"/>
          <w:szCs w:val="21"/>
        </w:rPr>
        <w:t>备注：</w:t>
      </w:r>
      <w:r>
        <w:rPr>
          <w:rFonts w:hint="eastAsia" w:ascii="仿宋" w:hAnsi="仿宋" w:eastAsia="仿宋" w:cs="仿宋"/>
          <w:color w:val="000000"/>
          <w:sz w:val="18"/>
          <w:szCs w:val="18"/>
        </w:rPr>
        <w:t xml:space="preserve">1.评审项目合格的打“√”，不合格的打“×”。 </w:t>
      </w:r>
    </w:p>
    <w:p>
      <w:pPr>
        <w:snapToGrid w:val="0"/>
        <w:ind w:firstLine="671" w:firstLineChars="373"/>
        <w:rPr>
          <w:rFonts w:hint="eastAsia" w:ascii="仿宋" w:hAnsi="仿宋" w:eastAsia="仿宋" w:cs="仿宋"/>
          <w:color w:val="000000"/>
          <w:sz w:val="18"/>
          <w:szCs w:val="18"/>
        </w:rPr>
      </w:pPr>
      <w:r>
        <w:rPr>
          <w:rFonts w:hint="eastAsia" w:ascii="仿宋" w:hAnsi="仿宋" w:eastAsia="仿宋" w:cs="仿宋"/>
          <w:color w:val="000000"/>
          <w:sz w:val="18"/>
          <w:szCs w:val="18"/>
        </w:rPr>
        <w:t>2.</w:t>
      </w:r>
      <w:r>
        <w:rPr>
          <w:rFonts w:hint="eastAsia" w:ascii="仿宋" w:hAnsi="仿宋" w:eastAsia="仿宋" w:cs="仿宋"/>
          <w:color w:val="000000"/>
        </w:rPr>
        <w:t xml:space="preserve"> </w:t>
      </w:r>
      <w:r>
        <w:rPr>
          <w:rFonts w:hint="eastAsia" w:ascii="仿宋" w:hAnsi="仿宋" w:eastAsia="仿宋" w:cs="仿宋"/>
          <w:color w:val="000000"/>
          <w:sz w:val="18"/>
          <w:szCs w:val="18"/>
        </w:rPr>
        <w:t>序号中有缺项的为不合格。</w:t>
      </w:r>
    </w:p>
    <w:p>
      <w:pPr>
        <w:snapToGrid w:val="0"/>
        <w:ind w:firstLine="671" w:firstLineChars="373"/>
        <w:rPr>
          <w:rFonts w:hint="eastAsia" w:ascii="仿宋" w:hAnsi="仿宋" w:eastAsia="仿宋" w:cs="仿宋"/>
          <w:color w:val="000000"/>
          <w:sz w:val="18"/>
          <w:szCs w:val="18"/>
        </w:rPr>
      </w:pPr>
      <w:r>
        <w:rPr>
          <w:rFonts w:hint="eastAsia" w:ascii="仿宋" w:hAnsi="仿宋" w:eastAsia="仿宋" w:cs="仿宋"/>
          <w:color w:val="000000"/>
          <w:sz w:val="18"/>
          <w:szCs w:val="18"/>
        </w:rPr>
        <w:t>3. 技术投标文件内不得出现投标人名称或者出现任何能直接判断出投标人和其相关人员信息的内容；图纸按规范要求绘制，不设图签，不得注明投标人和其相关人员信息或设计单位及设计人信息。否则，将否决其投标。</w:t>
      </w:r>
    </w:p>
    <w:p>
      <w:pPr>
        <w:snapToGrid w:val="0"/>
        <w:ind w:firstLine="671" w:firstLineChars="373"/>
        <w:rPr>
          <w:rFonts w:hint="eastAsia" w:ascii="仿宋" w:hAnsi="仿宋" w:eastAsia="仿宋" w:cs="仿宋"/>
          <w:color w:val="000000"/>
          <w:sz w:val="18"/>
          <w:szCs w:val="18"/>
        </w:rPr>
      </w:pPr>
      <w:r>
        <w:rPr>
          <w:rFonts w:hint="eastAsia" w:ascii="仿宋" w:hAnsi="仿宋" w:eastAsia="仿宋" w:cs="仿宋"/>
          <w:color w:val="000000"/>
          <w:sz w:val="18"/>
          <w:szCs w:val="18"/>
        </w:rPr>
        <w:t>4.评标委员会对投标人的技术投标文件进行集体评议，评标委员会成员根据集体评议意见对技术投标文件自主评价并作出书面评价。</w:t>
      </w:r>
    </w:p>
    <w:p>
      <w:pPr>
        <w:snapToGrid w:val="0"/>
        <w:ind w:firstLine="671" w:firstLineChars="373"/>
        <w:rPr>
          <w:rFonts w:hint="eastAsia" w:ascii="仿宋" w:hAnsi="仿宋" w:eastAsia="仿宋" w:cs="仿宋"/>
          <w:color w:val="000000"/>
          <w:sz w:val="18"/>
          <w:szCs w:val="18"/>
        </w:rPr>
      </w:pPr>
      <w:r>
        <w:rPr>
          <w:rFonts w:hint="eastAsia" w:ascii="仿宋" w:hAnsi="仿宋" w:eastAsia="仿宋" w:cs="仿宋"/>
          <w:color w:val="000000"/>
          <w:sz w:val="18"/>
          <w:szCs w:val="18"/>
        </w:rPr>
        <w:t>5.</w:t>
      </w:r>
      <w:r>
        <w:rPr>
          <w:rFonts w:hint="eastAsia" w:ascii="仿宋" w:hAnsi="仿宋" w:eastAsia="仿宋" w:cs="仿宋"/>
          <w:color w:val="000000"/>
          <w:sz w:val="28"/>
          <w:szCs w:val="32"/>
        </w:rPr>
        <w:t xml:space="preserve"> </w:t>
      </w:r>
      <w:r>
        <w:rPr>
          <w:rFonts w:hint="eastAsia" w:ascii="仿宋" w:hAnsi="仿宋" w:eastAsia="仿宋" w:cs="仿宋"/>
          <w:color w:val="000000"/>
          <w:sz w:val="18"/>
          <w:szCs w:val="18"/>
        </w:rPr>
        <w:t>招标人应列明技术投标文件评审因素保证项目和一般项目，保证项目中有一项及以上评价为不合格者，其评审结果为不合格；一般项目中有二项及以上评价不合格者，其评审结果为不合格。</w:t>
      </w:r>
    </w:p>
    <w:p>
      <w:pPr>
        <w:snapToGrid w:val="0"/>
        <w:ind w:firstLine="671" w:firstLineChars="373"/>
        <w:rPr>
          <w:rFonts w:hint="eastAsia" w:ascii="仿宋" w:hAnsi="仿宋" w:eastAsia="仿宋" w:cs="仿宋"/>
          <w:color w:val="000000"/>
          <w:sz w:val="18"/>
          <w:szCs w:val="18"/>
        </w:rPr>
      </w:pPr>
      <w:r>
        <w:rPr>
          <w:rFonts w:hint="eastAsia" w:ascii="仿宋" w:hAnsi="仿宋" w:eastAsia="仿宋" w:cs="仿宋"/>
          <w:color w:val="000000"/>
          <w:sz w:val="18"/>
          <w:szCs w:val="18"/>
        </w:rPr>
        <w:t>6.获三分之二及以上的评委评审不合格的技术投标文件评审结果为不合格；通过技术投标文件合格性评审的投标人，视为合格投标人。</w:t>
      </w:r>
    </w:p>
    <w:p>
      <w:pPr>
        <w:snapToGrid w:val="0"/>
        <w:ind w:firstLine="674" w:firstLineChars="373"/>
        <w:rPr>
          <w:rFonts w:hint="eastAsia" w:ascii="仿宋" w:hAnsi="仿宋" w:eastAsia="仿宋" w:cs="仿宋"/>
          <w:b/>
          <w:color w:val="000000"/>
          <w:sz w:val="18"/>
          <w:szCs w:val="18"/>
        </w:rPr>
      </w:pPr>
      <w:r>
        <w:rPr>
          <w:rFonts w:hint="eastAsia" w:ascii="仿宋" w:hAnsi="仿宋" w:eastAsia="仿宋" w:cs="仿宋"/>
          <w:b/>
          <w:color w:val="000000"/>
          <w:sz w:val="18"/>
          <w:szCs w:val="18"/>
        </w:rPr>
        <w:t>7.招标人可在技术投标文件评审标准表中根据项目的特点和需要进行调整和补充评审因素，但不得补充与项目无关的评审因素。</w:t>
      </w:r>
    </w:p>
    <w:p>
      <w:pPr>
        <w:snapToGrid w:val="0"/>
        <w:rPr>
          <w:rFonts w:hint="eastAsia" w:ascii="仿宋" w:hAnsi="仿宋" w:eastAsia="仿宋" w:cs="仿宋"/>
          <w:color w:val="000000"/>
          <w:sz w:val="28"/>
          <w:szCs w:val="28"/>
        </w:rPr>
      </w:pPr>
    </w:p>
    <w:p>
      <w:pPr>
        <w:snapToGrid w:val="0"/>
        <w:rPr>
          <w:rFonts w:hint="eastAsia" w:ascii="仿宋" w:hAnsi="仿宋" w:eastAsia="仿宋" w:cs="仿宋"/>
          <w:color w:val="000000"/>
          <w:sz w:val="28"/>
          <w:szCs w:val="28"/>
        </w:rPr>
      </w:pPr>
    </w:p>
    <w:p>
      <w:pPr>
        <w:snapToGrid w:val="0"/>
        <w:rPr>
          <w:rFonts w:hint="eastAsia" w:ascii="仿宋" w:hAnsi="仿宋" w:eastAsia="仿宋" w:cs="仿宋"/>
          <w:color w:val="000000"/>
        </w:rPr>
      </w:pPr>
      <w:r>
        <w:rPr>
          <w:rFonts w:hint="eastAsia" w:ascii="仿宋" w:hAnsi="仿宋" w:eastAsia="仿宋" w:cs="仿宋"/>
          <w:color w:val="000000"/>
          <w:sz w:val="28"/>
          <w:szCs w:val="28"/>
        </w:rPr>
        <w:t>评委签字：</w:t>
      </w:r>
    </w:p>
    <w:p>
      <w:pPr>
        <w:pStyle w:val="32"/>
        <w:spacing w:line="490" w:lineRule="exact"/>
        <w:ind w:left="420" w:hanging="420"/>
        <w:outlineLvl w:val="4"/>
        <w:rPr>
          <w:rFonts w:eastAsia="黑体"/>
          <w:bCs/>
          <w:color w:val="000000"/>
          <w:sz w:val="28"/>
          <w:szCs w:val="20"/>
        </w:rPr>
      </w:pPr>
      <w:r>
        <w:rPr>
          <w:color w:val="000000"/>
        </w:rPr>
        <w:br w:type="page"/>
      </w:r>
      <w:bookmarkStart w:id="826" w:name="_Toc511317239"/>
      <w:bookmarkStart w:id="827" w:name="_Toc511317988"/>
      <w:r>
        <w:rPr>
          <w:rFonts w:eastAsia="黑体"/>
          <w:bCs/>
          <w:color w:val="000000"/>
          <w:sz w:val="28"/>
          <w:szCs w:val="20"/>
        </w:rPr>
        <w:t>附表3-4：不合格投标人名单表</w:t>
      </w:r>
      <w:bookmarkEnd w:id="826"/>
      <w:bookmarkEnd w:id="827"/>
    </w:p>
    <w:p>
      <w:pPr>
        <w:spacing w:line="490" w:lineRule="exact"/>
        <w:jc w:val="center"/>
        <w:rPr>
          <w:rFonts w:eastAsia="方正小标宋_GBK"/>
          <w:color w:val="000000"/>
          <w:sz w:val="36"/>
        </w:rPr>
      </w:pPr>
    </w:p>
    <w:p>
      <w:pPr>
        <w:spacing w:line="490" w:lineRule="exact"/>
        <w:jc w:val="center"/>
        <w:rPr>
          <w:rFonts w:hint="eastAsia" w:ascii="方正小标宋简体" w:eastAsia="方正小标宋简体"/>
          <w:color w:val="000000"/>
          <w:sz w:val="40"/>
          <w:szCs w:val="28"/>
        </w:rPr>
      </w:pPr>
      <w:r>
        <w:rPr>
          <w:rFonts w:hint="eastAsia" w:ascii="方正小标宋简体" w:eastAsia="方正小标宋简体"/>
          <w:color w:val="000000"/>
          <w:sz w:val="40"/>
          <w:szCs w:val="28"/>
        </w:rPr>
        <w:t>不合格投标人名单表</w:t>
      </w:r>
    </w:p>
    <w:p>
      <w:pPr>
        <w:spacing w:line="490" w:lineRule="exact"/>
        <w:jc w:val="center"/>
        <w:rPr>
          <w:rFonts w:eastAsia="方正小标宋_GBK"/>
          <w:b/>
          <w:color w:val="000000"/>
          <w:sz w:val="40"/>
          <w:szCs w:val="28"/>
        </w:rPr>
      </w:pPr>
    </w:p>
    <w:p>
      <w:pPr>
        <w:snapToGrid w:val="0"/>
        <w:spacing w:line="600" w:lineRule="exact"/>
        <w:rPr>
          <w:rFonts w:hint="eastAsia" w:ascii="仿宋" w:hAnsi="仿宋" w:eastAsia="仿宋" w:cs="仿宋"/>
          <w:color w:val="000000"/>
          <w:sz w:val="24"/>
          <w:u w:val="single"/>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（标段名称）</w:t>
      </w:r>
      <w:r>
        <w:rPr>
          <w:rFonts w:hint="eastAsia" w:ascii="仿宋" w:hAnsi="仿宋" w:eastAsia="仿宋" w:cs="仿宋"/>
          <w:color w:val="000000"/>
          <w:sz w:val="24"/>
          <w:u w:val="single"/>
        </w:rPr>
        <w:t xml:space="preserve">                      </w:t>
      </w:r>
    </w:p>
    <w:p>
      <w:pPr>
        <w:snapToGrid w:val="0"/>
        <w:spacing w:line="600" w:lineRule="exact"/>
        <w:rPr>
          <w:rFonts w:hint="eastAsia" w:ascii="仿宋" w:hAnsi="仿宋" w:eastAsia="仿宋" w:cs="仿宋"/>
          <w:color w:val="000000"/>
          <w:sz w:val="24"/>
        </w:rPr>
      </w:pPr>
      <w:r>
        <w:rPr>
          <w:rFonts w:hint="eastAsia" w:ascii="仿宋" w:hAnsi="仿宋" w:eastAsia="仿宋" w:cs="仿宋"/>
          <w:color w:val="000000"/>
          <w:sz w:val="24"/>
        </w:rPr>
        <w:t>项目管理编号：</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3427"/>
        <w:gridCol w:w="5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793"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序号</w:t>
            </w:r>
          </w:p>
        </w:tc>
        <w:tc>
          <w:tcPr>
            <w:tcW w:w="3427"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投   标    人</w:t>
            </w:r>
          </w:p>
        </w:tc>
        <w:tc>
          <w:tcPr>
            <w:tcW w:w="5066"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不合格情况的原因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793"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3427" w:type="dxa"/>
            <w:noWrap w:val="0"/>
            <w:vAlign w:val="center"/>
          </w:tcPr>
          <w:p>
            <w:pPr>
              <w:snapToGrid w:val="0"/>
              <w:jc w:val="center"/>
              <w:rPr>
                <w:rFonts w:hint="eastAsia" w:ascii="仿宋" w:hAnsi="仿宋" w:eastAsia="仿宋" w:cs="仿宋"/>
                <w:color w:val="000000"/>
                <w:szCs w:val="21"/>
              </w:rPr>
            </w:pPr>
          </w:p>
        </w:tc>
        <w:tc>
          <w:tcPr>
            <w:tcW w:w="5066" w:type="dxa"/>
            <w:noWrap w:val="0"/>
            <w:vAlign w:val="center"/>
          </w:tcPr>
          <w:p>
            <w:pPr>
              <w:snapToGrid w:val="0"/>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793"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2</w:t>
            </w:r>
          </w:p>
        </w:tc>
        <w:tc>
          <w:tcPr>
            <w:tcW w:w="3427" w:type="dxa"/>
            <w:noWrap w:val="0"/>
            <w:vAlign w:val="center"/>
          </w:tcPr>
          <w:p>
            <w:pPr>
              <w:snapToGrid w:val="0"/>
              <w:jc w:val="center"/>
              <w:rPr>
                <w:rFonts w:hint="eastAsia" w:ascii="仿宋" w:hAnsi="仿宋" w:eastAsia="仿宋" w:cs="仿宋"/>
                <w:color w:val="000000"/>
                <w:szCs w:val="21"/>
              </w:rPr>
            </w:pPr>
          </w:p>
        </w:tc>
        <w:tc>
          <w:tcPr>
            <w:tcW w:w="5066" w:type="dxa"/>
            <w:noWrap w:val="0"/>
            <w:vAlign w:val="center"/>
          </w:tcPr>
          <w:p>
            <w:pPr>
              <w:snapToGrid w:val="0"/>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793"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3</w:t>
            </w:r>
          </w:p>
        </w:tc>
        <w:tc>
          <w:tcPr>
            <w:tcW w:w="3427" w:type="dxa"/>
            <w:noWrap w:val="0"/>
            <w:vAlign w:val="center"/>
          </w:tcPr>
          <w:p>
            <w:pPr>
              <w:snapToGrid w:val="0"/>
              <w:jc w:val="center"/>
              <w:rPr>
                <w:rFonts w:hint="eastAsia" w:ascii="仿宋" w:hAnsi="仿宋" w:eastAsia="仿宋" w:cs="仿宋"/>
                <w:color w:val="000000"/>
                <w:szCs w:val="21"/>
              </w:rPr>
            </w:pPr>
          </w:p>
        </w:tc>
        <w:tc>
          <w:tcPr>
            <w:tcW w:w="5066" w:type="dxa"/>
            <w:noWrap w:val="0"/>
            <w:vAlign w:val="center"/>
          </w:tcPr>
          <w:p>
            <w:pPr>
              <w:snapToGrid w:val="0"/>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793"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4</w:t>
            </w:r>
          </w:p>
        </w:tc>
        <w:tc>
          <w:tcPr>
            <w:tcW w:w="3427" w:type="dxa"/>
            <w:noWrap w:val="0"/>
            <w:vAlign w:val="center"/>
          </w:tcPr>
          <w:p>
            <w:pPr>
              <w:snapToGrid w:val="0"/>
              <w:jc w:val="center"/>
              <w:rPr>
                <w:rFonts w:hint="eastAsia" w:ascii="仿宋" w:hAnsi="仿宋" w:eastAsia="仿宋" w:cs="仿宋"/>
                <w:color w:val="000000"/>
                <w:szCs w:val="21"/>
              </w:rPr>
            </w:pPr>
          </w:p>
        </w:tc>
        <w:tc>
          <w:tcPr>
            <w:tcW w:w="5066" w:type="dxa"/>
            <w:noWrap w:val="0"/>
            <w:vAlign w:val="center"/>
          </w:tcPr>
          <w:p>
            <w:pPr>
              <w:snapToGrid w:val="0"/>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793"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w:t>
            </w:r>
          </w:p>
        </w:tc>
        <w:tc>
          <w:tcPr>
            <w:tcW w:w="3427" w:type="dxa"/>
            <w:noWrap w:val="0"/>
            <w:vAlign w:val="center"/>
          </w:tcPr>
          <w:p>
            <w:pPr>
              <w:snapToGrid w:val="0"/>
              <w:jc w:val="center"/>
              <w:rPr>
                <w:rFonts w:hint="eastAsia" w:ascii="仿宋" w:hAnsi="仿宋" w:eastAsia="仿宋" w:cs="仿宋"/>
                <w:color w:val="000000"/>
                <w:szCs w:val="21"/>
              </w:rPr>
            </w:pPr>
          </w:p>
        </w:tc>
        <w:tc>
          <w:tcPr>
            <w:tcW w:w="5066" w:type="dxa"/>
            <w:noWrap w:val="0"/>
            <w:vAlign w:val="center"/>
          </w:tcPr>
          <w:p>
            <w:pPr>
              <w:snapToGrid w:val="0"/>
              <w:jc w:val="center"/>
              <w:rPr>
                <w:rFonts w:hint="eastAsia" w:ascii="仿宋" w:hAnsi="仿宋" w:eastAsia="仿宋" w:cs="仿宋"/>
                <w:color w:val="000000"/>
                <w:szCs w:val="21"/>
              </w:rPr>
            </w:pPr>
          </w:p>
        </w:tc>
      </w:tr>
    </w:tbl>
    <w:p>
      <w:pPr>
        <w:snapToGrid w:val="0"/>
        <w:spacing w:line="600" w:lineRule="exact"/>
        <w:rPr>
          <w:rFonts w:hint="eastAsia" w:ascii="仿宋" w:hAnsi="仿宋" w:eastAsia="仿宋" w:cs="仿宋"/>
          <w:color w:val="000000"/>
          <w:sz w:val="28"/>
        </w:rPr>
      </w:pPr>
      <w:r>
        <w:rPr>
          <w:rFonts w:hint="eastAsia" w:ascii="仿宋" w:hAnsi="仿宋" w:eastAsia="仿宋" w:cs="仿宋"/>
          <w:color w:val="000000"/>
          <w:sz w:val="28"/>
        </w:rPr>
        <w:t>评标委员会全体成员签字：</w:t>
      </w:r>
    </w:p>
    <w:p>
      <w:pPr>
        <w:outlineLvl w:val="4"/>
        <w:rPr>
          <w:rFonts w:eastAsia="黑体"/>
          <w:bCs/>
          <w:color w:val="000000"/>
          <w:sz w:val="32"/>
          <w:szCs w:val="20"/>
        </w:rPr>
      </w:pPr>
      <w:r>
        <w:rPr>
          <w:rFonts w:hint="eastAsia" w:ascii="宋体" w:hAnsi="宋体" w:cs="宋体"/>
          <w:color w:val="000000"/>
          <w:szCs w:val="21"/>
        </w:rPr>
        <w:br w:type="page"/>
      </w:r>
      <w:bookmarkStart w:id="828" w:name="_Toc511317240"/>
      <w:bookmarkStart w:id="829" w:name="_Toc511317989"/>
      <w:r>
        <w:rPr>
          <w:rFonts w:eastAsia="黑体"/>
          <w:bCs/>
          <w:color w:val="000000"/>
          <w:sz w:val="32"/>
          <w:szCs w:val="20"/>
        </w:rPr>
        <w:t>附表3-5：进入详细评审的投标人名单表</w:t>
      </w:r>
      <w:bookmarkEnd w:id="828"/>
      <w:bookmarkEnd w:id="829"/>
    </w:p>
    <w:p>
      <w:pPr>
        <w:spacing w:line="600" w:lineRule="exact"/>
        <w:jc w:val="center"/>
        <w:rPr>
          <w:rFonts w:eastAsia="方正小标宋_GBK"/>
          <w:b/>
          <w:color w:val="000000"/>
          <w:sz w:val="36"/>
          <w:szCs w:val="36"/>
        </w:rPr>
      </w:pPr>
    </w:p>
    <w:p>
      <w:pPr>
        <w:spacing w:line="600" w:lineRule="exact"/>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进入详细评审的投标人名单表</w:t>
      </w:r>
    </w:p>
    <w:p>
      <w:pPr>
        <w:spacing w:line="600" w:lineRule="exact"/>
        <w:jc w:val="center"/>
        <w:rPr>
          <w:rFonts w:eastAsia="方正小标宋_GBK"/>
          <w:b/>
          <w:color w:val="000000"/>
          <w:sz w:val="36"/>
          <w:szCs w:val="36"/>
        </w:rPr>
      </w:pPr>
    </w:p>
    <w:p>
      <w:pPr>
        <w:snapToGrid w:val="0"/>
        <w:spacing w:line="600" w:lineRule="exact"/>
        <w:rPr>
          <w:rFonts w:hint="eastAsia" w:ascii="仿宋" w:hAnsi="仿宋" w:eastAsia="仿宋" w:cs="仿宋"/>
          <w:color w:val="000000"/>
          <w:sz w:val="24"/>
          <w:u w:val="single"/>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（标段）</w:t>
      </w:r>
      <w:r>
        <w:rPr>
          <w:rFonts w:hint="eastAsia" w:ascii="仿宋" w:hAnsi="仿宋" w:eastAsia="仿宋" w:cs="仿宋"/>
          <w:color w:val="000000"/>
          <w:sz w:val="24"/>
          <w:u w:val="single"/>
        </w:rPr>
        <w:t xml:space="preserve">                      </w:t>
      </w:r>
    </w:p>
    <w:p>
      <w:pPr>
        <w:snapToGrid w:val="0"/>
        <w:spacing w:line="600" w:lineRule="exact"/>
        <w:rPr>
          <w:rFonts w:hint="eastAsia" w:ascii="仿宋" w:hAnsi="仿宋" w:eastAsia="仿宋" w:cs="仿宋"/>
          <w:color w:val="000000"/>
          <w:sz w:val="28"/>
          <w:u w:val="single"/>
        </w:rPr>
      </w:pPr>
      <w:r>
        <w:rPr>
          <w:rFonts w:hint="eastAsia" w:ascii="仿宋" w:hAnsi="仿宋" w:eastAsia="仿宋" w:cs="仿宋"/>
          <w:color w:val="000000"/>
          <w:sz w:val="24"/>
        </w:rPr>
        <w:t>项目管理编号：</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
        <w:gridCol w:w="6327"/>
        <w:gridCol w:w="2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序号</w:t>
            </w:r>
          </w:p>
        </w:tc>
        <w:tc>
          <w:tcPr>
            <w:tcW w:w="6327"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投标人名称</w:t>
            </w:r>
          </w:p>
        </w:tc>
        <w:tc>
          <w:tcPr>
            <w:tcW w:w="2015"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noWrap w:val="0"/>
            <w:vAlign w:val="center"/>
          </w:tcPr>
          <w:p>
            <w:pPr>
              <w:snapToGrid w:val="0"/>
              <w:ind w:firstLine="420" w:firstLineChars="200"/>
              <w:jc w:val="center"/>
              <w:rPr>
                <w:rFonts w:hint="eastAsia" w:ascii="仿宋" w:hAnsi="仿宋" w:eastAsia="仿宋" w:cs="仿宋"/>
                <w:color w:val="000000"/>
                <w:szCs w:val="21"/>
              </w:rPr>
            </w:pPr>
          </w:p>
        </w:tc>
        <w:tc>
          <w:tcPr>
            <w:tcW w:w="6327" w:type="dxa"/>
            <w:noWrap w:val="0"/>
            <w:vAlign w:val="center"/>
          </w:tcPr>
          <w:p>
            <w:pPr>
              <w:snapToGrid w:val="0"/>
              <w:ind w:firstLine="420" w:firstLineChars="200"/>
              <w:jc w:val="center"/>
              <w:rPr>
                <w:rFonts w:hint="eastAsia" w:ascii="仿宋" w:hAnsi="仿宋" w:eastAsia="仿宋" w:cs="仿宋"/>
                <w:color w:val="000000"/>
                <w:szCs w:val="21"/>
              </w:rPr>
            </w:pPr>
          </w:p>
        </w:tc>
        <w:tc>
          <w:tcPr>
            <w:tcW w:w="2015" w:type="dxa"/>
            <w:noWrap w:val="0"/>
            <w:vAlign w:val="center"/>
          </w:tcPr>
          <w:p>
            <w:pPr>
              <w:snapToGrid w:val="0"/>
              <w:ind w:firstLine="420" w:firstLineChars="200"/>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noWrap w:val="0"/>
            <w:vAlign w:val="center"/>
          </w:tcPr>
          <w:p>
            <w:pPr>
              <w:snapToGrid w:val="0"/>
              <w:ind w:firstLine="420" w:firstLineChars="200"/>
              <w:jc w:val="center"/>
              <w:rPr>
                <w:rFonts w:hint="eastAsia" w:ascii="仿宋" w:hAnsi="仿宋" w:eastAsia="仿宋" w:cs="仿宋"/>
                <w:color w:val="000000"/>
                <w:szCs w:val="21"/>
              </w:rPr>
            </w:pPr>
          </w:p>
        </w:tc>
        <w:tc>
          <w:tcPr>
            <w:tcW w:w="6327" w:type="dxa"/>
            <w:noWrap w:val="0"/>
            <w:vAlign w:val="center"/>
          </w:tcPr>
          <w:p>
            <w:pPr>
              <w:snapToGrid w:val="0"/>
              <w:ind w:firstLine="420" w:firstLineChars="200"/>
              <w:jc w:val="center"/>
              <w:rPr>
                <w:rFonts w:hint="eastAsia" w:ascii="仿宋" w:hAnsi="仿宋" w:eastAsia="仿宋" w:cs="仿宋"/>
                <w:color w:val="000000"/>
                <w:szCs w:val="21"/>
              </w:rPr>
            </w:pPr>
          </w:p>
        </w:tc>
        <w:tc>
          <w:tcPr>
            <w:tcW w:w="2015" w:type="dxa"/>
            <w:noWrap w:val="0"/>
            <w:vAlign w:val="center"/>
          </w:tcPr>
          <w:p>
            <w:pPr>
              <w:snapToGrid w:val="0"/>
              <w:ind w:firstLine="420" w:firstLineChars="200"/>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noWrap w:val="0"/>
            <w:vAlign w:val="center"/>
          </w:tcPr>
          <w:p>
            <w:pPr>
              <w:snapToGrid w:val="0"/>
              <w:ind w:firstLine="420" w:firstLineChars="200"/>
              <w:jc w:val="center"/>
              <w:rPr>
                <w:rFonts w:hint="eastAsia" w:ascii="仿宋" w:hAnsi="仿宋" w:eastAsia="仿宋" w:cs="仿宋"/>
                <w:color w:val="000000"/>
                <w:szCs w:val="21"/>
              </w:rPr>
            </w:pPr>
          </w:p>
        </w:tc>
        <w:tc>
          <w:tcPr>
            <w:tcW w:w="6327" w:type="dxa"/>
            <w:noWrap w:val="0"/>
            <w:vAlign w:val="center"/>
          </w:tcPr>
          <w:p>
            <w:pPr>
              <w:snapToGrid w:val="0"/>
              <w:ind w:firstLine="420" w:firstLineChars="200"/>
              <w:jc w:val="center"/>
              <w:rPr>
                <w:rFonts w:hint="eastAsia" w:ascii="仿宋" w:hAnsi="仿宋" w:eastAsia="仿宋" w:cs="仿宋"/>
                <w:color w:val="000000"/>
                <w:szCs w:val="21"/>
              </w:rPr>
            </w:pPr>
          </w:p>
        </w:tc>
        <w:tc>
          <w:tcPr>
            <w:tcW w:w="2015" w:type="dxa"/>
            <w:noWrap w:val="0"/>
            <w:vAlign w:val="center"/>
          </w:tcPr>
          <w:p>
            <w:pPr>
              <w:snapToGrid w:val="0"/>
              <w:ind w:firstLine="420" w:firstLineChars="200"/>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noWrap w:val="0"/>
            <w:vAlign w:val="center"/>
          </w:tcPr>
          <w:p>
            <w:pPr>
              <w:snapToGrid w:val="0"/>
              <w:ind w:firstLine="420" w:firstLineChars="200"/>
              <w:jc w:val="center"/>
              <w:rPr>
                <w:rFonts w:hint="eastAsia" w:ascii="仿宋" w:hAnsi="仿宋" w:eastAsia="仿宋" w:cs="仿宋"/>
                <w:color w:val="000000"/>
                <w:szCs w:val="21"/>
              </w:rPr>
            </w:pPr>
          </w:p>
        </w:tc>
        <w:tc>
          <w:tcPr>
            <w:tcW w:w="6327" w:type="dxa"/>
            <w:noWrap w:val="0"/>
            <w:vAlign w:val="center"/>
          </w:tcPr>
          <w:p>
            <w:pPr>
              <w:snapToGrid w:val="0"/>
              <w:ind w:firstLine="420" w:firstLineChars="200"/>
              <w:jc w:val="center"/>
              <w:rPr>
                <w:rFonts w:hint="eastAsia" w:ascii="仿宋" w:hAnsi="仿宋" w:eastAsia="仿宋" w:cs="仿宋"/>
                <w:color w:val="000000"/>
                <w:szCs w:val="21"/>
              </w:rPr>
            </w:pPr>
          </w:p>
        </w:tc>
        <w:tc>
          <w:tcPr>
            <w:tcW w:w="2015" w:type="dxa"/>
            <w:noWrap w:val="0"/>
            <w:vAlign w:val="center"/>
          </w:tcPr>
          <w:p>
            <w:pPr>
              <w:snapToGrid w:val="0"/>
              <w:ind w:firstLine="420" w:firstLineChars="200"/>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noWrap w:val="0"/>
            <w:vAlign w:val="center"/>
          </w:tcPr>
          <w:p>
            <w:pPr>
              <w:snapToGrid w:val="0"/>
              <w:ind w:firstLine="420" w:firstLineChars="200"/>
              <w:jc w:val="center"/>
              <w:rPr>
                <w:rFonts w:hint="eastAsia" w:ascii="仿宋" w:hAnsi="仿宋" w:eastAsia="仿宋" w:cs="仿宋"/>
                <w:color w:val="000000"/>
                <w:szCs w:val="21"/>
              </w:rPr>
            </w:pPr>
          </w:p>
        </w:tc>
        <w:tc>
          <w:tcPr>
            <w:tcW w:w="6327" w:type="dxa"/>
            <w:noWrap w:val="0"/>
            <w:vAlign w:val="center"/>
          </w:tcPr>
          <w:p>
            <w:pPr>
              <w:snapToGrid w:val="0"/>
              <w:ind w:firstLine="420" w:firstLineChars="200"/>
              <w:jc w:val="center"/>
              <w:rPr>
                <w:rFonts w:hint="eastAsia" w:ascii="仿宋" w:hAnsi="仿宋" w:eastAsia="仿宋" w:cs="仿宋"/>
                <w:color w:val="000000"/>
                <w:szCs w:val="21"/>
              </w:rPr>
            </w:pPr>
          </w:p>
        </w:tc>
        <w:tc>
          <w:tcPr>
            <w:tcW w:w="2015" w:type="dxa"/>
            <w:noWrap w:val="0"/>
            <w:vAlign w:val="center"/>
          </w:tcPr>
          <w:p>
            <w:pPr>
              <w:snapToGrid w:val="0"/>
              <w:ind w:firstLine="420" w:firstLineChars="200"/>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noWrap w:val="0"/>
            <w:vAlign w:val="center"/>
          </w:tcPr>
          <w:p>
            <w:pPr>
              <w:snapToGrid w:val="0"/>
              <w:ind w:firstLine="420" w:firstLineChars="200"/>
              <w:jc w:val="center"/>
              <w:rPr>
                <w:rFonts w:hint="eastAsia" w:ascii="仿宋" w:hAnsi="仿宋" w:eastAsia="仿宋" w:cs="仿宋"/>
                <w:color w:val="000000"/>
                <w:szCs w:val="21"/>
              </w:rPr>
            </w:pPr>
          </w:p>
        </w:tc>
        <w:tc>
          <w:tcPr>
            <w:tcW w:w="6327" w:type="dxa"/>
            <w:noWrap w:val="0"/>
            <w:vAlign w:val="center"/>
          </w:tcPr>
          <w:p>
            <w:pPr>
              <w:snapToGrid w:val="0"/>
              <w:ind w:firstLine="420" w:firstLineChars="200"/>
              <w:jc w:val="center"/>
              <w:rPr>
                <w:rFonts w:hint="eastAsia" w:ascii="仿宋" w:hAnsi="仿宋" w:eastAsia="仿宋" w:cs="仿宋"/>
                <w:color w:val="000000"/>
                <w:szCs w:val="21"/>
              </w:rPr>
            </w:pPr>
          </w:p>
        </w:tc>
        <w:tc>
          <w:tcPr>
            <w:tcW w:w="2015" w:type="dxa"/>
            <w:noWrap w:val="0"/>
            <w:vAlign w:val="center"/>
          </w:tcPr>
          <w:p>
            <w:pPr>
              <w:snapToGrid w:val="0"/>
              <w:ind w:firstLine="420" w:firstLineChars="200"/>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noWrap w:val="0"/>
            <w:vAlign w:val="center"/>
          </w:tcPr>
          <w:p>
            <w:pPr>
              <w:snapToGrid w:val="0"/>
              <w:ind w:firstLine="420" w:firstLineChars="200"/>
              <w:jc w:val="center"/>
              <w:rPr>
                <w:rFonts w:hint="eastAsia" w:ascii="仿宋" w:hAnsi="仿宋" w:eastAsia="仿宋" w:cs="仿宋"/>
                <w:color w:val="000000"/>
                <w:szCs w:val="21"/>
              </w:rPr>
            </w:pPr>
          </w:p>
        </w:tc>
        <w:tc>
          <w:tcPr>
            <w:tcW w:w="6327" w:type="dxa"/>
            <w:noWrap w:val="0"/>
            <w:vAlign w:val="center"/>
          </w:tcPr>
          <w:p>
            <w:pPr>
              <w:snapToGrid w:val="0"/>
              <w:ind w:firstLine="420" w:firstLineChars="200"/>
              <w:jc w:val="center"/>
              <w:rPr>
                <w:rFonts w:hint="eastAsia" w:ascii="仿宋" w:hAnsi="仿宋" w:eastAsia="仿宋" w:cs="仿宋"/>
                <w:color w:val="000000"/>
                <w:szCs w:val="21"/>
              </w:rPr>
            </w:pPr>
          </w:p>
        </w:tc>
        <w:tc>
          <w:tcPr>
            <w:tcW w:w="2015" w:type="dxa"/>
            <w:noWrap w:val="0"/>
            <w:vAlign w:val="center"/>
          </w:tcPr>
          <w:p>
            <w:pPr>
              <w:snapToGrid w:val="0"/>
              <w:ind w:firstLine="420" w:firstLineChars="200"/>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noWrap w:val="0"/>
            <w:vAlign w:val="center"/>
          </w:tcPr>
          <w:p>
            <w:pPr>
              <w:snapToGrid w:val="0"/>
              <w:ind w:firstLine="420" w:firstLineChars="200"/>
              <w:jc w:val="center"/>
              <w:rPr>
                <w:rFonts w:hint="eastAsia" w:ascii="仿宋" w:hAnsi="仿宋" w:eastAsia="仿宋" w:cs="仿宋"/>
                <w:color w:val="000000"/>
                <w:szCs w:val="21"/>
              </w:rPr>
            </w:pPr>
          </w:p>
        </w:tc>
        <w:tc>
          <w:tcPr>
            <w:tcW w:w="6327" w:type="dxa"/>
            <w:noWrap w:val="0"/>
            <w:vAlign w:val="center"/>
          </w:tcPr>
          <w:p>
            <w:pPr>
              <w:snapToGrid w:val="0"/>
              <w:ind w:firstLine="420" w:firstLineChars="200"/>
              <w:jc w:val="center"/>
              <w:rPr>
                <w:rFonts w:hint="eastAsia" w:ascii="仿宋" w:hAnsi="仿宋" w:eastAsia="仿宋" w:cs="仿宋"/>
                <w:color w:val="000000"/>
                <w:szCs w:val="21"/>
              </w:rPr>
            </w:pPr>
          </w:p>
        </w:tc>
        <w:tc>
          <w:tcPr>
            <w:tcW w:w="2015" w:type="dxa"/>
            <w:noWrap w:val="0"/>
            <w:vAlign w:val="center"/>
          </w:tcPr>
          <w:p>
            <w:pPr>
              <w:snapToGrid w:val="0"/>
              <w:ind w:firstLine="420" w:firstLineChars="200"/>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noWrap w:val="0"/>
            <w:vAlign w:val="center"/>
          </w:tcPr>
          <w:p>
            <w:pPr>
              <w:snapToGrid w:val="0"/>
              <w:ind w:firstLine="420" w:firstLineChars="200"/>
              <w:jc w:val="center"/>
              <w:rPr>
                <w:rFonts w:hint="eastAsia" w:ascii="仿宋" w:hAnsi="仿宋" w:eastAsia="仿宋" w:cs="仿宋"/>
                <w:color w:val="000000"/>
                <w:szCs w:val="21"/>
              </w:rPr>
            </w:pPr>
          </w:p>
        </w:tc>
        <w:tc>
          <w:tcPr>
            <w:tcW w:w="6327" w:type="dxa"/>
            <w:noWrap w:val="0"/>
            <w:vAlign w:val="center"/>
          </w:tcPr>
          <w:p>
            <w:pPr>
              <w:snapToGrid w:val="0"/>
              <w:ind w:firstLine="420" w:firstLineChars="200"/>
              <w:jc w:val="center"/>
              <w:rPr>
                <w:rFonts w:hint="eastAsia" w:ascii="仿宋" w:hAnsi="仿宋" w:eastAsia="仿宋" w:cs="仿宋"/>
                <w:color w:val="000000"/>
                <w:szCs w:val="21"/>
              </w:rPr>
            </w:pPr>
          </w:p>
        </w:tc>
        <w:tc>
          <w:tcPr>
            <w:tcW w:w="2015" w:type="dxa"/>
            <w:noWrap w:val="0"/>
            <w:vAlign w:val="center"/>
          </w:tcPr>
          <w:p>
            <w:pPr>
              <w:snapToGrid w:val="0"/>
              <w:ind w:firstLine="420" w:firstLineChars="200"/>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noWrap w:val="0"/>
            <w:vAlign w:val="center"/>
          </w:tcPr>
          <w:p>
            <w:pPr>
              <w:snapToGrid w:val="0"/>
              <w:ind w:firstLine="420" w:firstLineChars="200"/>
              <w:jc w:val="center"/>
              <w:rPr>
                <w:rFonts w:hint="eastAsia" w:ascii="仿宋" w:hAnsi="仿宋" w:eastAsia="仿宋" w:cs="仿宋"/>
                <w:color w:val="000000"/>
                <w:szCs w:val="21"/>
              </w:rPr>
            </w:pPr>
          </w:p>
        </w:tc>
        <w:tc>
          <w:tcPr>
            <w:tcW w:w="6327" w:type="dxa"/>
            <w:noWrap w:val="0"/>
            <w:vAlign w:val="center"/>
          </w:tcPr>
          <w:p>
            <w:pPr>
              <w:snapToGrid w:val="0"/>
              <w:ind w:firstLine="420" w:firstLineChars="200"/>
              <w:jc w:val="center"/>
              <w:rPr>
                <w:rFonts w:hint="eastAsia" w:ascii="仿宋" w:hAnsi="仿宋" w:eastAsia="仿宋" w:cs="仿宋"/>
                <w:color w:val="000000"/>
                <w:szCs w:val="21"/>
              </w:rPr>
            </w:pPr>
          </w:p>
        </w:tc>
        <w:tc>
          <w:tcPr>
            <w:tcW w:w="2015" w:type="dxa"/>
            <w:noWrap w:val="0"/>
            <w:vAlign w:val="center"/>
          </w:tcPr>
          <w:p>
            <w:pPr>
              <w:snapToGrid w:val="0"/>
              <w:ind w:firstLine="420" w:firstLineChars="200"/>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noWrap w:val="0"/>
            <w:vAlign w:val="center"/>
          </w:tcPr>
          <w:p>
            <w:pPr>
              <w:snapToGrid w:val="0"/>
              <w:ind w:firstLine="420" w:firstLineChars="200"/>
              <w:jc w:val="center"/>
              <w:rPr>
                <w:rFonts w:hint="eastAsia" w:ascii="仿宋" w:hAnsi="仿宋" w:eastAsia="仿宋" w:cs="仿宋"/>
                <w:color w:val="000000"/>
                <w:szCs w:val="21"/>
              </w:rPr>
            </w:pPr>
          </w:p>
        </w:tc>
        <w:tc>
          <w:tcPr>
            <w:tcW w:w="6327" w:type="dxa"/>
            <w:noWrap w:val="0"/>
            <w:vAlign w:val="center"/>
          </w:tcPr>
          <w:p>
            <w:pPr>
              <w:snapToGrid w:val="0"/>
              <w:ind w:firstLine="420" w:firstLineChars="200"/>
              <w:jc w:val="center"/>
              <w:rPr>
                <w:rFonts w:hint="eastAsia" w:ascii="仿宋" w:hAnsi="仿宋" w:eastAsia="仿宋" w:cs="仿宋"/>
                <w:color w:val="000000"/>
                <w:szCs w:val="21"/>
              </w:rPr>
            </w:pPr>
          </w:p>
        </w:tc>
        <w:tc>
          <w:tcPr>
            <w:tcW w:w="2015" w:type="dxa"/>
            <w:noWrap w:val="0"/>
            <w:vAlign w:val="center"/>
          </w:tcPr>
          <w:p>
            <w:pPr>
              <w:snapToGrid w:val="0"/>
              <w:ind w:firstLine="420" w:firstLineChars="200"/>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noWrap w:val="0"/>
            <w:vAlign w:val="center"/>
          </w:tcPr>
          <w:p>
            <w:pPr>
              <w:snapToGrid w:val="0"/>
              <w:ind w:firstLine="420" w:firstLineChars="200"/>
              <w:jc w:val="center"/>
              <w:rPr>
                <w:rFonts w:hint="eastAsia" w:ascii="仿宋" w:hAnsi="仿宋" w:eastAsia="仿宋" w:cs="仿宋"/>
                <w:color w:val="000000"/>
                <w:szCs w:val="21"/>
              </w:rPr>
            </w:pPr>
          </w:p>
        </w:tc>
        <w:tc>
          <w:tcPr>
            <w:tcW w:w="6327" w:type="dxa"/>
            <w:noWrap w:val="0"/>
            <w:vAlign w:val="center"/>
          </w:tcPr>
          <w:p>
            <w:pPr>
              <w:snapToGrid w:val="0"/>
              <w:ind w:firstLine="420" w:firstLineChars="200"/>
              <w:jc w:val="center"/>
              <w:rPr>
                <w:rFonts w:hint="eastAsia" w:ascii="仿宋" w:hAnsi="仿宋" w:eastAsia="仿宋" w:cs="仿宋"/>
                <w:color w:val="000000"/>
                <w:szCs w:val="21"/>
              </w:rPr>
            </w:pPr>
          </w:p>
        </w:tc>
        <w:tc>
          <w:tcPr>
            <w:tcW w:w="2015" w:type="dxa"/>
            <w:noWrap w:val="0"/>
            <w:vAlign w:val="center"/>
          </w:tcPr>
          <w:p>
            <w:pPr>
              <w:snapToGrid w:val="0"/>
              <w:ind w:firstLine="420" w:firstLineChars="200"/>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noWrap w:val="0"/>
            <w:vAlign w:val="center"/>
          </w:tcPr>
          <w:p>
            <w:pPr>
              <w:snapToGrid w:val="0"/>
              <w:ind w:firstLine="420" w:firstLineChars="200"/>
              <w:jc w:val="center"/>
              <w:rPr>
                <w:rFonts w:hint="eastAsia" w:ascii="仿宋" w:hAnsi="仿宋" w:eastAsia="仿宋" w:cs="仿宋"/>
                <w:color w:val="000000"/>
                <w:szCs w:val="21"/>
              </w:rPr>
            </w:pPr>
          </w:p>
        </w:tc>
        <w:tc>
          <w:tcPr>
            <w:tcW w:w="6327" w:type="dxa"/>
            <w:noWrap w:val="0"/>
            <w:vAlign w:val="center"/>
          </w:tcPr>
          <w:p>
            <w:pPr>
              <w:snapToGrid w:val="0"/>
              <w:ind w:firstLine="420" w:firstLineChars="200"/>
              <w:jc w:val="center"/>
              <w:rPr>
                <w:rFonts w:hint="eastAsia" w:ascii="仿宋" w:hAnsi="仿宋" w:eastAsia="仿宋" w:cs="仿宋"/>
                <w:color w:val="000000"/>
                <w:szCs w:val="21"/>
              </w:rPr>
            </w:pPr>
          </w:p>
        </w:tc>
        <w:tc>
          <w:tcPr>
            <w:tcW w:w="2015" w:type="dxa"/>
            <w:noWrap w:val="0"/>
            <w:vAlign w:val="center"/>
          </w:tcPr>
          <w:p>
            <w:pPr>
              <w:snapToGrid w:val="0"/>
              <w:ind w:firstLine="420" w:firstLineChars="200"/>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noWrap w:val="0"/>
            <w:vAlign w:val="center"/>
          </w:tcPr>
          <w:p>
            <w:pPr>
              <w:snapToGrid w:val="0"/>
              <w:ind w:firstLine="420" w:firstLineChars="200"/>
              <w:jc w:val="center"/>
              <w:rPr>
                <w:rFonts w:hint="eastAsia" w:ascii="仿宋" w:hAnsi="仿宋" w:eastAsia="仿宋" w:cs="仿宋"/>
                <w:color w:val="000000"/>
                <w:szCs w:val="21"/>
              </w:rPr>
            </w:pPr>
          </w:p>
        </w:tc>
        <w:tc>
          <w:tcPr>
            <w:tcW w:w="6327" w:type="dxa"/>
            <w:noWrap w:val="0"/>
            <w:vAlign w:val="center"/>
          </w:tcPr>
          <w:p>
            <w:pPr>
              <w:snapToGrid w:val="0"/>
              <w:ind w:firstLine="420" w:firstLineChars="200"/>
              <w:jc w:val="center"/>
              <w:rPr>
                <w:rFonts w:hint="eastAsia" w:ascii="仿宋" w:hAnsi="仿宋" w:eastAsia="仿宋" w:cs="仿宋"/>
                <w:color w:val="000000"/>
                <w:szCs w:val="21"/>
              </w:rPr>
            </w:pPr>
          </w:p>
        </w:tc>
        <w:tc>
          <w:tcPr>
            <w:tcW w:w="2015" w:type="dxa"/>
            <w:noWrap w:val="0"/>
            <w:vAlign w:val="center"/>
          </w:tcPr>
          <w:p>
            <w:pPr>
              <w:snapToGrid w:val="0"/>
              <w:ind w:firstLine="420" w:firstLineChars="200"/>
              <w:jc w:val="center"/>
              <w:rPr>
                <w:rFonts w:hint="eastAsia" w:ascii="仿宋" w:hAnsi="仿宋" w:eastAsia="仿宋" w:cs="仿宋"/>
                <w:color w:val="000000"/>
                <w:szCs w:val="21"/>
              </w:rPr>
            </w:pPr>
          </w:p>
        </w:tc>
      </w:tr>
    </w:tbl>
    <w:p>
      <w:pPr>
        <w:snapToGrid w:val="0"/>
        <w:spacing w:line="600" w:lineRule="exact"/>
        <w:rPr>
          <w:rFonts w:hint="eastAsia" w:ascii="仿宋" w:hAnsi="仿宋" w:eastAsia="仿宋" w:cs="仿宋"/>
          <w:color w:val="000000"/>
          <w:sz w:val="28"/>
        </w:rPr>
      </w:pPr>
      <w:r>
        <w:rPr>
          <w:rFonts w:hint="eastAsia" w:ascii="仿宋" w:hAnsi="仿宋" w:eastAsia="仿宋" w:cs="仿宋"/>
          <w:color w:val="000000"/>
          <w:sz w:val="28"/>
        </w:rPr>
        <w:t>评标委员会全体成员签字：</w:t>
      </w:r>
    </w:p>
    <w:p>
      <w:pPr>
        <w:snapToGrid w:val="0"/>
        <w:spacing w:line="600" w:lineRule="exact"/>
        <w:rPr>
          <w:rFonts w:hint="eastAsia" w:ascii="仿宋" w:hAnsi="仿宋" w:eastAsia="仿宋" w:cs="仿宋"/>
          <w:color w:val="000000"/>
          <w:sz w:val="28"/>
        </w:rPr>
      </w:pPr>
    </w:p>
    <w:p>
      <w:pPr>
        <w:snapToGrid w:val="0"/>
        <w:spacing w:line="600" w:lineRule="exact"/>
        <w:rPr>
          <w:rFonts w:hint="eastAsia" w:ascii="仿宋" w:hAnsi="仿宋" w:eastAsia="仿宋" w:cs="仿宋"/>
          <w:color w:val="000000"/>
          <w:sz w:val="28"/>
        </w:rPr>
      </w:pPr>
      <w:r>
        <w:rPr>
          <w:rFonts w:hint="eastAsia" w:ascii="仿宋" w:hAnsi="仿宋" w:eastAsia="仿宋" w:cs="仿宋"/>
          <w:color w:val="000000"/>
          <w:sz w:val="28"/>
        </w:rPr>
        <w:t>备注：本表中投标人排名不分先后。</w:t>
      </w:r>
    </w:p>
    <w:p>
      <w:pPr>
        <w:rPr>
          <w:rFonts w:hint="eastAsia" w:ascii="仿宋" w:hAnsi="仿宋" w:eastAsia="仿宋" w:cs="仿宋"/>
          <w:color w:val="000000"/>
          <w:sz w:val="24"/>
          <w:szCs w:val="28"/>
        </w:rPr>
      </w:pPr>
    </w:p>
    <w:p>
      <w:pPr>
        <w:snapToGrid w:val="0"/>
        <w:spacing w:line="360" w:lineRule="auto"/>
        <w:rPr>
          <w:color w:val="000000"/>
          <w:kern w:val="0"/>
        </w:rPr>
      </w:pPr>
    </w:p>
    <w:p>
      <w:pPr>
        <w:pStyle w:val="32"/>
        <w:spacing w:line="600" w:lineRule="exact"/>
        <w:ind w:left="420" w:hanging="420"/>
        <w:outlineLvl w:val="4"/>
        <w:rPr>
          <w:rFonts w:eastAsia="黑体"/>
          <w:bCs/>
          <w:color w:val="000000"/>
          <w:sz w:val="32"/>
          <w:szCs w:val="20"/>
        </w:rPr>
      </w:pPr>
      <w:r>
        <w:rPr>
          <w:color w:val="000000"/>
        </w:rPr>
        <w:br w:type="page"/>
      </w:r>
      <w:bookmarkStart w:id="830" w:name="_Toc511317241"/>
      <w:bookmarkStart w:id="831" w:name="_Toc511317990"/>
      <w:r>
        <w:rPr>
          <w:rFonts w:eastAsia="黑体"/>
          <w:bCs/>
          <w:color w:val="000000"/>
          <w:sz w:val="32"/>
          <w:szCs w:val="20"/>
        </w:rPr>
        <w:t>附表3-6：算术错误检查表</w:t>
      </w:r>
      <w:bookmarkEnd w:id="830"/>
      <w:bookmarkEnd w:id="831"/>
    </w:p>
    <w:p>
      <w:pPr>
        <w:spacing w:line="600" w:lineRule="exact"/>
        <w:jc w:val="center"/>
        <w:rPr>
          <w:rFonts w:eastAsia="方正小标宋_GBK"/>
          <w:b/>
          <w:color w:val="000000"/>
          <w:sz w:val="36"/>
          <w:szCs w:val="36"/>
        </w:rPr>
      </w:pPr>
    </w:p>
    <w:p>
      <w:pPr>
        <w:spacing w:line="600" w:lineRule="exact"/>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算术错误检查表</w:t>
      </w:r>
    </w:p>
    <w:p>
      <w:pPr>
        <w:spacing w:line="600" w:lineRule="exact"/>
        <w:jc w:val="center"/>
        <w:rPr>
          <w:rFonts w:eastAsia="方正小标宋_GBK"/>
          <w:b/>
          <w:color w:val="000000"/>
          <w:sz w:val="36"/>
          <w:szCs w:val="36"/>
        </w:rPr>
      </w:pPr>
    </w:p>
    <w:p>
      <w:pPr>
        <w:snapToGrid w:val="0"/>
        <w:spacing w:line="600" w:lineRule="exact"/>
        <w:rPr>
          <w:rFonts w:hint="eastAsia" w:ascii="仿宋" w:hAnsi="仿宋" w:eastAsia="仿宋" w:cs="仿宋"/>
          <w:color w:val="000000"/>
          <w:sz w:val="24"/>
          <w:u w:val="single"/>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（标段名称）</w:t>
      </w:r>
      <w:r>
        <w:rPr>
          <w:rFonts w:hint="eastAsia" w:ascii="仿宋" w:hAnsi="仿宋" w:eastAsia="仿宋" w:cs="仿宋"/>
          <w:color w:val="000000"/>
          <w:sz w:val="24"/>
          <w:u w:val="single"/>
        </w:rPr>
        <w:t xml:space="preserve">                      </w:t>
      </w:r>
    </w:p>
    <w:p>
      <w:pPr>
        <w:snapToGrid w:val="0"/>
        <w:spacing w:line="600" w:lineRule="exact"/>
        <w:rPr>
          <w:rFonts w:hint="eastAsia" w:ascii="仿宋" w:hAnsi="仿宋" w:eastAsia="仿宋" w:cs="仿宋"/>
          <w:color w:val="000000"/>
          <w:sz w:val="24"/>
          <w:u w:val="single"/>
        </w:rPr>
      </w:pPr>
      <w:r>
        <w:rPr>
          <w:rFonts w:hint="eastAsia" w:ascii="仿宋" w:hAnsi="仿宋" w:eastAsia="仿宋" w:cs="仿宋"/>
          <w:color w:val="000000"/>
          <w:sz w:val="24"/>
        </w:rPr>
        <w:t>项目管理编号：</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tbl>
      <w:tblPr>
        <w:tblStyle w:val="47"/>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1134"/>
        <w:gridCol w:w="1093"/>
        <w:gridCol w:w="1217"/>
        <w:gridCol w:w="1217"/>
        <w:gridCol w:w="1217"/>
        <w:gridCol w:w="1217"/>
        <w:gridCol w:w="1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582"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序号</w:t>
            </w:r>
          </w:p>
        </w:tc>
        <w:tc>
          <w:tcPr>
            <w:tcW w:w="1134"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投标人名称</w:t>
            </w:r>
          </w:p>
        </w:tc>
        <w:tc>
          <w:tcPr>
            <w:tcW w:w="1093" w:type="dxa"/>
            <w:noWrap w:val="0"/>
            <w:vAlign w:val="center"/>
          </w:tcPr>
          <w:p>
            <w:pPr>
              <w:jc w:val="center"/>
              <w:rPr>
                <w:rFonts w:hint="eastAsia" w:ascii="仿宋" w:hAnsi="仿宋" w:eastAsia="仿宋" w:cs="仿宋"/>
                <w:color w:val="000000"/>
              </w:rPr>
            </w:pPr>
            <w:r>
              <w:rPr>
                <w:rFonts w:hint="eastAsia" w:ascii="仿宋" w:hAnsi="仿宋" w:eastAsia="仿宋" w:cs="仿宋"/>
                <w:color w:val="000000"/>
              </w:rPr>
              <w:t>投标报价</w:t>
            </w:r>
          </w:p>
        </w:tc>
        <w:tc>
          <w:tcPr>
            <w:tcW w:w="1217" w:type="dxa"/>
            <w:noWrap w:val="0"/>
            <w:vAlign w:val="center"/>
          </w:tcPr>
          <w:p>
            <w:pPr>
              <w:jc w:val="center"/>
              <w:rPr>
                <w:rFonts w:hint="eastAsia" w:ascii="仿宋" w:hAnsi="仿宋" w:eastAsia="仿宋" w:cs="仿宋"/>
                <w:color w:val="000000"/>
              </w:rPr>
            </w:pPr>
            <w:r>
              <w:rPr>
                <w:rFonts w:hint="eastAsia" w:ascii="仿宋" w:hAnsi="仿宋" w:eastAsia="仿宋" w:cs="仿宋"/>
                <w:color w:val="000000"/>
              </w:rPr>
              <w:t>是否有算术错误</w:t>
            </w:r>
          </w:p>
        </w:tc>
        <w:tc>
          <w:tcPr>
            <w:tcW w:w="1217" w:type="dxa"/>
            <w:noWrap w:val="0"/>
            <w:vAlign w:val="center"/>
          </w:tcPr>
          <w:p>
            <w:pPr>
              <w:jc w:val="center"/>
              <w:rPr>
                <w:rFonts w:hint="eastAsia" w:ascii="仿宋" w:hAnsi="仿宋" w:eastAsia="仿宋" w:cs="仿宋"/>
                <w:color w:val="000000"/>
              </w:rPr>
            </w:pPr>
            <w:r>
              <w:rPr>
                <w:rFonts w:hint="eastAsia" w:ascii="仿宋" w:hAnsi="仿宋" w:eastAsia="仿宋" w:cs="仿宋"/>
                <w:color w:val="000000"/>
              </w:rPr>
              <w:t>修正后的投标报价</w:t>
            </w:r>
          </w:p>
        </w:tc>
        <w:tc>
          <w:tcPr>
            <w:tcW w:w="1217" w:type="dxa"/>
            <w:noWrap w:val="0"/>
            <w:vAlign w:val="center"/>
          </w:tcPr>
          <w:p>
            <w:pPr>
              <w:jc w:val="center"/>
              <w:rPr>
                <w:rFonts w:hint="eastAsia" w:ascii="仿宋" w:hAnsi="仿宋" w:eastAsia="仿宋" w:cs="仿宋"/>
                <w:color w:val="000000"/>
              </w:rPr>
            </w:pPr>
            <w:r>
              <w:rPr>
                <w:rFonts w:hint="eastAsia" w:ascii="仿宋" w:hAnsi="仿宋" w:eastAsia="仿宋" w:cs="仿宋"/>
                <w:color w:val="000000"/>
              </w:rPr>
              <w:t>算术错误调整值</w:t>
            </w:r>
          </w:p>
        </w:tc>
        <w:tc>
          <w:tcPr>
            <w:tcW w:w="1217" w:type="dxa"/>
            <w:noWrap w:val="0"/>
            <w:vAlign w:val="center"/>
          </w:tcPr>
          <w:p>
            <w:pPr>
              <w:jc w:val="center"/>
              <w:rPr>
                <w:rFonts w:hint="eastAsia" w:ascii="仿宋" w:hAnsi="仿宋" w:eastAsia="仿宋" w:cs="仿宋"/>
                <w:color w:val="000000"/>
              </w:rPr>
            </w:pPr>
            <w:r>
              <w:rPr>
                <w:rFonts w:hint="eastAsia" w:ascii="仿宋" w:hAnsi="仿宋" w:eastAsia="仿宋" w:cs="仿宋"/>
                <w:color w:val="000000"/>
              </w:rPr>
              <w:t>与投标总价的正负偏差率</w:t>
            </w:r>
          </w:p>
        </w:tc>
        <w:tc>
          <w:tcPr>
            <w:tcW w:w="1217"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算术错误的原因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582" w:type="dxa"/>
            <w:noWrap w:val="0"/>
            <w:vAlign w:val="center"/>
          </w:tcPr>
          <w:p>
            <w:pPr>
              <w:jc w:val="center"/>
              <w:rPr>
                <w:rFonts w:hint="eastAsia" w:ascii="仿宋" w:hAnsi="仿宋" w:eastAsia="仿宋" w:cs="仿宋"/>
                <w:color w:val="000000"/>
                <w:kern w:val="0"/>
              </w:rPr>
            </w:pPr>
          </w:p>
        </w:tc>
        <w:tc>
          <w:tcPr>
            <w:tcW w:w="1134" w:type="dxa"/>
            <w:noWrap w:val="0"/>
            <w:vAlign w:val="center"/>
          </w:tcPr>
          <w:p>
            <w:pPr>
              <w:snapToGrid w:val="0"/>
              <w:jc w:val="center"/>
              <w:rPr>
                <w:rFonts w:hint="eastAsia" w:ascii="仿宋" w:hAnsi="仿宋" w:eastAsia="仿宋" w:cs="仿宋"/>
                <w:color w:val="000000"/>
              </w:rPr>
            </w:pPr>
          </w:p>
        </w:tc>
        <w:tc>
          <w:tcPr>
            <w:tcW w:w="1093" w:type="dxa"/>
            <w:noWrap w:val="0"/>
            <w:vAlign w:val="center"/>
          </w:tcPr>
          <w:p>
            <w:pPr>
              <w:snapToGrid w:val="0"/>
              <w:jc w:val="center"/>
              <w:rPr>
                <w:rFonts w:hint="eastAsia" w:ascii="仿宋" w:hAnsi="仿宋" w:eastAsia="仿宋" w:cs="仿宋"/>
                <w:color w:val="00000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582" w:type="dxa"/>
            <w:noWrap w:val="0"/>
            <w:vAlign w:val="center"/>
          </w:tcPr>
          <w:p>
            <w:pPr>
              <w:jc w:val="center"/>
              <w:rPr>
                <w:rFonts w:hint="eastAsia" w:ascii="仿宋" w:hAnsi="仿宋" w:eastAsia="仿宋" w:cs="仿宋"/>
                <w:color w:val="000000"/>
                <w:kern w:val="0"/>
              </w:rPr>
            </w:pPr>
          </w:p>
        </w:tc>
        <w:tc>
          <w:tcPr>
            <w:tcW w:w="1134" w:type="dxa"/>
            <w:noWrap w:val="0"/>
            <w:vAlign w:val="center"/>
          </w:tcPr>
          <w:p>
            <w:pPr>
              <w:snapToGrid w:val="0"/>
              <w:jc w:val="center"/>
              <w:rPr>
                <w:rFonts w:hint="eastAsia" w:ascii="仿宋" w:hAnsi="仿宋" w:eastAsia="仿宋" w:cs="仿宋"/>
                <w:color w:val="000000"/>
              </w:rPr>
            </w:pPr>
          </w:p>
        </w:tc>
        <w:tc>
          <w:tcPr>
            <w:tcW w:w="1093" w:type="dxa"/>
            <w:noWrap w:val="0"/>
            <w:vAlign w:val="center"/>
          </w:tcPr>
          <w:p>
            <w:pPr>
              <w:snapToGrid w:val="0"/>
              <w:jc w:val="center"/>
              <w:rPr>
                <w:rFonts w:hint="eastAsia" w:ascii="仿宋" w:hAnsi="仿宋" w:eastAsia="仿宋" w:cs="仿宋"/>
                <w:color w:val="00000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582" w:type="dxa"/>
            <w:noWrap w:val="0"/>
            <w:vAlign w:val="center"/>
          </w:tcPr>
          <w:p>
            <w:pPr>
              <w:jc w:val="center"/>
              <w:rPr>
                <w:rFonts w:hint="eastAsia" w:ascii="仿宋" w:hAnsi="仿宋" w:eastAsia="仿宋" w:cs="仿宋"/>
                <w:color w:val="000000"/>
                <w:kern w:val="0"/>
              </w:rPr>
            </w:pPr>
          </w:p>
        </w:tc>
        <w:tc>
          <w:tcPr>
            <w:tcW w:w="1134" w:type="dxa"/>
            <w:noWrap w:val="0"/>
            <w:vAlign w:val="center"/>
          </w:tcPr>
          <w:p>
            <w:pPr>
              <w:snapToGrid w:val="0"/>
              <w:jc w:val="center"/>
              <w:rPr>
                <w:rFonts w:hint="eastAsia" w:ascii="仿宋" w:hAnsi="仿宋" w:eastAsia="仿宋" w:cs="仿宋"/>
                <w:color w:val="000000"/>
              </w:rPr>
            </w:pPr>
          </w:p>
        </w:tc>
        <w:tc>
          <w:tcPr>
            <w:tcW w:w="1093" w:type="dxa"/>
            <w:noWrap w:val="0"/>
            <w:vAlign w:val="center"/>
          </w:tcPr>
          <w:p>
            <w:pPr>
              <w:jc w:val="center"/>
              <w:rPr>
                <w:rFonts w:hint="eastAsia" w:ascii="仿宋" w:hAnsi="仿宋" w:eastAsia="仿宋" w:cs="仿宋"/>
                <w:color w:val="00000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582" w:type="dxa"/>
            <w:noWrap w:val="0"/>
            <w:vAlign w:val="center"/>
          </w:tcPr>
          <w:p>
            <w:pPr>
              <w:jc w:val="center"/>
              <w:rPr>
                <w:rFonts w:hint="eastAsia" w:ascii="仿宋" w:hAnsi="仿宋" w:eastAsia="仿宋" w:cs="仿宋"/>
                <w:color w:val="000000"/>
                <w:kern w:val="0"/>
              </w:rPr>
            </w:pPr>
          </w:p>
        </w:tc>
        <w:tc>
          <w:tcPr>
            <w:tcW w:w="1134" w:type="dxa"/>
            <w:noWrap w:val="0"/>
            <w:vAlign w:val="center"/>
          </w:tcPr>
          <w:p>
            <w:pPr>
              <w:snapToGrid w:val="0"/>
              <w:jc w:val="center"/>
              <w:rPr>
                <w:rFonts w:hint="eastAsia" w:ascii="仿宋" w:hAnsi="仿宋" w:eastAsia="仿宋" w:cs="仿宋"/>
                <w:color w:val="000000"/>
              </w:rPr>
            </w:pPr>
          </w:p>
        </w:tc>
        <w:tc>
          <w:tcPr>
            <w:tcW w:w="1093" w:type="dxa"/>
            <w:noWrap w:val="0"/>
            <w:vAlign w:val="center"/>
          </w:tcPr>
          <w:p>
            <w:pPr>
              <w:snapToGrid w:val="0"/>
              <w:jc w:val="center"/>
              <w:rPr>
                <w:rFonts w:hint="eastAsia" w:ascii="仿宋" w:hAnsi="仿宋" w:eastAsia="仿宋" w:cs="仿宋"/>
                <w:color w:val="00000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582" w:type="dxa"/>
            <w:noWrap w:val="0"/>
            <w:vAlign w:val="center"/>
          </w:tcPr>
          <w:p>
            <w:pPr>
              <w:jc w:val="center"/>
              <w:rPr>
                <w:rFonts w:hint="eastAsia" w:ascii="仿宋" w:hAnsi="仿宋" w:eastAsia="仿宋" w:cs="仿宋"/>
                <w:color w:val="000000"/>
                <w:kern w:val="0"/>
              </w:rPr>
            </w:pPr>
          </w:p>
        </w:tc>
        <w:tc>
          <w:tcPr>
            <w:tcW w:w="1134" w:type="dxa"/>
            <w:noWrap w:val="0"/>
            <w:vAlign w:val="center"/>
          </w:tcPr>
          <w:p>
            <w:pPr>
              <w:snapToGrid w:val="0"/>
              <w:jc w:val="center"/>
              <w:rPr>
                <w:rFonts w:hint="eastAsia" w:ascii="仿宋" w:hAnsi="仿宋" w:eastAsia="仿宋" w:cs="仿宋"/>
                <w:color w:val="000000"/>
              </w:rPr>
            </w:pPr>
          </w:p>
        </w:tc>
        <w:tc>
          <w:tcPr>
            <w:tcW w:w="1093" w:type="dxa"/>
            <w:noWrap w:val="0"/>
            <w:vAlign w:val="center"/>
          </w:tcPr>
          <w:p>
            <w:pPr>
              <w:snapToGrid w:val="0"/>
              <w:jc w:val="center"/>
              <w:rPr>
                <w:rFonts w:hint="eastAsia" w:ascii="仿宋" w:hAnsi="仿宋" w:eastAsia="仿宋" w:cs="仿宋"/>
                <w:color w:val="00000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582" w:type="dxa"/>
            <w:noWrap w:val="0"/>
            <w:vAlign w:val="center"/>
          </w:tcPr>
          <w:p>
            <w:pPr>
              <w:jc w:val="center"/>
              <w:rPr>
                <w:rFonts w:hint="eastAsia" w:ascii="仿宋" w:hAnsi="仿宋" w:eastAsia="仿宋" w:cs="仿宋"/>
                <w:color w:val="000000"/>
                <w:kern w:val="0"/>
              </w:rPr>
            </w:pPr>
          </w:p>
        </w:tc>
        <w:tc>
          <w:tcPr>
            <w:tcW w:w="1134" w:type="dxa"/>
            <w:noWrap w:val="0"/>
            <w:vAlign w:val="center"/>
          </w:tcPr>
          <w:p>
            <w:pPr>
              <w:snapToGrid w:val="0"/>
              <w:jc w:val="center"/>
              <w:rPr>
                <w:rFonts w:hint="eastAsia" w:ascii="仿宋" w:hAnsi="仿宋" w:eastAsia="仿宋" w:cs="仿宋"/>
                <w:color w:val="000000"/>
              </w:rPr>
            </w:pPr>
          </w:p>
        </w:tc>
        <w:tc>
          <w:tcPr>
            <w:tcW w:w="1093" w:type="dxa"/>
            <w:noWrap w:val="0"/>
            <w:vAlign w:val="center"/>
          </w:tcPr>
          <w:p>
            <w:pPr>
              <w:snapToGrid w:val="0"/>
              <w:jc w:val="center"/>
              <w:rPr>
                <w:rFonts w:hint="eastAsia" w:ascii="仿宋" w:hAnsi="仿宋" w:eastAsia="仿宋" w:cs="仿宋"/>
                <w:color w:val="00000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582" w:type="dxa"/>
            <w:noWrap w:val="0"/>
            <w:vAlign w:val="center"/>
          </w:tcPr>
          <w:p>
            <w:pPr>
              <w:jc w:val="center"/>
              <w:rPr>
                <w:rFonts w:hint="eastAsia" w:ascii="仿宋" w:hAnsi="仿宋" w:eastAsia="仿宋" w:cs="仿宋"/>
                <w:color w:val="000000"/>
                <w:kern w:val="0"/>
              </w:rPr>
            </w:pPr>
          </w:p>
        </w:tc>
        <w:tc>
          <w:tcPr>
            <w:tcW w:w="1134" w:type="dxa"/>
            <w:noWrap w:val="0"/>
            <w:vAlign w:val="center"/>
          </w:tcPr>
          <w:p>
            <w:pPr>
              <w:snapToGrid w:val="0"/>
              <w:jc w:val="center"/>
              <w:rPr>
                <w:rFonts w:hint="eastAsia" w:ascii="仿宋" w:hAnsi="仿宋" w:eastAsia="仿宋" w:cs="仿宋"/>
                <w:color w:val="000000"/>
              </w:rPr>
            </w:pPr>
          </w:p>
        </w:tc>
        <w:tc>
          <w:tcPr>
            <w:tcW w:w="1093" w:type="dxa"/>
            <w:noWrap w:val="0"/>
            <w:vAlign w:val="center"/>
          </w:tcPr>
          <w:p>
            <w:pPr>
              <w:snapToGrid w:val="0"/>
              <w:jc w:val="center"/>
              <w:rPr>
                <w:rFonts w:hint="eastAsia" w:ascii="仿宋" w:hAnsi="仿宋" w:eastAsia="仿宋" w:cs="仿宋"/>
                <w:color w:val="00000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r>
    </w:tbl>
    <w:p>
      <w:pPr>
        <w:snapToGrid w:val="0"/>
        <w:spacing w:line="360" w:lineRule="auto"/>
        <w:rPr>
          <w:rFonts w:hint="eastAsia" w:ascii="仿宋" w:hAnsi="仿宋" w:eastAsia="仿宋" w:cs="仿宋"/>
          <w:color w:val="000000"/>
        </w:rPr>
      </w:pPr>
    </w:p>
    <w:p>
      <w:pPr>
        <w:snapToGrid w:val="0"/>
        <w:spacing w:line="600" w:lineRule="exact"/>
        <w:rPr>
          <w:rFonts w:hint="eastAsia" w:ascii="仿宋" w:hAnsi="仿宋" w:eastAsia="仿宋" w:cs="仿宋"/>
          <w:color w:val="000000"/>
          <w:sz w:val="28"/>
          <w:szCs w:val="28"/>
        </w:rPr>
      </w:pPr>
      <w:r>
        <w:rPr>
          <w:rFonts w:hint="eastAsia" w:ascii="仿宋" w:hAnsi="仿宋" w:eastAsia="仿宋" w:cs="仿宋"/>
          <w:color w:val="000000"/>
          <w:sz w:val="28"/>
          <w:szCs w:val="28"/>
        </w:rPr>
        <w:t>评标委员会全体成员签字：</w:t>
      </w:r>
    </w:p>
    <w:p>
      <w:pPr>
        <w:snapToGrid w:val="0"/>
        <w:spacing w:line="360" w:lineRule="auto"/>
        <w:rPr>
          <w:color w:val="000000"/>
          <w:kern w:val="0"/>
        </w:rPr>
      </w:pPr>
    </w:p>
    <w:p>
      <w:pPr>
        <w:snapToGrid w:val="0"/>
        <w:spacing w:line="360" w:lineRule="auto"/>
        <w:rPr>
          <w:color w:val="000000"/>
        </w:rPr>
      </w:pPr>
    </w:p>
    <w:p>
      <w:pPr>
        <w:snapToGrid w:val="0"/>
        <w:spacing w:line="360" w:lineRule="auto"/>
        <w:rPr>
          <w:color w:val="000000"/>
        </w:rPr>
      </w:pPr>
    </w:p>
    <w:p>
      <w:pPr>
        <w:rPr>
          <w:color w:val="000000"/>
        </w:rPr>
      </w:pPr>
    </w:p>
    <w:p>
      <w:pPr>
        <w:pStyle w:val="32"/>
        <w:spacing w:line="600" w:lineRule="exact"/>
        <w:ind w:left="420" w:hanging="420"/>
        <w:outlineLvl w:val="4"/>
        <w:rPr>
          <w:rFonts w:eastAsia="黑体"/>
          <w:bCs/>
          <w:color w:val="000000"/>
          <w:sz w:val="32"/>
          <w:szCs w:val="20"/>
        </w:rPr>
      </w:pPr>
      <w:r>
        <w:rPr>
          <w:color w:val="000000"/>
        </w:rPr>
        <w:br w:type="page"/>
      </w:r>
      <w:bookmarkStart w:id="832" w:name="_Toc511317242"/>
      <w:bookmarkStart w:id="833" w:name="_Toc511317991"/>
      <w:r>
        <w:rPr>
          <w:rFonts w:eastAsia="黑体"/>
          <w:bCs/>
          <w:color w:val="000000"/>
          <w:sz w:val="32"/>
          <w:szCs w:val="20"/>
        </w:rPr>
        <w:t>附表3-7（1）：详细评审</w:t>
      </w:r>
      <w:r>
        <w:rPr>
          <w:rFonts w:hint="eastAsia" w:eastAsia="黑体"/>
          <w:bCs/>
          <w:color w:val="000000"/>
          <w:sz w:val="32"/>
          <w:szCs w:val="20"/>
        </w:rPr>
        <w:t>－</w:t>
      </w:r>
      <w:r>
        <w:rPr>
          <w:rFonts w:eastAsia="黑体"/>
          <w:bCs/>
          <w:color w:val="000000"/>
          <w:sz w:val="32"/>
          <w:szCs w:val="20"/>
        </w:rPr>
        <w:t>项目管理机构评分标准表</w:t>
      </w:r>
      <w:bookmarkEnd w:id="832"/>
      <w:bookmarkEnd w:id="833"/>
    </w:p>
    <w:p>
      <w:pPr>
        <w:spacing w:before="120" w:beforeLines="50" w:after="120" w:afterLines="50" w:line="600" w:lineRule="exact"/>
        <w:jc w:val="center"/>
        <w:rPr>
          <w:rFonts w:hint="eastAsia" w:ascii="方正小标宋简体" w:eastAsia="方正小标宋简体"/>
          <w:color w:val="000000"/>
          <w:sz w:val="44"/>
          <w:szCs w:val="28"/>
        </w:rPr>
      </w:pPr>
      <w:r>
        <w:rPr>
          <w:rFonts w:hint="eastAsia" w:ascii="方正小标宋简体" w:eastAsia="方正小标宋简体"/>
          <w:color w:val="000000"/>
          <w:sz w:val="44"/>
          <w:szCs w:val="28"/>
        </w:rPr>
        <w:t>项目管理机构评分标准表</w:t>
      </w:r>
    </w:p>
    <w:p>
      <w:pPr>
        <w:snapToGrid w:val="0"/>
        <w:spacing w:line="480" w:lineRule="exact"/>
        <w:rPr>
          <w:rFonts w:hint="eastAsia" w:ascii="仿宋" w:hAnsi="仿宋" w:eastAsia="仿宋" w:cs="仿宋"/>
          <w:color w:val="000000"/>
          <w:sz w:val="24"/>
          <w:u w:val="single"/>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（标段名称）</w:t>
      </w:r>
      <w:r>
        <w:rPr>
          <w:rFonts w:hint="eastAsia" w:ascii="仿宋" w:hAnsi="仿宋" w:eastAsia="仿宋" w:cs="仿宋"/>
          <w:color w:val="000000"/>
          <w:sz w:val="24"/>
          <w:u w:val="single"/>
        </w:rPr>
        <w:t xml:space="preserve">                      </w:t>
      </w:r>
    </w:p>
    <w:p>
      <w:pPr>
        <w:snapToGrid w:val="0"/>
        <w:spacing w:line="480" w:lineRule="exact"/>
        <w:rPr>
          <w:rFonts w:hint="eastAsia" w:ascii="仿宋" w:hAnsi="仿宋" w:eastAsia="仿宋" w:cs="仿宋"/>
          <w:color w:val="000000"/>
          <w:sz w:val="24"/>
        </w:rPr>
      </w:pPr>
      <w:r>
        <w:rPr>
          <w:rFonts w:hint="eastAsia" w:ascii="仿宋" w:hAnsi="仿宋" w:eastAsia="仿宋" w:cs="仿宋"/>
          <w:color w:val="000000"/>
          <w:sz w:val="24"/>
        </w:rPr>
        <w:t>项目管理编号：</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tbl>
      <w:tblPr>
        <w:tblStyle w:val="47"/>
        <w:tblW w:w="9513"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3"/>
        <w:gridCol w:w="592"/>
        <w:gridCol w:w="889"/>
        <w:gridCol w:w="1031"/>
        <w:gridCol w:w="1290"/>
        <w:gridCol w:w="2235"/>
        <w:gridCol w:w="720"/>
        <w:gridCol w:w="900"/>
        <w:gridCol w:w="675"/>
        <w:gridCol w:w="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dxa"/>
            <w:vMerge w:val="restart"/>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序号</w:t>
            </w:r>
          </w:p>
        </w:tc>
        <w:tc>
          <w:tcPr>
            <w:tcW w:w="592" w:type="dxa"/>
            <w:vMerge w:val="restart"/>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条款号</w:t>
            </w:r>
          </w:p>
        </w:tc>
        <w:tc>
          <w:tcPr>
            <w:tcW w:w="1920" w:type="dxa"/>
            <w:gridSpan w:val="2"/>
            <w:vMerge w:val="restart"/>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评分因素</w:t>
            </w:r>
          </w:p>
        </w:tc>
        <w:tc>
          <w:tcPr>
            <w:tcW w:w="4245" w:type="dxa"/>
            <w:gridSpan w:val="3"/>
            <w:vMerge w:val="restart"/>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评分标准</w:t>
            </w:r>
          </w:p>
        </w:tc>
        <w:tc>
          <w:tcPr>
            <w:tcW w:w="2373" w:type="dxa"/>
            <w:gridSpan w:val="3"/>
            <w:noWrap w:val="0"/>
            <w:vAlign w:val="center"/>
          </w:tcPr>
          <w:p>
            <w:pPr>
              <w:rPr>
                <w:rFonts w:hint="eastAsia" w:ascii="仿宋" w:hAnsi="仿宋" w:eastAsia="仿宋" w:cs="仿宋"/>
                <w:color w:val="000000"/>
                <w:kern w:val="0"/>
              </w:rPr>
            </w:pPr>
            <w:r>
              <w:rPr>
                <w:rFonts w:hint="eastAsia" w:ascii="仿宋" w:hAnsi="仿宋" w:eastAsia="仿宋" w:cs="仿宋"/>
                <w:color w:val="000000"/>
                <w:kern w:val="0"/>
              </w:rPr>
              <w:t>投标人名称及评审计分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dxa"/>
            <w:vMerge w:val="continue"/>
            <w:noWrap w:val="0"/>
            <w:vAlign w:val="center"/>
          </w:tcPr>
          <w:p>
            <w:pPr>
              <w:jc w:val="center"/>
              <w:rPr>
                <w:rFonts w:hint="eastAsia" w:ascii="仿宋" w:hAnsi="仿宋" w:eastAsia="仿宋" w:cs="仿宋"/>
                <w:color w:val="000000"/>
                <w:kern w:val="0"/>
              </w:rPr>
            </w:pPr>
          </w:p>
        </w:tc>
        <w:tc>
          <w:tcPr>
            <w:tcW w:w="592" w:type="dxa"/>
            <w:vMerge w:val="continue"/>
            <w:noWrap w:val="0"/>
            <w:vAlign w:val="center"/>
          </w:tcPr>
          <w:p>
            <w:pPr>
              <w:snapToGrid w:val="0"/>
              <w:jc w:val="center"/>
              <w:rPr>
                <w:rFonts w:hint="eastAsia" w:ascii="仿宋" w:hAnsi="仿宋" w:eastAsia="仿宋" w:cs="仿宋"/>
                <w:color w:val="000000"/>
              </w:rPr>
            </w:pPr>
          </w:p>
        </w:tc>
        <w:tc>
          <w:tcPr>
            <w:tcW w:w="1920" w:type="dxa"/>
            <w:gridSpan w:val="2"/>
            <w:vMerge w:val="continue"/>
            <w:noWrap w:val="0"/>
            <w:vAlign w:val="center"/>
          </w:tcPr>
          <w:p>
            <w:pPr>
              <w:snapToGrid w:val="0"/>
              <w:jc w:val="center"/>
              <w:rPr>
                <w:rFonts w:hint="eastAsia" w:ascii="仿宋" w:hAnsi="仿宋" w:eastAsia="仿宋" w:cs="仿宋"/>
                <w:color w:val="000000"/>
              </w:rPr>
            </w:pPr>
          </w:p>
        </w:tc>
        <w:tc>
          <w:tcPr>
            <w:tcW w:w="4245" w:type="dxa"/>
            <w:gridSpan w:val="3"/>
            <w:vMerge w:val="continue"/>
            <w:noWrap w:val="0"/>
            <w:vAlign w:val="center"/>
          </w:tcPr>
          <w:p>
            <w:pPr>
              <w:snapToGrid w:val="0"/>
              <w:jc w:val="center"/>
              <w:rPr>
                <w:rFonts w:hint="eastAsia" w:ascii="仿宋" w:hAnsi="仿宋" w:eastAsia="仿宋" w:cs="仿宋"/>
                <w:color w:val="000000"/>
              </w:rPr>
            </w:pPr>
          </w:p>
        </w:tc>
        <w:tc>
          <w:tcPr>
            <w:tcW w:w="900"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1</w:t>
            </w:r>
          </w:p>
        </w:tc>
        <w:tc>
          <w:tcPr>
            <w:tcW w:w="675"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2</w:t>
            </w:r>
          </w:p>
        </w:tc>
        <w:tc>
          <w:tcPr>
            <w:tcW w:w="798"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dxa"/>
            <w:vMerge w:val="continue"/>
            <w:noWrap w:val="0"/>
            <w:vAlign w:val="center"/>
          </w:tcPr>
          <w:p>
            <w:pPr>
              <w:jc w:val="center"/>
              <w:rPr>
                <w:rFonts w:hint="eastAsia" w:ascii="仿宋" w:hAnsi="仿宋" w:eastAsia="仿宋" w:cs="仿宋"/>
                <w:color w:val="000000"/>
                <w:kern w:val="0"/>
              </w:rPr>
            </w:pPr>
          </w:p>
        </w:tc>
        <w:tc>
          <w:tcPr>
            <w:tcW w:w="592" w:type="dxa"/>
            <w:vMerge w:val="continue"/>
            <w:noWrap w:val="0"/>
            <w:vAlign w:val="center"/>
          </w:tcPr>
          <w:p>
            <w:pPr>
              <w:snapToGrid w:val="0"/>
              <w:jc w:val="center"/>
              <w:rPr>
                <w:rFonts w:hint="eastAsia" w:ascii="仿宋" w:hAnsi="仿宋" w:eastAsia="仿宋" w:cs="仿宋"/>
                <w:color w:val="000000"/>
              </w:rPr>
            </w:pPr>
          </w:p>
        </w:tc>
        <w:tc>
          <w:tcPr>
            <w:tcW w:w="1920" w:type="dxa"/>
            <w:gridSpan w:val="2"/>
            <w:vMerge w:val="continue"/>
            <w:noWrap w:val="0"/>
            <w:vAlign w:val="center"/>
          </w:tcPr>
          <w:p>
            <w:pPr>
              <w:snapToGrid w:val="0"/>
              <w:rPr>
                <w:rFonts w:hint="eastAsia" w:ascii="仿宋" w:hAnsi="仿宋" w:eastAsia="仿宋" w:cs="仿宋"/>
                <w:color w:val="000000"/>
              </w:rPr>
            </w:pPr>
          </w:p>
        </w:tc>
        <w:tc>
          <w:tcPr>
            <w:tcW w:w="4245" w:type="dxa"/>
            <w:gridSpan w:val="3"/>
            <w:vMerge w:val="continue"/>
            <w:noWrap w:val="0"/>
            <w:vAlign w:val="center"/>
          </w:tcPr>
          <w:p>
            <w:pPr>
              <w:snapToGrid w:val="0"/>
              <w:jc w:val="center"/>
              <w:rPr>
                <w:rFonts w:hint="eastAsia" w:ascii="仿宋" w:hAnsi="仿宋" w:eastAsia="仿宋" w:cs="仿宋"/>
                <w:color w:val="000000"/>
              </w:rPr>
            </w:pPr>
          </w:p>
        </w:tc>
        <w:tc>
          <w:tcPr>
            <w:tcW w:w="900" w:type="dxa"/>
            <w:noWrap w:val="0"/>
            <w:vAlign w:val="center"/>
          </w:tcPr>
          <w:p>
            <w:pPr>
              <w:jc w:val="center"/>
              <w:rPr>
                <w:rFonts w:hint="eastAsia" w:ascii="仿宋" w:hAnsi="仿宋" w:eastAsia="仿宋" w:cs="仿宋"/>
                <w:color w:val="000000"/>
                <w:kern w:val="0"/>
              </w:rPr>
            </w:pPr>
          </w:p>
        </w:tc>
        <w:tc>
          <w:tcPr>
            <w:tcW w:w="675" w:type="dxa"/>
            <w:noWrap w:val="0"/>
            <w:vAlign w:val="center"/>
          </w:tcPr>
          <w:p>
            <w:pPr>
              <w:jc w:val="center"/>
              <w:rPr>
                <w:rFonts w:hint="eastAsia" w:ascii="仿宋" w:hAnsi="仿宋" w:eastAsia="仿宋" w:cs="仿宋"/>
                <w:color w:val="000000"/>
                <w:kern w:val="0"/>
              </w:rPr>
            </w:pPr>
          </w:p>
        </w:tc>
        <w:tc>
          <w:tcPr>
            <w:tcW w:w="798"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dxa"/>
            <w:vMerge w:val="restart"/>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w:t>
            </w:r>
          </w:p>
        </w:tc>
        <w:tc>
          <w:tcPr>
            <w:tcW w:w="592" w:type="dxa"/>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2.2.4（1）</w:t>
            </w:r>
          </w:p>
        </w:tc>
        <w:tc>
          <w:tcPr>
            <w:tcW w:w="1920" w:type="dxa"/>
            <w:gridSpan w:val="2"/>
            <w:vMerge w:val="restart"/>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机构设置（15分）</w:t>
            </w:r>
          </w:p>
        </w:tc>
        <w:tc>
          <w:tcPr>
            <w:tcW w:w="3525" w:type="dxa"/>
            <w:gridSpan w:val="2"/>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合理科学</w:t>
            </w:r>
          </w:p>
        </w:tc>
        <w:tc>
          <w:tcPr>
            <w:tcW w:w="720" w:type="dxa"/>
            <w:noWrap w:val="0"/>
            <w:vAlign w:val="center"/>
          </w:tcPr>
          <w:p>
            <w:pPr>
              <w:pStyle w:val="106"/>
              <w:jc w:val="center"/>
              <w:rPr>
                <w:rFonts w:ascii="仿宋" w:hAnsi="仿宋" w:eastAsia="仿宋" w:cs="仿宋"/>
                <w:sz w:val="18"/>
                <w:szCs w:val="18"/>
              </w:rPr>
            </w:pPr>
            <w:r>
              <w:rPr>
                <w:rFonts w:hint="eastAsia" w:ascii="仿宋" w:hAnsi="仿宋" w:eastAsia="仿宋" w:cs="仿宋"/>
                <w:sz w:val="18"/>
                <w:szCs w:val="18"/>
              </w:rPr>
              <w:t>15</w:t>
            </w:r>
          </w:p>
        </w:tc>
        <w:tc>
          <w:tcPr>
            <w:tcW w:w="900" w:type="dxa"/>
            <w:noWrap w:val="0"/>
            <w:vAlign w:val="center"/>
          </w:tcPr>
          <w:p>
            <w:pPr>
              <w:pStyle w:val="106"/>
              <w:rPr>
                <w:rFonts w:hint="eastAsia" w:ascii="仿宋" w:hAnsi="仿宋" w:eastAsia="仿宋" w:cs="仿宋"/>
                <w:sz w:val="18"/>
                <w:szCs w:val="18"/>
              </w:rPr>
            </w:pPr>
          </w:p>
        </w:tc>
        <w:tc>
          <w:tcPr>
            <w:tcW w:w="675" w:type="dxa"/>
            <w:noWrap w:val="0"/>
            <w:vAlign w:val="center"/>
          </w:tcPr>
          <w:p>
            <w:pPr>
              <w:jc w:val="center"/>
              <w:rPr>
                <w:rFonts w:hint="eastAsia" w:ascii="仿宋" w:hAnsi="仿宋" w:eastAsia="仿宋" w:cs="仿宋"/>
                <w:color w:val="000000"/>
                <w:kern w:val="0"/>
                <w:sz w:val="18"/>
                <w:szCs w:val="18"/>
              </w:rPr>
            </w:pPr>
          </w:p>
        </w:tc>
        <w:tc>
          <w:tcPr>
            <w:tcW w:w="798" w:type="dxa"/>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dxa"/>
            <w:vMerge w:val="continue"/>
            <w:noWrap w:val="0"/>
            <w:vAlign w:val="center"/>
          </w:tcPr>
          <w:p>
            <w:pPr>
              <w:jc w:val="center"/>
              <w:rPr>
                <w:rFonts w:hint="eastAsia" w:ascii="仿宋" w:hAnsi="仿宋" w:eastAsia="仿宋" w:cs="仿宋"/>
                <w:color w:val="000000"/>
                <w:kern w:val="0"/>
                <w:sz w:val="18"/>
                <w:szCs w:val="18"/>
              </w:rPr>
            </w:pPr>
          </w:p>
        </w:tc>
        <w:tc>
          <w:tcPr>
            <w:tcW w:w="592" w:type="dxa"/>
            <w:vMerge w:val="continue"/>
            <w:noWrap w:val="0"/>
            <w:vAlign w:val="center"/>
          </w:tcPr>
          <w:p>
            <w:pPr>
              <w:snapToGrid w:val="0"/>
              <w:jc w:val="center"/>
              <w:rPr>
                <w:rFonts w:hint="eastAsia" w:ascii="仿宋" w:hAnsi="仿宋" w:eastAsia="仿宋" w:cs="仿宋"/>
                <w:color w:val="000000"/>
                <w:sz w:val="18"/>
                <w:szCs w:val="18"/>
              </w:rPr>
            </w:pPr>
          </w:p>
        </w:tc>
        <w:tc>
          <w:tcPr>
            <w:tcW w:w="1920" w:type="dxa"/>
            <w:gridSpan w:val="2"/>
            <w:vMerge w:val="continue"/>
            <w:noWrap w:val="0"/>
            <w:vAlign w:val="center"/>
          </w:tcPr>
          <w:p>
            <w:pPr>
              <w:jc w:val="center"/>
              <w:rPr>
                <w:rFonts w:hint="eastAsia" w:ascii="仿宋" w:hAnsi="仿宋" w:eastAsia="仿宋" w:cs="仿宋"/>
                <w:color w:val="000000"/>
                <w:sz w:val="18"/>
                <w:szCs w:val="18"/>
              </w:rPr>
            </w:pPr>
          </w:p>
        </w:tc>
        <w:tc>
          <w:tcPr>
            <w:tcW w:w="3525" w:type="dxa"/>
            <w:gridSpan w:val="2"/>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基本合理</w:t>
            </w:r>
          </w:p>
        </w:tc>
        <w:tc>
          <w:tcPr>
            <w:tcW w:w="720"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13</w:t>
            </w:r>
          </w:p>
        </w:tc>
        <w:tc>
          <w:tcPr>
            <w:tcW w:w="900" w:type="dxa"/>
            <w:noWrap w:val="0"/>
            <w:vAlign w:val="center"/>
          </w:tcPr>
          <w:p>
            <w:pPr>
              <w:pStyle w:val="106"/>
              <w:rPr>
                <w:rFonts w:hint="eastAsia" w:ascii="仿宋" w:hAnsi="仿宋" w:eastAsia="仿宋" w:cs="仿宋"/>
                <w:sz w:val="18"/>
                <w:szCs w:val="18"/>
              </w:rPr>
            </w:pPr>
          </w:p>
        </w:tc>
        <w:tc>
          <w:tcPr>
            <w:tcW w:w="675" w:type="dxa"/>
            <w:noWrap w:val="0"/>
            <w:vAlign w:val="center"/>
          </w:tcPr>
          <w:p>
            <w:pPr>
              <w:jc w:val="center"/>
              <w:rPr>
                <w:rFonts w:hint="eastAsia" w:ascii="仿宋" w:hAnsi="仿宋" w:eastAsia="仿宋" w:cs="仿宋"/>
                <w:color w:val="000000"/>
                <w:kern w:val="0"/>
                <w:sz w:val="18"/>
                <w:szCs w:val="18"/>
              </w:rPr>
            </w:pPr>
          </w:p>
        </w:tc>
        <w:tc>
          <w:tcPr>
            <w:tcW w:w="798" w:type="dxa"/>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dxa"/>
            <w:vMerge w:val="continue"/>
            <w:noWrap w:val="0"/>
            <w:vAlign w:val="center"/>
          </w:tcPr>
          <w:p>
            <w:pPr>
              <w:jc w:val="center"/>
              <w:rPr>
                <w:rFonts w:hint="eastAsia" w:ascii="仿宋" w:hAnsi="仿宋" w:eastAsia="仿宋" w:cs="仿宋"/>
                <w:color w:val="000000"/>
                <w:kern w:val="0"/>
                <w:sz w:val="18"/>
                <w:szCs w:val="18"/>
              </w:rPr>
            </w:pPr>
          </w:p>
        </w:tc>
        <w:tc>
          <w:tcPr>
            <w:tcW w:w="592" w:type="dxa"/>
            <w:vMerge w:val="continue"/>
            <w:noWrap w:val="0"/>
            <w:vAlign w:val="center"/>
          </w:tcPr>
          <w:p>
            <w:pPr>
              <w:snapToGrid w:val="0"/>
              <w:jc w:val="center"/>
              <w:rPr>
                <w:rFonts w:hint="eastAsia" w:ascii="仿宋" w:hAnsi="仿宋" w:eastAsia="仿宋" w:cs="仿宋"/>
                <w:color w:val="000000"/>
                <w:sz w:val="18"/>
                <w:szCs w:val="18"/>
              </w:rPr>
            </w:pPr>
          </w:p>
        </w:tc>
        <w:tc>
          <w:tcPr>
            <w:tcW w:w="1920" w:type="dxa"/>
            <w:gridSpan w:val="2"/>
            <w:vMerge w:val="continue"/>
            <w:noWrap w:val="0"/>
            <w:vAlign w:val="center"/>
          </w:tcPr>
          <w:p>
            <w:pPr>
              <w:jc w:val="center"/>
              <w:rPr>
                <w:rFonts w:hint="eastAsia" w:ascii="仿宋" w:hAnsi="仿宋" w:eastAsia="仿宋" w:cs="仿宋"/>
                <w:color w:val="000000"/>
                <w:sz w:val="18"/>
                <w:szCs w:val="18"/>
              </w:rPr>
            </w:pPr>
          </w:p>
        </w:tc>
        <w:tc>
          <w:tcPr>
            <w:tcW w:w="3525" w:type="dxa"/>
            <w:gridSpan w:val="2"/>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欠合理</w:t>
            </w:r>
          </w:p>
        </w:tc>
        <w:tc>
          <w:tcPr>
            <w:tcW w:w="720"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0</w:t>
            </w:r>
          </w:p>
        </w:tc>
        <w:tc>
          <w:tcPr>
            <w:tcW w:w="900" w:type="dxa"/>
            <w:noWrap w:val="0"/>
            <w:vAlign w:val="center"/>
          </w:tcPr>
          <w:p>
            <w:pPr>
              <w:pStyle w:val="106"/>
              <w:rPr>
                <w:rFonts w:hint="eastAsia" w:ascii="仿宋" w:hAnsi="仿宋" w:eastAsia="仿宋" w:cs="仿宋"/>
                <w:sz w:val="18"/>
                <w:szCs w:val="18"/>
              </w:rPr>
            </w:pPr>
          </w:p>
        </w:tc>
        <w:tc>
          <w:tcPr>
            <w:tcW w:w="675" w:type="dxa"/>
            <w:noWrap w:val="0"/>
            <w:vAlign w:val="center"/>
          </w:tcPr>
          <w:p>
            <w:pPr>
              <w:jc w:val="center"/>
              <w:rPr>
                <w:rFonts w:hint="eastAsia" w:ascii="仿宋" w:hAnsi="仿宋" w:eastAsia="仿宋" w:cs="仿宋"/>
                <w:color w:val="000000"/>
                <w:kern w:val="0"/>
                <w:sz w:val="18"/>
                <w:szCs w:val="18"/>
              </w:rPr>
            </w:pPr>
          </w:p>
        </w:tc>
        <w:tc>
          <w:tcPr>
            <w:tcW w:w="798" w:type="dxa"/>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dxa"/>
            <w:vMerge w:val="restart"/>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2</w:t>
            </w:r>
          </w:p>
        </w:tc>
        <w:tc>
          <w:tcPr>
            <w:tcW w:w="592" w:type="dxa"/>
            <w:vMerge w:val="continue"/>
            <w:noWrap w:val="0"/>
            <w:vAlign w:val="center"/>
          </w:tcPr>
          <w:p>
            <w:pPr>
              <w:snapToGrid w:val="0"/>
              <w:jc w:val="center"/>
              <w:rPr>
                <w:rFonts w:hint="eastAsia" w:ascii="仿宋" w:hAnsi="仿宋" w:eastAsia="仿宋" w:cs="仿宋"/>
                <w:color w:val="000000"/>
                <w:sz w:val="18"/>
                <w:szCs w:val="18"/>
              </w:rPr>
            </w:pPr>
          </w:p>
        </w:tc>
        <w:tc>
          <w:tcPr>
            <w:tcW w:w="889" w:type="dxa"/>
            <w:vMerge w:val="restart"/>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人员</w:t>
            </w:r>
          </w:p>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配备（85分）</w:t>
            </w:r>
          </w:p>
        </w:tc>
        <w:tc>
          <w:tcPr>
            <w:tcW w:w="1031" w:type="dxa"/>
            <w:vMerge w:val="restart"/>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项目</w:t>
            </w:r>
          </w:p>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负责人</w:t>
            </w:r>
          </w:p>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（30分）</w:t>
            </w:r>
          </w:p>
        </w:tc>
        <w:tc>
          <w:tcPr>
            <w:tcW w:w="3525" w:type="dxa"/>
            <w:gridSpan w:val="2"/>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满足资格条件（15分）</w:t>
            </w:r>
          </w:p>
        </w:tc>
        <w:tc>
          <w:tcPr>
            <w:tcW w:w="720"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15</w:t>
            </w:r>
          </w:p>
        </w:tc>
        <w:tc>
          <w:tcPr>
            <w:tcW w:w="900" w:type="dxa"/>
            <w:noWrap w:val="0"/>
            <w:vAlign w:val="center"/>
          </w:tcPr>
          <w:p>
            <w:pPr>
              <w:pStyle w:val="106"/>
              <w:rPr>
                <w:rFonts w:hint="eastAsia" w:ascii="仿宋" w:hAnsi="仿宋" w:eastAsia="仿宋" w:cs="仿宋"/>
                <w:sz w:val="18"/>
                <w:szCs w:val="18"/>
              </w:rPr>
            </w:pPr>
          </w:p>
        </w:tc>
        <w:tc>
          <w:tcPr>
            <w:tcW w:w="675" w:type="dxa"/>
            <w:noWrap w:val="0"/>
            <w:vAlign w:val="center"/>
          </w:tcPr>
          <w:p>
            <w:pPr>
              <w:jc w:val="center"/>
              <w:rPr>
                <w:rFonts w:hint="eastAsia" w:ascii="仿宋" w:hAnsi="仿宋" w:eastAsia="仿宋" w:cs="仿宋"/>
                <w:color w:val="000000"/>
                <w:kern w:val="0"/>
                <w:sz w:val="18"/>
                <w:szCs w:val="18"/>
              </w:rPr>
            </w:pPr>
          </w:p>
        </w:tc>
        <w:tc>
          <w:tcPr>
            <w:tcW w:w="798" w:type="dxa"/>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dxa"/>
            <w:vMerge w:val="continue"/>
            <w:noWrap w:val="0"/>
            <w:vAlign w:val="center"/>
          </w:tcPr>
          <w:p>
            <w:pPr>
              <w:jc w:val="center"/>
              <w:rPr>
                <w:rFonts w:hint="eastAsia" w:ascii="仿宋" w:hAnsi="仿宋" w:eastAsia="仿宋" w:cs="仿宋"/>
                <w:color w:val="000000"/>
                <w:kern w:val="0"/>
                <w:sz w:val="18"/>
                <w:szCs w:val="18"/>
              </w:rPr>
            </w:pPr>
          </w:p>
        </w:tc>
        <w:tc>
          <w:tcPr>
            <w:tcW w:w="592" w:type="dxa"/>
            <w:vMerge w:val="continue"/>
            <w:noWrap w:val="0"/>
            <w:vAlign w:val="center"/>
          </w:tcPr>
          <w:p>
            <w:pPr>
              <w:snapToGrid w:val="0"/>
              <w:jc w:val="center"/>
              <w:rPr>
                <w:rFonts w:hint="eastAsia" w:ascii="仿宋" w:hAnsi="仿宋" w:eastAsia="仿宋" w:cs="仿宋"/>
                <w:color w:val="000000"/>
                <w:sz w:val="18"/>
                <w:szCs w:val="18"/>
              </w:rPr>
            </w:pPr>
          </w:p>
        </w:tc>
        <w:tc>
          <w:tcPr>
            <w:tcW w:w="889" w:type="dxa"/>
            <w:vMerge w:val="continue"/>
            <w:noWrap w:val="0"/>
            <w:vAlign w:val="center"/>
          </w:tcPr>
          <w:p>
            <w:pPr>
              <w:jc w:val="center"/>
              <w:rPr>
                <w:rFonts w:hint="eastAsia" w:ascii="仿宋" w:hAnsi="仿宋" w:eastAsia="仿宋" w:cs="仿宋"/>
                <w:color w:val="000000"/>
                <w:sz w:val="18"/>
                <w:szCs w:val="18"/>
              </w:rPr>
            </w:pPr>
          </w:p>
        </w:tc>
        <w:tc>
          <w:tcPr>
            <w:tcW w:w="1031" w:type="dxa"/>
            <w:vMerge w:val="continue"/>
            <w:noWrap w:val="0"/>
            <w:vAlign w:val="center"/>
          </w:tcPr>
          <w:p>
            <w:pPr>
              <w:jc w:val="center"/>
              <w:rPr>
                <w:rFonts w:hint="eastAsia" w:ascii="仿宋" w:hAnsi="仿宋" w:eastAsia="仿宋" w:cs="仿宋"/>
                <w:color w:val="000000"/>
                <w:sz w:val="18"/>
                <w:szCs w:val="18"/>
              </w:rPr>
            </w:pPr>
          </w:p>
        </w:tc>
        <w:tc>
          <w:tcPr>
            <w:tcW w:w="1290" w:type="dxa"/>
            <w:vMerge w:val="restart"/>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经验</w:t>
            </w:r>
          </w:p>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（15分）</w:t>
            </w:r>
          </w:p>
        </w:tc>
        <w:tc>
          <w:tcPr>
            <w:tcW w:w="2235" w:type="dxa"/>
            <w:noWrap w:val="0"/>
            <w:vAlign w:val="center"/>
          </w:tcPr>
          <w:p>
            <w:pPr>
              <w:rPr>
                <w:rFonts w:hint="eastAsia" w:ascii="仿宋" w:hAnsi="仿宋" w:eastAsia="仿宋" w:cs="仿宋"/>
                <w:color w:val="000000"/>
                <w:sz w:val="18"/>
                <w:szCs w:val="18"/>
              </w:rPr>
            </w:pPr>
            <w:r>
              <w:rPr>
                <w:rFonts w:hint="eastAsia" w:ascii="仿宋" w:hAnsi="仿宋" w:eastAsia="仿宋" w:cs="仿宋"/>
                <w:color w:val="000000"/>
                <w:sz w:val="18"/>
                <w:szCs w:val="18"/>
              </w:rPr>
              <w:t xml:space="preserve"> 有项目负责人经验：根据本文件第二章投标须知前附表第10.1款第3项确定</w:t>
            </w:r>
          </w:p>
        </w:tc>
        <w:tc>
          <w:tcPr>
            <w:tcW w:w="720"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15</w:t>
            </w:r>
          </w:p>
        </w:tc>
        <w:tc>
          <w:tcPr>
            <w:tcW w:w="900" w:type="dxa"/>
            <w:vMerge w:val="restart"/>
            <w:noWrap w:val="0"/>
            <w:vAlign w:val="center"/>
          </w:tcPr>
          <w:p>
            <w:pPr>
              <w:pStyle w:val="106"/>
              <w:rPr>
                <w:rFonts w:hint="eastAsia" w:ascii="仿宋" w:hAnsi="仿宋" w:eastAsia="仿宋" w:cs="仿宋"/>
                <w:sz w:val="18"/>
                <w:szCs w:val="18"/>
              </w:rPr>
            </w:pPr>
          </w:p>
        </w:tc>
        <w:tc>
          <w:tcPr>
            <w:tcW w:w="675" w:type="dxa"/>
            <w:vMerge w:val="restart"/>
            <w:noWrap w:val="0"/>
            <w:vAlign w:val="center"/>
          </w:tcPr>
          <w:p>
            <w:pPr>
              <w:jc w:val="center"/>
              <w:rPr>
                <w:rFonts w:hint="eastAsia" w:ascii="仿宋" w:hAnsi="仿宋" w:eastAsia="仿宋" w:cs="仿宋"/>
                <w:color w:val="000000"/>
                <w:kern w:val="0"/>
                <w:sz w:val="18"/>
                <w:szCs w:val="18"/>
              </w:rPr>
            </w:pPr>
          </w:p>
        </w:tc>
        <w:tc>
          <w:tcPr>
            <w:tcW w:w="798" w:type="dxa"/>
            <w:vMerge w:val="restart"/>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dxa"/>
            <w:vMerge w:val="continue"/>
            <w:noWrap w:val="0"/>
            <w:vAlign w:val="center"/>
          </w:tcPr>
          <w:p>
            <w:pPr>
              <w:jc w:val="center"/>
              <w:rPr>
                <w:color w:val="000000"/>
              </w:rPr>
            </w:pPr>
          </w:p>
        </w:tc>
        <w:tc>
          <w:tcPr>
            <w:tcW w:w="592" w:type="dxa"/>
            <w:vMerge w:val="continue"/>
            <w:noWrap w:val="0"/>
            <w:vAlign w:val="center"/>
          </w:tcPr>
          <w:p>
            <w:pPr>
              <w:jc w:val="center"/>
              <w:rPr>
                <w:color w:val="000000"/>
              </w:rPr>
            </w:pPr>
          </w:p>
        </w:tc>
        <w:tc>
          <w:tcPr>
            <w:tcW w:w="889" w:type="dxa"/>
            <w:vMerge w:val="continue"/>
            <w:noWrap w:val="0"/>
            <w:vAlign w:val="center"/>
          </w:tcPr>
          <w:p>
            <w:pPr>
              <w:jc w:val="center"/>
              <w:rPr>
                <w:color w:val="000000"/>
              </w:rPr>
            </w:pPr>
          </w:p>
        </w:tc>
        <w:tc>
          <w:tcPr>
            <w:tcW w:w="1031" w:type="dxa"/>
            <w:vMerge w:val="continue"/>
            <w:noWrap w:val="0"/>
            <w:vAlign w:val="center"/>
          </w:tcPr>
          <w:p>
            <w:pPr>
              <w:jc w:val="center"/>
              <w:rPr>
                <w:color w:val="000000"/>
              </w:rPr>
            </w:pPr>
          </w:p>
        </w:tc>
        <w:tc>
          <w:tcPr>
            <w:tcW w:w="1290" w:type="dxa"/>
            <w:vMerge w:val="continue"/>
            <w:noWrap w:val="0"/>
            <w:vAlign w:val="center"/>
          </w:tcPr>
          <w:p>
            <w:pPr>
              <w:jc w:val="center"/>
              <w:rPr>
                <w:color w:val="000000"/>
              </w:rPr>
            </w:pPr>
          </w:p>
        </w:tc>
        <w:tc>
          <w:tcPr>
            <w:tcW w:w="2235" w:type="dxa"/>
            <w:noWrap w:val="0"/>
            <w:vAlign w:val="center"/>
          </w:tcPr>
          <w:p>
            <w:pPr>
              <w:rPr>
                <w:rFonts w:hint="eastAsia" w:ascii="仿宋" w:hAnsi="仿宋" w:eastAsia="仿宋" w:cs="仿宋"/>
                <w:color w:val="000000"/>
                <w:sz w:val="18"/>
                <w:szCs w:val="18"/>
              </w:rPr>
            </w:pPr>
            <w:r>
              <w:rPr>
                <w:rFonts w:hint="eastAsia" w:ascii="仿宋" w:hAnsi="仿宋" w:eastAsia="仿宋" w:cs="仿宋"/>
                <w:color w:val="000000"/>
                <w:sz w:val="18"/>
                <w:szCs w:val="18"/>
              </w:rPr>
              <w:t>无项目负责人经验</w:t>
            </w:r>
          </w:p>
        </w:tc>
        <w:tc>
          <w:tcPr>
            <w:tcW w:w="720" w:type="dxa"/>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0</w:t>
            </w:r>
          </w:p>
        </w:tc>
        <w:tc>
          <w:tcPr>
            <w:tcW w:w="900" w:type="dxa"/>
            <w:vMerge w:val="continue"/>
            <w:noWrap w:val="0"/>
            <w:vAlign w:val="center"/>
          </w:tcPr>
          <w:p>
            <w:pPr>
              <w:jc w:val="center"/>
              <w:rPr>
                <w:rFonts w:hint="eastAsia" w:ascii="仿宋" w:hAnsi="仿宋" w:eastAsia="仿宋" w:cs="仿宋"/>
                <w:color w:val="000000"/>
                <w:sz w:val="18"/>
                <w:szCs w:val="18"/>
              </w:rPr>
            </w:pPr>
          </w:p>
        </w:tc>
        <w:tc>
          <w:tcPr>
            <w:tcW w:w="675" w:type="dxa"/>
            <w:vMerge w:val="continue"/>
            <w:noWrap w:val="0"/>
            <w:vAlign w:val="center"/>
          </w:tcPr>
          <w:p>
            <w:pPr>
              <w:jc w:val="center"/>
              <w:rPr>
                <w:rFonts w:hint="eastAsia" w:ascii="仿宋" w:hAnsi="仿宋" w:eastAsia="仿宋" w:cs="仿宋"/>
                <w:color w:val="000000"/>
                <w:sz w:val="18"/>
                <w:szCs w:val="18"/>
              </w:rPr>
            </w:pPr>
          </w:p>
        </w:tc>
        <w:tc>
          <w:tcPr>
            <w:tcW w:w="798" w:type="dxa"/>
            <w:vMerge w:val="continue"/>
            <w:noWrap w:val="0"/>
            <w:vAlign w:val="center"/>
          </w:tcPr>
          <w:p>
            <w:pPr>
              <w:jc w:val="center"/>
              <w:rPr>
                <w:rFonts w:hint="eastAsia"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dxa"/>
            <w:vMerge w:val="continue"/>
            <w:noWrap w:val="0"/>
            <w:vAlign w:val="center"/>
          </w:tcPr>
          <w:p>
            <w:pPr>
              <w:jc w:val="center"/>
              <w:rPr>
                <w:rFonts w:hint="eastAsia" w:ascii="仿宋" w:hAnsi="仿宋" w:eastAsia="仿宋" w:cs="仿宋"/>
                <w:color w:val="000000"/>
                <w:kern w:val="0"/>
                <w:sz w:val="18"/>
                <w:szCs w:val="18"/>
              </w:rPr>
            </w:pPr>
          </w:p>
        </w:tc>
        <w:tc>
          <w:tcPr>
            <w:tcW w:w="592" w:type="dxa"/>
            <w:vMerge w:val="continue"/>
            <w:noWrap w:val="0"/>
            <w:vAlign w:val="center"/>
          </w:tcPr>
          <w:p>
            <w:pPr>
              <w:snapToGrid w:val="0"/>
              <w:jc w:val="center"/>
              <w:rPr>
                <w:rFonts w:hint="eastAsia" w:ascii="仿宋" w:hAnsi="仿宋" w:eastAsia="仿宋" w:cs="仿宋"/>
                <w:color w:val="000000"/>
                <w:sz w:val="18"/>
                <w:szCs w:val="18"/>
              </w:rPr>
            </w:pPr>
          </w:p>
        </w:tc>
        <w:tc>
          <w:tcPr>
            <w:tcW w:w="889" w:type="dxa"/>
            <w:vMerge w:val="continue"/>
            <w:noWrap w:val="0"/>
            <w:vAlign w:val="center"/>
          </w:tcPr>
          <w:p>
            <w:pPr>
              <w:jc w:val="center"/>
              <w:rPr>
                <w:rFonts w:hint="eastAsia" w:ascii="仿宋" w:hAnsi="仿宋" w:eastAsia="仿宋" w:cs="仿宋"/>
                <w:color w:val="000000"/>
                <w:sz w:val="18"/>
                <w:szCs w:val="18"/>
              </w:rPr>
            </w:pPr>
          </w:p>
        </w:tc>
        <w:tc>
          <w:tcPr>
            <w:tcW w:w="1031" w:type="dxa"/>
            <w:vMerge w:val="continue"/>
            <w:noWrap w:val="0"/>
            <w:vAlign w:val="center"/>
          </w:tcPr>
          <w:p>
            <w:pPr>
              <w:jc w:val="center"/>
              <w:rPr>
                <w:rFonts w:hint="eastAsia" w:ascii="仿宋" w:hAnsi="仿宋" w:eastAsia="仿宋" w:cs="仿宋"/>
                <w:color w:val="000000"/>
                <w:sz w:val="18"/>
                <w:szCs w:val="18"/>
              </w:rPr>
            </w:pPr>
          </w:p>
        </w:tc>
        <w:tc>
          <w:tcPr>
            <w:tcW w:w="1290"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处罚记录</w:t>
            </w:r>
          </w:p>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（近</w:t>
            </w:r>
            <w:r>
              <w:rPr>
                <w:rFonts w:hint="eastAsia" w:ascii="仿宋" w:hAnsi="仿宋" w:eastAsia="仿宋" w:cs="仿宋"/>
                <w:color w:val="000000"/>
                <w:sz w:val="18"/>
                <w:szCs w:val="18"/>
                <w:u w:val="single"/>
              </w:rPr>
              <w:t xml:space="preserve">   </w:t>
            </w:r>
            <w:r>
              <w:rPr>
                <w:rFonts w:hint="eastAsia" w:ascii="仿宋" w:hAnsi="仿宋" w:eastAsia="仿宋" w:cs="仿宋"/>
                <w:color w:val="000000"/>
                <w:sz w:val="18"/>
                <w:szCs w:val="18"/>
              </w:rPr>
              <w:t>年）</w:t>
            </w:r>
          </w:p>
        </w:tc>
        <w:tc>
          <w:tcPr>
            <w:tcW w:w="2955" w:type="dxa"/>
            <w:gridSpan w:val="2"/>
            <w:noWrap w:val="0"/>
            <w:vAlign w:val="center"/>
          </w:tcPr>
          <w:p>
            <w:pPr>
              <w:ind w:firstLine="180" w:firstLineChars="100"/>
              <w:jc w:val="left"/>
              <w:rPr>
                <w:rFonts w:ascii="仿宋" w:hAnsi="仿宋" w:eastAsia="仿宋" w:cs="仿宋"/>
                <w:color w:val="000000"/>
                <w:sz w:val="18"/>
                <w:szCs w:val="18"/>
              </w:rPr>
            </w:pPr>
            <w:r>
              <w:rPr>
                <w:rFonts w:hint="eastAsia" w:ascii="仿宋" w:hAnsi="仿宋" w:eastAsia="仿宋" w:cs="仿宋"/>
                <w:color w:val="000000"/>
                <w:sz w:val="18"/>
                <w:szCs w:val="18"/>
              </w:rPr>
              <w:t>每项省级及以上处罚扣</w:t>
            </w:r>
            <w:r>
              <w:rPr>
                <w:rFonts w:hint="eastAsia" w:ascii="仿宋" w:hAnsi="仿宋" w:eastAsia="仿宋" w:cs="仿宋"/>
                <w:color w:val="000000"/>
                <w:sz w:val="18"/>
                <w:szCs w:val="18"/>
                <w:u w:val="single"/>
              </w:rPr>
              <w:t xml:space="preserve">   </w:t>
            </w:r>
            <w:r>
              <w:rPr>
                <w:rFonts w:hint="eastAsia" w:ascii="仿宋" w:hAnsi="仿宋" w:eastAsia="仿宋" w:cs="仿宋"/>
                <w:color w:val="000000"/>
                <w:sz w:val="18"/>
                <w:szCs w:val="18"/>
              </w:rPr>
              <w:t>分，每项市级处罚扣</w:t>
            </w:r>
            <w:r>
              <w:rPr>
                <w:rFonts w:hint="eastAsia" w:ascii="仿宋" w:hAnsi="仿宋" w:eastAsia="仿宋" w:cs="仿宋"/>
                <w:color w:val="000000"/>
                <w:sz w:val="18"/>
                <w:szCs w:val="18"/>
                <w:u w:val="single"/>
              </w:rPr>
              <w:t xml:space="preserve">   </w:t>
            </w:r>
            <w:r>
              <w:rPr>
                <w:rFonts w:hint="eastAsia" w:ascii="仿宋" w:hAnsi="仿宋" w:eastAsia="仿宋" w:cs="仿宋"/>
                <w:color w:val="000000"/>
                <w:sz w:val="18"/>
                <w:szCs w:val="18"/>
              </w:rPr>
              <w:t>分，每项县级处罚扣</w:t>
            </w:r>
            <w:r>
              <w:rPr>
                <w:rFonts w:hint="eastAsia" w:ascii="仿宋" w:hAnsi="仿宋" w:eastAsia="仿宋" w:cs="仿宋"/>
                <w:color w:val="000000"/>
                <w:sz w:val="18"/>
                <w:szCs w:val="18"/>
                <w:u w:val="single"/>
              </w:rPr>
              <w:t xml:space="preserve">    </w:t>
            </w:r>
            <w:r>
              <w:rPr>
                <w:rFonts w:hint="eastAsia" w:ascii="仿宋" w:hAnsi="仿宋" w:eastAsia="仿宋" w:cs="仿宋"/>
                <w:color w:val="000000"/>
                <w:sz w:val="18"/>
                <w:szCs w:val="18"/>
              </w:rPr>
              <w:t>分，其他扣</w:t>
            </w:r>
            <w:r>
              <w:rPr>
                <w:rFonts w:hint="eastAsia" w:ascii="仿宋" w:hAnsi="仿宋" w:eastAsia="仿宋" w:cs="仿宋"/>
                <w:color w:val="000000"/>
                <w:sz w:val="18"/>
                <w:szCs w:val="18"/>
                <w:u w:val="single"/>
              </w:rPr>
              <w:t xml:space="preserve">    </w:t>
            </w:r>
            <w:r>
              <w:rPr>
                <w:rFonts w:hint="eastAsia" w:ascii="仿宋" w:hAnsi="仿宋" w:eastAsia="仿宋" w:cs="仿宋"/>
                <w:color w:val="000000"/>
                <w:sz w:val="18"/>
                <w:szCs w:val="18"/>
              </w:rPr>
              <w:t>分。</w:t>
            </w:r>
          </w:p>
        </w:tc>
        <w:tc>
          <w:tcPr>
            <w:tcW w:w="900" w:type="dxa"/>
            <w:noWrap w:val="0"/>
            <w:vAlign w:val="center"/>
          </w:tcPr>
          <w:p>
            <w:pPr>
              <w:pStyle w:val="106"/>
              <w:rPr>
                <w:rFonts w:hint="eastAsia" w:ascii="仿宋" w:hAnsi="仿宋" w:eastAsia="仿宋" w:cs="仿宋"/>
                <w:sz w:val="18"/>
                <w:szCs w:val="18"/>
              </w:rPr>
            </w:pPr>
          </w:p>
        </w:tc>
        <w:tc>
          <w:tcPr>
            <w:tcW w:w="675" w:type="dxa"/>
            <w:noWrap w:val="0"/>
            <w:vAlign w:val="center"/>
          </w:tcPr>
          <w:p>
            <w:pPr>
              <w:jc w:val="center"/>
              <w:rPr>
                <w:rFonts w:hint="eastAsia" w:ascii="仿宋" w:hAnsi="仿宋" w:eastAsia="仿宋" w:cs="仿宋"/>
                <w:color w:val="000000"/>
                <w:kern w:val="0"/>
                <w:sz w:val="18"/>
                <w:szCs w:val="18"/>
              </w:rPr>
            </w:pPr>
          </w:p>
        </w:tc>
        <w:tc>
          <w:tcPr>
            <w:tcW w:w="798" w:type="dxa"/>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dxa"/>
            <w:vMerge w:val="restart"/>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3</w:t>
            </w:r>
          </w:p>
        </w:tc>
        <w:tc>
          <w:tcPr>
            <w:tcW w:w="592" w:type="dxa"/>
            <w:vMerge w:val="continue"/>
            <w:noWrap w:val="0"/>
            <w:vAlign w:val="center"/>
          </w:tcPr>
          <w:p>
            <w:pPr>
              <w:snapToGrid w:val="0"/>
              <w:jc w:val="center"/>
              <w:rPr>
                <w:rFonts w:hint="eastAsia" w:ascii="仿宋" w:hAnsi="仿宋" w:eastAsia="仿宋" w:cs="仿宋"/>
                <w:color w:val="000000"/>
              </w:rPr>
            </w:pPr>
          </w:p>
        </w:tc>
        <w:tc>
          <w:tcPr>
            <w:tcW w:w="889" w:type="dxa"/>
            <w:vMerge w:val="continue"/>
            <w:noWrap w:val="0"/>
            <w:vAlign w:val="center"/>
          </w:tcPr>
          <w:p>
            <w:pPr>
              <w:jc w:val="center"/>
              <w:rPr>
                <w:rFonts w:hint="eastAsia" w:ascii="仿宋" w:hAnsi="仿宋" w:eastAsia="仿宋" w:cs="仿宋"/>
                <w:color w:val="000000"/>
                <w:sz w:val="18"/>
                <w:szCs w:val="18"/>
              </w:rPr>
            </w:pPr>
          </w:p>
        </w:tc>
        <w:tc>
          <w:tcPr>
            <w:tcW w:w="1031" w:type="dxa"/>
            <w:vMerge w:val="restart"/>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技术</w:t>
            </w:r>
          </w:p>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负责人</w:t>
            </w:r>
          </w:p>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（30分）</w:t>
            </w:r>
          </w:p>
        </w:tc>
        <w:tc>
          <w:tcPr>
            <w:tcW w:w="3525" w:type="dxa"/>
            <w:gridSpan w:val="2"/>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满足资格条件（15分）</w:t>
            </w:r>
          </w:p>
        </w:tc>
        <w:tc>
          <w:tcPr>
            <w:tcW w:w="720"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15</w:t>
            </w:r>
          </w:p>
        </w:tc>
        <w:tc>
          <w:tcPr>
            <w:tcW w:w="900" w:type="dxa"/>
            <w:noWrap w:val="0"/>
            <w:vAlign w:val="center"/>
          </w:tcPr>
          <w:p>
            <w:pPr>
              <w:pStyle w:val="106"/>
              <w:rPr>
                <w:rFonts w:hint="eastAsia" w:ascii="仿宋" w:hAnsi="仿宋" w:eastAsia="仿宋" w:cs="仿宋"/>
                <w:sz w:val="18"/>
                <w:szCs w:val="18"/>
              </w:rPr>
            </w:pPr>
          </w:p>
        </w:tc>
        <w:tc>
          <w:tcPr>
            <w:tcW w:w="675" w:type="dxa"/>
            <w:noWrap w:val="0"/>
            <w:vAlign w:val="center"/>
          </w:tcPr>
          <w:p>
            <w:pPr>
              <w:jc w:val="center"/>
              <w:rPr>
                <w:rFonts w:hint="eastAsia" w:ascii="仿宋" w:hAnsi="仿宋" w:eastAsia="仿宋" w:cs="仿宋"/>
                <w:color w:val="000000"/>
                <w:kern w:val="0"/>
                <w:sz w:val="18"/>
                <w:szCs w:val="18"/>
              </w:rPr>
            </w:pPr>
          </w:p>
        </w:tc>
        <w:tc>
          <w:tcPr>
            <w:tcW w:w="798" w:type="dxa"/>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dxa"/>
            <w:vMerge w:val="continue"/>
            <w:noWrap w:val="0"/>
            <w:vAlign w:val="center"/>
          </w:tcPr>
          <w:p>
            <w:pPr>
              <w:jc w:val="center"/>
              <w:rPr>
                <w:rFonts w:hint="eastAsia" w:ascii="仿宋" w:hAnsi="仿宋" w:eastAsia="仿宋" w:cs="仿宋"/>
                <w:color w:val="000000"/>
                <w:kern w:val="0"/>
                <w:sz w:val="18"/>
                <w:szCs w:val="18"/>
              </w:rPr>
            </w:pPr>
          </w:p>
        </w:tc>
        <w:tc>
          <w:tcPr>
            <w:tcW w:w="592" w:type="dxa"/>
            <w:vMerge w:val="continue"/>
            <w:noWrap w:val="0"/>
            <w:vAlign w:val="center"/>
          </w:tcPr>
          <w:p>
            <w:pPr>
              <w:snapToGrid w:val="0"/>
              <w:jc w:val="center"/>
              <w:rPr>
                <w:rFonts w:hint="eastAsia" w:ascii="仿宋" w:hAnsi="仿宋" w:eastAsia="仿宋" w:cs="仿宋"/>
                <w:color w:val="000000"/>
              </w:rPr>
            </w:pPr>
          </w:p>
        </w:tc>
        <w:tc>
          <w:tcPr>
            <w:tcW w:w="889" w:type="dxa"/>
            <w:vMerge w:val="continue"/>
            <w:noWrap w:val="0"/>
            <w:vAlign w:val="center"/>
          </w:tcPr>
          <w:p>
            <w:pPr>
              <w:jc w:val="center"/>
              <w:rPr>
                <w:rFonts w:hint="eastAsia" w:ascii="仿宋" w:hAnsi="仿宋" w:eastAsia="仿宋" w:cs="仿宋"/>
                <w:color w:val="000000"/>
                <w:sz w:val="18"/>
                <w:szCs w:val="18"/>
              </w:rPr>
            </w:pPr>
          </w:p>
        </w:tc>
        <w:tc>
          <w:tcPr>
            <w:tcW w:w="1031" w:type="dxa"/>
            <w:vMerge w:val="continue"/>
            <w:noWrap w:val="0"/>
            <w:vAlign w:val="center"/>
          </w:tcPr>
          <w:p>
            <w:pPr>
              <w:jc w:val="center"/>
              <w:rPr>
                <w:rFonts w:hint="eastAsia" w:ascii="仿宋" w:hAnsi="仿宋" w:eastAsia="仿宋" w:cs="仿宋"/>
                <w:color w:val="000000"/>
                <w:sz w:val="18"/>
                <w:szCs w:val="18"/>
              </w:rPr>
            </w:pPr>
          </w:p>
        </w:tc>
        <w:tc>
          <w:tcPr>
            <w:tcW w:w="1290" w:type="dxa"/>
            <w:vMerge w:val="restart"/>
            <w:noWrap w:val="0"/>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经验（15分）</w:t>
            </w:r>
          </w:p>
        </w:tc>
        <w:tc>
          <w:tcPr>
            <w:tcW w:w="2235" w:type="dxa"/>
            <w:noWrap w:val="0"/>
            <w:vAlign w:val="center"/>
          </w:tcPr>
          <w:p>
            <w:pPr>
              <w:pStyle w:val="106"/>
              <w:jc w:val="both"/>
              <w:rPr>
                <w:rFonts w:hint="eastAsia" w:ascii="仿宋" w:hAnsi="仿宋" w:eastAsia="仿宋" w:cs="仿宋"/>
                <w:sz w:val="18"/>
                <w:szCs w:val="18"/>
              </w:rPr>
            </w:pPr>
            <w:r>
              <w:rPr>
                <w:rFonts w:hint="eastAsia" w:ascii="仿宋" w:hAnsi="仿宋" w:eastAsia="仿宋" w:cs="仿宋"/>
                <w:kern w:val="2"/>
                <w:sz w:val="18"/>
                <w:szCs w:val="18"/>
              </w:rPr>
              <w:t>有技术负责人经验 ：</w:t>
            </w:r>
            <w:r>
              <w:rPr>
                <w:rFonts w:hint="eastAsia" w:ascii="仿宋" w:hAnsi="仿宋" w:eastAsia="仿宋" w:cs="仿宋"/>
                <w:sz w:val="18"/>
                <w:szCs w:val="18"/>
              </w:rPr>
              <w:t>根据本文件第二章投标须知前附表第10.1款第3项确定。</w:t>
            </w:r>
          </w:p>
        </w:tc>
        <w:tc>
          <w:tcPr>
            <w:tcW w:w="720" w:type="dxa"/>
            <w:noWrap w:val="0"/>
            <w:vAlign w:val="center"/>
          </w:tcPr>
          <w:p>
            <w:pPr>
              <w:pStyle w:val="106"/>
              <w:jc w:val="center"/>
              <w:rPr>
                <w:rFonts w:ascii="仿宋" w:hAnsi="仿宋" w:eastAsia="仿宋" w:cs="仿宋"/>
                <w:sz w:val="18"/>
                <w:szCs w:val="18"/>
              </w:rPr>
            </w:pPr>
            <w:r>
              <w:rPr>
                <w:rFonts w:hint="eastAsia" w:ascii="仿宋" w:hAnsi="仿宋" w:eastAsia="仿宋" w:cs="仿宋"/>
                <w:sz w:val="18"/>
                <w:szCs w:val="18"/>
              </w:rPr>
              <w:t>15</w:t>
            </w:r>
          </w:p>
        </w:tc>
        <w:tc>
          <w:tcPr>
            <w:tcW w:w="900" w:type="dxa"/>
            <w:vMerge w:val="restart"/>
            <w:noWrap w:val="0"/>
            <w:vAlign w:val="center"/>
          </w:tcPr>
          <w:p>
            <w:pPr>
              <w:pStyle w:val="106"/>
              <w:rPr>
                <w:rFonts w:hint="eastAsia" w:ascii="仿宋" w:hAnsi="仿宋" w:eastAsia="仿宋" w:cs="仿宋"/>
                <w:sz w:val="18"/>
                <w:szCs w:val="18"/>
              </w:rPr>
            </w:pPr>
          </w:p>
        </w:tc>
        <w:tc>
          <w:tcPr>
            <w:tcW w:w="675" w:type="dxa"/>
            <w:vMerge w:val="restart"/>
            <w:noWrap w:val="0"/>
            <w:vAlign w:val="center"/>
          </w:tcPr>
          <w:p>
            <w:pPr>
              <w:jc w:val="center"/>
              <w:rPr>
                <w:rFonts w:hint="eastAsia" w:ascii="仿宋" w:hAnsi="仿宋" w:eastAsia="仿宋" w:cs="仿宋"/>
                <w:color w:val="000000"/>
                <w:kern w:val="0"/>
                <w:sz w:val="18"/>
                <w:szCs w:val="18"/>
              </w:rPr>
            </w:pPr>
          </w:p>
        </w:tc>
        <w:tc>
          <w:tcPr>
            <w:tcW w:w="798" w:type="dxa"/>
            <w:vMerge w:val="restart"/>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dxa"/>
            <w:vMerge w:val="continue"/>
            <w:noWrap w:val="0"/>
            <w:vAlign w:val="center"/>
          </w:tcPr>
          <w:p>
            <w:pPr>
              <w:pStyle w:val="106"/>
              <w:jc w:val="center"/>
            </w:pPr>
          </w:p>
        </w:tc>
        <w:tc>
          <w:tcPr>
            <w:tcW w:w="592" w:type="dxa"/>
            <w:vMerge w:val="continue"/>
            <w:noWrap w:val="0"/>
            <w:vAlign w:val="center"/>
          </w:tcPr>
          <w:p>
            <w:pPr>
              <w:pStyle w:val="106"/>
              <w:jc w:val="center"/>
            </w:pPr>
          </w:p>
        </w:tc>
        <w:tc>
          <w:tcPr>
            <w:tcW w:w="889" w:type="dxa"/>
            <w:vMerge w:val="continue"/>
            <w:noWrap w:val="0"/>
            <w:vAlign w:val="center"/>
          </w:tcPr>
          <w:p>
            <w:pPr>
              <w:pStyle w:val="106"/>
              <w:jc w:val="center"/>
            </w:pPr>
          </w:p>
        </w:tc>
        <w:tc>
          <w:tcPr>
            <w:tcW w:w="1031" w:type="dxa"/>
            <w:vMerge w:val="continue"/>
            <w:noWrap w:val="0"/>
            <w:vAlign w:val="center"/>
          </w:tcPr>
          <w:p>
            <w:pPr>
              <w:pStyle w:val="106"/>
              <w:jc w:val="center"/>
            </w:pPr>
          </w:p>
        </w:tc>
        <w:tc>
          <w:tcPr>
            <w:tcW w:w="1290" w:type="dxa"/>
            <w:vMerge w:val="continue"/>
            <w:noWrap w:val="0"/>
            <w:vAlign w:val="center"/>
          </w:tcPr>
          <w:p>
            <w:pPr>
              <w:pStyle w:val="106"/>
              <w:jc w:val="center"/>
            </w:pPr>
          </w:p>
        </w:tc>
        <w:tc>
          <w:tcPr>
            <w:tcW w:w="2235" w:type="dxa"/>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无技术负责人经验</w:t>
            </w:r>
          </w:p>
        </w:tc>
        <w:tc>
          <w:tcPr>
            <w:tcW w:w="720"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0</w:t>
            </w:r>
          </w:p>
        </w:tc>
        <w:tc>
          <w:tcPr>
            <w:tcW w:w="900" w:type="dxa"/>
            <w:vMerge w:val="continue"/>
            <w:noWrap w:val="0"/>
            <w:vAlign w:val="center"/>
          </w:tcPr>
          <w:p>
            <w:pPr>
              <w:pStyle w:val="106"/>
              <w:jc w:val="center"/>
              <w:rPr>
                <w:rFonts w:hint="eastAsia" w:ascii="仿宋" w:hAnsi="仿宋" w:eastAsia="仿宋" w:cs="仿宋"/>
                <w:sz w:val="18"/>
                <w:szCs w:val="18"/>
              </w:rPr>
            </w:pPr>
          </w:p>
        </w:tc>
        <w:tc>
          <w:tcPr>
            <w:tcW w:w="675" w:type="dxa"/>
            <w:vMerge w:val="continue"/>
            <w:noWrap w:val="0"/>
            <w:vAlign w:val="center"/>
          </w:tcPr>
          <w:p>
            <w:pPr>
              <w:pStyle w:val="106"/>
              <w:jc w:val="center"/>
              <w:rPr>
                <w:rFonts w:hint="eastAsia" w:ascii="仿宋" w:hAnsi="仿宋" w:eastAsia="仿宋" w:cs="仿宋"/>
                <w:sz w:val="18"/>
                <w:szCs w:val="18"/>
              </w:rPr>
            </w:pPr>
          </w:p>
        </w:tc>
        <w:tc>
          <w:tcPr>
            <w:tcW w:w="798" w:type="dxa"/>
            <w:vMerge w:val="continue"/>
            <w:noWrap w:val="0"/>
            <w:vAlign w:val="center"/>
          </w:tcPr>
          <w:p>
            <w:pPr>
              <w:pStyle w:val="106"/>
              <w:jc w:val="center"/>
              <w:rPr>
                <w:rFonts w:hint="eastAsia"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dxa"/>
            <w:vMerge w:val="continue"/>
            <w:noWrap w:val="0"/>
            <w:vAlign w:val="center"/>
          </w:tcPr>
          <w:p>
            <w:pPr>
              <w:jc w:val="center"/>
              <w:rPr>
                <w:rFonts w:hint="eastAsia" w:ascii="仿宋" w:hAnsi="仿宋" w:eastAsia="仿宋" w:cs="仿宋"/>
                <w:color w:val="000000"/>
                <w:kern w:val="0"/>
                <w:sz w:val="18"/>
                <w:szCs w:val="18"/>
              </w:rPr>
            </w:pPr>
          </w:p>
        </w:tc>
        <w:tc>
          <w:tcPr>
            <w:tcW w:w="592" w:type="dxa"/>
            <w:vMerge w:val="continue"/>
            <w:noWrap w:val="0"/>
            <w:vAlign w:val="center"/>
          </w:tcPr>
          <w:p>
            <w:pPr>
              <w:snapToGrid w:val="0"/>
              <w:jc w:val="center"/>
              <w:rPr>
                <w:rFonts w:hint="eastAsia" w:ascii="仿宋" w:hAnsi="仿宋" w:eastAsia="仿宋" w:cs="仿宋"/>
                <w:color w:val="000000"/>
              </w:rPr>
            </w:pPr>
          </w:p>
        </w:tc>
        <w:tc>
          <w:tcPr>
            <w:tcW w:w="889" w:type="dxa"/>
            <w:vMerge w:val="continue"/>
            <w:noWrap w:val="0"/>
            <w:vAlign w:val="center"/>
          </w:tcPr>
          <w:p>
            <w:pPr>
              <w:jc w:val="center"/>
              <w:rPr>
                <w:rFonts w:hint="eastAsia" w:ascii="仿宋" w:hAnsi="仿宋" w:eastAsia="仿宋" w:cs="仿宋"/>
                <w:color w:val="000000"/>
                <w:sz w:val="18"/>
                <w:szCs w:val="18"/>
              </w:rPr>
            </w:pPr>
          </w:p>
        </w:tc>
        <w:tc>
          <w:tcPr>
            <w:tcW w:w="1031" w:type="dxa"/>
            <w:vMerge w:val="continue"/>
            <w:noWrap w:val="0"/>
            <w:vAlign w:val="center"/>
          </w:tcPr>
          <w:p>
            <w:pPr>
              <w:jc w:val="center"/>
              <w:rPr>
                <w:rFonts w:hint="eastAsia" w:ascii="仿宋" w:hAnsi="仿宋" w:eastAsia="仿宋" w:cs="仿宋"/>
                <w:color w:val="000000"/>
                <w:sz w:val="18"/>
                <w:szCs w:val="18"/>
              </w:rPr>
            </w:pPr>
          </w:p>
        </w:tc>
        <w:tc>
          <w:tcPr>
            <w:tcW w:w="1290"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处罚记录</w:t>
            </w:r>
          </w:p>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（近</w:t>
            </w:r>
            <w:r>
              <w:rPr>
                <w:rFonts w:hint="eastAsia" w:ascii="仿宋" w:hAnsi="仿宋" w:eastAsia="仿宋" w:cs="仿宋"/>
                <w:color w:val="000000"/>
                <w:sz w:val="18"/>
                <w:szCs w:val="18"/>
                <w:u w:val="single"/>
              </w:rPr>
              <w:t xml:space="preserve">   </w:t>
            </w:r>
            <w:r>
              <w:rPr>
                <w:rFonts w:hint="eastAsia" w:ascii="仿宋" w:hAnsi="仿宋" w:eastAsia="仿宋" w:cs="仿宋"/>
                <w:color w:val="000000"/>
                <w:sz w:val="18"/>
                <w:szCs w:val="18"/>
              </w:rPr>
              <w:t>年）</w:t>
            </w:r>
          </w:p>
        </w:tc>
        <w:tc>
          <w:tcPr>
            <w:tcW w:w="2955" w:type="dxa"/>
            <w:gridSpan w:val="2"/>
            <w:noWrap w:val="0"/>
            <w:vAlign w:val="center"/>
          </w:tcPr>
          <w:p>
            <w:pPr>
              <w:ind w:firstLine="90" w:firstLineChars="50"/>
              <w:jc w:val="left"/>
              <w:rPr>
                <w:rFonts w:hint="eastAsia" w:ascii="仿宋" w:hAnsi="仿宋" w:eastAsia="仿宋" w:cs="仿宋"/>
                <w:color w:val="000000"/>
                <w:sz w:val="18"/>
                <w:szCs w:val="18"/>
              </w:rPr>
            </w:pPr>
            <w:r>
              <w:rPr>
                <w:rFonts w:hint="eastAsia" w:ascii="仿宋" w:hAnsi="仿宋" w:eastAsia="仿宋" w:cs="仿宋"/>
                <w:color w:val="000000"/>
                <w:sz w:val="18"/>
                <w:szCs w:val="18"/>
              </w:rPr>
              <w:t xml:space="preserve"> 每项省级及以上处罚扣</w:t>
            </w:r>
            <w:r>
              <w:rPr>
                <w:rFonts w:hint="eastAsia" w:ascii="仿宋" w:hAnsi="仿宋" w:eastAsia="仿宋" w:cs="仿宋"/>
                <w:color w:val="000000"/>
                <w:sz w:val="18"/>
                <w:szCs w:val="18"/>
                <w:u w:val="single"/>
              </w:rPr>
              <w:t xml:space="preserve">   </w:t>
            </w:r>
            <w:r>
              <w:rPr>
                <w:rFonts w:hint="eastAsia" w:ascii="仿宋" w:hAnsi="仿宋" w:eastAsia="仿宋" w:cs="仿宋"/>
                <w:color w:val="000000"/>
                <w:sz w:val="18"/>
                <w:szCs w:val="18"/>
              </w:rPr>
              <w:t>分，每项市级处罚扣</w:t>
            </w:r>
            <w:r>
              <w:rPr>
                <w:rFonts w:hint="eastAsia" w:ascii="仿宋" w:hAnsi="仿宋" w:eastAsia="仿宋" w:cs="仿宋"/>
                <w:color w:val="000000"/>
                <w:sz w:val="18"/>
                <w:szCs w:val="18"/>
                <w:u w:val="single"/>
              </w:rPr>
              <w:t xml:space="preserve">   </w:t>
            </w:r>
            <w:r>
              <w:rPr>
                <w:rFonts w:hint="eastAsia" w:ascii="仿宋" w:hAnsi="仿宋" w:eastAsia="仿宋" w:cs="仿宋"/>
                <w:color w:val="000000"/>
                <w:sz w:val="18"/>
                <w:szCs w:val="18"/>
              </w:rPr>
              <w:t>分，每项县级处罚扣</w:t>
            </w:r>
            <w:r>
              <w:rPr>
                <w:rFonts w:hint="eastAsia" w:ascii="仿宋" w:hAnsi="仿宋" w:eastAsia="仿宋" w:cs="仿宋"/>
                <w:color w:val="000000"/>
                <w:sz w:val="18"/>
                <w:szCs w:val="18"/>
                <w:u w:val="single"/>
              </w:rPr>
              <w:t xml:space="preserve">    </w:t>
            </w:r>
            <w:r>
              <w:rPr>
                <w:rFonts w:hint="eastAsia" w:ascii="仿宋" w:hAnsi="仿宋" w:eastAsia="仿宋" w:cs="仿宋"/>
                <w:color w:val="000000"/>
                <w:sz w:val="18"/>
                <w:szCs w:val="18"/>
              </w:rPr>
              <w:t>分，其他扣</w:t>
            </w:r>
            <w:r>
              <w:rPr>
                <w:rFonts w:hint="eastAsia" w:ascii="仿宋" w:hAnsi="仿宋" w:eastAsia="仿宋" w:cs="仿宋"/>
                <w:color w:val="000000"/>
                <w:sz w:val="18"/>
                <w:szCs w:val="18"/>
                <w:u w:val="single"/>
              </w:rPr>
              <w:t xml:space="preserve">    </w:t>
            </w:r>
            <w:r>
              <w:rPr>
                <w:rFonts w:hint="eastAsia" w:ascii="仿宋" w:hAnsi="仿宋" w:eastAsia="仿宋" w:cs="仿宋"/>
                <w:color w:val="000000"/>
                <w:sz w:val="18"/>
                <w:szCs w:val="18"/>
              </w:rPr>
              <w:t>分。</w:t>
            </w:r>
          </w:p>
        </w:tc>
        <w:tc>
          <w:tcPr>
            <w:tcW w:w="900" w:type="dxa"/>
            <w:noWrap w:val="0"/>
            <w:vAlign w:val="center"/>
          </w:tcPr>
          <w:p>
            <w:pPr>
              <w:pStyle w:val="106"/>
              <w:rPr>
                <w:rFonts w:hint="eastAsia" w:ascii="仿宋" w:hAnsi="仿宋" w:eastAsia="仿宋" w:cs="仿宋"/>
                <w:sz w:val="18"/>
                <w:szCs w:val="18"/>
              </w:rPr>
            </w:pPr>
          </w:p>
        </w:tc>
        <w:tc>
          <w:tcPr>
            <w:tcW w:w="675" w:type="dxa"/>
            <w:noWrap w:val="0"/>
            <w:vAlign w:val="center"/>
          </w:tcPr>
          <w:p>
            <w:pPr>
              <w:jc w:val="center"/>
              <w:rPr>
                <w:rFonts w:hint="eastAsia" w:ascii="仿宋" w:hAnsi="仿宋" w:eastAsia="仿宋" w:cs="仿宋"/>
                <w:color w:val="000000"/>
                <w:kern w:val="0"/>
                <w:sz w:val="18"/>
                <w:szCs w:val="18"/>
              </w:rPr>
            </w:pPr>
          </w:p>
        </w:tc>
        <w:tc>
          <w:tcPr>
            <w:tcW w:w="798" w:type="dxa"/>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dxa"/>
            <w:vMerge w:val="restart"/>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4</w:t>
            </w:r>
          </w:p>
        </w:tc>
        <w:tc>
          <w:tcPr>
            <w:tcW w:w="592" w:type="dxa"/>
            <w:vMerge w:val="continue"/>
            <w:noWrap w:val="0"/>
            <w:vAlign w:val="center"/>
          </w:tcPr>
          <w:p>
            <w:pPr>
              <w:snapToGrid w:val="0"/>
              <w:jc w:val="center"/>
              <w:rPr>
                <w:rFonts w:hint="eastAsia" w:ascii="仿宋" w:hAnsi="仿宋" w:eastAsia="仿宋" w:cs="仿宋"/>
                <w:color w:val="000000"/>
              </w:rPr>
            </w:pPr>
          </w:p>
        </w:tc>
        <w:tc>
          <w:tcPr>
            <w:tcW w:w="889" w:type="dxa"/>
            <w:vMerge w:val="continue"/>
            <w:noWrap w:val="0"/>
            <w:vAlign w:val="center"/>
          </w:tcPr>
          <w:p>
            <w:pPr>
              <w:jc w:val="center"/>
              <w:rPr>
                <w:rFonts w:hint="eastAsia" w:ascii="仿宋" w:hAnsi="仿宋" w:eastAsia="仿宋" w:cs="仿宋"/>
                <w:color w:val="000000"/>
                <w:sz w:val="18"/>
                <w:szCs w:val="18"/>
              </w:rPr>
            </w:pPr>
          </w:p>
        </w:tc>
        <w:tc>
          <w:tcPr>
            <w:tcW w:w="1031" w:type="dxa"/>
            <w:vMerge w:val="restart"/>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其他</w:t>
            </w:r>
          </w:p>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主要人员（25分）</w:t>
            </w:r>
          </w:p>
        </w:tc>
        <w:tc>
          <w:tcPr>
            <w:tcW w:w="3525" w:type="dxa"/>
            <w:gridSpan w:val="2"/>
            <w:noWrap w:val="0"/>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合理科学（配置了质量员、材料员、施工员、预算员或资料员、财务负责人、劳资专管员（单位出具任命书））</w:t>
            </w:r>
          </w:p>
        </w:tc>
        <w:tc>
          <w:tcPr>
            <w:tcW w:w="720" w:type="dxa"/>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 xml:space="preserve">25 </w:t>
            </w:r>
          </w:p>
          <w:p>
            <w:pPr>
              <w:pStyle w:val="106"/>
              <w:jc w:val="center"/>
              <w:rPr>
                <w:rFonts w:hint="eastAsia" w:ascii="仿宋" w:hAnsi="仿宋" w:eastAsia="仿宋" w:cs="仿宋"/>
                <w:sz w:val="18"/>
                <w:szCs w:val="18"/>
              </w:rPr>
            </w:pPr>
          </w:p>
        </w:tc>
        <w:tc>
          <w:tcPr>
            <w:tcW w:w="900" w:type="dxa"/>
            <w:noWrap w:val="0"/>
            <w:vAlign w:val="center"/>
          </w:tcPr>
          <w:p>
            <w:pPr>
              <w:pStyle w:val="106"/>
              <w:rPr>
                <w:rFonts w:hint="eastAsia" w:ascii="仿宋" w:hAnsi="仿宋" w:eastAsia="仿宋" w:cs="仿宋"/>
                <w:sz w:val="18"/>
                <w:szCs w:val="18"/>
              </w:rPr>
            </w:pPr>
          </w:p>
        </w:tc>
        <w:tc>
          <w:tcPr>
            <w:tcW w:w="675" w:type="dxa"/>
            <w:noWrap w:val="0"/>
            <w:vAlign w:val="center"/>
          </w:tcPr>
          <w:p>
            <w:pPr>
              <w:jc w:val="center"/>
              <w:rPr>
                <w:rFonts w:hint="eastAsia" w:ascii="仿宋" w:hAnsi="仿宋" w:eastAsia="仿宋" w:cs="仿宋"/>
                <w:color w:val="000000"/>
                <w:kern w:val="0"/>
                <w:sz w:val="18"/>
                <w:szCs w:val="18"/>
              </w:rPr>
            </w:pPr>
          </w:p>
        </w:tc>
        <w:tc>
          <w:tcPr>
            <w:tcW w:w="798" w:type="dxa"/>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dxa"/>
            <w:vMerge w:val="continue"/>
            <w:noWrap w:val="0"/>
            <w:vAlign w:val="center"/>
          </w:tcPr>
          <w:p>
            <w:pPr>
              <w:jc w:val="center"/>
              <w:rPr>
                <w:rFonts w:hint="eastAsia" w:ascii="仿宋" w:hAnsi="仿宋" w:eastAsia="仿宋" w:cs="仿宋"/>
                <w:color w:val="000000"/>
                <w:kern w:val="0"/>
                <w:sz w:val="18"/>
                <w:szCs w:val="18"/>
              </w:rPr>
            </w:pPr>
          </w:p>
        </w:tc>
        <w:tc>
          <w:tcPr>
            <w:tcW w:w="592" w:type="dxa"/>
            <w:vMerge w:val="continue"/>
            <w:noWrap w:val="0"/>
            <w:vAlign w:val="center"/>
          </w:tcPr>
          <w:p>
            <w:pPr>
              <w:snapToGrid w:val="0"/>
              <w:jc w:val="center"/>
              <w:rPr>
                <w:rFonts w:hint="eastAsia" w:ascii="仿宋" w:hAnsi="仿宋" w:eastAsia="仿宋" w:cs="仿宋"/>
                <w:color w:val="000000"/>
              </w:rPr>
            </w:pPr>
          </w:p>
        </w:tc>
        <w:tc>
          <w:tcPr>
            <w:tcW w:w="889" w:type="dxa"/>
            <w:vMerge w:val="continue"/>
            <w:noWrap w:val="0"/>
            <w:vAlign w:val="center"/>
          </w:tcPr>
          <w:p>
            <w:pPr>
              <w:jc w:val="center"/>
              <w:rPr>
                <w:rFonts w:hint="eastAsia" w:ascii="仿宋" w:hAnsi="仿宋" w:eastAsia="仿宋" w:cs="仿宋"/>
                <w:color w:val="000000"/>
                <w:sz w:val="18"/>
                <w:szCs w:val="18"/>
              </w:rPr>
            </w:pPr>
          </w:p>
        </w:tc>
        <w:tc>
          <w:tcPr>
            <w:tcW w:w="1031" w:type="dxa"/>
            <w:vMerge w:val="continue"/>
            <w:noWrap w:val="0"/>
            <w:vAlign w:val="center"/>
          </w:tcPr>
          <w:p>
            <w:pPr>
              <w:jc w:val="center"/>
              <w:rPr>
                <w:rFonts w:hint="eastAsia" w:ascii="仿宋" w:hAnsi="仿宋" w:eastAsia="仿宋" w:cs="仿宋"/>
                <w:color w:val="000000"/>
                <w:sz w:val="18"/>
                <w:szCs w:val="18"/>
              </w:rPr>
            </w:pPr>
          </w:p>
        </w:tc>
        <w:tc>
          <w:tcPr>
            <w:tcW w:w="3525" w:type="dxa"/>
            <w:gridSpan w:val="2"/>
            <w:noWrap w:val="0"/>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基本合理（其他主要人员配置缺 1 项的）</w:t>
            </w:r>
          </w:p>
        </w:tc>
        <w:tc>
          <w:tcPr>
            <w:tcW w:w="720"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 xml:space="preserve">20 </w:t>
            </w:r>
          </w:p>
        </w:tc>
        <w:tc>
          <w:tcPr>
            <w:tcW w:w="900" w:type="dxa"/>
            <w:noWrap w:val="0"/>
            <w:vAlign w:val="center"/>
          </w:tcPr>
          <w:p>
            <w:pPr>
              <w:pStyle w:val="106"/>
              <w:rPr>
                <w:rFonts w:hint="eastAsia" w:ascii="仿宋" w:hAnsi="仿宋" w:eastAsia="仿宋" w:cs="仿宋"/>
                <w:sz w:val="18"/>
                <w:szCs w:val="18"/>
              </w:rPr>
            </w:pPr>
          </w:p>
        </w:tc>
        <w:tc>
          <w:tcPr>
            <w:tcW w:w="675" w:type="dxa"/>
            <w:noWrap w:val="0"/>
            <w:vAlign w:val="center"/>
          </w:tcPr>
          <w:p>
            <w:pPr>
              <w:jc w:val="center"/>
              <w:rPr>
                <w:rFonts w:hint="eastAsia" w:ascii="仿宋" w:hAnsi="仿宋" w:eastAsia="仿宋" w:cs="仿宋"/>
                <w:color w:val="000000"/>
                <w:kern w:val="0"/>
                <w:sz w:val="18"/>
                <w:szCs w:val="18"/>
              </w:rPr>
            </w:pPr>
          </w:p>
        </w:tc>
        <w:tc>
          <w:tcPr>
            <w:tcW w:w="798" w:type="dxa"/>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dxa"/>
            <w:vMerge w:val="continue"/>
            <w:noWrap w:val="0"/>
            <w:vAlign w:val="center"/>
          </w:tcPr>
          <w:p>
            <w:pPr>
              <w:jc w:val="center"/>
              <w:rPr>
                <w:rFonts w:hint="eastAsia" w:ascii="仿宋" w:hAnsi="仿宋" w:eastAsia="仿宋" w:cs="仿宋"/>
                <w:color w:val="000000"/>
                <w:kern w:val="0"/>
                <w:sz w:val="18"/>
                <w:szCs w:val="18"/>
              </w:rPr>
            </w:pPr>
          </w:p>
        </w:tc>
        <w:tc>
          <w:tcPr>
            <w:tcW w:w="592" w:type="dxa"/>
            <w:vMerge w:val="continue"/>
            <w:noWrap w:val="0"/>
            <w:vAlign w:val="center"/>
          </w:tcPr>
          <w:p>
            <w:pPr>
              <w:snapToGrid w:val="0"/>
              <w:jc w:val="center"/>
              <w:rPr>
                <w:rFonts w:hint="eastAsia" w:ascii="仿宋" w:hAnsi="仿宋" w:eastAsia="仿宋" w:cs="仿宋"/>
                <w:color w:val="000000"/>
              </w:rPr>
            </w:pPr>
          </w:p>
        </w:tc>
        <w:tc>
          <w:tcPr>
            <w:tcW w:w="889" w:type="dxa"/>
            <w:vMerge w:val="continue"/>
            <w:noWrap w:val="0"/>
            <w:vAlign w:val="center"/>
          </w:tcPr>
          <w:p>
            <w:pPr>
              <w:jc w:val="center"/>
              <w:rPr>
                <w:rFonts w:hint="eastAsia" w:ascii="仿宋" w:hAnsi="仿宋" w:eastAsia="仿宋" w:cs="仿宋"/>
                <w:color w:val="000000"/>
                <w:sz w:val="18"/>
                <w:szCs w:val="18"/>
              </w:rPr>
            </w:pPr>
          </w:p>
        </w:tc>
        <w:tc>
          <w:tcPr>
            <w:tcW w:w="1031" w:type="dxa"/>
            <w:vMerge w:val="continue"/>
            <w:noWrap w:val="0"/>
            <w:vAlign w:val="center"/>
          </w:tcPr>
          <w:p>
            <w:pPr>
              <w:jc w:val="center"/>
              <w:rPr>
                <w:rFonts w:hint="eastAsia" w:ascii="仿宋" w:hAnsi="仿宋" w:eastAsia="仿宋" w:cs="仿宋"/>
                <w:color w:val="000000"/>
                <w:sz w:val="18"/>
                <w:szCs w:val="18"/>
              </w:rPr>
            </w:pPr>
          </w:p>
        </w:tc>
        <w:tc>
          <w:tcPr>
            <w:tcW w:w="3525" w:type="dxa"/>
            <w:gridSpan w:val="2"/>
            <w:noWrap w:val="0"/>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欠合理 （其他主要人员配置缺 2项及以上的）</w:t>
            </w:r>
          </w:p>
        </w:tc>
        <w:tc>
          <w:tcPr>
            <w:tcW w:w="720"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 xml:space="preserve">0 </w:t>
            </w:r>
          </w:p>
        </w:tc>
        <w:tc>
          <w:tcPr>
            <w:tcW w:w="900" w:type="dxa"/>
            <w:noWrap w:val="0"/>
            <w:vAlign w:val="center"/>
          </w:tcPr>
          <w:p>
            <w:pPr>
              <w:pStyle w:val="106"/>
              <w:rPr>
                <w:rFonts w:hint="eastAsia" w:ascii="仿宋" w:hAnsi="仿宋" w:eastAsia="仿宋" w:cs="仿宋"/>
                <w:sz w:val="18"/>
                <w:szCs w:val="18"/>
              </w:rPr>
            </w:pPr>
          </w:p>
        </w:tc>
        <w:tc>
          <w:tcPr>
            <w:tcW w:w="675" w:type="dxa"/>
            <w:noWrap w:val="0"/>
            <w:vAlign w:val="center"/>
          </w:tcPr>
          <w:p>
            <w:pPr>
              <w:jc w:val="center"/>
              <w:rPr>
                <w:rFonts w:hint="eastAsia" w:ascii="仿宋" w:hAnsi="仿宋" w:eastAsia="仿宋" w:cs="仿宋"/>
                <w:color w:val="000000"/>
                <w:kern w:val="0"/>
                <w:sz w:val="18"/>
                <w:szCs w:val="18"/>
              </w:rPr>
            </w:pPr>
          </w:p>
        </w:tc>
        <w:tc>
          <w:tcPr>
            <w:tcW w:w="798" w:type="dxa"/>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dxa"/>
            <w:noWrap w:val="0"/>
            <w:vAlign w:val="center"/>
          </w:tcPr>
          <w:p>
            <w:pPr>
              <w:jc w:val="center"/>
              <w:rPr>
                <w:rFonts w:hint="eastAsia" w:ascii="仿宋" w:hAnsi="仿宋" w:eastAsia="仿宋" w:cs="仿宋"/>
                <w:color w:val="000000"/>
                <w:kern w:val="0"/>
              </w:rPr>
            </w:pPr>
          </w:p>
        </w:tc>
        <w:tc>
          <w:tcPr>
            <w:tcW w:w="6757" w:type="dxa"/>
            <w:gridSpan w:val="6"/>
            <w:noWrap w:val="0"/>
            <w:vAlign w:val="center"/>
          </w:tcPr>
          <w:p>
            <w:pPr>
              <w:jc w:val="center"/>
              <w:rPr>
                <w:rFonts w:hint="eastAsia" w:ascii="仿宋" w:hAnsi="仿宋" w:eastAsia="仿宋" w:cs="仿宋"/>
                <w:b/>
                <w:bCs/>
                <w:color w:val="000000"/>
                <w:kern w:val="0"/>
              </w:rPr>
            </w:pPr>
            <w:r>
              <w:rPr>
                <w:rFonts w:hint="eastAsia" w:ascii="仿宋" w:hAnsi="仿宋" w:eastAsia="仿宋" w:cs="仿宋"/>
                <w:b/>
                <w:bCs/>
                <w:color w:val="000000"/>
                <w:kern w:val="0"/>
              </w:rPr>
              <w:t>合计</w:t>
            </w:r>
          </w:p>
        </w:tc>
        <w:tc>
          <w:tcPr>
            <w:tcW w:w="900" w:type="dxa"/>
            <w:noWrap w:val="0"/>
            <w:vAlign w:val="center"/>
          </w:tcPr>
          <w:p>
            <w:pPr>
              <w:jc w:val="center"/>
              <w:rPr>
                <w:rFonts w:hint="eastAsia" w:ascii="仿宋" w:hAnsi="仿宋" w:eastAsia="仿宋" w:cs="仿宋"/>
                <w:color w:val="000000"/>
                <w:kern w:val="0"/>
              </w:rPr>
            </w:pPr>
          </w:p>
        </w:tc>
        <w:tc>
          <w:tcPr>
            <w:tcW w:w="675" w:type="dxa"/>
            <w:noWrap w:val="0"/>
            <w:vAlign w:val="center"/>
          </w:tcPr>
          <w:p>
            <w:pPr>
              <w:jc w:val="center"/>
              <w:rPr>
                <w:rFonts w:hint="eastAsia" w:ascii="仿宋" w:hAnsi="仿宋" w:eastAsia="仿宋" w:cs="仿宋"/>
                <w:color w:val="000000"/>
                <w:kern w:val="0"/>
              </w:rPr>
            </w:pPr>
          </w:p>
        </w:tc>
        <w:tc>
          <w:tcPr>
            <w:tcW w:w="798" w:type="dxa"/>
            <w:noWrap w:val="0"/>
            <w:vAlign w:val="center"/>
          </w:tcPr>
          <w:p>
            <w:pPr>
              <w:jc w:val="center"/>
              <w:rPr>
                <w:rFonts w:hint="eastAsia" w:ascii="仿宋" w:hAnsi="仿宋" w:eastAsia="仿宋" w:cs="仿宋"/>
                <w:color w:val="000000"/>
                <w:kern w:val="0"/>
              </w:rPr>
            </w:pPr>
          </w:p>
        </w:tc>
      </w:tr>
    </w:tbl>
    <w:p>
      <w:pPr>
        <w:spacing w:line="180" w:lineRule="exact"/>
        <w:rPr>
          <w:rFonts w:hint="eastAsia" w:ascii="仿宋" w:hAnsi="仿宋" w:eastAsia="仿宋" w:cs="仿宋"/>
          <w:color w:val="000000"/>
          <w:sz w:val="15"/>
          <w:szCs w:val="15"/>
        </w:rPr>
      </w:pPr>
      <w:r>
        <w:rPr>
          <w:rFonts w:hint="eastAsia" w:ascii="仿宋" w:hAnsi="仿宋" w:eastAsia="仿宋" w:cs="仿宋"/>
          <w:b/>
          <w:color w:val="000000"/>
          <w:sz w:val="15"/>
          <w:szCs w:val="15"/>
        </w:rPr>
        <w:t>备注：</w:t>
      </w:r>
      <w:r>
        <w:rPr>
          <w:rFonts w:hint="eastAsia" w:ascii="仿宋" w:hAnsi="仿宋" w:eastAsia="仿宋" w:cs="仿宋"/>
          <w:color w:val="000000"/>
          <w:sz w:val="15"/>
          <w:szCs w:val="15"/>
        </w:rPr>
        <w:t>1.本表小计总分为100分。由评标委员会集体评议，统一计分。评标委员会成员中对结论有不同意见时，按少数服从多数的原则，确定得分。</w:t>
      </w:r>
    </w:p>
    <w:p>
      <w:pPr>
        <w:spacing w:line="180" w:lineRule="exact"/>
        <w:ind w:firstLine="450" w:firstLineChars="300"/>
        <w:rPr>
          <w:rFonts w:hint="eastAsia" w:ascii="仿宋" w:hAnsi="仿宋" w:eastAsia="仿宋" w:cs="仿宋"/>
          <w:color w:val="000000"/>
          <w:sz w:val="15"/>
          <w:szCs w:val="15"/>
        </w:rPr>
      </w:pPr>
      <w:r>
        <w:rPr>
          <w:rFonts w:hint="eastAsia" w:ascii="仿宋" w:hAnsi="仿宋" w:eastAsia="仿宋" w:cs="仿宋"/>
          <w:color w:val="000000"/>
          <w:sz w:val="15"/>
          <w:szCs w:val="15"/>
        </w:rPr>
        <w:t>2. 凡在“全国建筑市场监管公共服务平台”或“湖南省智慧住建云”或“水利部水利建设市场监管平台”或“湖南省水利建设市场综合监管系统”建立信用档案的市场主体单位，其业绩、主要人员（项目负责人、技术负责人和专职安全员）资历在“全国建筑市场监管公共服务平台”或“湖南省智慧住建云”或“水利部水利建设市场监管平台”或“湖南省水利建设市场综合监管系统”没有相关信息的，评标中将不予认定。</w:t>
      </w:r>
    </w:p>
    <w:p>
      <w:pPr>
        <w:spacing w:line="180" w:lineRule="exact"/>
        <w:ind w:firstLine="450" w:firstLineChars="300"/>
        <w:rPr>
          <w:rFonts w:hint="eastAsia" w:ascii="仿宋" w:hAnsi="仿宋" w:eastAsia="仿宋" w:cs="仿宋"/>
          <w:color w:val="000000"/>
          <w:sz w:val="15"/>
          <w:szCs w:val="15"/>
        </w:rPr>
      </w:pPr>
      <w:r>
        <w:rPr>
          <w:rFonts w:hint="eastAsia" w:ascii="仿宋" w:hAnsi="仿宋" w:eastAsia="仿宋" w:cs="仿宋"/>
          <w:color w:val="000000"/>
          <w:sz w:val="15"/>
          <w:szCs w:val="15"/>
        </w:rPr>
        <w:t>3.任职资格的评价因素主要为执业资格、职称、从业经历、从事水利、农田建设项目工程的经验等内容。</w:t>
      </w:r>
    </w:p>
    <w:p>
      <w:pPr>
        <w:spacing w:line="180" w:lineRule="exact"/>
        <w:ind w:firstLine="450" w:firstLineChars="300"/>
        <w:rPr>
          <w:rFonts w:hint="eastAsia" w:ascii="仿宋" w:hAnsi="仿宋" w:eastAsia="仿宋" w:cs="仿宋"/>
          <w:color w:val="000000"/>
          <w:sz w:val="15"/>
          <w:szCs w:val="15"/>
        </w:rPr>
      </w:pPr>
      <w:r>
        <w:rPr>
          <w:rFonts w:hint="eastAsia" w:ascii="仿宋" w:hAnsi="仿宋" w:eastAsia="仿宋" w:cs="仿宋"/>
          <w:color w:val="000000"/>
          <w:sz w:val="15"/>
          <w:szCs w:val="15"/>
        </w:rPr>
        <w:t>4. 项目负责人、技术负责人处罚记录以有在湖南省农业农村厅、市州级农业农村局官网、“全国建筑市场监管公共服务平台”或“湖南省智慧住建云”或“水利部水利建设市场监管平台”或“湖南省水利建设市场综合监管系统”公示的信息为准；不良行为扣分有效期180天，自省厅（市州级农业农村局官网）公布之日起至提交投标文件截止之日止。外省区市公布的不良行为不计分；</w:t>
      </w:r>
    </w:p>
    <w:p>
      <w:pPr>
        <w:spacing w:line="180" w:lineRule="exact"/>
        <w:ind w:firstLine="450" w:firstLineChars="300"/>
        <w:rPr>
          <w:rFonts w:hint="eastAsia" w:ascii="仿宋" w:hAnsi="仿宋" w:eastAsia="仿宋" w:cs="仿宋"/>
          <w:color w:val="000000"/>
          <w:sz w:val="15"/>
          <w:szCs w:val="15"/>
        </w:rPr>
      </w:pPr>
      <w:r>
        <w:rPr>
          <w:rFonts w:hint="eastAsia" w:ascii="仿宋" w:hAnsi="仿宋" w:eastAsia="仿宋" w:cs="仿宋"/>
          <w:color w:val="000000"/>
          <w:sz w:val="15"/>
          <w:szCs w:val="15"/>
        </w:rPr>
        <w:t>5.其他主要人员指项目主要管理人员中项目负责人、技术负责人、安全员以外的项目管理人员。</w:t>
      </w:r>
    </w:p>
    <w:p>
      <w:pPr>
        <w:spacing w:line="180" w:lineRule="exact"/>
        <w:ind w:firstLine="452" w:firstLineChars="300"/>
        <w:rPr>
          <w:rFonts w:hint="eastAsia" w:ascii="仿宋" w:hAnsi="仿宋" w:eastAsia="仿宋" w:cs="仿宋"/>
          <w:b/>
          <w:bCs/>
          <w:color w:val="000000"/>
          <w:sz w:val="15"/>
          <w:szCs w:val="15"/>
        </w:rPr>
      </w:pPr>
      <w:r>
        <w:rPr>
          <w:rFonts w:hint="eastAsia" w:ascii="仿宋" w:hAnsi="仿宋" w:eastAsia="仿宋" w:cs="仿宋"/>
          <w:b/>
          <w:bCs/>
          <w:color w:val="000000"/>
          <w:sz w:val="15"/>
          <w:szCs w:val="15"/>
        </w:rPr>
        <w:t>6.项目负责人、技术负责人经验要求由招标人根据项目的具体情况在本文件第二章投标须知前附表第10.1款第3项确定。</w:t>
      </w:r>
    </w:p>
    <w:p>
      <w:pPr>
        <w:snapToGrid w:val="0"/>
        <w:spacing w:line="500" w:lineRule="exact"/>
        <w:rPr>
          <w:rFonts w:eastAsia="黑体"/>
          <w:bCs/>
          <w:color w:val="000000"/>
          <w:sz w:val="32"/>
          <w:szCs w:val="20"/>
        </w:rPr>
      </w:pPr>
      <w:r>
        <w:rPr>
          <w:rFonts w:hint="eastAsia" w:ascii="仿宋" w:hAnsi="仿宋" w:eastAsia="仿宋" w:cs="仿宋"/>
          <w:color w:val="000000"/>
          <w:sz w:val="28"/>
          <w:szCs w:val="28"/>
        </w:rPr>
        <w:t>评委签字：</w:t>
      </w:r>
      <w:r>
        <w:rPr>
          <w:rFonts w:hint="eastAsia" w:ascii="仿宋" w:hAnsi="仿宋" w:eastAsia="仿宋" w:cs="仿宋"/>
          <w:color w:val="000000"/>
          <w:sz w:val="28"/>
          <w:szCs w:val="28"/>
        </w:rPr>
        <w:br w:type="page"/>
      </w:r>
      <w:bookmarkStart w:id="834" w:name="_Toc511317992"/>
      <w:bookmarkStart w:id="835" w:name="_Toc511317243"/>
      <w:r>
        <w:rPr>
          <w:rFonts w:eastAsia="黑体"/>
          <w:bCs/>
          <w:color w:val="000000"/>
          <w:sz w:val="32"/>
          <w:szCs w:val="20"/>
        </w:rPr>
        <w:t>附表3-7（2）：详细评审</w:t>
      </w:r>
      <w:r>
        <w:rPr>
          <w:rFonts w:hint="eastAsia" w:eastAsia="黑体"/>
          <w:bCs/>
          <w:color w:val="000000"/>
          <w:sz w:val="32"/>
          <w:szCs w:val="20"/>
        </w:rPr>
        <w:t>－</w:t>
      </w:r>
      <w:r>
        <w:rPr>
          <w:rFonts w:eastAsia="黑体"/>
          <w:bCs/>
          <w:color w:val="000000"/>
          <w:sz w:val="32"/>
          <w:szCs w:val="20"/>
        </w:rPr>
        <w:t>信誉等其他评分因素评分标准表</w:t>
      </w:r>
      <w:bookmarkEnd w:id="834"/>
      <w:bookmarkEnd w:id="835"/>
      <w:r>
        <w:rPr>
          <w:rFonts w:eastAsia="黑体"/>
          <w:bCs/>
          <w:color w:val="000000"/>
          <w:sz w:val="32"/>
          <w:szCs w:val="20"/>
        </w:rPr>
        <w:t>（一）</w:t>
      </w:r>
    </w:p>
    <w:p>
      <w:pPr>
        <w:spacing w:line="600" w:lineRule="exact"/>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信誉等其他评分因素评分标准表（一）</w:t>
      </w:r>
    </w:p>
    <w:p>
      <w:pPr>
        <w:spacing w:line="440" w:lineRule="exact"/>
        <w:jc w:val="left"/>
        <w:rPr>
          <w:rFonts w:hint="eastAsia" w:ascii="仿宋" w:hAnsi="仿宋" w:eastAsia="仿宋" w:cs="仿宋"/>
          <w:color w:val="000000"/>
          <w:sz w:val="24"/>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（标段名称）</w:t>
      </w:r>
      <w:r>
        <w:rPr>
          <w:rFonts w:hint="eastAsia" w:ascii="仿宋" w:hAnsi="仿宋" w:eastAsia="仿宋" w:cs="仿宋"/>
          <w:color w:val="000000"/>
          <w:sz w:val="24"/>
          <w:u w:val="single"/>
        </w:rPr>
        <w:t xml:space="preserve">                      </w:t>
      </w:r>
    </w:p>
    <w:p>
      <w:pPr>
        <w:spacing w:line="440" w:lineRule="exact"/>
        <w:jc w:val="left"/>
        <w:rPr>
          <w:rFonts w:hint="eastAsia" w:ascii="仿宋" w:hAnsi="仿宋" w:eastAsia="仿宋" w:cs="仿宋"/>
          <w:color w:val="000000"/>
          <w:sz w:val="24"/>
        </w:rPr>
      </w:pPr>
      <w:r>
        <w:rPr>
          <w:rFonts w:hint="eastAsia" w:ascii="仿宋" w:hAnsi="仿宋" w:eastAsia="仿宋" w:cs="仿宋"/>
          <w:color w:val="000000"/>
          <w:sz w:val="24"/>
        </w:rPr>
        <w:t>项目管理编号：</w:t>
      </w:r>
      <w:r>
        <w:rPr>
          <w:rFonts w:hint="eastAsia" w:ascii="仿宋" w:hAnsi="仿宋" w:eastAsia="仿宋" w:cs="仿宋"/>
          <w:color w:val="000000"/>
          <w:sz w:val="24"/>
          <w:u w:val="single"/>
        </w:rPr>
        <w:t xml:space="preserve">                    </w:t>
      </w:r>
    </w:p>
    <w:tbl>
      <w:tblPr>
        <w:tblStyle w:val="47"/>
        <w:tblW w:w="90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784"/>
        <w:gridCol w:w="1348"/>
        <w:gridCol w:w="1134"/>
        <w:gridCol w:w="2835"/>
        <w:gridCol w:w="708"/>
        <w:gridCol w:w="567"/>
        <w:gridCol w:w="567"/>
        <w:gridCol w:w="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序号</w:t>
            </w:r>
          </w:p>
        </w:tc>
        <w:tc>
          <w:tcPr>
            <w:tcW w:w="784" w:type="dxa"/>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条款号</w:t>
            </w:r>
          </w:p>
        </w:tc>
        <w:tc>
          <w:tcPr>
            <w:tcW w:w="1348" w:type="dxa"/>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评分因素</w:t>
            </w:r>
          </w:p>
        </w:tc>
        <w:tc>
          <w:tcPr>
            <w:tcW w:w="4677" w:type="dxa"/>
            <w:gridSpan w:val="3"/>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评分标准</w:t>
            </w:r>
          </w:p>
        </w:tc>
        <w:tc>
          <w:tcPr>
            <w:tcW w:w="1710" w:type="dxa"/>
            <w:gridSpan w:val="3"/>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投标人名称及评审计分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snapToGrid w:val="0"/>
              <w:jc w:val="center"/>
              <w:rPr>
                <w:rFonts w:hint="eastAsia" w:ascii="仿宋" w:hAnsi="仿宋" w:eastAsia="仿宋" w:cs="仿宋"/>
                <w:color w:val="000000"/>
                <w:sz w:val="18"/>
                <w:szCs w:val="18"/>
              </w:rPr>
            </w:pPr>
          </w:p>
        </w:tc>
        <w:tc>
          <w:tcPr>
            <w:tcW w:w="4677" w:type="dxa"/>
            <w:gridSpan w:val="3"/>
            <w:vMerge w:val="continue"/>
            <w:noWrap w:val="0"/>
            <w:vAlign w:val="center"/>
          </w:tcPr>
          <w:p>
            <w:pPr>
              <w:snapToGrid w:val="0"/>
              <w:jc w:val="center"/>
              <w:rPr>
                <w:rFonts w:hint="eastAsia" w:ascii="仿宋" w:hAnsi="仿宋" w:eastAsia="仿宋" w:cs="仿宋"/>
                <w:color w:val="000000"/>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w:t>
            </w:r>
          </w:p>
        </w:tc>
        <w:tc>
          <w:tcPr>
            <w:tcW w:w="567"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2</w:t>
            </w:r>
          </w:p>
        </w:tc>
        <w:tc>
          <w:tcPr>
            <w:tcW w:w="576"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snapToGrid w:val="0"/>
              <w:jc w:val="center"/>
              <w:rPr>
                <w:rFonts w:hint="eastAsia" w:ascii="仿宋" w:hAnsi="仿宋" w:eastAsia="仿宋" w:cs="仿宋"/>
                <w:color w:val="000000"/>
                <w:sz w:val="18"/>
                <w:szCs w:val="18"/>
              </w:rPr>
            </w:pPr>
          </w:p>
        </w:tc>
        <w:tc>
          <w:tcPr>
            <w:tcW w:w="4677" w:type="dxa"/>
            <w:gridSpan w:val="3"/>
            <w:vMerge w:val="continue"/>
            <w:noWrap w:val="0"/>
            <w:vAlign w:val="center"/>
          </w:tcPr>
          <w:p>
            <w:pPr>
              <w:snapToGrid w:val="0"/>
              <w:jc w:val="center"/>
              <w:rPr>
                <w:rFonts w:hint="eastAsia" w:ascii="仿宋" w:hAnsi="仿宋" w:eastAsia="仿宋" w:cs="仿宋"/>
                <w:color w:val="000000"/>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exac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w:t>
            </w:r>
          </w:p>
        </w:tc>
        <w:tc>
          <w:tcPr>
            <w:tcW w:w="784" w:type="dxa"/>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2.2.4（2）</w:t>
            </w:r>
          </w:p>
        </w:tc>
        <w:tc>
          <w:tcPr>
            <w:tcW w:w="1348"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投标人信用等级</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（0～45分）</w:t>
            </w:r>
          </w:p>
        </w:tc>
        <w:tc>
          <w:tcPr>
            <w:tcW w:w="3969" w:type="dxa"/>
            <w:gridSpan w:val="2"/>
            <w:noWrap w:val="0"/>
            <w:vAlign w:val="center"/>
          </w:tcPr>
          <w:p>
            <w:pPr>
              <w:tabs>
                <w:tab w:val="left" w:pos="420"/>
              </w:tabs>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湖南省智慧住建云－公共服务平台—诚信评价（90-100分）或信用等级（全国水利建设市场主体）为AAA级或信用等级（湖南省水利建设市场主体）A+级（100％）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76" w:type="dxa"/>
            <w:vMerge w:val="restart"/>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snapToGrid w:val="0"/>
              <w:jc w:val="center"/>
              <w:rPr>
                <w:rFonts w:hint="eastAsia" w:ascii="仿宋" w:hAnsi="仿宋" w:eastAsia="仿宋" w:cs="仿宋"/>
                <w:color w:val="000000"/>
                <w:sz w:val="18"/>
                <w:szCs w:val="18"/>
              </w:rPr>
            </w:pPr>
          </w:p>
        </w:tc>
        <w:tc>
          <w:tcPr>
            <w:tcW w:w="3969" w:type="dxa"/>
            <w:gridSpan w:val="2"/>
            <w:noWrap w:val="0"/>
            <w:vAlign w:val="center"/>
          </w:tcPr>
          <w:p>
            <w:pPr>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湖南省智慧住建云－公共服务平台—诚信评价（80-89分）或信用等级（全国水利建设市场主体）为AA级或信用等级（湖南省水利建设市场主体）A级（85％）</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snapToGrid w:val="0"/>
              <w:jc w:val="center"/>
              <w:rPr>
                <w:rFonts w:hint="eastAsia" w:ascii="仿宋" w:hAnsi="仿宋" w:eastAsia="仿宋" w:cs="仿宋"/>
                <w:color w:val="000000"/>
                <w:sz w:val="18"/>
                <w:szCs w:val="18"/>
              </w:rPr>
            </w:pPr>
          </w:p>
        </w:tc>
        <w:tc>
          <w:tcPr>
            <w:tcW w:w="3969" w:type="dxa"/>
            <w:gridSpan w:val="2"/>
            <w:noWrap w:val="0"/>
            <w:vAlign w:val="center"/>
          </w:tcPr>
          <w:p>
            <w:pPr>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湖南省智慧住建云－公共服务平台—诚信评价（70-79分）或信用等级（全国水利建设市场主体）为A级或信用等级（湖南省水利建设市场主体）A-级（70％）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snapToGrid w:val="0"/>
              <w:jc w:val="center"/>
              <w:rPr>
                <w:rFonts w:hint="eastAsia" w:ascii="仿宋" w:hAnsi="仿宋" w:eastAsia="仿宋" w:cs="仿宋"/>
                <w:color w:val="000000"/>
                <w:sz w:val="18"/>
                <w:szCs w:val="18"/>
              </w:rPr>
            </w:pPr>
          </w:p>
        </w:tc>
        <w:tc>
          <w:tcPr>
            <w:tcW w:w="3969" w:type="dxa"/>
            <w:gridSpan w:val="2"/>
            <w:noWrap w:val="0"/>
            <w:vAlign w:val="center"/>
          </w:tcPr>
          <w:p>
            <w:pPr>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湖南省智慧住建云－公共服务平台—诚信评价（60-69分）或信用等级（全国水利建设市场主体）为B级或信用等级（湖南省水利建设市场主体）B级（55％）</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3969" w:type="dxa"/>
            <w:gridSpan w:val="2"/>
            <w:noWrap w:val="0"/>
            <w:vAlign w:val="center"/>
          </w:tcPr>
          <w:p>
            <w:pPr>
              <w:pStyle w:val="106"/>
              <w:snapToGrid w:val="0"/>
              <w:jc w:val="both"/>
              <w:rPr>
                <w:rFonts w:hint="eastAsia" w:ascii="仿宋" w:hAnsi="仿宋" w:eastAsia="仿宋" w:cs="仿宋"/>
                <w:sz w:val="18"/>
                <w:szCs w:val="18"/>
              </w:rPr>
            </w:pPr>
            <w:r>
              <w:rPr>
                <w:rFonts w:hint="eastAsia" w:ascii="仿宋" w:hAnsi="仿宋" w:eastAsia="仿宋" w:cs="仿宋"/>
                <w:sz w:val="18"/>
                <w:szCs w:val="18"/>
              </w:rPr>
              <w:t>湖南省智慧住建云－公共服务平台—诚信评价（60分以下，不包含60分）或信用等级（全国水利建设市场主体）为C级或信用等级（湖南省水利建设市场主体）C级（0分）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574"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2</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noWrap w:val="0"/>
            <w:vAlign w:val="center"/>
          </w:tcPr>
          <w:p>
            <w:pPr>
              <w:pStyle w:val="106"/>
              <w:snapToGrid w:val="0"/>
              <w:jc w:val="center"/>
              <w:rPr>
                <w:rFonts w:hint="eastAsia" w:ascii="仿宋" w:hAnsi="仿宋" w:eastAsia="仿宋" w:cs="仿宋"/>
                <w:b/>
                <w:sz w:val="18"/>
                <w:szCs w:val="18"/>
              </w:rPr>
            </w:pPr>
            <w:r>
              <w:rPr>
                <w:rFonts w:hint="eastAsia" w:ascii="仿宋" w:hAnsi="仿宋" w:eastAsia="仿宋" w:cs="仿宋"/>
                <w:sz w:val="18"/>
                <w:szCs w:val="18"/>
              </w:rPr>
              <w:t>类似项目经验（近</w:t>
            </w:r>
            <w:r>
              <w:rPr>
                <w:rFonts w:hint="eastAsia" w:ascii="仿宋" w:hAnsi="仿宋" w:eastAsia="仿宋" w:cs="仿宋"/>
                <w:sz w:val="18"/>
                <w:szCs w:val="18"/>
                <w:u w:val="single"/>
              </w:rPr>
              <w:t xml:space="preserve">   </w:t>
            </w:r>
            <w:r>
              <w:rPr>
                <w:rFonts w:hint="eastAsia" w:ascii="仿宋" w:hAnsi="仿宋" w:eastAsia="仿宋" w:cs="仿宋"/>
                <w:sz w:val="18"/>
                <w:szCs w:val="18"/>
              </w:rPr>
              <w:t>年）（0～40分）</w:t>
            </w:r>
          </w:p>
        </w:tc>
        <w:tc>
          <w:tcPr>
            <w:tcW w:w="4677" w:type="dxa"/>
            <w:gridSpan w:val="3"/>
            <w:noWrap w:val="0"/>
            <w:vAlign w:val="center"/>
          </w:tcPr>
          <w:p>
            <w:pPr>
              <w:pStyle w:val="106"/>
              <w:snapToGrid w:val="0"/>
              <w:ind w:firstLine="180" w:firstLineChars="100"/>
              <w:rPr>
                <w:rFonts w:hint="eastAsia" w:ascii="仿宋" w:hAnsi="仿宋" w:eastAsia="仿宋" w:cs="仿宋"/>
                <w:sz w:val="18"/>
                <w:szCs w:val="18"/>
              </w:rPr>
            </w:pPr>
            <w:r>
              <w:rPr>
                <w:rFonts w:hint="eastAsia" w:ascii="仿宋" w:hAnsi="仿宋" w:eastAsia="仿宋" w:cs="仿宋"/>
                <w:sz w:val="18"/>
                <w:szCs w:val="18"/>
              </w:rPr>
              <w:t>满足招标文件的计</w:t>
            </w:r>
            <w:r>
              <w:rPr>
                <w:rFonts w:hint="eastAsia" w:ascii="仿宋" w:hAnsi="仿宋" w:eastAsia="仿宋" w:cs="仿宋"/>
                <w:sz w:val="18"/>
                <w:szCs w:val="18"/>
                <w:u w:val="single"/>
              </w:rPr>
              <w:t xml:space="preserve">  </w:t>
            </w:r>
            <w:r>
              <w:rPr>
                <w:rFonts w:hint="eastAsia" w:ascii="仿宋" w:hAnsi="仿宋" w:eastAsia="仿宋" w:cs="仿宋"/>
                <w:sz w:val="18"/>
                <w:szCs w:val="18"/>
              </w:rPr>
              <w:t>分，每增加一个类似业绩加</w:t>
            </w:r>
            <w:r>
              <w:rPr>
                <w:rFonts w:hint="eastAsia" w:ascii="仿宋" w:hAnsi="仿宋" w:eastAsia="仿宋" w:cs="仿宋"/>
                <w:sz w:val="18"/>
                <w:szCs w:val="18"/>
                <w:u w:val="single"/>
              </w:rPr>
              <w:t xml:space="preserve">  </w:t>
            </w:r>
            <w:r>
              <w:rPr>
                <w:rFonts w:hint="eastAsia" w:ascii="仿宋" w:hAnsi="仿宋" w:eastAsia="仿宋" w:cs="仿宋"/>
                <w:sz w:val="18"/>
                <w:szCs w:val="18"/>
              </w:rPr>
              <w:t>分，最多增加二个类似业绩。</w:t>
            </w: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3</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财务状况</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（10～20分）</w:t>
            </w:r>
          </w:p>
        </w:tc>
        <w:tc>
          <w:tcPr>
            <w:tcW w:w="1134"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流动比率（4～7分）</w:t>
            </w:r>
          </w:p>
        </w:tc>
        <w:tc>
          <w:tcPr>
            <w:tcW w:w="2835"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流动比率2倍（含）以上</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76" w:type="dxa"/>
            <w:vMerge w:val="restart"/>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vMerge w:val="continue"/>
            <w:noWrap w:val="0"/>
            <w:vAlign w:val="center"/>
          </w:tcPr>
          <w:p>
            <w:pPr>
              <w:pStyle w:val="106"/>
              <w:snapToGrid w:val="0"/>
              <w:jc w:val="center"/>
              <w:rPr>
                <w:rFonts w:hint="eastAsia" w:ascii="仿宋" w:hAnsi="仿宋" w:eastAsia="仿宋" w:cs="仿宋"/>
                <w:sz w:val="18"/>
                <w:szCs w:val="18"/>
              </w:rPr>
            </w:pPr>
          </w:p>
        </w:tc>
        <w:tc>
          <w:tcPr>
            <w:tcW w:w="2835"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流动比率2倍以下</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企业利润（2～6分）</w:t>
            </w:r>
          </w:p>
        </w:tc>
        <w:tc>
          <w:tcPr>
            <w:tcW w:w="2835"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净利润＞0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企业资产负债率</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（4～7分）</w:t>
            </w:r>
          </w:p>
        </w:tc>
        <w:tc>
          <w:tcPr>
            <w:tcW w:w="2835"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资产负债率＜70％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76" w:type="dxa"/>
            <w:vMerge w:val="restart"/>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vMerge w:val="continue"/>
            <w:noWrap w:val="0"/>
            <w:vAlign w:val="center"/>
          </w:tcPr>
          <w:p>
            <w:pPr>
              <w:pStyle w:val="106"/>
              <w:snapToGrid w:val="0"/>
              <w:jc w:val="center"/>
              <w:rPr>
                <w:rFonts w:hint="eastAsia" w:ascii="仿宋" w:hAnsi="仿宋" w:eastAsia="仿宋" w:cs="仿宋"/>
                <w:sz w:val="18"/>
                <w:szCs w:val="18"/>
              </w:rPr>
            </w:pPr>
          </w:p>
        </w:tc>
        <w:tc>
          <w:tcPr>
            <w:tcW w:w="2835"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sz w:val="18"/>
                <w:szCs w:val="18"/>
              </w:rPr>
              <w:t>90％＞资产负债率≥70％</w:t>
            </w:r>
          </w:p>
        </w:tc>
        <w:tc>
          <w:tcPr>
            <w:tcW w:w="708" w:type="dxa"/>
            <w:noWrap w:val="0"/>
            <w:vAlign w:val="center"/>
          </w:tcPr>
          <w:p>
            <w:pPr>
              <w:snapToGrid w:val="0"/>
              <w:jc w:val="center"/>
              <w:rPr>
                <w:rFonts w:hint="eastAsia" w:ascii="仿宋" w:hAnsi="仿宋" w:eastAsia="仿宋" w:cs="仿宋"/>
                <w:color w:val="000000"/>
                <w:kern w:val="0"/>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4</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工程获奖</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（近</w:t>
            </w:r>
            <w:r>
              <w:rPr>
                <w:rFonts w:hint="eastAsia" w:ascii="仿宋" w:hAnsi="仿宋" w:eastAsia="仿宋" w:cs="仿宋"/>
                <w:sz w:val="18"/>
                <w:szCs w:val="18"/>
                <w:u w:val="single"/>
              </w:rPr>
              <w:t xml:space="preserve">   </w:t>
            </w:r>
            <w:r>
              <w:rPr>
                <w:rFonts w:hint="eastAsia" w:ascii="仿宋" w:hAnsi="仿宋" w:eastAsia="仿宋" w:cs="仿宋"/>
                <w:sz w:val="18"/>
                <w:szCs w:val="18"/>
              </w:rPr>
              <w:t>年）</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（0～20分）</w:t>
            </w:r>
          </w:p>
        </w:tc>
        <w:tc>
          <w:tcPr>
            <w:tcW w:w="1134" w:type="dxa"/>
            <w:noWrap w:val="0"/>
            <w:vAlign w:val="center"/>
          </w:tcPr>
          <w:p>
            <w:pPr>
              <w:pStyle w:val="106"/>
              <w:snapToGrid w:val="0"/>
              <w:jc w:val="center"/>
              <w:rPr>
                <w:rFonts w:ascii="仿宋" w:hAnsi="仿宋" w:eastAsia="仿宋" w:cs="仿宋"/>
                <w:sz w:val="18"/>
                <w:szCs w:val="18"/>
              </w:rPr>
            </w:pPr>
            <w:r>
              <w:rPr>
                <w:rFonts w:hint="eastAsia" w:ascii="仿宋" w:hAnsi="仿宋" w:eastAsia="仿宋" w:cs="仿宋"/>
                <w:sz w:val="18"/>
                <w:szCs w:val="18"/>
              </w:rPr>
              <w:t>0～20</w:t>
            </w:r>
          </w:p>
        </w:tc>
        <w:tc>
          <w:tcPr>
            <w:tcW w:w="2835" w:type="dxa"/>
            <w:noWrap w:val="0"/>
            <w:vAlign w:val="center"/>
          </w:tcPr>
          <w:p>
            <w:pPr>
              <w:pStyle w:val="106"/>
              <w:snapToGrid w:val="0"/>
              <w:rPr>
                <w:rFonts w:hint="eastAsia" w:ascii="仿宋" w:hAnsi="仿宋" w:eastAsia="仿宋" w:cs="仿宋"/>
                <w:sz w:val="18"/>
                <w:szCs w:val="18"/>
                <w:u w:val="single"/>
              </w:rPr>
            </w:pPr>
            <w:r>
              <w:rPr>
                <w:rFonts w:hint="eastAsia" w:ascii="仿宋" w:hAnsi="仿宋" w:eastAsia="仿宋" w:cs="仿宋"/>
                <w:sz w:val="18"/>
                <w:szCs w:val="18"/>
              </w:rPr>
              <w:t>国家优质工程奖、农业农村部质量奖（均指农田建设项目工程获奖），每项计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0～15</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省政府或省级农业农村主管部门颁发的优质农田建设项目工程奖项每项计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0～12</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市政府或市级农业农村主管部门颁发的优质农田建设项目工程奖项每项计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exac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5</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年度考核</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（近</w:t>
            </w:r>
            <w:r>
              <w:rPr>
                <w:rFonts w:hint="eastAsia" w:ascii="仿宋" w:hAnsi="仿宋" w:eastAsia="仿宋" w:cs="仿宋"/>
                <w:sz w:val="18"/>
                <w:szCs w:val="18"/>
                <w:u w:val="single"/>
              </w:rPr>
              <w:t xml:space="preserve">  </w:t>
            </w:r>
            <w:r>
              <w:rPr>
                <w:rFonts w:hint="eastAsia" w:ascii="仿宋" w:hAnsi="仿宋" w:eastAsia="仿宋" w:cs="仿宋"/>
                <w:sz w:val="18"/>
                <w:szCs w:val="18"/>
              </w:rPr>
              <w:t>年）</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（18～35分）</w:t>
            </w:r>
          </w:p>
        </w:tc>
        <w:tc>
          <w:tcPr>
            <w:tcW w:w="1134" w:type="dxa"/>
            <w:noWrap w:val="0"/>
            <w:vAlign w:val="center"/>
          </w:tcPr>
          <w:p>
            <w:pPr>
              <w:pStyle w:val="106"/>
              <w:snapToGrid w:val="0"/>
              <w:jc w:val="center"/>
              <w:rPr>
                <w:rFonts w:ascii="仿宋" w:hAnsi="仿宋" w:eastAsia="仿宋" w:cs="仿宋"/>
                <w:sz w:val="18"/>
                <w:szCs w:val="18"/>
              </w:rPr>
            </w:pPr>
            <w:r>
              <w:rPr>
                <w:rFonts w:hint="eastAsia" w:ascii="仿宋" w:hAnsi="仿宋" w:eastAsia="仿宋" w:cs="仿宋"/>
                <w:sz w:val="18"/>
                <w:szCs w:val="18"/>
              </w:rPr>
              <w:t>21～35</w:t>
            </w:r>
          </w:p>
        </w:tc>
        <w:tc>
          <w:tcPr>
            <w:tcW w:w="2835" w:type="dxa"/>
            <w:noWrap w:val="0"/>
            <w:vAlign w:val="center"/>
          </w:tcPr>
          <w:p>
            <w:pPr>
              <w:pStyle w:val="106"/>
              <w:snapToGrid w:val="0"/>
              <w:rPr>
                <w:rFonts w:ascii="仿宋" w:hAnsi="仿宋" w:eastAsia="仿宋" w:cs="仿宋"/>
                <w:sz w:val="18"/>
                <w:szCs w:val="18"/>
              </w:rPr>
            </w:pPr>
            <w:r>
              <w:rPr>
                <w:rFonts w:hint="eastAsia" w:ascii="仿宋" w:hAnsi="仿宋" w:eastAsia="仿宋" w:cs="仿宋"/>
                <w:sz w:val="18"/>
                <w:szCs w:val="18"/>
              </w:rPr>
              <w:t>省级农业农村主管部门考核第一名100%；第二名95%；第三名85%；其他60%；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ascii="仿宋" w:hAnsi="仿宋" w:eastAsia="仿宋" w:cs="仿宋"/>
                <w:sz w:val="18"/>
                <w:szCs w:val="18"/>
              </w:rPr>
            </w:pPr>
            <w:r>
              <w:rPr>
                <w:rFonts w:hint="eastAsia" w:ascii="仿宋" w:hAnsi="仿宋" w:eastAsia="仿宋" w:cs="仿宋"/>
                <w:sz w:val="18"/>
                <w:szCs w:val="18"/>
              </w:rPr>
              <w:t>18～30</w:t>
            </w:r>
          </w:p>
        </w:tc>
        <w:tc>
          <w:tcPr>
            <w:tcW w:w="2835" w:type="dxa"/>
            <w:noWrap w:val="0"/>
            <w:vAlign w:val="center"/>
          </w:tcPr>
          <w:p>
            <w:pPr>
              <w:pStyle w:val="106"/>
              <w:snapToGrid w:val="0"/>
              <w:rPr>
                <w:rFonts w:ascii="仿宋" w:hAnsi="仿宋" w:eastAsia="仿宋" w:cs="仿宋"/>
                <w:sz w:val="18"/>
                <w:szCs w:val="18"/>
              </w:rPr>
            </w:pPr>
            <w:r>
              <w:rPr>
                <w:rFonts w:hint="eastAsia" w:ascii="仿宋" w:hAnsi="仿宋" w:eastAsia="仿宋" w:cs="仿宋"/>
                <w:sz w:val="18"/>
                <w:szCs w:val="18"/>
              </w:rPr>
              <w:t>县/区级农业农村主管部门考核第一名100%；第二名95%；第三名85%；其他60%；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exac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6</w:t>
            </w:r>
          </w:p>
        </w:tc>
        <w:tc>
          <w:tcPr>
            <w:tcW w:w="784" w:type="dxa"/>
            <w:vMerge w:val="restart"/>
            <w:noWrap w:val="0"/>
            <w:vAlign w:val="center"/>
          </w:tcPr>
          <w:p>
            <w:pPr>
              <w:snapToGrid w:val="0"/>
              <w:jc w:val="center"/>
              <w:rPr>
                <w:rFonts w:hint="eastAsia" w:ascii="仿宋" w:hAnsi="仿宋" w:eastAsia="仿宋" w:cs="仿宋"/>
                <w:color w:val="000000"/>
                <w:sz w:val="18"/>
                <w:szCs w:val="18"/>
              </w:rPr>
            </w:pPr>
          </w:p>
        </w:tc>
        <w:tc>
          <w:tcPr>
            <w:tcW w:w="1348"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技术创新</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（近</w:t>
            </w:r>
            <w:r>
              <w:rPr>
                <w:rFonts w:hint="eastAsia" w:ascii="仿宋" w:hAnsi="仿宋" w:eastAsia="仿宋" w:cs="仿宋"/>
                <w:sz w:val="18"/>
                <w:szCs w:val="18"/>
                <w:u w:val="single"/>
              </w:rPr>
              <w:t xml:space="preserve">    </w:t>
            </w:r>
            <w:r>
              <w:rPr>
                <w:rFonts w:hint="eastAsia" w:ascii="仿宋" w:hAnsi="仿宋" w:eastAsia="仿宋" w:cs="仿宋"/>
                <w:sz w:val="18"/>
                <w:szCs w:val="18"/>
              </w:rPr>
              <w:t>年）</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（0～15分）</w:t>
            </w: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0～8</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国家科技进步奖或国家技术发明奖（均指农田建设项目工程获奖）每项计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0～4</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省科技进步奖或省技术发明奖（均指农田建设项目工程获奖）每项计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0～3</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省级行业协会（学会）颁发的科技进步奖（均指农田建设项目工程获奖）每项计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574" w:type="dxa"/>
            <w:noWrap w:val="0"/>
            <w:vAlign w:val="center"/>
          </w:tcPr>
          <w:p>
            <w:pPr>
              <w:snapToGrid w:val="0"/>
              <w:jc w:val="center"/>
              <w:rPr>
                <w:rFonts w:hint="eastAsia" w:ascii="仿宋" w:hAnsi="仿宋" w:eastAsia="仿宋" w:cs="仿宋"/>
                <w:color w:val="000000"/>
                <w:kern w:val="0"/>
              </w:rPr>
            </w:pPr>
          </w:p>
        </w:tc>
        <w:tc>
          <w:tcPr>
            <w:tcW w:w="6809" w:type="dxa"/>
            <w:gridSpan w:val="5"/>
            <w:noWrap w:val="0"/>
            <w:vAlign w:val="center"/>
          </w:tcPr>
          <w:p>
            <w:pPr>
              <w:snapToGrid w:val="0"/>
              <w:jc w:val="center"/>
              <w:rPr>
                <w:rFonts w:hint="eastAsia" w:ascii="仿宋" w:hAnsi="仿宋" w:eastAsia="仿宋" w:cs="仿宋"/>
                <w:b/>
                <w:bCs/>
                <w:color w:val="000000"/>
                <w:kern w:val="0"/>
              </w:rPr>
            </w:pPr>
            <w:r>
              <w:rPr>
                <w:rFonts w:hint="eastAsia" w:ascii="仿宋" w:hAnsi="仿宋" w:eastAsia="仿宋" w:cs="仿宋"/>
                <w:b/>
                <w:bCs/>
                <w:color w:val="000000"/>
                <w:kern w:val="0"/>
              </w:rPr>
              <w:t>合计</w:t>
            </w:r>
          </w:p>
        </w:tc>
        <w:tc>
          <w:tcPr>
            <w:tcW w:w="567" w:type="dxa"/>
            <w:noWrap w:val="0"/>
            <w:vAlign w:val="center"/>
          </w:tcPr>
          <w:p>
            <w:pPr>
              <w:snapToGrid w:val="0"/>
              <w:jc w:val="center"/>
              <w:rPr>
                <w:rFonts w:hint="eastAsia" w:ascii="仿宋" w:hAnsi="仿宋" w:eastAsia="仿宋" w:cs="仿宋"/>
                <w:color w:val="000000"/>
                <w:kern w:val="0"/>
              </w:rPr>
            </w:pPr>
          </w:p>
        </w:tc>
        <w:tc>
          <w:tcPr>
            <w:tcW w:w="567" w:type="dxa"/>
            <w:noWrap w:val="0"/>
            <w:vAlign w:val="center"/>
          </w:tcPr>
          <w:p>
            <w:pPr>
              <w:snapToGrid w:val="0"/>
              <w:jc w:val="center"/>
              <w:rPr>
                <w:rFonts w:hint="eastAsia" w:ascii="仿宋" w:hAnsi="仿宋" w:eastAsia="仿宋" w:cs="仿宋"/>
                <w:color w:val="000000"/>
                <w:kern w:val="0"/>
              </w:rPr>
            </w:pPr>
          </w:p>
        </w:tc>
        <w:tc>
          <w:tcPr>
            <w:tcW w:w="576" w:type="dxa"/>
            <w:noWrap w:val="0"/>
            <w:vAlign w:val="center"/>
          </w:tcPr>
          <w:p>
            <w:pPr>
              <w:snapToGrid w:val="0"/>
              <w:jc w:val="center"/>
              <w:rPr>
                <w:rFonts w:hint="eastAsia" w:ascii="仿宋" w:hAnsi="仿宋" w:eastAsia="仿宋" w:cs="仿宋"/>
                <w:color w:val="000000"/>
                <w:kern w:val="0"/>
              </w:rPr>
            </w:pPr>
          </w:p>
        </w:tc>
      </w:tr>
    </w:tbl>
    <w:p>
      <w:pPr>
        <w:ind w:firstLine="361" w:firstLineChars="200"/>
        <w:jc w:val="left"/>
        <w:rPr>
          <w:rFonts w:hint="eastAsia" w:ascii="仿宋" w:hAnsi="仿宋" w:eastAsia="仿宋" w:cs="仿宋"/>
          <w:b/>
          <w:color w:val="000000"/>
          <w:kern w:val="0"/>
          <w:sz w:val="18"/>
          <w:szCs w:val="18"/>
        </w:rPr>
      </w:pPr>
      <w:r>
        <w:rPr>
          <w:rFonts w:hint="eastAsia" w:ascii="仿宋" w:hAnsi="仿宋" w:eastAsia="仿宋" w:cs="仿宋"/>
          <w:b/>
          <w:color w:val="000000"/>
          <w:kern w:val="0"/>
          <w:sz w:val="18"/>
          <w:szCs w:val="18"/>
        </w:rPr>
        <w:t>备注：</w:t>
      </w:r>
    </w:p>
    <w:p>
      <w:pPr>
        <w:ind w:firstLine="360" w:firstLineChars="200"/>
        <w:jc w:val="left"/>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1.本表适用于非联合体投标人评审。</w:t>
      </w:r>
    </w:p>
    <w:p>
      <w:pPr>
        <w:ind w:firstLine="360" w:firstLineChars="200"/>
        <w:jc w:val="left"/>
        <w:rPr>
          <w:rFonts w:hint="eastAsia" w:ascii="仿宋" w:hAnsi="仿宋" w:eastAsia="仿宋" w:cs="仿宋"/>
          <w:color w:val="000000"/>
          <w:sz w:val="18"/>
          <w:szCs w:val="18"/>
        </w:rPr>
      </w:pPr>
      <w:r>
        <w:rPr>
          <w:rFonts w:hint="eastAsia" w:ascii="仿宋" w:hAnsi="仿宋" w:eastAsia="仿宋" w:cs="仿宋"/>
          <w:color w:val="000000"/>
          <w:kern w:val="0"/>
          <w:sz w:val="18"/>
          <w:szCs w:val="18"/>
        </w:rPr>
        <w:t>2.本表小计总分为100分。</w:t>
      </w:r>
      <w:r>
        <w:rPr>
          <w:rFonts w:hint="eastAsia" w:ascii="仿宋" w:hAnsi="仿宋" w:eastAsia="仿宋" w:cs="仿宋"/>
          <w:color w:val="000000"/>
          <w:sz w:val="18"/>
          <w:szCs w:val="18"/>
        </w:rPr>
        <w:t>由评标委员会集体评议，统一计分。评标委员会成员中对结论有不同意见时，按少数服从多数的原则，确定得分。</w:t>
      </w:r>
    </w:p>
    <w:p>
      <w:pPr>
        <w:pStyle w:val="164"/>
        <w:widowControl w:val="0"/>
        <w:snapToGrid w:val="0"/>
        <w:spacing w:before="0" w:beforeAutospacing="0" w:after="0" w:afterAutospacing="0"/>
        <w:ind w:firstLine="361" w:firstLineChars="200"/>
        <w:rPr>
          <w:rFonts w:hint="eastAsia" w:ascii="仿宋" w:hAnsi="仿宋" w:eastAsia="仿宋" w:cs="仿宋"/>
          <w:b/>
          <w:bCs/>
          <w:color w:val="000000"/>
          <w:sz w:val="18"/>
          <w:szCs w:val="18"/>
        </w:rPr>
      </w:pPr>
      <w:r>
        <w:rPr>
          <w:rFonts w:hint="eastAsia" w:ascii="仿宋" w:hAnsi="仿宋" w:eastAsia="仿宋" w:cs="仿宋"/>
          <w:b/>
          <w:bCs/>
          <w:color w:val="000000"/>
          <w:sz w:val="18"/>
          <w:szCs w:val="18"/>
        </w:rPr>
        <w:t>3.（1）以建筑工程施工总承包或市政公用工程施工总承包资质投标时，信用评价情况采用提交投标文件截止之时最新公告的信用评价结果。评标时以在“湖南省智慧住建云”中查询的结果为准；</w:t>
      </w:r>
    </w:p>
    <w:p>
      <w:pPr>
        <w:pStyle w:val="164"/>
        <w:widowControl w:val="0"/>
        <w:snapToGrid w:val="0"/>
        <w:spacing w:before="0" w:beforeAutospacing="0" w:after="0" w:afterAutospacing="0"/>
        <w:ind w:firstLine="361" w:firstLineChars="200"/>
        <w:rPr>
          <w:rFonts w:hint="eastAsia" w:ascii="仿宋" w:hAnsi="仿宋" w:eastAsia="仿宋" w:cs="仿宋"/>
          <w:b/>
          <w:bCs/>
          <w:color w:val="000000"/>
          <w:sz w:val="18"/>
          <w:szCs w:val="18"/>
        </w:rPr>
      </w:pPr>
      <w:r>
        <w:rPr>
          <w:rFonts w:hint="eastAsia" w:ascii="仿宋" w:hAnsi="仿宋" w:eastAsia="仿宋" w:cs="仿宋"/>
          <w:b/>
          <w:bCs/>
          <w:color w:val="000000"/>
          <w:sz w:val="18"/>
          <w:szCs w:val="18"/>
        </w:rPr>
        <w:t>（2）以建筑工程施工总承包或市政公用工程施工总承包资质投标时，未参加信用评价的投标人（含联合体各成员方），按照信用评价处于末位的合格投标人的分值计取，其中被列入省公管办或省住建厅发布的失信黑名单的投标人，按照信用评价处于末位的合格投标人的分值扣除60分计取；</w:t>
      </w:r>
    </w:p>
    <w:p>
      <w:pPr>
        <w:pStyle w:val="164"/>
        <w:widowControl w:val="0"/>
        <w:snapToGrid w:val="0"/>
        <w:spacing w:before="0" w:beforeAutospacing="0" w:after="0" w:afterAutospacing="0"/>
        <w:ind w:firstLine="361" w:firstLineChars="200"/>
        <w:rPr>
          <w:rFonts w:hint="eastAsia" w:ascii="仿宋" w:hAnsi="仿宋" w:eastAsia="仿宋" w:cs="仿宋"/>
          <w:b/>
          <w:bCs/>
          <w:color w:val="000000"/>
          <w:sz w:val="18"/>
          <w:szCs w:val="18"/>
        </w:rPr>
      </w:pPr>
      <w:r>
        <w:rPr>
          <w:rFonts w:hint="eastAsia" w:ascii="仿宋" w:hAnsi="仿宋" w:eastAsia="仿宋" w:cs="仿宋"/>
          <w:b/>
          <w:bCs/>
          <w:color w:val="000000"/>
          <w:sz w:val="18"/>
          <w:szCs w:val="18"/>
        </w:rPr>
        <w:t>（3）以水利水电施工总承包资质投标时，投标人信用等级得分以全国和湖南省水利建设市场主体信用评级机构评定的信用等级对应得分中较低的一个分数为准，如某投标人的信用等级（全国水利建设市场主体）为AAA级，信用等级（湖南省水利建设市场主体）为A-级，则其信用等级得分以信用等级（湖南省水利建设市场主体）A-级得分为准；</w:t>
      </w:r>
    </w:p>
    <w:p>
      <w:pPr>
        <w:pStyle w:val="164"/>
        <w:widowControl w:val="0"/>
        <w:snapToGrid w:val="0"/>
        <w:spacing w:before="0" w:beforeAutospacing="0" w:after="0" w:afterAutospacing="0"/>
        <w:ind w:firstLine="361" w:firstLineChars="200"/>
        <w:rPr>
          <w:rFonts w:hint="eastAsia" w:ascii="仿宋" w:hAnsi="仿宋" w:eastAsia="仿宋" w:cs="仿宋"/>
          <w:b/>
          <w:bCs/>
          <w:color w:val="000000"/>
          <w:sz w:val="18"/>
          <w:szCs w:val="18"/>
        </w:rPr>
      </w:pPr>
      <w:r>
        <w:rPr>
          <w:rFonts w:hint="eastAsia" w:ascii="仿宋" w:hAnsi="仿宋" w:eastAsia="仿宋" w:cs="仿宋"/>
          <w:b/>
          <w:bCs/>
          <w:color w:val="000000"/>
          <w:sz w:val="18"/>
          <w:szCs w:val="18"/>
        </w:rPr>
        <w:t>首次进入湖南省水利建设市场、未申请信用评价以及连续两年无在建项目的市场主体单位，其湖南省信用等级默认为B级；未取得全国水利建设市场主体信用评价证书的，在湖南省水利建设市场其全国信用等级视为B级。</w:t>
      </w:r>
    </w:p>
    <w:p>
      <w:pPr>
        <w:pStyle w:val="164"/>
        <w:widowControl w:val="0"/>
        <w:snapToGrid w:val="0"/>
        <w:spacing w:before="0" w:beforeAutospacing="0" w:after="0" w:afterAutospacing="0"/>
        <w:ind w:firstLine="360" w:firstLineChars="200"/>
        <w:rPr>
          <w:rFonts w:hint="eastAsia" w:ascii="仿宋" w:hAnsi="仿宋" w:eastAsia="仿宋" w:cs="仿宋"/>
          <w:color w:val="000000"/>
          <w:sz w:val="18"/>
          <w:szCs w:val="18"/>
        </w:rPr>
      </w:pPr>
      <w:r>
        <w:rPr>
          <w:rFonts w:hint="eastAsia" w:ascii="仿宋" w:hAnsi="仿宋" w:eastAsia="仿宋" w:cs="仿宋"/>
          <w:color w:val="000000"/>
          <w:sz w:val="18"/>
          <w:szCs w:val="18"/>
        </w:rPr>
        <w:t>4.企业类似项目经验要求见本文件第二章投标须知前附表第10.1款第2项的规定。</w:t>
      </w:r>
    </w:p>
    <w:p>
      <w:pPr>
        <w:pStyle w:val="164"/>
        <w:widowControl w:val="0"/>
        <w:snapToGrid w:val="0"/>
        <w:spacing w:before="0" w:beforeAutospacing="0" w:after="0" w:afterAutospacing="0"/>
        <w:ind w:firstLine="360" w:firstLineChars="200"/>
        <w:rPr>
          <w:rFonts w:hint="eastAsia" w:ascii="仿宋" w:hAnsi="仿宋" w:eastAsia="仿宋" w:cs="仿宋"/>
          <w:color w:val="000000"/>
          <w:sz w:val="18"/>
          <w:szCs w:val="18"/>
        </w:rPr>
      </w:pPr>
      <w:r>
        <w:rPr>
          <w:rFonts w:hint="eastAsia" w:ascii="仿宋" w:hAnsi="仿宋" w:eastAsia="仿宋" w:cs="仿宋"/>
          <w:color w:val="000000"/>
          <w:sz w:val="18"/>
          <w:szCs w:val="18"/>
        </w:rPr>
        <w:t>5.财务状况计算公式：流动比率=流动资产除以流动负债*100%；利润总额=营业利润+营业外收入-营业外支出；净利润=利润总额-所得税费用；资产负债率=负债合计除以资产合计*100%。</w:t>
      </w:r>
    </w:p>
    <w:p>
      <w:pPr>
        <w:pStyle w:val="164"/>
        <w:widowControl w:val="0"/>
        <w:snapToGrid w:val="0"/>
        <w:spacing w:before="0" w:beforeAutospacing="0" w:after="0" w:afterAutospacing="0"/>
        <w:ind w:firstLine="360" w:firstLineChars="200"/>
        <w:rPr>
          <w:rFonts w:hint="eastAsia" w:ascii="仿宋" w:hAnsi="仿宋" w:eastAsia="仿宋" w:cs="仿宋"/>
          <w:color w:val="000000"/>
          <w:sz w:val="18"/>
          <w:szCs w:val="18"/>
        </w:rPr>
      </w:pPr>
      <w:r>
        <w:rPr>
          <w:rFonts w:hint="eastAsia" w:ascii="仿宋" w:hAnsi="仿宋" w:eastAsia="仿宋" w:cs="仿宋"/>
          <w:color w:val="000000"/>
          <w:sz w:val="18"/>
          <w:szCs w:val="18"/>
        </w:rPr>
        <w:t>6.工程获奖、年度考核、技术创新在评标办法中是否计分由招标人根据项目情况选择使用。招标人不得对投标人获得的上述奖项以外的其他奖项进行计分。本评分标准表中的工程获奖均指农田建设项目工程的获奖，且为单位（标段）获奖。同一标段获得多个奖项的，不重复计分（以得分最高计）。同一单位考核获得多个名次的，不重复计分（以得分最高计，首次进入或未得到考核名次的按其他计分），省级考核适用于全省范围、县区级考核仅适用于本行政范围。同一技术创新获得多个奖项的，不重复计分（以得分最高计）。</w:t>
      </w:r>
    </w:p>
    <w:p>
      <w:pPr>
        <w:spacing w:line="600" w:lineRule="exact"/>
        <w:jc w:val="left"/>
        <w:rPr>
          <w:rFonts w:hint="eastAsia" w:ascii="仿宋" w:hAnsi="仿宋" w:eastAsia="仿宋" w:cs="仿宋"/>
          <w:color w:val="000000"/>
          <w:sz w:val="28"/>
          <w:szCs w:val="21"/>
        </w:rPr>
      </w:pPr>
      <w:r>
        <w:rPr>
          <w:rFonts w:hint="eastAsia" w:ascii="仿宋" w:hAnsi="仿宋" w:eastAsia="仿宋" w:cs="仿宋"/>
          <w:color w:val="000000"/>
          <w:sz w:val="28"/>
          <w:szCs w:val="21"/>
        </w:rPr>
        <w:t>评委签字：</w:t>
      </w:r>
    </w:p>
    <w:p>
      <w:pPr>
        <w:snapToGrid w:val="0"/>
        <w:spacing w:line="600" w:lineRule="exact"/>
        <w:rPr>
          <w:rFonts w:eastAsia="黑体"/>
          <w:bCs/>
          <w:color w:val="000000"/>
          <w:sz w:val="32"/>
          <w:szCs w:val="20"/>
        </w:rPr>
      </w:pPr>
      <w:r>
        <w:rPr>
          <w:rFonts w:hint="eastAsia" w:ascii="仿宋" w:hAnsi="仿宋" w:eastAsia="仿宋" w:cs="仿宋"/>
          <w:color w:val="000000"/>
          <w:sz w:val="28"/>
          <w:szCs w:val="21"/>
        </w:rPr>
        <w:br w:type="page"/>
      </w:r>
      <w:r>
        <w:rPr>
          <w:rFonts w:eastAsia="黑体"/>
          <w:bCs/>
          <w:color w:val="000000"/>
          <w:sz w:val="32"/>
          <w:szCs w:val="20"/>
        </w:rPr>
        <w:t>附表3-7（2）：详细评审</w:t>
      </w:r>
      <w:r>
        <w:rPr>
          <w:rFonts w:hint="eastAsia" w:eastAsia="黑体"/>
          <w:bCs/>
          <w:color w:val="000000"/>
          <w:sz w:val="32"/>
          <w:szCs w:val="20"/>
        </w:rPr>
        <w:t>－</w:t>
      </w:r>
      <w:r>
        <w:rPr>
          <w:rFonts w:eastAsia="黑体"/>
          <w:bCs/>
          <w:color w:val="000000"/>
          <w:sz w:val="32"/>
          <w:szCs w:val="20"/>
        </w:rPr>
        <w:t>信誉等其他评分因素评分标准表（</w:t>
      </w:r>
      <w:r>
        <w:rPr>
          <w:rFonts w:hint="eastAsia" w:eastAsia="黑体"/>
          <w:bCs/>
          <w:color w:val="000000"/>
          <w:sz w:val="32"/>
          <w:szCs w:val="20"/>
        </w:rPr>
        <w:t>二</w:t>
      </w:r>
      <w:r>
        <w:rPr>
          <w:rFonts w:eastAsia="黑体"/>
          <w:bCs/>
          <w:color w:val="000000"/>
          <w:sz w:val="32"/>
          <w:szCs w:val="20"/>
        </w:rPr>
        <w:t>）</w:t>
      </w:r>
    </w:p>
    <w:p>
      <w:pPr>
        <w:spacing w:line="600" w:lineRule="exact"/>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信誉等其他评分因素评分标准表（二）</w:t>
      </w:r>
    </w:p>
    <w:p>
      <w:pPr>
        <w:spacing w:line="440" w:lineRule="exact"/>
        <w:jc w:val="left"/>
        <w:rPr>
          <w:rFonts w:eastAsia="仿宋_GB2312"/>
          <w:color w:val="000000"/>
          <w:sz w:val="24"/>
        </w:rPr>
      </w:pPr>
    </w:p>
    <w:p>
      <w:pPr>
        <w:spacing w:line="440" w:lineRule="exact"/>
        <w:jc w:val="left"/>
        <w:rPr>
          <w:rFonts w:hint="eastAsia" w:ascii="仿宋" w:hAnsi="仿宋" w:eastAsia="仿宋" w:cs="仿宋"/>
          <w:color w:val="000000"/>
          <w:sz w:val="24"/>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（标段名称）</w:t>
      </w:r>
      <w:r>
        <w:rPr>
          <w:rFonts w:hint="eastAsia" w:ascii="仿宋" w:hAnsi="仿宋" w:eastAsia="仿宋" w:cs="仿宋"/>
          <w:color w:val="000000"/>
          <w:sz w:val="24"/>
          <w:u w:val="single"/>
        </w:rPr>
        <w:t xml:space="preserve">                      </w:t>
      </w:r>
    </w:p>
    <w:p>
      <w:pPr>
        <w:spacing w:line="440" w:lineRule="exact"/>
        <w:jc w:val="left"/>
        <w:rPr>
          <w:rFonts w:hint="eastAsia" w:ascii="仿宋" w:hAnsi="仿宋" w:eastAsia="仿宋" w:cs="仿宋"/>
          <w:color w:val="000000"/>
          <w:sz w:val="24"/>
        </w:rPr>
      </w:pPr>
      <w:r>
        <w:rPr>
          <w:rFonts w:hint="eastAsia" w:ascii="仿宋" w:hAnsi="仿宋" w:eastAsia="仿宋" w:cs="仿宋"/>
          <w:color w:val="000000"/>
          <w:sz w:val="24"/>
        </w:rPr>
        <w:t>项目管理编号：</w:t>
      </w:r>
      <w:r>
        <w:rPr>
          <w:rFonts w:hint="eastAsia" w:ascii="仿宋" w:hAnsi="仿宋" w:eastAsia="仿宋" w:cs="仿宋"/>
          <w:color w:val="000000"/>
          <w:sz w:val="24"/>
          <w:u w:val="single"/>
        </w:rPr>
        <w:t xml:space="preserve">                    </w:t>
      </w:r>
    </w:p>
    <w:tbl>
      <w:tblPr>
        <w:tblStyle w:val="47"/>
        <w:tblW w:w="90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784"/>
        <w:gridCol w:w="1348"/>
        <w:gridCol w:w="1134"/>
        <w:gridCol w:w="2835"/>
        <w:gridCol w:w="708"/>
        <w:gridCol w:w="567"/>
        <w:gridCol w:w="567"/>
        <w:gridCol w:w="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序号</w:t>
            </w:r>
          </w:p>
        </w:tc>
        <w:tc>
          <w:tcPr>
            <w:tcW w:w="784" w:type="dxa"/>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条款号</w:t>
            </w:r>
          </w:p>
        </w:tc>
        <w:tc>
          <w:tcPr>
            <w:tcW w:w="1348" w:type="dxa"/>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评分因素</w:t>
            </w:r>
          </w:p>
        </w:tc>
        <w:tc>
          <w:tcPr>
            <w:tcW w:w="4677" w:type="dxa"/>
            <w:gridSpan w:val="3"/>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评分标准</w:t>
            </w:r>
          </w:p>
        </w:tc>
        <w:tc>
          <w:tcPr>
            <w:tcW w:w="1710" w:type="dxa"/>
            <w:gridSpan w:val="3"/>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投标人名称及评审计分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snapToGrid w:val="0"/>
              <w:jc w:val="center"/>
              <w:rPr>
                <w:rFonts w:hint="eastAsia" w:ascii="仿宋" w:hAnsi="仿宋" w:eastAsia="仿宋" w:cs="仿宋"/>
                <w:color w:val="000000"/>
                <w:sz w:val="18"/>
                <w:szCs w:val="18"/>
              </w:rPr>
            </w:pPr>
          </w:p>
        </w:tc>
        <w:tc>
          <w:tcPr>
            <w:tcW w:w="4677" w:type="dxa"/>
            <w:gridSpan w:val="3"/>
            <w:vMerge w:val="continue"/>
            <w:noWrap w:val="0"/>
            <w:vAlign w:val="center"/>
          </w:tcPr>
          <w:p>
            <w:pPr>
              <w:snapToGrid w:val="0"/>
              <w:jc w:val="center"/>
              <w:rPr>
                <w:rFonts w:hint="eastAsia" w:ascii="仿宋" w:hAnsi="仿宋" w:eastAsia="仿宋" w:cs="仿宋"/>
                <w:color w:val="000000"/>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w:t>
            </w:r>
          </w:p>
        </w:tc>
        <w:tc>
          <w:tcPr>
            <w:tcW w:w="567"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2</w:t>
            </w:r>
          </w:p>
        </w:tc>
        <w:tc>
          <w:tcPr>
            <w:tcW w:w="576"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snapToGrid w:val="0"/>
              <w:jc w:val="center"/>
              <w:rPr>
                <w:rFonts w:hint="eastAsia" w:ascii="仿宋" w:hAnsi="仿宋" w:eastAsia="仿宋" w:cs="仿宋"/>
                <w:color w:val="000000"/>
                <w:sz w:val="18"/>
                <w:szCs w:val="18"/>
              </w:rPr>
            </w:pPr>
          </w:p>
        </w:tc>
        <w:tc>
          <w:tcPr>
            <w:tcW w:w="4677" w:type="dxa"/>
            <w:gridSpan w:val="3"/>
            <w:vMerge w:val="continue"/>
            <w:noWrap w:val="0"/>
            <w:vAlign w:val="center"/>
          </w:tcPr>
          <w:p>
            <w:pPr>
              <w:snapToGrid w:val="0"/>
              <w:jc w:val="center"/>
              <w:rPr>
                <w:rFonts w:hint="eastAsia" w:ascii="仿宋" w:hAnsi="仿宋" w:eastAsia="仿宋" w:cs="仿宋"/>
                <w:color w:val="000000"/>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exac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w:t>
            </w:r>
          </w:p>
        </w:tc>
        <w:tc>
          <w:tcPr>
            <w:tcW w:w="784" w:type="dxa"/>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2.2.4（2）</w:t>
            </w:r>
          </w:p>
        </w:tc>
        <w:tc>
          <w:tcPr>
            <w:tcW w:w="1348"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投标人信用等级</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（0～45分）</w:t>
            </w:r>
          </w:p>
        </w:tc>
        <w:tc>
          <w:tcPr>
            <w:tcW w:w="3969" w:type="dxa"/>
            <w:gridSpan w:val="2"/>
            <w:noWrap w:val="0"/>
            <w:vAlign w:val="center"/>
          </w:tcPr>
          <w:p>
            <w:pPr>
              <w:tabs>
                <w:tab w:val="left" w:pos="420"/>
              </w:tabs>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信用等级（全国水利建设市场主体）为AAA级或信用等级（湖南省水利建设市场主体）A+级的（100％）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76" w:type="dxa"/>
            <w:vMerge w:val="restart"/>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snapToGrid w:val="0"/>
              <w:jc w:val="center"/>
              <w:rPr>
                <w:rFonts w:hint="eastAsia" w:ascii="仿宋" w:hAnsi="仿宋" w:eastAsia="仿宋" w:cs="仿宋"/>
                <w:color w:val="000000"/>
                <w:sz w:val="18"/>
                <w:szCs w:val="18"/>
              </w:rPr>
            </w:pPr>
          </w:p>
        </w:tc>
        <w:tc>
          <w:tcPr>
            <w:tcW w:w="3969" w:type="dxa"/>
            <w:gridSpan w:val="2"/>
            <w:noWrap w:val="0"/>
            <w:vAlign w:val="center"/>
          </w:tcPr>
          <w:p>
            <w:pPr>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信用等级（全国水利建设市场主体）为AA级或信用等级（湖南省水利建设市场主体）A级的（85％）</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snapToGrid w:val="0"/>
              <w:jc w:val="center"/>
              <w:rPr>
                <w:rFonts w:hint="eastAsia" w:ascii="仿宋" w:hAnsi="仿宋" w:eastAsia="仿宋" w:cs="仿宋"/>
                <w:color w:val="000000"/>
                <w:sz w:val="18"/>
                <w:szCs w:val="18"/>
              </w:rPr>
            </w:pPr>
          </w:p>
        </w:tc>
        <w:tc>
          <w:tcPr>
            <w:tcW w:w="3969" w:type="dxa"/>
            <w:gridSpan w:val="2"/>
            <w:noWrap w:val="0"/>
            <w:vAlign w:val="center"/>
          </w:tcPr>
          <w:p>
            <w:pPr>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信用等级（全国水利建设市场主体）为A级或信用等级（湖南省水利建设市场主体）A-级的（70％）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snapToGrid w:val="0"/>
              <w:jc w:val="center"/>
              <w:rPr>
                <w:rFonts w:hint="eastAsia" w:ascii="仿宋" w:hAnsi="仿宋" w:eastAsia="仿宋" w:cs="仿宋"/>
                <w:color w:val="000000"/>
                <w:sz w:val="18"/>
                <w:szCs w:val="18"/>
              </w:rPr>
            </w:pPr>
          </w:p>
        </w:tc>
        <w:tc>
          <w:tcPr>
            <w:tcW w:w="3969" w:type="dxa"/>
            <w:gridSpan w:val="2"/>
            <w:noWrap w:val="0"/>
            <w:vAlign w:val="center"/>
          </w:tcPr>
          <w:p>
            <w:pPr>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信用等级（全国水利建设市场主体）为B级或信用等级（湖南省水利建设市场主体）B级的（55％）</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3969" w:type="dxa"/>
            <w:gridSpan w:val="2"/>
            <w:noWrap w:val="0"/>
            <w:vAlign w:val="center"/>
          </w:tcPr>
          <w:p>
            <w:pPr>
              <w:pStyle w:val="106"/>
              <w:snapToGrid w:val="0"/>
              <w:jc w:val="both"/>
              <w:rPr>
                <w:rFonts w:hint="eastAsia" w:ascii="仿宋" w:hAnsi="仿宋" w:eastAsia="仿宋" w:cs="仿宋"/>
                <w:sz w:val="18"/>
                <w:szCs w:val="18"/>
              </w:rPr>
            </w:pPr>
            <w:r>
              <w:rPr>
                <w:rFonts w:hint="eastAsia" w:ascii="仿宋" w:hAnsi="仿宋" w:eastAsia="仿宋" w:cs="仿宋"/>
                <w:sz w:val="18"/>
                <w:szCs w:val="18"/>
              </w:rPr>
              <w:t>信用等级（全国水利建设市场主体）为C级或信用等级（湖南省水利建设市场主体）C级的（0分）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574"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2</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noWrap w:val="0"/>
            <w:vAlign w:val="center"/>
          </w:tcPr>
          <w:p>
            <w:pPr>
              <w:pStyle w:val="106"/>
              <w:snapToGrid w:val="0"/>
              <w:jc w:val="center"/>
              <w:rPr>
                <w:rFonts w:hint="eastAsia" w:ascii="仿宋" w:hAnsi="仿宋" w:eastAsia="仿宋" w:cs="仿宋"/>
                <w:b/>
                <w:sz w:val="18"/>
                <w:szCs w:val="18"/>
              </w:rPr>
            </w:pPr>
            <w:r>
              <w:rPr>
                <w:rFonts w:hint="eastAsia" w:ascii="仿宋" w:hAnsi="仿宋" w:eastAsia="仿宋" w:cs="仿宋"/>
                <w:sz w:val="18"/>
                <w:szCs w:val="18"/>
              </w:rPr>
              <w:t>类似项目经验（近</w:t>
            </w:r>
            <w:r>
              <w:rPr>
                <w:rFonts w:hint="eastAsia" w:ascii="仿宋" w:hAnsi="仿宋" w:eastAsia="仿宋" w:cs="仿宋"/>
                <w:sz w:val="18"/>
                <w:szCs w:val="18"/>
                <w:u w:val="single"/>
              </w:rPr>
              <w:t xml:space="preserve">   </w:t>
            </w:r>
            <w:r>
              <w:rPr>
                <w:rFonts w:hint="eastAsia" w:ascii="仿宋" w:hAnsi="仿宋" w:eastAsia="仿宋" w:cs="仿宋"/>
                <w:sz w:val="18"/>
                <w:szCs w:val="18"/>
              </w:rPr>
              <w:t>年）（0～40分）</w:t>
            </w:r>
          </w:p>
        </w:tc>
        <w:tc>
          <w:tcPr>
            <w:tcW w:w="4677" w:type="dxa"/>
            <w:gridSpan w:val="3"/>
            <w:noWrap w:val="0"/>
            <w:vAlign w:val="center"/>
          </w:tcPr>
          <w:p>
            <w:pPr>
              <w:pStyle w:val="106"/>
              <w:snapToGrid w:val="0"/>
              <w:ind w:firstLine="180" w:firstLineChars="100"/>
              <w:rPr>
                <w:rFonts w:hint="eastAsia" w:ascii="仿宋" w:hAnsi="仿宋" w:eastAsia="仿宋" w:cs="仿宋"/>
                <w:sz w:val="18"/>
                <w:szCs w:val="18"/>
              </w:rPr>
            </w:pPr>
            <w:r>
              <w:rPr>
                <w:rFonts w:hint="eastAsia" w:ascii="仿宋" w:hAnsi="仿宋" w:eastAsia="仿宋" w:cs="仿宋"/>
                <w:sz w:val="18"/>
                <w:szCs w:val="18"/>
              </w:rPr>
              <w:t>满足招标文件的计</w:t>
            </w:r>
            <w:r>
              <w:rPr>
                <w:rFonts w:hint="eastAsia" w:ascii="仿宋" w:hAnsi="仿宋" w:eastAsia="仿宋" w:cs="仿宋"/>
                <w:sz w:val="18"/>
                <w:szCs w:val="18"/>
                <w:u w:val="single"/>
              </w:rPr>
              <w:t xml:space="preserve">  </w:t>
            </w:r>
            <w:r>
              <w:rPr>
                <w:rFonts w:hint="eastAsia" w:ascii="仿宋" w:hAnsi="仿宋" w:eastAsia="仿宋" w:cs="仿宋"/>
                <w:sz w:val="18"/>
                <w:szCs w:val="18"/>
              </w:rPr>
              <w:t>分，每增加一个类似业绩加</w:t>
            </w:r>
            <w:r>
              <w:rPr>
                <w:rFonts w:hint="eastAsia" w:ascii="仿宋" w:hAnsi="仿宋" w:eastAsia="仿宋" w:cs="仿宋"/>
                <w:sz w:val="18"/>
                <w:szCs w:val="18"/>
                <w:u w:val="single"/>
              </w:rPr>
              <w:t xml:space="preserve">  </w:t>
            </w:r>
            <w:r>
              <w:rPr>
                <w:rFonts w:hint="eastAsia" w:ascii="仿宋" w:hAnsi="仿宋" w:eastAsia="仿宋" w:cs="仿宋"/>
                <w:sz w:val="18"/>
                <w:szCs w:val="18"/>
              </w:rPr>
              <w:t>分，最多增加二个类似业绩。</w:t>
            </w: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3</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财务状况</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（10～20分）</w:t>
            </w:r>
          </w:p>
        </w:tc>
        <w:tc>
          <w:tcPr>
            <w:tcW w:w="1134"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流动比率（4～7分）</w:t>
            </w:r>
          </w:p>
        </w:tc>
        <w:tc>
          <w:tcPr>
            <w:tcW w:w="2835"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流动比率2倍（含）以上</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76" w:type="dxa"/>
            <w:vMerge w:val="restart"/>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vMerge w:val="continue"/>
            <w:noWrap w:val="0"/>
            <w:vAlign w:val="center"/>
          </w:tcPr>
          <w:p>
            <w:pPr>
              <w:pStyle w:val="106"/>
              <w:snapToGrid w:val="0"/>
              <w:jc w:val="center"/>
              <w:rPr>
                <w:rFonts w:hint="eastAsia" w:ascii="仿宋" w:hAnsi="仿宋" w:eastAsia="仿宋" w:cs="仿宋"/>
                <w:sz w:val="18"/>
                <w:szCs w:val="18"/>
              </w:rPr>
            </w:pPr>
          </w:p>
        </w:tc>
        <w:tc>
          <w:tcPr>
            <w:tcW w:w="2835"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流动比率2倍以下</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企业利润（2～6分）</w:t>
            </w:r>
          </w:p>
        </w:tc>
        <w:tc>
          <w:tcPr>
            <w:tcW w:w="2835"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净利润＞0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企业资产负债率</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（4～7分）</w:t>
            </w:r>
          </w:p>
        </w:tc>
        <w:tc>
          <w:tcPr>
            <w:tcW w:w="2835"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资产负债率＜70％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76" w:type="dxa"/>
            <w:vMerge w:val="restart"/>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vMerge w:val="continue"/>
            <w:noWrap w:val="0"/>
            <w:vAlign w:val="center"/>
          </w:tcPr>
          <w:p>
            <w:pPr>
              <w:pStyle w:val="106"/>
              <w:snapToGrid w:val="0"/>
              <w:jc w:val="center"/>
              <w:rPr>
                <w:rFonts w:hint="eastAsia" w:ascii="仿宋" w:hAnsi="仿宋" w:eastAsia="仿宋" w:cs="仿宋"/>
                <w:sz w:val="18"/>
                <w:szCs w:val="18"/>
              </w:rPr>
            </w:pPr>
          </w:p>
        </w:tc>
        <w:tc>
          <w:tcPr>
            <w:tcW w:w="2835"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sz w:val="18"/>
                <w:szCs w:val="18"/>
              </w:rPr>
              <w:t>90％＞资产负债率≥70％</w:t>
            </w:r>
          </w:p>
        </w:tc>
        <w:tc>
          <w:tcPr>
            <w:tcW w:w="708" w:type="dxa"/>
            <w:noWrap w:val="0"/>
            <w:vAlign w:val="center"/>
          </w:tcPr>
          <w:p>
            <w:pPr>
              <w:snapToGrid w:val="0"/>
              <w:jc w:val="center"/>
              <w:rPr>
                <w:rFonts w:hint="eastAsia" w:ascii="仿宋" w:hAnsi="仿宋" w:eastAsia="仿宋" w:cs="仿宋"/>
                <w:color w:val="000000"/>
                <w:kern w:val="0"/>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4</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工程获奖</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（近</w:t>
            </w:r>
            <w:r>
              <w:rPr>
                <w:rFonts w:hint="eastAsia" w:ascii="仿宋" w:hAnsi="仿宋" w:eastAsia="仿宋" w:cs="仿宋"/>
                <w:sz w:val="18"/>
                <w:szCs w:val="18"/>
                <w:u w:val="single"/>
              </w:rPr>
              <w:t xml:space="preserve">    </w:t>
            </w:r>
            <w:r>
              <w:rPr>
                <w:rFonts w:hint="eastAsia" w:ascii="仿宋" w:hAnsi="仿宋" w:eastAsia="仿宋" w:cs="仿宋"/>
                <w:sz w:val="18"/>
                <w:szCs w:val="18"/>
              </w:rPr>
              <w:t>年）</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（0～20分）</w:t>
            </w:r>
          </w:p>
        </w:tc>
        <w:tc>
          <w:tcPr>
            <w:tcW w:w="1134" w:type="dxa"/>
            <w:noWrap w:val="0"/>
            <w:vAlign w:val="center"/>
          </w:tcPr>
          <w:p>
            <w:pPr>
              <w:pStyle w:val="106"/>
              <w:snapToGrid w:val="0"/>
              <w:jc w:val="center"/>
              <w:rPr>
                <w:rFonts w:ascii="仿宋" w:hAnsi="仿宋" w:eastAsia="仿宋" w:cs="仿宋"/>
                <w:sz w:val="18"/>
                <w:szCs w:val="18"/>
              </w:rPr>
            </w:pPr>
            <w:r>
              <w:rPr>
                <w:rFonts w:hint="eastAsia" w:ascii="仿宋" w:hAnsi="仿宋" w:eastAsia="仿宋" w:cs="仿宋"/>
                <w:sz w:val="18"/>
                <w:szCs w:val="18"/>
              </w:rPr>
              <w:t>0～20</w:t>
            </w:r>
          </w:p>
        </w:tc>
        <w:tc>
          <w:tcPr>
            <w:tcW w:w="2835" w:type="dxa"/>
            <w:noWrap w:val="0"/>
            <w:vAlign w:val="center"/>
          </w:tcPr>
          <w:p>
            <w:pPr>
              <w:pStyle w:val="106"/>
              <w:snapToGrid w:val="0"/>
              <w:rPr>
                <w:rFonts w:hint="eastAsia" w:ascii="仿宋" w:hAnsi="仿宋" w:eastAsia="仿宋" w:cs="仿宋"/>
                <w:sz w:val="18"/>
                <w:szCs w:val="18"/>
                <w:u w:val="single"/>
              </w:rPr>
            </w:pPr>
            <w:r>
              <w:rPr>
                <w:rFonts w:hint="eastAsia" w:ascii="仿宋" w:hAnsi="仿宋" w:eastAsia="仿宋" w:cs="仿宋"/>
                <w:sz w:val="18"/>
                <w:szCs w:val="18"/>
              </w:rPr>
              <w:t>国家优质工程奖、农业农村部质量奖（均指农田建设项目工程获奖），每项计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ascii="仿宋" w:hAnsi="仿宋" w:eastAsia="仿宋" w:cs="仿宋"/>
                <w:sz w:val="18"/>
                <w:szCs w:val="18"/>
              </w:rPr>
            </w:pPr>
            <w:r>
              <w:rPr>
                <w:rFonts w:hint="eastAsia" w:ascii="仿宋" w:hAnsi="仿宋" w:eastAsia="仿宋" w:cs="仿宋"/>
                <w:sz w:val="18"/>
                <w:szCs w:val="18"/>
              </w:rPr>
              <w:t>0～15</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省政府或省级农业农村主管部门颁发的优质农田建设项目工程奖项每项计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0～12</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市政府或市级农业农村主管部门颁发的优质农田建设项目工程奖项每项计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5</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年度考核</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（近</w:t>
            </w:r>
            <w:r>
              <w:rPr>
                <w:rFonts w:hint="eastAsia" w:ascii="仿宋" w:hAnsi="仿宋" w:eastAsia="仿宋" w:cs="仿宋"/>
                <w:sz w:val="18"/>
                <w:szCs w:val="18"/>
                <w:u w:val="single"/>
              </w:rPr>
              <w:t xml:space="preserve">    </w:t>
            </w:r>
            <w:r>
              <w:rPr>
                <w:rFonts w:hint="eastAsia" w:ascii="仿宋" w:hAnsi="仿宋" w:eastAsia="仿宋" w:cs="仿宋"/>
                <w:sz w:val="18"/>
                <w:szCs w:val="18"/>
              </w:rPr>
              <w:t>年）</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（18～35分）</w:t>
            </w:r>
          </w:p>
        </w:tc>
        <w:tc>
          <w:tcPr>
            <w:tcW w:w="1134" w:type="dxa"/>
            <w:noWrap w:val="0"/>
            <w:vAlign w:val="center"/>
          </w:tcPr>
          <w:p>
            <w:pPr>
              <w:pStyle w:val="106"/>
              <w:snapToGrid w:val="0"/>
              <w:jc w:val="center"/>
              <w:rPr>
                <w:rFonts w:ascii="仿宋" w:hAnsi="仿宋" w:eastAsia="仿宋" w:cs="仿宋"/>
                <w:sz w:val="18"/>
                <w:szCs w:val="18"/>
              </w:rPr>
            </w:pPr>
            <w:r>
              <w:rPr>
                <w:rFonts w:hint="eastAsia" w:ascii="仿宋" w:hAnsi="仿宋" w:eastAsia="仿宋" w:cs="仿宋"/>
                <w:sz w:val="18"/>
                <w:szCs w:val="18"/>
              </w:rPr>
              <w:t>21～35</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省级农业农村主管部门考核第一名100%；第二名95%；第三名85%；其他60%；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ascii="仿宋" w:hAnsi="仿宋" w:eastAsia="仿宋" w:cs="仿宋"/>
                <w:sz w:val="18"/>
                <w:szCs w:val="18"/>
              </w:rPr>
            </w:pPr>
            <w:r>
              <w:rPr>
                <w:rFonts w:hint="eastAsia" w:ascii="仿宋" w:hAnsi="仿宋" w:eastAsia="仿宋" w:cs="仿宋"/>
                <w:sz w:val="18"/>
                <w:szCs w:val="18"/>
              </w:rPr>
              <w:t>18~30</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县/区级农业农村主管部门考核第一名100%；第二名95%；第三名85%；其他60%；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exac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6</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技术创新</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（近</w:t>
            </w:r>
            <w:r>
              <w:rPr>
                <w:rFonts w:hint="eastAsia" w:ascii="仿宋" w:hAnsi="仿宋" w:eastAsia="仿宋" w:cs="仿宋"/>
                <w:sz w:val="18"/>
                <w:szCs w:val="18"/>
                <w:u w:val="single"/>
              </w:rPr>
              <w:t xml:space="preserve">    </w:t>
            </w:r>
            <w:r>
              <w:rPr>
                <w:rFonts w:hint="eastAsia" w:ascii="仿宋" w:hAnsi="仿宋" w:eastAsia="仿宋" w:cs="仿宋"/>
                <w:sz w:val="18"/>
                <w:szCs w:val="18"/>
              </w:rPr>
              <w:t>年）</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（0～15分）</w:t>
            </w: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0～8</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国家科技进步奖或国家技术发明奖（均指农田建设项目工程获奖）每项计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0～4</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省科技进步奖或省技术发明奖（均指农田建设项目工程获奖）每项计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0～3</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省级行业协会（学会）颁发的科技进步奖（均指农田建设项目工程获奖）每项计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574" w:type="dxa"/>
            <w:noWrap w:val="0"/>
            <w:vAlign w:val="center"/>
          </w:tcPr>
          <w:p>
            <w:pPr>
              <w:snapToGrid w:val="0"/>
              <w:jc w:val="center"/>
              <w:rPr>
                <w:rFonts w:hint="eastAsia" w:ascii="仿宋" w:hAnsi="仿宋" w:eastAsia="仿宋" w:cs="仿宋"/>
                <w:color w:val="000000"/>
                <w:kern w:val="0"/>
              </w:rPr>
            </w:pPr>
          </w:p>
        </w:tc>
        <w:tc>
          <w:tcPr>
            <w:tcW w:w="6809" w:type="dxa"/>
            <w:gridSpan w:val="5"/>
            <w:noWrap w:val="0"/>
            <w:vAlign w:val="center"/>
          </w:tcPr>
          <w:p>
            <w:pPr>
              <w:snapToGrid w:val="0"/>
              <w:jc w:val="center"/>
              <w:rPr>
                <w:rFonts w:hint="eastAsia" w:ascii="仿宋" w:hAnsi="仿宋" w:eastAsia="仿宋" w:cs="仿宋"/>
                <w:b/>
                <w:bCs/>
                <w:color w:val="000000"/>
                <w:kern w:val="0"/>
              </w:rPr>
            </w:pPr>
            <w:r>
              <w:rPr>
                <w:rFonts w:hint="eastAsia" w:ascii="仿宋" w:hAnsi="仿宋" w:eastAsia="仿宋" w:cs="仿宋"/>
                <w:b/>
                <w:bCs/>
                <w:color w:val="000000"/>
                <w:kern w:val="0"/>
              </w:rPr>
              <w:t>合计</w:t>
            </w:r>
          </w:p>
        </w:tc>
        <w:tc>
          <w:tcPr>
            <w:tcW w:w="567" w:type="dxa"/>
            <w:noWrap w:val="0"/>
            <w:vAlign w:val="center"/>
          </w:tcPr>
          <w:p>
            <w:pPr>
              <w:snapToGrid w:val="0"/>
              <w:jc w:val="center"/>
              <w:rPr>
                <w:rFonts w:hint="eastAsia" w:ascii="仿宋" w:hAnsi="仿宋" w:eastAsia="仿宋" w:cs="仿宋"/>
                <w:color w:val="000000"/>
                <w:kern w:val="0"/>
              </w:rPr>
            </w:pPr>
          </w:p>
        </w:tc>
        <w:tc>
          <w:tcPr>
            <w:tcW w:w="567" w:type="dxa"/>
            <w:noWrap w:val="0"/>
            <w:vAlign w:val="center"/>
          </w:tcPr>
          <w:p>
            <w:pPr>
              <w:snapToGrid w:val="0"/>
              <w:jc w:val="center"/>
              <w:rPr>
                <w:rFonts w:hint="eastAsia" w:ascii="仿宋" w:hAnsi="仿宋" w:eastAsia="仿宋" w:cs="仿宋"/>
                <w:color w:val="000000"/>
                <w:kern w:val="0"/>
              </w:rPr>
            </w:pPr>
          </w:p>
        </w:tc>
        <w:tc>
          <w:tcPr>
            <w:tcW w:w="576" w:type="dxa"/>
            <w:noWrap w:val="0"/>
            <w:vAlign w:val="center"/>
          </w:tcPr>
          <w:p>
            <w:pPr>
              <w:snapToGrid w:val="0"/>
              <w:jc w:val="center"/>
              <w:rPr>
                <w:rFonts w:hint="eastAsia" w:ascii="仿宋" w:hAnsi="仿宋" w:eastAsia="仿宋" w:cs="仿宋"/>
                <w:color w:val="000000"/>
                <w:kern w:val="0"/>
              </w:rPr>
            </w:pPr>
          </w:p>
        </w:tc>
      </w:tr>
    </w:tbl>
    <w:p>
      <w:pPr>
        <w:rPr>
          <w:rFonts w:hint="eastAsia" w:ascii="仿宋" w:hAnsi="仿宋" w:eastAsia="仿宋" w:cs="仿宋"/>
          <w:color w:val="000000"/>
          <w:kern w:val="0"/>
          <w:sz w:val="18"/>
          <w:szCs w:val="18"/>
        </w:rPr>
      </w:pPr>
      <w:r>
        <w:rPr>
          <w:rFonts w:hint="eastAsia" w:ascii="仿宋" w:hAnsi="仿宋" w:eastAsia="仿宋" w:cs="仿宋"/>
          <w:b/>
          <w:color w:val="000000"/>
          <w:kern w:val="0"/>
          <w:sz w:val="18"/>
          <w:szCs w:val="18"/>
        </w:rPr>
        <w:t>备注：</w:t>
      </w:r>
      <w:r>
        <w:rPr>
          <w:rFonts w:hint="eastAsia" w:ascii="仿宋" w:hAnsi="仿宋" w:eastAsia="仿宋" w:cs="仿宋"/>
          <w:color w:val="000000"/>
          <w:kern w:val="0"/>
          <w:sz w:val="18"/>
          <w:szCs w:val="18"/>
        </w:rPr>
        <w:t>1.本表适用于非联合体投标人评审。</w:t>
      </w:r>
    </w:p>
    <w:p>
      <w:pPr>
        <w:ind w:firstLine="540" w:firstLineChars="300"/>
        <w:rPr>
          <w:rFonts w:hint="eastAsia" w:ascii="仿宋" w:hAnsi="仿宋" w:eastAsia="仿宋" w:cs="仿宋"/>
          <w:color w:val="000000"/>
          <w:sz w:val="18"/>
          <w:szCs w:val="18"/>
        </w:rPr>
      </w:pPr>
      <w:r>
        <w:rPr>
          <w:rFonts w:hint="eastAsia" w:ascii="仿宋" w:hAnsi="仿宋" w:eastAsia="仿宋" w:cs="仿宋"/>
          <w:color w:val="000000"/>
          <w:kern w:val="0"/>
          <w:sz w:val="18"/>
          <w:szCs w:val="18"/>
        </w:rPr>
        <w:t>2.本表小计总分为100分。</w:t>
      </w:r>
      <w:r>
        <w:rPr>
          <w:rFonts w:hint="eastAsia" w:ascii="仿宋" w:hAnsi="仿宋" w:eastAsia="仿宋" w:cs="仿宋"/>
          <w:color w:val="000000"/>
          <w:sz w:val="18"/>
          <w:szCs w:val="18"/>
        </w:rPr>
        <w:t>由评标委员会集体评议，统一计分。评标委员会成员中对结论有不同意见时，按少数服从多数的原则，确定得分。</w:t>
      </w:r>
    </w:p>
    <w:p>
      <w:pPr>
        <w:pStyle w:val="164"/>
        <w:widowControl w:val="0"/>
        <w:snapToGrid w:val="0"/>
        <w:spacing w:before="0" w:beforeAutospacing="0" w:after="0" w:afterAutospacing="0"/>
        <w:ind w:firstLine="542" w:firstLineChars="300"/>
        <w:jc w:val="both"/>
        <w:rPr>
          <w:rFonts w:hint="eastAsia" w:ascii="仿宋" w:hAnsi="仿宋" w:eastAsia="仿宋" w:cs="仿宋"/>
          <w:b/>
          <w:bCs/>
          <w:color w:val="000000"/>
          <w:sz w:val="18"/>
          <w:szCs w:val="18"/>
        </w:rPr>
      </w:pPr>
      <w:r>
        <w:rPr>
          <w:rFonts w:hint="eastAsia" w:ascii="仿宋" w:hAnsi="仿宋" w:eastAsia="仿宋" w:cs="仿宋"/>
          <w:b/>
          <w:bCs/>
          <w:color w:val="000000"/>
          <w:sz w:val="18"/>
          <w:szCs w:val="18"/>
        </w:rPr>
        <w:t>3.以水利水电施工总承包资质投标时，投标人信用等级得分以全国和湖南省水利建设市场主体信用评级机构评定的信用等级对应得分中较低的一个分数为准，如某投标人的信用等级（全国水利建设市场主体）为AAA级，信用等级（湖南省水利建设市场主体）为A-级，则其信用等级得分以信用等级（湖南省水利建设市场主体）A-级得分为准。</w:t>
      </w:r>
    </w:p>
    <w:p>
      <w:pPr>
        <w:pStyle w:val="164"/>
        <w:widowControl w:val="0"/>
        <w:snapToGrid w:val="0"/>
        <w:spacing w:before="0" w:beforeAutospacing="0" w:after="0" w:afterAutospacing="0"/>
        <w:ind w:firstLine="361" w:firstLineChars="200"/>
        <w:jc w:val="both"/>
        <w:rPr>
          <w:rFonts w:hint="eastAsia" w:ascii="仿宋" w:hAnsi="仿宋" w:eastAsia="仿宋" w:cs="仿宋"/>
          <w:b/>
          <w:bCs/>
          <w:color w:val="000000"/>
          <w:sz w:val="18"/>
          <w:szCs w:val="18"/>
        </w:rPr>
      </w:pPr>
      <w:r>
        <w:rPr>
          <w:rFonts w:hint="eastAsia" w:ascii="仿宋" w:hAnsi="仿宋" w:eastAsia="仿宋" w:cs="仿宋"/>
          <w:b/>
          <w:bCs/>
          <w:color w:val="000000"/>
          <w:sz w:val="18"/>
          <w:szCs w:val="18"/>
        </w:rPr>
        <w:t>首次进入湖南省水利建设市场、未申请信用评价以及连续两年无在建项目的市场主体单位，其湖南省信用等级默认为B级；未取得全国水利建设市场主体信用评价证书的，在湖南省水利建设市场其全国信用等级视为B级。</w:t>
      </w:r>
    </w:p>
    <w:p>
      <w:pPr>
        <w:pStyle w:val="164"/>
        <w:widowControl w:val="0"/>
        <w:snapToGrid w:val="0"/>
        <w:spacing w:before="0" w:beforeAutospacing="0" w:after="0" w:afterAutospacing="0"/>
        <w:ind w:firstLine="540" w:firstLineChars="300"/>
        <w:jc w:val="both"/>
        <w:rPr>
          <w:rFonts w:hint="eastAsia" w:ascii="仿宋" w:hAnsi="仿宋" w:eastAsia="仿宋" w:cs="仿宋"/>
          <w:color w:val="000000"/>
          <w:sz w:val="18"/>
          <w:szCs w:val="18"/>
        </w:rPr>
      </w:pPr>
      <w:r>
        <w:rPr>
          <w:rFonts w:hint="eastAsia" w:ascii="仿宋" w:hAnsi="仿宋" w:eastAsia="仿宋" w:cs="仿宋"/>
          <w:color w:val="000000"/>
          <w:sz w:val="18"/>
          <w:szCs w:val="18"/>
        </w:rPr>
        <w:t>4.企业类似项目经验要求见本文件第二章投标须知前附表第10.1款第2项的规定。</w:t>
      </w:r>
    </w:p>
    <w:p>
      <w:pPr>
        <w:pStyle w:val="164"/>
        <w:widowControl w:val="0"/>
        <w:snapToGrid w:val="0"/>
        <w:spacing w:before="0" w:beforeAutospacing="0" w:after="0" w:afterAutospacing="0"/>
        <w:ind w:firstLine="540" w:firstLineChars="300"/>
        <w:rPr>
          <w:rFonts w:hint="eastAsia" w:ascii="仿宋" w:hAnsi="仿宋" w:eastAsia="仿宋" w:cs="仿宋"/>
          <w:color w:val="000000"/>
          <w:sz w:val="18"/>
          <w:szCs w:val="18"/>
        </w:rPr>
      </w:pPr>
      <w:r>
        <w:rPr>
          <w:rFonts w:hint="eastAsia" w:ascii="仿宋" w:hAnsi="仿宋" w:eastAsia="仿宋" w:cs="仿宋"/>
          <w:color w:val="000000"/>
          <w:sz w:val="18"/>
          <w:szCs w:val="18"/>
        </w:rPr>
        <w:t>5.财务状况计算公式：流动比率=流动资产除以流动负债*100%；利润总额=营业利润+营业外收入-营业外支出；净利润=利润总额-所得税费用；资产负债率=负债合计除以资产合计*100%。</w:t>
      </w:r>
    </w:p>
    <w:p>
      <w:pPr>
        <w:pStyle w:val="164"/>
        <w:widowControl w:val="0"/>
        <w:snapToGrid w:val="0"/>
        <w:spacing w:before="0" w:beforeAutospacing="0" w:after="0" w:afterAutospacing="0"/>
        <w:ind w:firstLine="540" w:firstLineChars="300"/>
        <w:jc w:val="both"/>
        <w:rPr>
          <w:rFonts w:hint="eastAsia" w:ascii="仿宋" w:hAnsi="仿宋" w:eastAsia="仿宋" w:cs="仿宋"/>
          <w:color w:val="000000"/>
          <w:sz w:val="18"/>
          <w:szCs w:val="18"/>
        </w:rPr>
      </w:pPr>
      <w:r>
        <w:rPr>
          <w:rFonts w:hint="eastAsia" w:ascii="仿宋" w:hAnsi="仿宋" w:eastAsia="仿宋" w:cs="仿宋"/>
          <w:color w:val="000000"/>
          <w:sz w:val="18"/>
          <w:szCs w:val="18"/>
        </w:rPr>
        <w:t>6.工程获奖、年度考核、技术创新在评标办法中是否计分由招标人根据项目情况选择使用。招标人不得对投标人获得的上述奖项以外的其他奖项进行计分。本评分标准表中的工程获奖均指农田建设项目工程的获奖，且为单位（标段）获奖。同一标段获得多个奖项的，不重复计分（以得分最高计）。同一单位考核获得多个名次的，不重复计分（以得分最高计，首次进入或未得到考核名次的按其他计分），省级考核适用于全省范围、县区级考核仅适用于本行政范围。同一技术创新获得多个奖项的，不重复计分（以得分最高计）。</w:t>
      </w:r>
    </w:p>
    <w:p>
      <w:pPr>
        <w:pStyle w:val="164"/>
        <w:widowControl w:val="0"/>
        <w:snapToGrid w:val="0"/>
        <w:spacing w:line="300" w:lineRule="exact"/>
        <w:ind w:firstLine="559" w:firstLineChars="311"/>
        <w:rPr>
          <w:rFonts w:hint="eastAsia" w:ascii="仿宋" w:hAnsi="仿宋" w:eastAsia="仿宋" w:cs="仿宋"/>
          <w:color w:val="000000"/>
          <w:sz w:val="18"/>
          <w:szCs w:val="18"/>
        </w:rPr>
      </w:pPr>
    </w:p>
    <w:p>
      <w:pPr>
        <w:spacing w:line="600" w:lineRule="exact"/>
        <w:jc w:val="left"/>
        <w:rPr>
          <w:rFonts w:hint="eastAsia" w:ascii="仿宋" w:hAnsi="仿宋" w:eastAsia="仿宋" w:cs="仿宋"/>
          <w:color w:val="000000"/>
          <w:sz w:val="28"/>
          <w:szCs w:val="21"/>
        </w:rPr>
      </w:pPr>
      <w:r>
        <w:rPr>
          <w:rFonts w:hint="eastAsia" w:ascii="仿宋" w:hAnsi="仿宋" w:eastAsia="仿宋" w:cs="仿宋"/>
          <w:color w:val="000000"/>
          <w:sz w:val="28"/>
          <w:szCs w:val="21"/>
        </w:rPr>
        <w:t>评委签字：</w:t>
      </w:r>
    </w:p>
    <w:p>
      <w:pPr>
        <w:spacing w:line="600" w:lineRule="exact"/>
        <w:jc w:val="left"/>
        <w:rPr>
          <w:rFonts w:hint="eastAsia" w:ascii="仿宋" w:hAnsi="仿宋" w:eastAsia="仿宋" w:cs="仿宋"/>
          <w:color w:val="000000"/>
          <w:sz w:val="28"/>
          <w:szCs w:val="21"/>
        </w:rPr>
      </w:pPr>
    </w:p>
    <w:p>
      <w:pPr>
        <w:spacing w:line="600" w:lineRule="exact"/>
        <w:rPr>
          <w:rFonts w:eastAsia="黑体"/>
          <w:bCs/>
          <w:color w:val="000000"/>
          <w:sz w:val="28"/>
          <w:szCs w:val="20"/>
        </w:rPr>
      </w:pPr>
      <w:r>
        <w:rPr>
          <w:rFonts w:eastAsia="仿宋_GB2312"/>
          <w:color w:val="000000"/>
          <w:sz w:val="28"/>
          <w:szCs w:val="21"/>
        </w:rPr>
        <w:br w:type="page"/>
      </w:r>
      <w:r>
        <w:rPr>
          <w:rFonts w:eastAsia="黑体"/>
          <w:bCs/>
          <w:color w:val="000000"/>
          <w:sz w:val="28"/>
          <w:szCs w:val="20"/>
        </w:rPr>
        <w:t>附表3-7（2）：详细评审</w:t>
      </w:r>
      <w:r>
        <w:rPr>
          <w:rFonts w:hint="eastAsia" w:eastAsia="黑体"/>
          <w:bCs/>
          <w:color w:val="000000"/>
          <w:sz w:val="28"/>
          <w:szCs w:val="20"/>
        </w:rPr>
        <w:t>－</w:t>
      </w:r>
      <w:r>
        <w:rPr>
          <w:rFonts w:eastAsia="黑体"/>
          <w:bCs/>
          <w:color w:val="000000"/>
          <w:sz w:val="28"/>
          <w:szCs w:val="20"/>
        </w:rPr>
        <w:t>信誉等其他评分因素评分标准表（</w:t>
      </w:r>
      <w:r>
        <w:rPr>
          <w:rFonts w:hint="eastAsia" w:eastAsia="黑体"/>
          <w:bCs/>
          <w:color w:val="000000"/>
          <w:sz w:val="28"/>
          <w:szCs w:val="20"/>
        </w:rPr>
        <w:t>三</w:t>
      </w:r>
      <w:r>
        <w:rPr>
          <w:rFonts w:eastAsia="黑体"/>
          <w:bCs/>
          <w:color w:val="000000"/>
          <w:sz w:val="28"/>
          <w:szCs w:val="20"/>
        </w:rPr>
        <w:t>）</w:t>
      </w:r>
    </w:p>
    <w:p>
      <w:pPr>
        <w:pStyle w:val="32"/>
        <w:spacing w:before="120" w:beforeLines="50" w:after="120" w:afterLines="50" w:line="600" w:lineRule="exact"/>
        <w:ind w:left="0" w:firstLine="0" w:firstLineChars="0"/>
        <w:jc w:val="center"/>
        <w:rPr>
          <w:rFonts w:hint="eastAsia" w:ascii="方正小标宋简体" w:eastAsia="方正小标宋简体"/>
          <w:bCs/>
          <w:color w:val="000000"/>
          <w:sz w:val="40"/>
          <w:szCs w:val="20"/>
        </w:rPr>
      </w:pPr>
      <w:r>
        <w:rPr>
          <w:rFonts w:hint="eastAsia" w:ascii="方正小标宋简体" w:eastAsia="方正小标宋简体"/>
          <w:bCs/>
          <w:color w:val="000000"/>
          <w:sz w:val="40"/>
          <w:szCs w:val="20"/>
        </w:rPr>
        <w:t>信誉等其他评分因素评分标准表（三）</w:t>
      </w:r>
    </w:p>
    <w:p>
      <w:pPr>
        <w:snapToGrid w:val="0"/>
        <w:spacing w:line="490" w:lineRule="exact"/>
        <w:rPr>
          <w:rFonts w:hint="eastAsia" w:ascii="仿宋" w:hAnsi="仿宋" w:eastAsia="仿宋" w:cs="仿宋"/>
          <w:color w:val="000000"/>
          <w:sz w:val="24"/>
          <w:u w:val="single"/>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（标段名称）</w:t>
      </w:r>
      <w:r>
        <w:rPr>
          <w:rFonts w:hint="eastAsia" w:ascii="仿宋" w:hAnsi="仿宋" w:eastAsia="仿宋" w:cs="仿宋"/>
          <w:color w:val="000000"/>
          <w:sz w:val="24"/>
          <w:u w:val="single"/>
        </w:rPr>
        <w:t xml:space="preserve">                      </w:t>
      </w:r>
    </w:p>
    <w:p>
      <w:pPr>
        <w:snapToGrid w:val="0"/>
        <w:spacing w:line="490" w:lineRule="exact"/>
        <w:rPr>
          <w:rFonts w:hint="eastAsia" w:ascii="仿宋" w:hAnsi="仿宋" w:eastAsia="仿宋" w:cs="仿宋"/>
          <w:color w:val="000000"/>
          <w:sz w:val="24"/>
        </w:rPr>
      </w:pPr>
      <w:r>
        <w:rPr>
          <w:rFonts w:hint="eastAsia" w:ascii="仿宋" w:hAnsi="仿宋" w:eastAsia="仿宋" w:cs="仿宋"/>
          <w:color w:val="000000"/>
          <w:sz w:val="24"/>
        </w:rPr>
        <w:t>项目管理编号：</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tbl>
      <w:tblPr>
        <w:tblStyle w:val="47"/>
        <w:tblW w:w="90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784"/>
        <w:gridCol w:w="674"/>
        <w:gridCol w:w="674"/>
        <w:gridCol w:w="1134"/>
        <w:gridCol w:w="2835"/>
        <w:gridCol w:w="708"/>
        <w:gridCol w:w="567"/>
        <w:gridCol w:w="567"/>
        <w:gridCol w:w="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序号</w:t>
            </w:r>
          </w:p>
        </w:tc>
        <w:tc>
          <w:tcPr>
            <w:tcW w:w="784" w:type="dxa"/>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条款号</w:t>
            </w:r>
          </w:p>
        </w:tc>
        <w:tc>
          <w:tcPr>
            <w:tcW w:w="1348" w:type="dxa"/>
            <w:gridSpan w:val="2"/>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评分因素</w:t>
            </w:r>
          </w:p>
        </w:tc>
        <w:tc>
          <w:tcPr>
            <w:tcW w:w="4677" w:type="dxa"/>
            <w:gridSpan w:val="3"/>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评分标准</w:t>
            </w:r>
          </w:p>
        </w:tc>
        <w:tc>
          <w:tcPr>
            <w:tcW w:w="1710" w:type="dxa"/>
            <w:gridSpan w:val="3"/>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投标人名称及评审计分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snapToGrid w:val="0"/>
              <w:jc w:val="center"/>
              <w:rPr>
                <w:rFonts w:hint="eastAsia" w:ascii="仿宋" w:hAnsi="仿宋" w:eastAsia="仿宋" w:cs="仿宋"/>
                <w:color w:val="000000"/>
                <w:sz w:val="18"/>
                <w:szCs w:val="18"/>
              </w:rPr>
            </w:pPr>
          </w:p>
        </w:tc>
        <w:tc>
          <w:tcPr>
            <w:tcW w:w="4677" w:type="dxa"/>
            <w:gridSpan w:val="3"/>
            <w:vMerge w:val="continue"/>
            <w:noWrap w:val="0"/>
            <w:vAlign w:val="center"/>
          </w:tcPr>
          <w:p>
            <w:pPr>
              <w:snapToGrid w:val="0"/>
              <w:jc w:val="center"/>
              <w:rPr>
                <w:rFonts w:hint="eastAsia" w:ascii="仿宋" w:hAnsi="仿宋" w:eastAsia="仿宋" w:cs="仿宋"/>
                <w:color w:val="000000"/>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w:t>
            </w:r>
          </w:p>
        </w:tc>
        <w:tc>
          <w:tcPr>
            <w:tcW w:w="567"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2</w:t>
            </w:r>
          </w:p>
        </w:tc>
        <w:tc>
          <w:tcPr>
            <w:tcW w:w="576"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snapToGrid w:val="0"/>
              <w:jc w:val="center"/>
              <w:rPr>
                <w:rFonts w:hint="eastAsia" w:ascii="仿宋" w:hAnsi="仿宋" w:eastAsia="仿宋" w:cs="仿宋"/>
                <w:color w:val="000000"/>
                <w:sz w:val="18"/>
                <w:szCs w:val="18"/>
              </w:rPr>
            </w:pPr>
          </w:p>
        </w:tc>
        <w:tc>
          <w:tcPr>
            <w:tcW w:w="4677" w:type="dxa"/>
            <w:gridSpan w:val="3"/>
            <w:vMerge w:val="continue"/>
            <w:noWrap w:val="0"/>
            <w:vAlign w:val="center"/>
          </w:tcPr>
          <w:p>
            <w:pPr>
              <w:snapToGrid w:val="0"/>
              <w:jc w:val="center"/>
              <w:rPr>
                <w:rFonts w:hint="eastAsia" w:ascii="仿宋" w:hAnsi="仿宋" w:eastAsia="仿宋" w:cs="仿宋"/>
                <w:color w:val="000000"/>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exac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w:t>
            </w:r>
          </w:p>
        </w:tc>
        <w:tc>
          <w:tcPr>
            <w:tcW w:w="784" w:type="dxa"/>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2.2.4（2）</w:t>
            </w:r>
          </w:p>
        </w:tc>
        <w:tc>
          <w:tcPr>
            <w:tcW w:w="674"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投标人信用等级（0～45分）</w:t>
            </w:r>
          </w:p>
        </w:tc>
        <w:tc>
          <w:tcPr>
            <w:tcW w:w="674"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联合体牵头人（30～45分）×承担工作量所占比例</w:t>
            </w:r>
          </w:p>
        </w:tc>
        <w:tc>
          <w:tcPr>
            <w:tcW w:w="3969" w:type="dxa"/>
            <w:gridSpan w:val="2"/>
            <w:noWrap w:val="0"/>
            <w:vAlign w:val="center"/>
          </w:tcPr>
          <w:p>
            <w:pPr>
              <w:tabs>
                <w:tab w:val="left" w:pos="420"/>
              </w:tabs>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湖南省智慧住建云－公共服务平台—诚信评价（90-100分）或信用等级（全国水利建设市场主体）为AAA级或信用等级（湖南省水利建设市场主体）A+级（100％）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76" w:type="dxa"/>
            <w:vMerge w:val="restart"/>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snapToGrid w:val="0"/>
              <w:jc w:val="center"/>
              <w:rPr>
                <w:rFonts w:hint="eastAsia" w:ascii="仿宋" w:hAnsi="仿宋" w:eastAsia="仿宋" w:cs="仿宋"/>
                <w:color w:val="000000"/>
                <w:sz w:val="18"/>
                <w:szCs w:val="18"/>
              </w:rPr>
            </w:pPr>
          </w:p>
        </w:tc>
        <w:tc>
          <w:tcPr>
            <w:tcW w:w="3969" w:type="dxa"/>
            <w:gridSpan w:val="2"/>
            <w:noWrap w:val="0"/>
            <w:vAlign w:val="center"/>
          </w:tcPr>
          <w:p>
            <w:pPr>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湖南省智慧住建云－公共服务平台—诚信评价（80-89分）或信用等级（全国水利建设市场主体）为AA级或信用等级（湖南省水利建设市场主体）A级（85％）</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snapToGrid w:val="0"/>
              <w:jc w:val="center"/>
              <w:rPr>
                <w:rFonts w:hint="eastAsia" w:ascii="仿宋" w:hAnsi="仿宋" w:eastAsia="仿宋" w:cs="仿宋"/>
                <w:color w:val="000000"/>
                <w:sz w:val="18"/>
                <w:szCs w:val="18"/>
              </w:rPr>
            </w:pPr>
          </w:p>
        </w:tc>
        <w:tc>
          <w:tcPr>
            <w:tcW w:w="3969" w:type="dxa"/>
            <w:gridSpan w:val="2"/>
            <w:noWrap w:val="0"/>
            <w:vAlign w:val="center"/>
          </w:tcPr>
          <w:p>
            <w:pPr>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湖南省智慧住建云－公共服务平台—诚信评价（70-79分）或信用等级（全国水利建设市场主体）为A级或信用等级（湖南省水利建设市场主体）A-级（70％）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snapToGrid w:val="0"/>
              <w:jc w:val="center"/>
              <w:rPr>
                <w:rFonts w:hint="eastAsia" w:ascii="仿宋" w:hAnsi="仿宋" w:eastAsia="仿宋" w:cs="仿宋"/>
                <w:color w:val="000000"/>
                <w:sz w:val="18"/>
                <w:szCs w:val="18"/>
              </w:rPr>
            </w:pPr>
          </w:p>
        </w:tc>
        <w:tc>
          <w:tcPr>
            <w:tcW w:w="3969" w:type="dxa"/>
            <w:gridSpan w:val="2"/>
            <w:noWrap w:val="0"/>
            <w:vAlign w:val="center"/>
          </w:tcPr>
          <w:p>
            <w:pPr>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湖南省智慧住建云－公共服务平台—诚信评价（60-69分）或信用等级（全国水利建设市场主体）为B级或信用等级（湖南省水利建设市场主体）B级（55％）</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3969" w:type="dxa"/>
            <w:gridSpan w:val="2"/>
            <w:noWrap w:val="0"/>
            <w:vAlign w:val="center"/>
          </w:tcPr>
          <w:p>
            <w:pPr>
              <w:pStyle w:val="106"/>
              <w:snapToGrid w:val="0"/>
              <w:jc w:val="both"/>
              <w:rPr>
                <w:rFonts w:hint="eastAsia" w:ascii="仿宋" w:hAnsi="仿宋" w:eastAsia="仿宋" w:cs="仿宋"/>
                <w:sz w:val="18"/>
                <w:szCs w:val="18"/>
              </w:rPr>
            </w:pPr>
            <w:r>
              <w:rPr>
                <w:rFonts w:hint="eastAsia" w:ascii="仿宋" w:hAnsi="仿宋" w:eastAsia="仿宋" w:cs="仿宋"/>
                <w:sz w:val="18"/>
                <w:szCs w:val="18"/>
              </w:rPr>
              <w:t>湖南省智慧住建云－公共服务平台—诚信评价（60分以下，不包含60分）或信用等级（全国水利建设市场主体）为C级或信用等级（湖南省水利建设市场主体）C级（0分）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674"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联合体成员一（30～45分）×承担工作量所占比例</w:t>
            </w:r>
          </w:p>
        </w:tc>
        <w:tc>
          <w:tcPr>
            <w:tcW w:w="3969" w:type="dxa"/>
            <w:gridSpan w:val="2"/>
            <w:noWrap w:val="0"/>
            <w:vAlign w:val="center"/>
          </w:tcPr>
          <w:p>
            <w:pPr>
              <w:tabs>
                <w:tab w:val="left" w:pos="420"/>
              </w:tabs>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湖南省智慧住建云－公共服务平台—诚信评价（90-100分）或信用等级（全国水利建设市场主体）为AAA级或信用等级（湖南省水利建设市场主体）A+级（100％）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76" w:type="dxa"/>
            <w:vMerge w:val="restart"/>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3969" w:type="dxa"/>
            <w:gridSpan w:val="2"/>
            <w:noWrap w:val="0"/>
            <w:vAlign w:val="center"/>
          </w:tcPr>
          <w:p>
            <w:pPr>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湖南省智慧住建云－公共服务平台—诚信评价（80-89分）或信用等级（全国水利建设市场主体）为AA级或信用等级（湖南省水利建设市场主体）A级（85％）</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3969" w:type="dxa"/>
            <w:gridSpan w:val="2"/>
            <w:noWrap w:val="0"/>
            <w:vAlign w:val="center"/>
          </w:tcPr>
          <w:p>
            <w:pPr>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湖南省智慧住建云－公共服务平台—诚信评价（70-79分）或信用等级（全国水利建设市场主体）为A级或信用等级（湖南省水利建设市场主体）A-级（70％）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3969" w:type="dxa"/>
            <w:gridSpan w:val="2"/>
            <w:noWrap w:val="0"/>
            <w:vAlign w:val="center"/>
          </w:tcPr>
          <w:p>
            <w:pPr>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湖南省智慧住建云－公共服务平台—诚信评价（60-69分）或信用等级（全国水利建设市场主体）为B级或信用等级（湖南省水利建设市场主体）B级（55％）</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3969" w:type="dxa"/>
            <w:gridSpan w:val="2"/>
            <w:noWrap w:val="0"/>
            <w:vAlign w:val="center"/>
          </w:tcPr>
          <w:p>
            <w:pPr>
              <w:pStyle w:val="106"/>
              <w:snapToGrid w:val="0"/>
              <w:jc w:val="both"/>
              <w:rPr>
                <w:rFonts w:hint="eastAsia" w:ascii="仿宋" w:hAnsi="仿宋" w:eastAsia="仿宋" w:cs="仿宋"/>
                <w:sz w:val="18"/>
                <w:szCs w:val="18"/>
              </w:rPr>
            </w:pPr>
            <w:r>
              <w:rPr>
                <w:rFonts w:hint="eastAsia" w:ascii="仿宋" w:hAnsi="仿宋" w:eastAsia="仿宋" w:cs="仿宋"/>
                <w:sz w:val="18"/>
                <w:szCs w:val="18"/>
              </w:rPr>
              <w:t>湖南省智慧住建云－公共服务平台—诚信评价（60分以下，不包含60分）或信用等级（全国水利建设市场主体）为C级或信用等级（湖南省水利建设市场主体）C级（0分）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674" w:type="dxa"/>
            <w:noWrap w:val="0"/>
            <w:vAlign w:val="center"/>
          </w:tcPr>
          <w:p>
            <w:pPr>
              <w:pStyle w:val="106"/>
              <w:snapToGrid w:val="0"/>
              <w:jc w:val="center"/>
              <w:rPr>
                <w:rFonts w:hint="eastAsia" w:ascii="仿宋" w:hAnsi="仿宋" w:eastAsia="仿宋" w:cs="仿宋"/>
                <w:b/>
                <w:sz w:val="18"/>
                <w:szCs w:val="18"/>
              </w:rPr>
            </w:pPr>
            <w:r>
              <w:rPr>
                <w:rFonts w:hint="eastAsia" w:ascii="仿宋" w:hAnsi="仿宋" w:eastAsia="仿宋" w:cs="仿宋"/>
                <w:b/>
                <w:sz w:val="18"/>
                <w:szCs w:val="18"/>
              </w:rPr>
              <w:t>……</w:t>
            </w:r>
          </w:p>
        </w:tc>
        <w:tc>
          <w:tcPr>
            <w:tcW w:w="3969" w:type="dxa"/>
            <w:gridSpan w:val="2"/>
            <w:noWrap w:val="0"/>
            <w:vAlign w:val="top"/>
          </w:tcPr>
          <w:p>
            <w:pPr>
              <w:pStyle w:val="106"/>
              <w:snapToGrid w:val="0"/>
              <w:rPr>
                <w:rFonts w:hint="eastAsia" w:ascii="仿宋" w:hAnsi="仿宋" w:eastAsia="仿宋" w:cs="仿宋"/>
                <w:sz w:val="18"/>
                <w:szCs w:val="18"/>
              </w:rPr>
            </w:pP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574"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2</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noWrap w:val="0"/>
            <w:vAlign w:val="center"/>
          </w:tcPr>
          <w:p>
            <w:pPr>
              <w:pStyle w:val="106"/>
              <w:snapToGrid w:val="0"/>
              <w:jc w:val="center"/>
              <w:rPr>
                <w:rFonts w:hint="eastAsia" w:ascii="仿宋" w:hAnsi="仿宋" w:eastAsia="仿宋" w:cs="仿宋"/>
                <w:b/>
                <w:sz w:val="18"/>
                <w:szCs w:val="18"/>
              </w:rPr>
            </w:pPr>
            <w:r>
              <w:rPr>
                <w:rFonts w:hint="eastAsia" w:ascii="仿宋" w:hAnsi="仿宋" w:eastAsia="仿宋" w:cs="仿宋"/>
                <w:sz w:val="18"/>
                <w:szCs w:val="18"/>
              </w:rPr>
              <w:t>类似项目经验（近</w:t>
            </w:r>
            <w:r>
              <w:rPr>
                <w:rFonts w:hint="eastAsia" w:ascii="仿宋" w:hAnsi="仿宋" w:eastAsia="仿宋" w:cs="仿宋"/>
                <w:sz w:val="18"/>
                <w:szCs w:val="18"/>
                <w:u w:val="single"/>
              </w:rPr>
              <w:t xml:space="preserve">   </w:t>
            </w:r>
            <w:r>
              <w:rPr>
                <w:rFonts w:hint="eastAsia" w:ascii="仿宋" w:hAnsi="仿宋" w:eastAsia="仿宋" w:cs="仿宋"/>
                <w:sz w:val="18"/>
                <w:szCs w:val="18"/>
              </w:rPr>
              <w:t>年）（0～40分）</w:t>
            </w:r>
          </w:p>
        </w:tc>
        <w:tc>
          <w:tcPr>
            <w:tcW w:w="4677" w:type="dxa"/>
            <w:gridSpan w:val="3"/>
            <w:noWrap w:val="0"/>
            <w:vAlign w:val="center"/>
          </w:tcPr>
          <w:p>
            <w:pPr>
              <w:pStyle w:val="106"/>
              <w:snapToGrid w:val="0"/>
              <w:ind w:firstLine="180" w:firstLineChars="100"/>
              <w:rPr>
                <w:rFonts w:hint="eastAsia" w:ascii="仿宋" w:hAnsi="仿宋" w:eastAsia="仿宋" w:cs="仿宋"/>
                <w:sz w:val="18"/>
                <w:szCs w:val="18"/>
              </w:rPr>
            </w:pPr>
            <w:r>
              <w:rPr>
                <w:rFonts w:hint="eastAsia" w:ascii="仿宋" w:hAnsi="仿宋" w:eastAsia="仿宋" w:cs="仿宋"/>
                <w:sz w:val="18"/>
                <w:szCs w:val="18"/>
              </w:rPr>
              <w:t>满足招标文件的计</w:t>
            </w:r>
            <w:r>
              <w:rPr>
                <w:rFonts w:hint="eastAsia" w:ascii="仿宋" w:hAnsi="仿宋" w:eastAsia="仿宋" w:cs="仿宋"/>
                <w:sz w:val="18"/>
                <w:szCs w:val="18"/>
                <w:u w:val="single"/>
              </w:rPr>
              <w:t xml:space="preserve">  </w:t>
            </w:r>
            <w:r>
              <w:rPr>
                <w:rFonts w:hint="eastAsia" w:ascii="仿宋" w:hAnsi="仿宋" w:eastAsia="仿宋" w:cs="仿宋"/>
                <w:sz w:val="18"/>
                <w:szCs w:val="18"/>
              </w:rPr>
              <w:t>分，每增加一个类似业绩加</w:t>
            </w:r>
            <w:r>
              <w:rPr>
                <w:rFonts w:hint="eastAsia" w:ascii="仿宋" w:hAnsi="仿宋" w:eastAsia="仿宋" w:cs="仿宋"/>
                <w:sz w:val="18"/>
                <w:szCs w:val="18"/>
                <w:u w:val="single"/>
              </w:rPr>
              <w:t xml:space="preserve">  </w:t>
            </w:r>
            <w:r>
              <w:rPr>
                <w:rFonts w:hint="eastAsia" w:ascii="仿宋" w:hAnsi="仿宋" w:eastAsia="仿宋" w:cs="仿宋"/>
                <w:sz w:val="18"/>
                <w:szCs w:val="18"/>
              </w:rPr>
              <w:t>分，最多增加二个类似业绩。</w:t>
            </w: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3</w:t>
            </w:r>
          </w:p>
        </w:tc>
        <w:tc>
          <w:tcPr>
            <w:tcW w:w="784" w:type="dxa"/>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2.2.4（2）</w:t>
            </w:r>
          </w:p>
        </w:tc>
        <w:tc>
          <w:tcPr>
            <w:tcW w:w="1348" w:type="dxa"/>
            <w:gridSpan w:val="2"/>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财务状况</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（10～20分）</w:t>
            </w:r>
          </w:p>
        </w:tc>
        <w:tc>
          <w:tcPr>
            <w:tcW w:w="1134"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流动比率（4～7分）</w:t>
            </w:r>
          </w:p>
        </w:tc>
        <w:tc>
          <w:tcPr>
            <w:tcW w:w="2835"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流动比率2倍（含）以上</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76" w:type="dxa"/>
            <w:vMerge w:val="restart"/>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vMerge w:val="continue"/>
            <w:noWrap w:val="0"/>
            <w:vAlign w:val="center"/>
          </w:tcPr>
          <w:p>
            <w:pPr>
              <w:pStyle w:val="106"/>
              <w:snapToGrid w:val="0"/>
              <w:jc w:val="center"/>
              <w:rPr>
                <w:rFonts w:hint="eastAsia" w:ascii="仿宋" w:hAnsi="仿宋" w:eastAsia="仿宋" w:cs="仿宋"/>
                <w:sz w:val="18"/>
                <w:szCs w:val="18"/>
              </w:rPr>
            </w:pPr>
          </w:p>
        </w:tc>
        <w:tc>
          <w:tcPr>
            <w:tcW w:w="2835"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流动比率2倍以下</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企业利润（2～6分）</w:t>
            </w:r>
          </w:p>
        </w:tc>
        <w:tc>
          <w:tcPr>
            <w:tcW w:w="2835"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净利润＞0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企业资产负债率</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（4～7分）</w:t>
            </w:r>
          </w:p>
        </w:tc>
        <w:tc>
          <w:tcPr>
            <w:tcW w:w="2835"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资产负债率＜70％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76" w:type="dxa"/>
            <w:vMerge w:val="restart"/>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vMerge w:val="continue"/>
            <w:noWrap w:val="0"/>
            <w:vAlign w:val="center"/>
          </w:tcPr>
          <w:p>
            <w:pPr>
              <w:pStyle w:val="106"/>
              <w:snapToGrid w:val="0"/>
              <w:jc w:val="center"/>
              <w:rPr>
                <w:rFonts w:hint="eastAsia" w:ascii="仿宋" w:hAnsi="仿宋" w:eastAsia="仿宋" w:cs="仿宋"/>
                <w:sz w:val="18"/>
                <w:szCs w:val="18"/>
              </w:rPr>
            </w:pPr>
          </w:p>
        </w:tc>
        <w:tc>
          <w:tcPr>
            <w:tcW w:w="2835"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sz w:val="18"/>
                <w:szCs w:val="18"/>
              </w:rPr>
              <w:t>90％＞资产负债率≥70％</w:t>
            </w:r>
          </w:p>
        </w:tc>
        <w:tc>
          <w:tcPr>
            <w:tcW w:w="708" w:type="dxa"/>
            <w:noWrap w:val="0"/>
            <w:vAlign w:val="center"/>
          </w:tcPr>
          <w:p>
            <w:pPr>
              <w:snapToGrid w:val="0"/>
              <w:jc w:val="center"/>
              <w:rPr>
                <w:rFonts w:hint="eastAsia" w:ascii="仿宋" w:hAnsi="仿宋" w:eastAsia="仿宋" w:cs="仿宋"/>
                <w:color w:val="000000"/>
                <w:kern w:val="0"/>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4</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工程获奖</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（近</w:t>
            </w:r>
            <w:r>
              <w:rPr>
                <w:rFonts w:hint="eastAsia" w:ascii="仿宋" w:hAnsi="仿宋" w:eastAsia="仿宋" w:cs="仿宋"/>
                <w:sz w:val="18"/>
                <w:szCs w:val="18"/>
                <w:u w:val="single"/>
              </w:rPr>
              <w:t xml:space="preserve">    </w:t>
            </w:r>
            <w:r>
              <w:rPr>
                <w:rFonts w:hint="eastAsia" w:ascii="仿宋" w:hAnsi="仿宋" w:eastAsia="仿宋" w:cs="仿宋"/>
                <w:sz w:val="18"/>
                <w:szCs w:val="18"/>
              </w:rPr>
              <w:t>年）</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（0～20分）</w:t>
            </w:r>
          </w:p>
        </w:tc>
        <w:tc>
          <w:tcPr>
            <w:tcW w:w="1134" w:type="dxa"/>
            <w:noWrap w:val="0"/>
            <w:vAlign w:val="center"/>
          </w:tcPr>
          <w:p>
            <w:pPr>
              <w:pStyle w:val="106"/>
              <w:snapToGrid w:val="0"/>
              <w:jc w:val="center"/>
              <w:rPr>
                <w:rFonts w:ascii="仿宋" w:hAnsi="仿宋" w:eastAsia="仿宋" w:cs="仿宋"/>
                <w:sz w:val="18"/>
                <w:szCs w:val="18"/>
              </w:rPr>
            </w:pPr>
            <w:r>
              <w:rPr>
                <w:rFonts w:hint="eastAsia" w:ascii="仿宋" w:hAnsi="仿宋" w:eastAsia="仿宋" w:cs="仿宋"/>
                <w:sz w:val="18"/>
                <w:szCs w:val="18"/>
              </w:rPr>
              <w:t>0～20</w:t>
            </w:r>
          </w:p>
        </w:tc>
        <w:tc>
          <w:tcPr>
            <w:tcW w:w="2835" w:type="dxa"/>
            <w:noWrap w:val="0"/>
            <w:vAlign w:val="center"/>
          </w:tcPr>
          <w:p>
            <w:pPr>
              <w:pStyle w:val="106"/>
              <w:snapToGrid w:val="0"/>
              <w:rPr>
                <w:rFonts w:hint="eastAsia" w:ascii="仿宋" w:hAnsi="仿宋" w:eastAsia="仿宋" w:cs="仿宋"/>
                <w:sz w:val="18"/>
                <w:szCs w:val="18"/>
                <w:u w:val="single"/>
              </w:rPr>
            </w:pPr>
            <w:r>
              <w:rPr>
                <w:rFonts w:hint="eastAsia" w:ascii="仿宋" w:hAnsi="仿宋" w:eastAsia="仿宋" w:cs="仿宋"/>
                <w:sz w:val="18"/>
                <w:szCs w:val="18"/>
              </w:rPr>
              <w:t>国家优质工程奖、农业农村部质量奖（均指农田建设项目工程获奖），每项计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0～15</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省政府或省级农业农村主管部门颁发的优质农田建设项目工程奖项每项计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0～12</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市政府或市级农业农村主管部门颁发的优质农田建设项目工程奖项每项计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5</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年度考核</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（近</w:t>
            </w:r>
            <w:r>
              <w:rPr>
                <w:rFonts w:hint="eastAsia" w:ascii="仿宋" w:hAnsi="仿宋" w:eastAsia="仿宋" w:cs="仿宋"/>
                <w:sz w:val="18"/>
                <w:szCs w:val="18"/>
                <w:u w:val="single"/>
              </w:rPr>
              <w:t xml:space="preserve">    </w:t>
            </w:r>
            <w:r>
              <w:rPr>
                <w:rFonts w:hint="eastAsia" w:ascii="仿宋" w:hAnsi="仿宋" w:eastAsia="仿宋" w:cs="仿宋"/>
                <w:sz w:val="18"/>
                <w:szCs w:val="18"/>
              </w:rPr>
              <w:t>年）</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（18～35分）</w:t>
            </w:r>
          </w:p>
        </w:tc>
        <w:tc>
          <w:tcPr>
            <w:tcW w:w="1134" w:type="dxa"/>
            <w:noWrap w:val="0"/>
            <w:vAlign w:val="center"/>
          </w:tcPr>
          <w:p>
            <w:pPr>
              <w:pStyle w:val="106"/>
              <w:snapToGrid w:val="0"/>
              <w:jc w:val="center"/>
              <w:rPr>
                <w:rFonts w:ascii="仿宋" w:hAnsi="仿宋" w:eastAsia="仿宋" w:cs="仿宋"/>
                <w:sz w:val="18"/>
                <w:szCs w:val="18"/>
              </w:rPr>
            </w:pPr>
            <w:r>
              <w:rPr>
                <w:rFonts w:hint="eastAsia" w:ascii="仿宋" w:hAnsi="仿宋" w:eastAsia="仿宋" w:cs="仿宋"/>
                <w:sz w:val="18"/>
                <w:szCs w:val="18"/>
              </w:rPr>
              <w:t>21～35</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省级农业农村主管部门考核第一名100%；第二名95%；第三名85%；其他60%；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ascii="仿宋" w:hAnsi="仿宋" w:eastAsia="仿宋" w:cs="仿宋"/>
                <w:sz w:val="18"/>
                <w:szCs w:val="18"/>
              </w:rPr>
            </w:pPr>
            <w:r>
              <w:rPr>
                <w:rFonts w:hint="eastAsia" w:ascii="仿宋" w:hAnsi="仿宋" w:eastAsia="仿宋" w:cs="仿宋"/>
                <w:sz w:val="18"/>
                <w:szCs w:val="18"/>
              </w:rPr>
              <w:t>18～30</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县/区级农业农村主管部门考核第一名100%；第二名95%；第三名85%；其他60%；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6</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技术创新</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（近</w:t>
            </w:r>
            <w:r>
              <w:rPr>
                <w:rFonts w:hint="eastAsia" w:ascii="仿宋" w:hAnsi="仿宋" w:eastAsia="仿宋" w:cs="仿宋"/>
                <w:sz w:val="18"/>
                <w:szCs w:val="18"/>
                <w:u w:val="single"/>
              </w:rPr>
              <w:t xml:space="preserve">    </w:t>
            </w:r>
            <w:r>
              <w:rPr>
                <w:rFonts w:hint="eastAsia" w:ascii="仿宋" w:hAnsi="仿宋" w:eastAsia="仿宋" w:cs="仿宋"/>
                <w:sz w:val="18"/>
                <w:szCs w:val="18"/>
              </w:rPr>
              <w:t>年）</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（0～15分）</w:t>
            </w: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0～8</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国家科技进步奖或国家技术发明奖（均指农田建设项目工程获奖）每项计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0～4</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省科技进步奖或省技术发明奖（均指农田建设项目工程获奖）每项计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0～3</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省级行业协会（学会）颁发的科技进步奖（均指农田建设项目工程获奖）每项计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noWrap w:val="0"/>
            <w:vAlign w:val="center"/>
          </w:tcPr>
          <w:p>
            <w:pPr>
              <w:snapToGrid w:val="0"/>
              <w:jc w:val="center"/>
              <w:rPr>
                <w:rFonts w:hint="eastAsia" w:ascii="仿宋" w:hAnsi="仿宋" w:eastAsia="仿宋" w:cs="仿宋"/>
                <w:color w:val="000000"/>
                <w:kern w:val="0"/>
              </w:rPr>
            </w:pPr>
          </w:p>
        </w:tc>
        <w:tc>
          <w:tcPr>
            <w:tcW w:w="6809" w:type="dxa"/>
            <w:gridSpan w:val="6"/>
            <w:noWrap w:val="0"/>
            <w:vAlign w:val="center"/>
          </w:tcPr>
          <w:p>
            <w:pPr>
              <w:snapToGrid w:val="0"/>
              <w:jc w:val="center"/>
              <w:rPr>
                <w:rFonts w:hint="eastAsia" w:ascii="仿宋" w:hAnsi="仿宋" w:eastAsia="仿宋" w:cs="仿宋"/>
                <w:b/>
                <w:bCs/>
                <w:color w:val="000000"/>
                <w:kern w:val="0"/>
              </w:rPr>
            </w:pPr>
            <w:r>
              <w:rPr>
                <w:rFonts w:hint="eastAsia" w:ascii="仿宋" w:hAnsi="仿宋" w:eastAsia="仿宋" w:cs="仿宋"/>
                <w:b/>
                <w:bCs/>
                <w:color w:val="000000"/>
                <w:kern w:val="0"/>
              </w:rPr>
              <w:t>合计</w:t>
            </w:r>
          </w:p>
        </w:tc>
        <w:tc>
          <w:tcPr>
            <w:tcW w:w="567" w:type="dxa"/>
            <w:noWrap w:val="0"/>
            <w:vAlign w:val="center"/>
          </w:tcPr>
          <w:p>
            <w:pPr>
              <w:snapToGrid w:val="0"/>
              <w:jc w:val="center"/>
              <w:rPr>
                <w:rFonts w:hint="eastAsia" w:ascii="仿宋" w:hAnsi="仿宋" w:eastAsia="仿宋" w:cs="仿宋"/>
                <w:color w:val="000000"/>
                <w:kern w:val="0"/>
              </w:rPr>
            </w:pPr>
          </w:p>
        </w:tc>
        <w:tc>
          <w:tcPr>
            <w:tcW w:w="567" w:type="dxa"/>
            <w:noWrap w:val="0"/>
            <w:vAlign w:val="center"/>
          </w:tcPr>
          <w:p>
            <w:pPr>
              <w:snapToGrid w:val="0"/>
              <w:jc w:val="center"/>
              <w:rPr>
                <w:rFonts w:hint="eastAsia" w:ascii="仿宋" w:hAnsi="仿宋" w:eastAsia="仿宋" w:cs="仿宋"/>
                <w:color w:val="000000"/>
                <w:kern w:val="0"/>
              </w:rPr>
            </w:pPr>
          </w:p>
        </w:tc>
        <w:tc>
          <w:tcPr>
            <w:tcW w:w="576" w:type="dxa"/>
            <w:noWrap w:val="0"/>
            <w:vAlign w:val="center"/>
          </w:tcPr>
          <w:p>
            <w:pPr>
              <w:snapToGrid w:val="0"/>
              <w:jc w:val="center"/>
              <w:rPr>
                <w:rFonts w:hint="eastAsia" w:ascii="仿宋" w:hAnsi="仿宋" w:eastAsia="仿宋" w:cs="仿宋"/>
                <w:color w:val="000000"/>
                <w:kern w:val="0"/>
              </w:rPr>
            </w:pPr>
          </w:p>
        </w:tc>
      </w:tr>
    </w:tbl>
    <w:p>
      <w:pPr>
        <w:jc w:val="left"/>
        <w:rPr>
          <w:rFonts w:hint="eastAsia" w:ascii="仿宋" w:hAnsi="仿宋" w:eastAsia="仿宋" w:cs="仿宋"/>
          <w:color w:val="000000"/>
          <w:kern w:val="0"/>
          <w:sz w:val="18"/>
          <w:szCs w:val="18"/>
        </w:rPr>
      </w:pPr>
      <w:r>
        <w:rPr>
          <w:rFonts w:hint="eastAsia" w:ascii="仿宋" w:hAnsi="仿宋" w:eastAsia="仿宋" w:cs="仿宋"/>
          <w:b/>
          <w:color w:val="000000"/>
          <w:kern w:val="0"/>
          <w:sz w:val="18"/>
          <w:szCs w:val="18"/>
        </w:rPr>
        <w:t>备注：</w:t>
      </w:r>
      <w:r>
        <w:rPr>
          <w:rFonts w:hint="eastAsia" w:ascii="仿宋" w:hAnsi="仿宋" w:eastAsia="仿宋" w:cs="仿宋"/>
          <w:color w:val="000000"/>
          <w:kern w:val="0"/>
          <w:sz w:val="18"/>
          <w:szCs w:val="18"/>
        </w:rPr>
        <w:t>1.本表适用于联合体投标人评审。</w:t>
      </w:r>
    </w:p>
    <w:p>
      <w:pPr>
        <w:ind w:firstLine="540" w:firstLineChars="300"/>
        <w:jc w:val="left"/>
        <w:rPr>
          <w:rFonts w:hint="eastAsia" w:ascii="仿宋" w:hAnsi="仿宋" w:eastAsia="仿宋" w:cs="仿宋"/>
          <w:color w:val="000000"/>
          <w:sz w:val="18"/>
          <w:szCs w:val="18"/>
        </w:rPr>
      </w:pPr>
      <w:r>
        <w:rPr>
          <w:rFonts w:hint="eastAsia" w:ascii="仿宋" w:hAnsi="仿宋" w:eastAsia="仿宋" w:cs="仿宋"/>
          <w:color w:val="000000"/>
          <w:kern w:val="0"/>
          <w:sz w:val="18"/>
          <w:szCs w:val="18"/>
        </w:rPr>
        <w:t>2.本表小计总分为100分。</w:t>
      </w:r>
      <w:r>
        <w:rPr>
          <w:rFonts w:hint="eastAsia" w:ascii="仿宋" w:hAnsi="仿宋" w:eastAsia="仿宋" w:cs="仿宋"/>
          <w:color w:val="000000"/>
          <w:sz w:val="18"/>
          <w:szCs w:val="18"/>
        </w:rPr>
        <w:t>由评标委员会集体评议，统一计分。评标委员会成员中对结论有不同意见时，按少数服从多数的原则，确定得分。</w:t>
      </w:r>
    </w:p>
    <w:p>
      <w:pPr>
        <w:pStyle w:val="164"/>
        <w:widowControl w:val="0"/>
        <w:snapToGrid w:val="0"/>
        <w:spacing w:before="0" w:beforeAutospacing="0" w:after="0" w:afterAutospacing="0"/>
        <w:ind w:firstLine="542" w:firstLineChars="300"/>
        <w:rPr>
          <w:rFonts w:hint="eastAsia" w:ascii="仿宋" w:hAnsi="仿宋" w:eastAsia="仿宋" w:cs="仿宋"/>
          <w:b/>
          <w:bCs/>
          <w:color w:val="000000"/>
          <w:sz w:val="18"/>
          <w:szCs w:val="18"/>
        </w:rPr>
      </w:pPr>
      <w:r>
        <w:rPr>
          <w:rFonts w:hint="eastAsia" w:ascii="仿宋" w:hAnsi="仿宋" w:eastAsia="仿宋" w:cs="仿宋"/>
          <w:b/>
          <w:bCs/>
          <w:color w:val="000000"/>
          <w:sz w:val="18"/>
          <w:szCs w:val="18"/>
        </w:rPr>
        <w:t>3.（1）以建筑工程施工总承包或市政公用工程施工总承包资质投标时，施工单位信用评价情况采用提交投标文件截止之时最新公告的信用评价结果。评标时以在“湖南省智慧住建云”中查询的结果为准；</w:t>
      </w:r>
    </w:p>
    <w:p>
      <w:pPr>
        <w:pStyle w:val="164"/>
        <w:widowControl w:val="0"/>
        <w:snapToGrid w:val="0"/>
        <w:spacing w:before="0" w:beforeAutospacing="0" w:after="0" w:afterAutospacing="0"/>
        <w:ind w:left="88" w:firstLine="452" w:firstLineChars="250"/>
        <w:rPr>
          <w:rFonts w:hint="eastAsia" w:ascii="仿宋" w:hAnsi="仿宋" w:eastAsia="仿宋" w:cs="仿宋"/>
          <w:b/>
          <w:bCs/>
          <w:color w:val="000000"/>
          <w:sz w:val="18"/>
          <w:szCs w:val="18"/>
        </w:rPr>
      </w:pPr>
      <w:r>
        <w:rPr>
          <w:rFonts w:hint="eastAsia" w:ascii="仿宋" w:hAnsi="仿宋" w:eastAsia="仿宋" w:cs="仿宋"/>
          <w:b/>
          <w:bCs/>
          <w:color w:val="000000"/>
          <w:sz w:val="18"/>
          <w:szCs w:val="18"/>
        </w:rPr>
        <w:t>（2）以建筑工程施工总承包或市政公用工程施工总承包资质投标时，以联合体投标的，其中施工单位有两家（含两家）以上的，由招标人在招标文件中确定联合体信用评价的计分方式。</w:t>
      </w:r>
    </w:p>
    <w:p>
      <w:pPr>
        <w:pStyle w:val="164"/>
        <w:widowControl w:val="0"/>
        <w:snapToGrid w:val="0"/>
        <w:spacing w:before="0" w:beforeAutospacing="0" w:after="0" w:afterAutospacing="0"/>
        <w:ind w:left="88" w:firstLine="452" w:firstLineChars="250"/>
        <w:rPr>
          <w:rFonts w:hint="eastAsia" w:ascii="仿宋" w:hAnsi="仿宋" w:eastAsia="仿宋" w:cs="仿宋"/>
          <w:b/>
          <w:bCs/>
          <w:color w:val="000000"/>
          <w:sz w:val="18"/>
          <w:szCs w:val="18"/>
        </w:rPr>
      </w:pPr>
      <w:r>
        <w:rPr>
          <w:rFonts w:hint="eastAsia" w:ascii="仿宋" w:hAnsi="仿宋" w:eastAsia="仿宋" w:cs="仿宋"/>
          <w:b/>
          <w:bCs/>
          <w:color w:val="000000"/>
          <w:sz w:val="18"/>
          <w:szCs w:val="18"/>
        </w:rPr>
        <w:t>（3）以建筑工程施工总承包或市政公用工程施工总承包资质投标时，未参加信用评价的投标人（含联合体各成员方），按照信用评价处于末位的合格投标人的分值计取，其中被列入省公管办或省住建厅发布的失信黑名单的投标人，按照信用评价处于末位的合格投标人的分值扣除60分计取。</w:t>
      </w:r>
    </w:p>
    <w:p>
      <w:pPr>
        <w:pStyle w:val="164"/>
        <w:widowControl w:val="0"/>
        <w:snapToGrid w:val="0"/>
        <w:spacing w:before="0" w:beforeAutospacing="0" w:after="0" w:afterAutospacing="0"/>
        <w:ind w:left="88" w:firstLine="452" w:firstLineChars="250"/>
        <w:rPr>
          <w:rFonts w:hint="eastAsia" w:ascii="仿宋" w:hAnsi="仿宋" w:eastAsia="仿宋" w:cs="仿宋"/>
          <w:b/>
          <w:bCs/>
          <w:color w:val="000000"/>
          <w:sz w:val="18"/>
          <w:szCs w:val="18"/>
        </w:rPr>
      </w:pPr>
      <w:r>
        <w:rPr>
          <w:rFonts w:hint="eastAsia" w:ascii="仿宋" w:hAnsi="仿宋" w:eastAsia="仿宋" w:cs="仿宋"/>
          <w:b/>
          <w:bCs/>
          <w:color w:val="000000"/>
          <w:sz w:val="18"/>
          <w:szCs w:val="18"/>
        </w:rPr>
        <w:t>（4）以水利水电施工总承包资质投标时，投标人信用等级得分以全国和湖南省水利建设市场主体信用评级机构评定的信用等级对应得分中较低的一个分数为准，如某投标人的信用等级（全国水利建设市场主体）为AAA级，信用等级（湖南省水利建设市场主体）为A-级，则其信用等级得分以信用等级（湖南省水利建设市场主体）A-级得分为准。</w:t>
      </w:r>
    </w:p>
    <w:p>
      <w:pPr>
        <w:pStyle w:val="164"/>
        <w:widowControl w:val="0"/>
        <w:snapToGrid w:val="0"/>
        <w:spacing w:before="0" w:beforeAutospacing="0" w:after="0" w:afterAutospacing="0"/>
        <w:ind w:left="88" w:firstLine="452" w:firstLineChars="250"/>
        <w:rPr>
          <w:rFonts w:hint="eastAsia" w:ascii="仿宋" w:hAnsi="仿宋" w:eastAsia="仿宋" w:cs="仿宋"/>
          <w:b/>
          <w:bCs/>
          <w:color w:val="000000"/>
          <w:sz w:val="18"/>
          <w:szCs w:val="18"/>
        </w:rPr>
      </w:pPr>
      <w:r>
        <w:rPr>
          <w:rFonts w:hint="eastAsia" w:ascii="仿宋" w:hAnsi="仿宋" w:eastAsia="仿宋" w:cs="仿宋"/>
          <w:b/>
          <w:bCs/>
          <w:color w:val="000000"/>
          <w:sz w:val="18"/>
          <w:szCs w:val="18"/>
        </w:rPr>
        <w:t>首次进入湖南省水利建设市场、未申请信用评价以及连续两年无在建项目的市场主体单位，其湖南省信用等级默认为B级；未取得全国水利建设市场主体信用评价证书的，在湖南省水利建设市场其全国信用等级视为B级。</w:t>
      </w:r>
    </w:p>
    <w:p>
      <w:pPr>
        <w:pStyle w:val="164"/>
        <w:widowControl w:val="0"/>
        <w:snapToGrid w:val="0"/>
        <w:spacing w:before="0" w:beforeAutospacing="0" w:after="0" w:afterAutospacing="0"/>
        <w:ind w:left="88" w:firstLine="450" w:firstLineChars="250"/>
        <w:rPr>
          <w:rFonts w:hint="eastAsia" w:ascii="仿宋" w:hAnsi="仿宋" w:eastAsia="仿宋" w:cs="仿宋"/>
          <w:b/>
          <w:color w:val="000000"/>
          <w:sz w:val="18"/>
          <w:szCs w:val="18"/>
        </w:rPr>
      </w:pPr>
      <w:r>
        <w:rPr>
          <w:rFonts w:hint="eastAsia" w:ascii="仿宋" w:hAnsi="仿宋" w:eastAsia="仿宋" w:cs="仿宋"/>
          <w:color w:val="000000"/>
          <w:sz w:val="18"/>
          <w:szCs w:val="18"/>
        </w:rPr>
        <w:t>4.</w:t>
      </w:r>
      <w:r>
        <w:rPr>
          <w:rFonts w:hint="eastAsia" w:ascii="仿宋" w:hAnsi="仿宋" w:eastAsia="仿宋" w:cs="仿宋"/>
          <w:b/>
          <w:color w:val="000000"/>
          <w:sz w:val="18"/>
          <w:szCs w:val="18"/>
        </w:rPr>
        <w:t>联合体投标的，按照其联合体协议书约定的各成员工作量所占比例加权折算的原则确定联合体的信用评价分值。如联合体协议书约定联合体牵头人在本合同承担工作量为70%、联合体成员一在本合同承担工作量为20%、联合体成员二在本合同承担工作量为10%，则该联合体最终信用等级得分=联合体牵头人信用等级得分×70%+联合体成员一信用等级得分×20%+联合体成员二信用等级得分×10%。</w:t>
      </w:r>
    </w:p>
    <w:p>
      <w:pPr>
        <w:ind w:firstLine="540" w:firstLineChars="300"/>
        <w:jc w:val="left"/>
        <w:rPr>
          <w:rFonts w:hint="eastAsia" w:ascii="仿宋" w:hAnsi="仿宋" w:eastAsia="仿宋" w:cs="仿宋"/>
          <w:color w:val="000000"/>
          <w:sz w:val="18"/>
          <w:szCs w:val="18"/>
        </w:rPr>
      </w:pPr>
      <w:r>
        <w:rPr>
          <w:rFonts w:hint="eastAsia" w:ascii="仿宋" w:hAnsi="仿宋" w:eastAsia="仿宋" w:cs="仿宋"/>
          <w:color w:val="000000"/>
          <w:sz w:val="18"/>
          <w:szCs w:val="18"/>
        </w:rPr>
        <w:t>5. 企业类似项目经验要求见本文件第二章投标须知前附表第10.1款第2项的规定。</w:t>
      </w:r>
    </w:p>
    <w:p>
      <w:pPr>
        <w:pStyle w:val="164"/>
        <w:widowControl w:val="0"/>
        <w:snapToGrid w:val="0"/>
        <w:spacing w:before="0" w:beforeAutospacing="0" w:after="0" w:afterAutospacing="0"/>
        <w:ind w:firstLine="540" w:firstLineChars="300"/>
        <w:rPr>
          <w:rFonts w:hint="eastAsia" w:ascii="仿宋" w:hAnsi="仿宋" w:eastAsia="仿宋" w:cs="仿宋"/>
          <w:sz w:val="18"/>
          <w:szCs w:val="18"/>
        </w:rPr>
      </w:pPr>
      <w:r>
        <w:rPr>
          <w:rFonts w:hint="eastAsia" w:ascii="仿宋" w:hAnsi="仿宋" w:eastAsia="仿宋" w:cs="仿宋"/>
          <w:sz w:val="18"/>
          <w:szCs w:val="18"/>
        </w:rPr>
        <w:t>6.财务状况计算公式：流动比率=流动资产除以流动负债*100%；利润总额=营业利润+营业外收入-营业外支出；净利润=利润总额-所得税费用；资产负债率=负债合计除以资产合计*100%。</w:t>
      </w:r>
    </w:p>
    <w:p>
      <w:pPr>
        <w:pStyle w:val="164"/>
        <w:widowControl w:val="0"/>
        <w:snapToGrid w:val="0"/>
        <w:spacing w:before="0" w:beforeAutospacing="0" w:after="0" w:afterAutospacing="0"/>
        <w:ind w:left="88" w:leftChars="42" w:firstLine="450" w:firstLineChars="250"/>
        <w:rPr>
          <w:rFonts w:hint="eastAsia" w:ascii="仿宋" w:hAnsi="仿宋" w:eastAsia="仿宋" w:cs="仿宋"/>
          <w:color w:val="000000"/>
          <w:sz w:val="18"/>
          <w:szCs w:val="18"/>
        </w:rPr>
      </w:pPr>
      <w:r>
        <w:rPr>
          <w:rFonts w:hint="eastAsia" w:ascii="仿宋" w:hAnsi="仿宋" w:eastAsia="仿宋" w:cs="仿宋"/>
          <w:color w:val="000000"/>
          <w:sz w:val="18"/>
          <w:szCs w:val="18"/>
        </w:rPr>
        <w:t>7.工程获奖、年度考核、技术创新在评标办法中是否计分由招标人根据项目情况选择使用。招标人不得对投标人获得的上述奖项以外的其他奖项进行计分。本评分标准表中的工程获奖均指农田建设项目工程的获奖，且为单位（标段）获奖。同一标段获得多个奖项的，不重复计分（以得分最高计）。同一单位考核获得多个名次的，不重复计分（以得分最高计，首次进入或未得到考核名次的按其他计分），省级考核适用于全省范围、县区级考核仅适用于本行政范围。同一技术创新获得多个奖项的，不重复计分（以得分最高计）。</w:t>
      </w:r>
    </w:p>
    <w:p>
      <w:pPr>
        <w:pStyle w:val="164"/>
        <w:widowControl w:val="0"/>
        <w:snapToGrid w:val="0"/>
        <w:spacing w:before="0" w:beforeAutospacing="0" w:after="0" w:afterAutospacing="0"/>
        <w:ind w:left="88" w:leftChars="42" w:firstLine="450" w:firstLineChars="250"/>
        <w:rPr>
          <w:rFonts w:hint="eastAsia" w:ascii="仿宋" w:hAnsi="仿宋" w:eastAsia="仿宋" w:cs="仿宋"/>
          <w:color w:val="000000"/>
          <w:sz w:val="18"/>
          <w:szCs w:val="18"/>
        </w:rPr>
      </w:pPr>
      <w:r>
        <w:rPr>
          <w:rFonts w:hint="eastAsia" w:ascii="仿宋" w:hAnsi="仿宋" w:eastAsia="仿宋" w:cs="仿宋"/>
          <w:color w:val="000000"/>
          <w:sz w:val="18"/>
          <w:szCs w:val="18"/>
        </w:rPr>
        <w:t>8、联合体投标的，仅对联合体牵头人的工程获奖和技术创新计分。</w:t>
      </w:r>
    </w:p>
    <w:p>
      <w:pPr>
        <w:pStyle w:val="164"/>
        <w:widowControl w:val="0"/>
        <w:snapToGrid w:val="0"/>
        <w:spacing w:before="0" w:beforeAutospacing="0" w:after="0" w:afterAutospacing="0"/>
        <w:ind w:left="88" w:leftChars="42" w:firstLine="450" w:firstLineChars="250"/>
        <w:rPr>
          <w:rFonts w:hint="eastAsia" w:ascii="仿宋" w:hAnsi="仿宋" w:eastAsia="仿宋" w:cs="仿宋"/>
          <w:color w:val="000000"/>
          <w:sz w:val="18"/>
          <w:szCs w:val="18"/>
        </w:rPr>
      </w:pPr>
      <w:r>
        <w:rPr>
          <w:rFonts w:hint="eastAsia" w:ascii="仿宋" w:hAnsi="仿宋" w:eastAsia="仿宋" w:cs="仿宋"/>
          <w:color w:val="000000"/>
          <w:sz w:val="18"/>
          <w:szCs w:val="18"/>
        </w:rPr>
        <w:t>9、联合体投标的，仅对联合体牵头人的财务状况计分。</w:t>
      </w:r>
    </w:p>
    <w:p>
      <w:pPr>
        <w:pStyle w:val="164"/>
        <w:widowControl w:val="0"/>
        <w:snapToGrid w:val="0"/>
        <w:spacing w:before="0" w:beforeAutospacing="0" w:after="0" w:afterAutospacing="0"/>
        <w:ind w:firstLine="540" w:firstLineChars="300"/>
        <w:rPr>
          <w:rFonts w:ascii="仿宋" w:hAnsi="仿宋" w:eastAsia="仿宋" w:cs="仿宋"/>
          <w:sz w:val="18"/>
          <w:szCs w:val="18"/>
          <w:shd w:val="clear" w:color="FFFFFF" w:fill="D9D9D9"/>
        </w:rPr>
      </w:pPr>
      <w:r>
        <w:rPr>
          <w:rFonts w:hint="eastAsia" w:ascii="仿宋" w:hAnsi="仿宋" w:eastAsia="仿宋" w:cs="仿宋"/>
          <w:sz w:val="18"/>
          <w:szCs w:val="18"/>
          <w:shd w:val="clear" w:color="FFFFFF" w:fill="D9D9D9"/>
        </w:rPr>
        <w:t>10、联合体投标的，仅对联合体牵头人的考核名次计分。</w:t>
      </w:r>
    </w:p>
    <w:p>
      <w:pPr>
        <w:pStyle w:val="164"/>
        <w:widowControl w:val="0"/>
        <w:snapToGrid w:val="0"/>
        <w:spacing w:before="0" w:beforeAutospacing="0" w:after="0" w:afterAutospacing="0"/>
        <w:ind w:left="88" w:leftChars="42" w:firstLine="450" w:firstLineChars="250"/>
        <w:rPr>
          <w:rFonts w:hint="eastAsia" w:ascii="仿宋" w:hAnsi="仿宋" w:eastAsia="仿宋" w:cs="仿宋"/>
          <w:color w:val="000000"/>
          <w:sz w:val="18"/>
          <w:szCs w:val="18"/>
        </w:rPr>
      </w:pPr>
    </w:p>
    <w:p>
      <w:pPr>
        <w:spacing w:line="600" w:lineRule="exact"/>
        <w:jc w:val="left"/>
        <w:rPr>
          <w:rFonts w:hint="eastAsia" w:ascii="仿宋" w:hAnsi="仿宋" w:eastAsia="仿宋" w:cs="仿宋"/>
          <w:color w:val="000000"/>
          <w:sz w:val="28"/>
          <w:szCs w:val="21"/>
        </w:rPr>
      </w:pPr>
      <w:r>
        <w:rPr>
          <w:rFonts w:hint="eastAsia" w:ascii="仿宋" w:hAnsi="仿宋" w:eastAsia="仿宋" w:cs="仿宋"/>
          <w:color w:val="000000"/>
          <w:sz w:val="28"/>
          <w:szCs w:val="21"/>
        </w:rPr>
        <w:t>评委签字：</w:t>
      </w:r>
    </w:p>
    <w:p>
      <w:pPr>
        <w:spacing w:line="600" w:lineRule="exact"/>
        <w:jc w:val="left"/>
        <w:rPr>
          <w:rFonts w:eastAsia="黑体"/>
          <w:bCs/>
          <w:color w:val="000000"/>
          <w:sz w:val="28"/>
          <w:szCs w:val="20"/>
        </w:rPr>
      </w:pPr>
      <w:r>
        <w:rPr>
          <w:rFonts w:hint="eastAsia" w:ascii="仿宋" w:hAnsi="仿宋" w:eastAsia="仿宋" w:cs="仿宋"/>
          <w:color w:val="000000"/>
        </w:rPr>
        <w:br w:type="page"/>
      </w:r>
      <w:r>
        <w:rPr>
          <w:rFonts w:eastAsia="黑体"/>
          <w:bCs/>
          <w:color w:val="000000"/>
          <w:sz w:val="28"/>
          <w:szCs w:val="20"/>
        </w:rPr>
        <w:t>附表3-7（2）：详细评审</w:t>
      </w:r>
      <w:r>
        <w:rPr>
          <w:rFonts w:hint="eastAsia" w:eastAsia="黑体"/>
          <w:bCs/>
          <w:color w:val="000000"/>
          <w:sz w:val="28"/>
          <w:szCs w:val="20"/>
        </w:rPr>
        <w:t>－</w:t>
      </w:r>
      <w:r>
        <w:rPr>
          <w:rFonts w:eastAsia="黑体"/>
          <w:bCs/>
          <w:color w:val="000000"/>
          <w:sz w:val="28"/>
          <w:szCs w:val="20"/>
        </w:rPr>
        <w:t>信誉等其他评分因素评分标准表（</w:t>
      </w:r>
      <w:r>
        <w:rPr>
          <w:rFonts w:hint="eastAsia" w:eastAsia="黑体"/>
          <w:bCs/>
          <w:color w:val="000000"/>
          <w:sz w:val="28"/>
          <w:szCs w:val="20"/>
        </w:rPr>
        <w:t>四</w:t>
      </w:r>
      <w:r>
        <w:rPr>
          <w:rFonts w:eastAsia="黑体"/>
          <w:bCs/>
          <w:color w:val="000000"/>
          <w:sz w:val="28"/>
          <w:szCs w:val="20"/>
        </w:rPr>
        <w:t>）</w:t>
      </w:r>
    </w:p>
    <w:p>
      <w:pPr>
        <w:pStyle w:val="32"/>
        <w:spacing w:before="120" w:beforeLines="50" w:after="120" w:afterLines="50" w:line="600" w:lineRule="exact"/>
        <w:ind w:left="0" w:firstLine="0" w:firstLineChars="0"/>
        <w:jc w:val="center"/>
        <w:rPr>
          <w:rFonts w:hint="eastAsia" w:ascii="方正小标宋简体" w:eastAsia="方正小标宋简体"/>
          <w:bCs/>
          <w:color w:val="000000"/>
          <w:sz w:val="40"/>
          <w:szCs w:val="20"/>
        </w:rPr>
      </w:pPr>
      <w:r>
        <w:rPr>
          <w:rFonts w:hint="eastAsia" w:ascii="方正小标宋简体" w:eastAsia="方正小标宋简体"/>
          <w:bCs/>
          <w:color w:val="000000"/>
          <w:sz w:val="40"/>
          <w:szCs w:val="20"/>
        </w:rPr>
        <w:t>信誉等其他评分因素评分标准表（四）</w:t>
      </w:r>
    </w:p>
    <w:p>
      <w:pPr>
        <w:snapToGrid w:val="0"/>
        <w:spacing w:line="490" w:lineRule="exact"/>
        <w:rPr>
          <w:rFonts w:hint="eastAsia" w:ascii="仿宋" w:hAnsi="仿宋" w:eastAsia="仿宋" w:cs="仿宋"/>
          <w:color w:val="000000"/>
          <w:sz w:val="24"/>
          <w:u w:val="single"/>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（标段名称）</w:t>
      </w:r>
      <w:r>
        <w:rPr>
          <w:rFonts w:hint="eastAsia" w:ascii="仿宋" w:hAnsi="仿宋" w:eastAsia="仿宋" w:cs="仿宋"/>
          <w:color w:val="000000"/>
          <w:sz w:val="24"/>
          <w:u w:val="single"/>
        </w:rPr>
        <w:t xml:space="preserve">                      </w:t>
      </w:r>
    </w:p>
    <w:p>
      <w:pPr>
        <w:snapToGrid w:val="0"/>
        <w:spacing w:line="490" w:lineRule="exact"/>
        <w:rPr>
          <w:rFonts w:hint="eastAsia" w:ascii="仿宋" w:hAnsi="仿宋" w:eastAsia="仿宋" w:cs="仿宋"/>
          <w:color w:val="000000"/>
          <w:sz w:val="24"/>
        </w:rPr>
      </w:pPr>
      <w:r>
        <w:rPr>
          <w:rFonts w:hint="eastAsia" w:ascii="仿宋" w:hAnsi="仿宋" w:eastAsia="仿宋" w:cs="仿宋"/>
          <w:color w:val="000000"/>
          <w:sz w:val="24"/>
        </w:rPr>
        <w:t>项目管理编号：</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tbl>
      <w:tblPr>
        <w:tblStyle w:val="47"/>
        <w:tblW w:w="90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784"/>
        <w:gridCol w:w="674"/>
        <w:gridCol w:w="674"/>
        <w:gridCol w:w="1134"/>
        <w:gridCol w:w="2835"/>
        <w:gridCol w:w="708"/>
        <w:gridCol w:w="567"/>
        <w:gridCol w:w="567"/>
        <w:gridCol w:w="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序号</w:t>
            </w:r>
          </w:p>
        </w:tc>
        <w:tc>
          <w:tcPr>
            <w:tcW w:w="784" w:type="dxa"/>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条款号</w:t>
            </w:r>
          </w:p>
        </w:tc>
        <w:tc>
          <w:tcPr>
            <w:tcW w:w="1348" w:type="dxa"/>
            <w:gridSpan w:val="2"/>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评分因素</w:t>
            </w:r>
          </w:p>
        </w:tc>
        <w:tc>
          <w:tcPr>
            <w:tcW w:w="4677" w:type="dxa"/>
            <w:gridSpan w:val="3"/>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评分标准</w:t>
            </w:r>
          </w:p>
        </w:tc>
        <w:tc>
          <w:tcPr>
            <w:tcW w:w="1710" w:type="dxa"/>
            <w:gridSpan w:val="3"/>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投标人名称及评审计分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snapToGrid w:val="0"/>
              <w:jc w:val="center"/>
              <w:rPr>
                <w:rFonts w:hint="eastAsia" w:ascii="仿宋" w:hAnsi="仿宋" w:eastAsia="仿宋" w:cs="仿宋"/>
                <w:color w:val="000000"/>
                <w:sz w:val="18"/>
                <w:szCs w:val="18"/>
              </w:rPr>
            </w:pPr>
          </w:p>
        </w:tc>
        <w:tc>
          <w:tcPr>
            <w:tcW w:w="4677" w:type="dxa"/>
            <w:gridSpan w:val="3"/>
            <w:vMerge w:val="continue"/>
            <w:noWrap w:val="0"/>
            <w:vAlign w:val="center"/>
          </w:tcPr>
          <w:p>
            <w:pPr>
              <w:snapToGrid w:val="0"/>
              <w:jc w:val="center"/>
              <w:rPr>
                <w:rFonts w:hint="eastAsia" w:ascii="仿宋" w:hAnsi="仿宋" w:eastAsia="仿宋" w:cs="仿宋"/>
                <w:color w:val="000000"/>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w:t>
            </w:r>
          </w:p>
        </w:tc>
        <w:tc>
          <w:tcPr>
            <w:tcW w:w="567"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2</w:t>
            </w:r>
          </w:p>
        </w:tc>
        <w:tc>
          <w:tcPr>
            <w:tcW w:w="576"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snapToGrid w:val="0"/>
              <w:jc w:val="center"/>
              <w:rPr>
                <w:rFonts w:hint="eastAsia" w:ascii="仿宋" w:hAnsi="仿宋" w:eastAsia="仿宋" w:cs="仿宋"/>
                <w:color w:val="000000"/>
                <w:sz w:val="18"/>
                <w:szCs w:val="18"/>
              </w:rPr>
            </w:pPr>
          </w:p>
        </w:tc>
        <w:tc>
          <w:tcPr>
            <w:tcW w:w="4677" w:type="dxa"/>
            <w:gridSpan w:val="3"/>
            <w:vMerge w:val="continue"/>
            <w:noWrap w:val="0"/>
            <w:vAlign w:val="center"/>
          </w:tcPr>
          <w:p>
            <w:pPr>
              <w:snapToGrid w:val="0"/>
              <w:jc w:val="center"/>
              <w:rPr>
                <w:rFonts w:hint="eastAsia" w:ascii="仿宋" w:hAnsi="仿宋" w:eastAsia="仿宋" w:cs="仿宋"/>
                <w:color w:val="000000"/>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exac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w:t>
            </w:r>
          </w:p>
        </w:tc>
        <w:tc>
          <w:tcPr>
            <w:tcW w:w="784" w:type="dxa"/>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2.2.4（2）</w:t>
            </w:r>
          </w:p>
        </w:tc>
        <w:tc>
          <w:tcPr>
            <w:tcW w:w="674"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投标人信用等级（0～45分）</w:t>
            </w:r>
          </w:p>
        </w:tc>
        <w:tc>
          <w:tcPr>
            <w:tcW w:w="674"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联合体牵头人（30～45分）×承担工作量所占比例</w:t>
            </w:r>
          </w:p>
        </w:tc>
        <w:tc>
          <w:tcPr>
            <w:tcW w:w="3969" w:type="dxa"/>
            <w:gridSpan w:val="2"/>
            <w:noWrap w:val="0"/>
            <w:vAlign w:val="center"/>
          </w:tcPr>
          <w:p>
            <w:pPr>
              <w:tabs>
                <w:tab w:val="left" w:pos="420"/>
              </w:tabs>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信用等级（全国水利建设市场主体）为AAA级或信用等级（湖南省水利建设市场主体）A+级的（100％）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76" w:type="dxa"/>
            <w:vMerge w:val="restart"/>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snapToGrid w:val="0"/>
              <w:jc w:val="center"/>
              <w:rPr>
                <w:rFonts w:hint="eastAsia" w:ascii="仿宋" w:hAnsi="仿宋" w:eastAsia="仿宋" w:cs="仿宋"/>
                <w:color w:val="000000"/>
                <w:sz w:val="18"/>
                <w:szCs w:val="18"/>
              </w:rPr>
            </w:pPr>
          </w:p>
        </w:tc>
        <w:tc>
          <w:tcPr>
            <w:tcW w:w="3969" w:type="dxa"/>
            <w:gridSpan w:val="2"/>
            <w:noWrap w:val="0"/>
            <w:vAlign w:val="center"/>
          </w:tcPr>
          <w:p>
            <w:pPr>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信用等级（全国水利建设市场主体）为AA级或信用等级（湖南省水利建设市场主体）A级的（85％）</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snapToGrid w:val="0"/>
              <w:jc w:val="center"/>
              <w:rPr>
                <w:rFonts w:hint="eastAsia" w:ascii="仿宋" w:hAnsi="仿宋" w:eastAsia="仿宋" w:cs="仿宋"/>
                <w:color w:val="000000"/>
                <w:sz w:val="18"/>
                <w:szCs w:val="18"/>
              </w:rPr>
            </w:pPr>
          </w:p>
        </w:tc>
        <w:tc>
          <w:tcPr>
            <w:tcW w:w="3969" w:type="dxa"/>
            <w:gridSpan w:val="2"/>
            <w:noWrap w:val="0"/>
            <w:vAlign w:val="center"/>
          </w:tcPr>
          <w:p>
            <w:pPr>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信用等级（全国水利建设市场主体）为A级或信用等级（湖南省水利建设市场主体）A-级的（70％）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snapToGrid w:val="0"/>
              <w:jc w:val="center"/>
              <w:rPr>
                <w:rFonts w:hint="eastAsia" w:ascii="仿宋" w:hAnsi="仿宋" w:eastAsia="仿宋" w:cs="仿宋"/>
                <w:color w:val="000000"/>
                <w:sz w:val="18"/>
                <w:szCs w:val="18"/>
              </w:rPr>
            </w:pPr>
          </w:p>
        </w:tc>
        <w:tc>
          <w:tcPr>
            <w:tcW w:w="3969" w:type="dxa"/>
            <w:gridSpan w:val="2"/>
            <w:noWrap w:val="0"/>
            <w:vAlign w:val="center"/>
          </w:tcPr>
          <w:p>
            <w:pPr>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信用等级（全国水利建设市场主体）为B级或信用等级（湖南省水利建设市场主体）B级的（55％）</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3969" w:type="dxa"/>
            <w:gridSpan w:val="2"/>
            <w:noWrap w:val="0"/>
            <w:vAlign w:val="center"/>
          </w:tcPr>
          <w:p>
            <w:pPr>
              <w:pStyle w:val="106"/>
              <w:snapToGrid w:val="0"/>
              <w:jc w:val="both"/>
              <w:rPr>
                <w:rFonts w:hint="eastAsia" w:ascii="仿宋" w:hAnsi="仿宋" w:eastAsia="仿宋" w:cs="仿宋"/>
                <w:sz w:val="18"/>
                <w:szCs w:val="18"/>
              </w:rPr>
            </w:pPr>
            <w:r>
              <w:rPr>
                <w:rFonts w:hint="eastAsia" w:ascii="仿宋" w:hAnsi="仿宋" w:eastAsia="仿宋" w:cs="仿宋"/>
                <w:sz w:val="18"/>
                <w:szCs w:val="18"/>
              </w:rPr>
              <w:t>信用等级（全国水利建设市场主体）为C级或信用等级（湖南省水利建设市场主体）C级的（0分）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674"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联合体成员一（30～45分）×承担工作量所占比例</w:t>
            </w:r>
          </w:p>
        </w:tc>
        <w:tc>
          <w:tcPr>
            <w:tcW w:w="3969" w:type="dxa"/>
            <w:gridSpan w:val="2"/>
            <w:noWrap w:val="0"/>
            <w:vAlign w:val="center"/>
          </w:tcPr>
          <w:p>
            <w:pPr>
              <w:tabs>
                <w:tab w:val="left" w:pos="420"/>
              </w:tabs>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信用等级（全国水利建设市场主体）为AAA级或信用等级（湖南省水利建设市场主体）A+级的（100％）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76" w:type="dxa"/>
            <w:vMerge w:val="restart"/>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3969" w:type="dxa"/>
            <w:gridSpan w:val="2"/>
            <w:noWrap w:val="0"/>
            <w:vAlign w:val="center"/>
          </w:tcPr>
          <w:p>
            <w:pPr>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信用等级（全国水利建设市场主体）为AA级或信用等级（湖南省水利建设市场主体）A级的（85％）</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3969" w:type="dxa"/>
            <w:gridSpan w:val="2"/>
            <w:noWrap w:val="0"/>
            <w:vAlign w:val="center"/>
          </w:tcPr>
          <w:p>
            <w:pPr>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信用等级（全国水利建设市场主体）为A级或信用等级（湖南省水利建设市场主体）A-级的（70％）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3969" w:type="dxa"/>
            <w:gridSpan w:val="2"/>
            <w:noWrap w:val="0"/>
            <w:vAlign w:val="center"/>
          </w:tcPr>
          <w:p>
            <w:pPr>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信用等级（全国水利建设市场主体）为B级或信用等级（湖南省水利建设市场主体）B级的（55％）</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3969" w:type="dxa"/>
            <w:gridSpan w:val="2"/>
            <w:noWrap w:val="0"/>
            <w:vAlign w:val="center"/>
          </w:tcPr>
          <w:p>
            <w:pPr>
              <w:pStyle w:val="106"/>
              <w:snapToGrid w:val="0"/>
              <w:jc w:val="both"/>
              <w:rPr>
                <w:rFonts w:hint="eastAsia" w:ascii="仿宋" w:hAnsi="仿宋" w:eastAsia="仿宋" w:cs="仿宋"/>
                <w:sz w:val="18"/>
                <w:szCs w:val="18"/>
              </w:rPr>
            </w:pPr>
            <w:r>
              <w:rPr>
                <w:rFonts w:hint="eastAsia" w:ascii="仿宋" w:hAnsi="仿宋" w:eastAsia="仿宋" w:cs="仿宋"/>
                <w:sz w:val="18"/>
                <w:szCs w:val="18"/>
              </w:rPr>
              <w:t>信用等级（全国水利建设市场主体）为C级或信用等级（湖南省水利建设市场主体）C级的（0分）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674" w:type="dxa"/>
            <w:noWrap w:val="0"/>
            <w:vAlign w:val="center"/>
          </w:tcPr>
          <w:p>
            <w:pPr>
              <w:pStyle w:val="106"/>
              <w:snapToGrid w:val="0"/>
              <w:jc w:val="center"/>
              <w:rPr>
                <w:rFonts w:hint="eastAsia" w:ascii="仿宋" w:hAnsi="仿宋" w:eastAsia="仿宋" w:cs="仿宋"/>
                <w:b/>
                <w:sz w:val="18"/>
                <w:szCs w:val="18"/>
              </w:rPr>
            </w:pPr>
            <w:r>
              <w:rPr>
                <w:rFonts w:hint="eastAsia" w:ascii="仿宋" w:hAnsi="仿宋" w:eastAsia="仿宋" w:cs="仿宋"/>
                <w:b/>
                <w:sz w:val="18"/>
                <w:szCs w:val="18"/>
              </w:rPr>
              <w:t>……</w:t>
            </w:r>
          </w:p>
        </w:tc>
        <w:tc>
          <w:tcPr>
            <w:tcW w:w="3969" w:type="dxa"/>
            <w:gridSpan w:val="2"/>
            <w:noWrap w:val="0"/>
            <w:vAlign w:val="top"/>
          </w:tcPr>
          <w:p>
            <w:pPr>
              <w:pStyle w:val="106"/>
              <w:snapToGrid w:val="0"/>
              <w:rPr>
                <w:rFonts w:hint="eastAsia" w:ascii="仿宋" w:hAnsi="仿宋" w:eastAsia="仿宋" w:cs="仿宋"/>
                <w:sz w:val="18"/>
                <w:szCs w:val="18"/>
              </w:rPr>
            </w:pP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574"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2</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noWrap w:val="0"/>
            <w:vAlign w:val="center"/>
          </w:tcPr>
          <w:p>
            <w:pPr>
              <w:pStyle w:val="106"/>
              <w:snapToGrid w:val="0"/>
              <w:jc w:val="center"/>
              <w:rPr>
                <w:rFonts w:hint="eastAsia" w:ascii="仿宋" w:hAnsi="仿宋" w:eastAsia="仿宋" w:cs="仿宋"/>
                <w:b/>
                <w:sz w:val="18"/>
                <w:szCs w:val="18"/>
              </w:rPr>
            </w:pPr>
            <w:r>
              <w:rPr>
                <w:rFonts w:hint="eastAsia" w:ascii="仿宋" w:hAnsi="仿宋" w:eastAsia="仿宋" w:cs="仿宋"/>
                <w:sz w:val="18"/>
                <w:szCs w:val="18"/>
              </w:rPr>
              <w:t>类似项目经验（近</w:t>
            </w:r>
            <w:r>
              <w:rPr>
                <w:rFonts w:hint="eastAsia" w:ascii="仿宋" w:hAnsi="仿宋" w:eastAsia="仿宋" w:cs="仿宋"/>
                <w:sz w:val="18"/>
                <w:szCs w:val="18"/>
                <w:u w:val="single"/>
              </w:rPr>
              <w:t xml:space="preserve">   </w:t>
            </w:r>
            <w:r>
              <w:rPr>
                <w:rFonts w:hint="eastAsia" w:ascii="仿宋" w:hAnsi="仿宋" w:eastAsia="仿宋" w:cs="仿宋"/>
                <w:sz w:val="18"/>
                <w:szCs w:val="18"/>
              </w:rPr>
              <w:t>年）（0～40分）</w:t>
            </w:r>
          </w:p>
        </w:tc>
        <w:tc>
          <w:tcPr>
            <w:tcW w:w="4677" w:type="dxa"/>
            <w:gridSpan w:val="3"/>
            <w:noWrap w:val="0"/>
            <w:vAlign w:val="center"/>
          </w:tcPr>
          <w:p>
            <w:pPr>
              <w:pStyle w:val="106"/>
              <w:snapToGrid w:val="0"/>
              <w:ind w:firstLine="180" w:firstLineChars="100"/>
              <w:rPr>
                <w:rFonts w:hint="eastAsia" w:ascii="仿宋" w:hAnsi="仿宋" w:eastAsia="仿宋" w:cs="仿宋"/>
                <w:sz w:val="18"/>
                <w:szCs w:val="18"/>
              </w:rPr>
            </w:pPr>
            <w:r>
              <w:rPr>
                <w:rFonts w:hint="eastAsia" w:ascii="仿宋" w:hAnsi="仿宋" w:eastAsia="仿宋" w:cs="仿宋"/>
                <w:sz w:val="18"/>
                <w:szCs w:val="18"/>
              </w:rPr>
              <w:t>满足招标文件的计</w:t>
            </w:r>
            <w:r>
              <w:rPr>
                <w:rFonts w:hint="eastAsia" w:ascii="仿宋" w:hAnsi="仿宋" w:eastAsia="仿宋" w:cs="仿宋"/>
                <w:sz w:val="18"/>
                <w:szCs w:val="18"/>
                <w:u w:val="single"/>
              </w:rPr>
              <w:t xml:space="preserve">  </w:t>
            </w:r>
            <w:r>
              <w:rPr>
                <w:rFonts w:hint="eastAsia" w:ascii="仿宋" w:hAnsi="仿宋" w:eastAsia="仿宋" w:cs="仿宋"/>
                <w:sz w:val="18"/>
                <w:szCs w:val="18"/>
              </w:rPr>
              <w:t>分，每增加一个类似业绩加</w:t>
            </w:r>
            <w:r>
              <w:rPr>
                <w:rFonts w:hint="eastAsia" w:ascii="仿宋" w:hAnsi="仿宋" w:eastAsia="仿宋" w:cs="仿宋"/>
                <w:sz w:val="18"/>
                <w:szCs w:val="18"/>
                <w:u w:val="single"/>
              </w:rPr>
              <w:t xml:space="preserve">  </w:t>
            </w:r>
            <w:r>
              <w:rPr>
                <w:rFonts w:hint="eastAsia" w:ascii="仿宋" w:hAnsi="仿宋" w:eastAsia="仿宋" w:cs="仿宋"/>
                <w:sz w:val="18"/>
                <w:szCs w:val="18"/>
              </w:rPr>
              <w:t>分，最多增加二个类似业绩</w:t>
            </w: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3</w:t>
            </w:r>
          </w:p>
        </w:tc>
        <w:tc>
          <w:tcPr>
            <w:tcW w:w="784" w:type="dxa"/>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2.2.4（2）</w:t>
            </w:r>
          </w:p>
        </w:tc>
        <w:tc>
          <w:tcPr>
            <w:tcW w:w="1348" w:type="dxa"/>
            <w:gridSpan w:val="2"/>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财务状况</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（10～20分）</w:t>
            </w:r>
          </w:p>
        </w:tc>
        <w:tc>
          <w:tcPr>
            <w:tcW w:w="1134"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流动比率（4～7分）</w:t>
            </w:r>
          </w:p>
        </w:tc>
        <w:tc>
          <w:tcPr>
            <w:tcW w:w="2835"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流动比率2倍（含）以上</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76" w:type="dxa"/>
            <w:vMerge w:val="restart"/>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vMerge w:val="continue"/>
            <w:noWrap w:val="0"/>
            <w:vAlign w:val="center"/>
          </w:tcPr>
          <w:p>
            <w:pPr>
              <w:pStyle w:val="106"/>
              <w:snapToGrid w:val="0"/>
              <w:jc w:val="center"/>
              <w:rPr>
                <w:rFonts w:hint="eastAsia" w:ascii="仿宋" w:hAnsi="仿宋" w:eastAsia="仿宋" w:cs="仿宋"/>
                <w:sz w:val="18"/>
                <w:szCs w:val="18"/>
              </w:rPr>
            </w:pPr>
          </w:p>
        </w:tc>
        <w:tc>
          <w:tcPr>
            <w:tcW w:w="2835"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流动比率2倍以下</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企业利润（2～6分）</w:t>
            </w:r>
          </w:p>
        </w:tc>
        <w:tc>
          <w:tcPr>
            <w:tcW w:w="2835"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净利润＞0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企业资产负债率</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（4～7分）</w:t>
            </w:r>
          </w:p>
        </w:tc>
        <w:tc>
          <w:tcPr>
            <w:tcW w:w="2835"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资产负债率＜70％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76" w:type="dxa"/>
            <w:vMerge w:val="restart"/>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vMerge w:val="continue"/>
            <w:noWrap w:val="0"/>
            <w:vAlign w:val="center"/>
          </w:tcPr>
          <w:p>
            <w:pPr>
              <w:pStyle w:val="106"/>
              <w:snapToGrid w:val="0"/>
              <w:jc w:val="center"/>
              <w:rPr>
                <w:rFonts w:hint="eastAsia" w:ascii="仿宋" w:hAnsi="仿宋" w:eastAsia="仿宋" w:cs="仿宋"/>
                <w:sz w:val="18"/>
                <w:szCs w:val="18"/>
              </w:rPr>
            </w:pPr>
          </w:p>
        </w:tc>
        <w:tc>
          <w:tcPr>
            <w:tcW w:w="2835"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sz w:val="18"/>
                <w:szCs w:val="18"/>
              </w:rPr>
              <w:t>90％＞资产负债率≥70％</w:t>
            </w:r>
          </w:p>
        </w:tc>
        <w:tc>
          <w:tcPr>
            <w:tcW w:w="708" w:type="dxa"/>
            <w:noWrap w:val="0"/>
            <w:vAlign w:val="center"/>
          </w:tcPr>
          <w:p>
            <w:pPr>
              <w:snapToGrid w:val="0"/>
              <w:jc w:val="center"/>
              <w:rPr>
                <w:rFonts w:hint="eastAsia" w:ascii="仿宋" w:hAnsi="仿宋" w:eastAsia="仿宋" w:cs="仿宋"/>
                <w:color w:val="000000"/>
                <w:kern w:val="0"/>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4</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工程获奖</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（近</w:t>
            </w:r>
            <w:r>
              <w:rPr>
                <w:rFonts w:hint="eastAsia" w:ascii="仿宋" w:hAnsi="仿宋" w:eastAsia="仿宋" w:cs="仿宋"/>
                <w:sz w:val="18"/>
                <w:szCs w:val="18"/>
                <w:u w:val="single"/>
              </w:rPr>
              <w:t xml:space="preserve">    </w:t>
            </w:r>
            <w:r>
              <w:rPr>
                <w:rFonts w:hint="eastAsia" w:ascii="仿宋" w:hAnsi="仿宋" w:eastAsia="仿宋" w:cs="仿宋"/>
                <w:sz w:val="18"/>
                <w:szCs w:val="18"/>
              </w:rPr>
              <w:t>年）</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（0～20分）</w:t>
            </w:r>
          </w:p>
        </w:tc>
        <w:tc>
          <w:tcPr>
            <w:tcW w:w="1134" w:type="dxa"/>
            <w:noWrap w:val="0"/>
            <w:vAlign w:val="center"/>
          </w:tcPr>
          <w:p>
            <w:pPr>
              <w:pStyle w:val="106"/>
              <w:snapToGrid w:val="0"/>
              <w:jc w:val="center"/>
              <w:rPr>
                <w:rFonts w:ascii="仿宋" w:hAnsi="仿宋" w:eastAsia="仿宋" w:cs="仿宋"/>
                <w:sz w:val="18"/>
                <w:szCs w:val="18"/>
              </w:rPr>
            </w:pPr>
            <w:r>
              <w:rPr>
                <w:rFonts w:hint="eastAsia" w:ascii="仿宋" w:hAnsi="仿宋" w:eastAsia="仿宋" w:cs="仿宋"/>
                <w:sz w:val="18"/>
                <w:szCs w:val="18"/>
              </w:rPr>
              <w:t>0～20</w:t>
            </w:r>
          </w:p>
        </w:tc>
        <w:tc>
          <w:tcPr>
            <w:tcW w:w="2835" w:type="dxa"/>
            <w:noWrap w:val="0"/>
            <w:vAlign w:val="center"/>
          </w:tcPr>
          <w:p>
            <w:pPr>
              <w:pStyle w:val="106"/>
              <w:snapToGrid w:val="0"/>
              <w:rPr>
                <w:rFonts w:hint="eastAsia" w:ascii="仿宋" w:hAnsi="仿宋" w:eastAsia="仿宋" w:cs="仿宋"/>
                <w:sz w:val="18"/>
                <w:szCs w:val="18"/>
                <w:u w:val="single"/>
              </w:rPr>
            </w:pPr>
            <w:r>
              <w:rPr>
                <w:rFonts w:hint="eastAsia" w:ascii="仿宋" w:hAnsi="仿宋" w:eastAsia="仿宋" w:cs="仿宋"/>
                <w:sz w:val="18"/>
                <w:szCs w:val="18"/>
              </w:rPr>
              <w:t>国家优质工程奖、农业农村部质量奖（均指农田建设项目工程获奖），每项计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ascii="仿宋" w:hAnsi="仿宋" w:eastAsia="仿宋" w:cs="仿宋"/>
                <w:sz w:val="18"/>
                <w:szCs w:val="18"/>
              </w:rPr>
            </w:pPr>
            <w:r>
              <w:rPr>
                <w:rFonts w:hint="eastAsia" w:ascii="仿宋" w:hAnsi="仿宋" w:eastAsia="仿宋" w:cs="仿宋"/>
                <w:sz w:val="18"/>
                <w:szCs w:val="18"/>
              </w:rPr>
              <w:t>0～15</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省政府或省级农业农村主管部门颁发的优质农田建设项目工程奖项每项计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0～12</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市政府或市级农业农村主管部门颁发的优质农田建设项目工程奖项每项计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5</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年度考核</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（近</w:t>
            </w:r>
            <w:r>
              <w:rPr>
                <w:rFonts w:hint="eastAsia" w:ascii="仿宋" w:hAnsi="仿宋" w:eastAsia="仿宋" w:cs="仿宋"/>
                <w:sz w:val="18"/>
                <w:szCs w:val="18"/>
                <w:u w:val="single"/>
              </w:rPr>
              <w:t xml:space="preserve">    </w:t>
            </w:r>
            <w:r>
              <w:rPr>
                <w:rFonts w:hint="eastAsia" w:ascii="仿宋" w:hAnsi="仿宋" w:eastAsia="仿宋" w:cs="仿宋"/>
                <w:sz w:val="18"/>
                <w:szCs w:val="18"/>
              </w:rPr>
              <w:t>年）</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（18～35分）</w:t>
            </w: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21～35</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省级农业农村主管部门考核第一名100%；第二名95%；第三名85%；其他60%；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ascii="仿宋" w:hAnsi="仿宋" w:eastAsia="仿宋" w:cs="仿宋"/>
                <w:sz w:val="18"/>
                <w:szCs w:val="18"/>
              </w:rPr>
            </w:pPr>
            <w:r>
              <w:rPr>
                <w:rFonts w:hint="eastAsia" w:ascii="仿宋" w:hAnsi="仿宋" w:eastAsia="仿宋" w:cs="仿宋"/>
                <w:sz w:val="18"/>
                <w:szCs w:val="18"/>
              </w:rPr>
              <w:t>18～30</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县/区级农业农村主管部门考核第一名100%；第二名95%；第三名85%；其他60%；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6</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技术创新</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（近</w:t>
            </w:r>
            <w:r>
              <w:rPr>
                <w:rFonts w:hint="eastAsia" w:ascii="仿宋" w:hAnsi="仿宋" w:eastAsia="仿宋" w:cs="仿宋"/>
                <w:sz w:val="18"/>
                <w:szCs w:val="18"/>
                <w:u w:val="single"/>
              </w:rPr>
              <w:t xml:space="preserve">    </w:t>
            </w:r>
            <w:r>
              <w:rPr>
                <w:rFonts w:hint="eastAsia" w:ascii="仿宋" w:hAnsi="仿宋" w:eastAsia="仿宋" w:cs="仿宋"/>
                <w:sz w:val="18"/>
                <w:szCs w:val="18"/>
              </w:rPr>
              <w:t>年）</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（0～15分）</w:t>
            </w: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0～8</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国家科技进步奖或国家技术发明奖（均指农田建设项目工程获奖）每项计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0～4</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省科技进步奖或省技术发明奖（均指农田建设项目工程获奖）每项计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0～3</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省级行业协会（学会）颁发的科技进步奖（均指农田建设项目工程获奖）每项计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noWrap w:val="0"/>
            <w:vAlign w:val="center"/>
          </w:tcPr>
          <w:p>
            <w:pPr>
              <w:snapToGrid w:val="0"/>
              <w:jc w:val="center"/>
              <w:rPr>
                <w:rFonts w:hint="eastAsia" w:ascii="仿宋" w:hAnsi="仿宋" w:eastAsia="仿宋" w:cs="仿宋"/>
                <w:color w:val="000000"/>
                <w:kern w:val="0"/>
              </w:rPr>
            </w:pPr>
          </w:p>
        </w:tc>
        <w:tc>
          <w:tcPr>
            <w:tcW w:w="6809" w:type="dxa"/>
            <w:gridSpan w:val="6"/>
            <w:noWrap w:val="0"/>
            <w:vAlign w:val="center"/>
          </w:tcPr>
          <w:p>
            <w:pPr>
              <w:snapToGrid w:val="0"/>
              <w:jc w:val="center"/>
              <w:rPr>
                <w:rFonts w:hint="eastAsia" w:ascii="仿宋" w:hAnsi="仿宋" w:eastAsia="仿宋" w:cs="仿宋"/>
                <w:b/>
                <w:bCs/>
                <w:color w:val="000000"/>
                <w:kern w:val="0"/>
              </w:rPr>
            </w:pPr>
            <w:r>
              <w:rPr>
                <w:rFonts w:hint="eastAsia" w:ascii="仿宋" w:hAnsi="仿宋" w:eastAsia="仿宋" w:cs="仿宋"/>
                <w:b/>
                <w:bCs/>
                <w:color w:val="000000"/>
                <w:kern w:val="0"/>
              </w:rPr>
              <w:t>合计</w:t>
            </w:r>
          </w:p>
        </w:tc>
        <w:tc>
          <w:tcPr>
            <w:tcW w:w="567" w:type="dxa"/>
            <w:noWrap w:val="0"/>
            <w:vAlign w:val="center"/>
          </w:tcPr>
          <w:p>
            <w:pPr>
              <w:snapToGrid w:val="0"/>
              <w:jc w:val="center"/>
              <w:rPr>
                <w:rFonts w:hint="eastAsia" w:ascii="仿宋" w:hAnsi="仿宋" w:eastAsia="仿宋" w:cs="仿宋"/>
                <w:color w:val="000000"/>
                <w:kern w:val="0"/>
              </w:rPr>
            </w:pPr>
          </w:p>
        </w:tc>
        <w:tc>
          <w:tcPr>
            <w:tcW w:w="567" w:type="dxa"/>
            <w:noWrap w:val="0"/>
            <w:vAlign w:val="center"/>
          </w:tcPr>
          <w:p>
            <w:pPr>
              <w:snapToGrid w:val="0"/>
              <w:jc w:val="center"/>
              <w:rPr>
                <w:rFonts w:hint="eastAsia" w:ascii="仿宋" w:hAnsi="仿宋" w:eastAsia="仿宋" w:cs="仿宋"/>
                <w:color w:val="000000"/>
                <w:kern w:val="0"/>
              </w:rPr>
            </w:pPr>
          </w:p>
        </w:tc>
        <w:tc>
          <w:tcPr>
            <w:tcW w:w="576" w:type="dxa"/>
            <w:noWrap w:val="0"/>
            <w:vAlign w:val="center"/>
          </w:tcPr>
          <w:p>
            <w:pPr>
              <w:snapToGrid w:val="0"/>
              <w:jc w:val="center"/>
              <w:rPr>
                <w:rFonts w:hint="eastAsia" w:ascii="仿宋" w:hAnsi="仿宋" w:eastAsia="仿宋" w:cs="仿宋"/>
                <w:color w:val="000000"/>
                <w:kern w:val="0"/>
              </w:rPr>
            </w:pPr>
          </w:p>
        </w:tc>
      </w:tr>
    </w:tbl>
    <w:p>
      <w:pPr>
        <w:jc w:val="left"/>
        <w:rPr>
          <w:rFonts w:hint="eastAsia" w:ascii="仿宋" w:hAnsi="仿宋" w:eastAsia="仿宋" w:cs="仿宋"/>
          <w:color w:val="000000"/>
          <w:kern w:val="0"/>
          <w:sz w:val="18"/>
          <w:szCs w:val="18"/>
        </w:rPr>
      </w:pPr>
      <w:r>
        <w:rPr>
          <w:rFonts w:hint="eastAsia" w:ascii="仿宋" w:hAnsi="仿宋" w:eastAsia="仿宋" w:cs="仿宋"/>
          <w:b/>
          <w:color w:val="000000"/>
          <w:kern w:val="0"/>
          <w:sz w:val="18"/>
          <w:szCs w:val="18"/>
        </w:rPr>
        <w:t>备注：</w:t>
      </w:r>
      <w:r>
        <w:rPr>
          <w:rFonts w:hint="eastAsia" w:ascii="仿宋" w:hAnsi="仿宋" w:eastAsia="仿宋" w:cs="仿宋"/>
          <w:color w:val="000000"/>
          <w:kern w:val="0"/>
          <w:sz w:val="18"/>
          <w:szCs w:val="18"/>
        </w:rPr>
        <w:t>1.本表适用于联合体投标人评审。</w:t>
      </w:r>
    </w:p>
    <w:p>
      <w:pPr>
        <w:ind w:firstLine="540" w:firstLineChars="300"/>
        <w:jc w:val="left"/>
        <w:rPr>
          <w:rFonts w:hint="eastAsia" w:ascii="仿宋" w:hAnsi="仿宋" w:eastAsia="仿宋" w:cs="仿宋"/>
          <w:color w:val="000000"/>
          <w:sz w:val="18"/>
          <w:szCs w:val="18"/>
        </w:rPr>
      </w:pPr>
      <w:r>
        <w:rPr>
          <w:rFonts w:hint="eastAsia" w:ascii="仿宋" w:hAnsi="仿宋" w:eastAsia="仿宋" w:cs="仿宋"/>
          <w:color w:val="000000"/>
          <w:kern w:val="0"/>
          <w:sz w:val="18"/>
          <w:szCs w:val="18"/>
        </w:rPr>
        <w:t>2.本表小计总分为100分。</w:t>
      </w:r>
      <w:r>
        <w:rPr>
          <w:rFonts w:hint="eastAsia" w:ascii="仿宋" w:hAnsi="仿宋" w:eastAsia="仿宋" w:cs="仿宋"/>
          <w:color w:val="000000"/>
          <w:sz w:val="18"/>
          <w:szCs w:val="18"/>
        </w:rPr>
        <w:t>由评标委员会集体评议，统一计分。评标委员会成员中对结论有不同意见时，按少数服从多数的原则，确定得分。</w:t>
      </w:r>
    </w:p>
    <w:p>
      <w:pPr>
        <w:pStyle w:val="164"/>
        <w:widowControl w:val="0"/>
        <w:snapToGrid w:val="0"/>
        <w:spacing w:before="0" w:beforeAutospacing="0" w:after="0" w:afterAutospacing="0"/>
        <w:ind w:firstLine="542" w:firstLineChars="300"/>
        <w:rPr>
          <w:rFonts w:hint="eastAsia" w:ascii="仿宋" w:hAnsi="仿宋" w:eastAsia="仿宋" w:cs="仿宋"/>
          <w:b/>
          <w:bCs/>
          <w:color w:val="000000"/>
          <w:sz w:val="18"/>
          <w:szCs w:val="18"/>
        </w:rPr>
      </w:pPr>
      <w:r>
        <w:rPr>
          <w:rFonts w:hint="eastAsia" w:ascii="仿宋" w:hAnsi="仿宋" w:eastAsia="仿宋" w:cs="仿宋"/>
          <w:b/>
          <w:bCs/>
          <w:color w:val="000000"/>
          <w:sz w:val="18"/>
          <w:szCs w:val="18"/>
        </w:rPr>
        <w:t>3.（1）以水利水电施工总承包资质投标时，以联合体投标的，其中施工单位有两家（含两家）以上的，由招标人在招标文件中确定联合体信用评价的计分方式。</w:t>
      </w:r>
    </w:p>
    <w:p>
      <w:pPr>
        <w:pStyle w:val="164"/>
        <w:widowControl w:val="0"/>
        <w:snapToGrid w:val="0"/>
        <w:spacing w:before="0" w:beforeAutospacing="0" w:after="0" w:afterAutospacing="0"/>
        <w:ind w:left="88" w:firstLine="452" w:firstLineChars="250"/>
        <w:rPr>
          <w:rFonts w:hint="eastAsia" w:ascii="仿宋" w:hAnsi="仿宋" w:eastAsia="仿宋" w:cs="仿宋"/>
          <w:b/>
          <w:bCs/>
          <w:color w:val="000000"/>
          <w:sz w:val="18"/>
          <w:szCs w:val="18"/>
        </w:rPr>
      </w:pPr>
      <w:r>
        <w:rPr>
          <w:rFonts w:hint="eastAsia" w:ascii="仿宋" w:hAnsi="仿宋" w:eastAsia="仿宋" w:cs="仿宋"/>
          <w:b/>
          <w:bCs/>
          <w:color w:val="000000"/>
          <w:sz w:val="18"/>
          <w:szCs w:val="18"/>
        </w:rPr>
        <w:t>（2）以水利水电施工总承包资质投标时，投标人信用等级得分以全国和湖南省水利建设市场主体信用评级机构评定的信用等级对应得分中较低的一个分数为准，如某投标人的信用等级（全国水利建设市场主体）为AAA级，信用等级（湖南省水利建设市场主体）为A-级，则其信用等级得分以信用等级（湖南省水利建设市场主体）A-级得分为准。</w:t>
      </w:r>
    </w:p>
    <w:p>
      <w:pPr>
        <w:pStyle w:val="164"/>
        <w:widowControl w:val="0"/>
        <w:snapToGrid w:val="0"/>
        <w:spacing w:before="0" w:beforeAutospacing="0" w:after="0" w:afterAutospacing="0"/>
        <w:ind w:left="88" w:firstLine="452" w:firstLineChars="250"/>
        <w:rPr>
          <w:rFonts w:hint="eastAsia" w:ascii="仿宋" w:hAnsi="仿宋" w:eastAsia="仿宋" w:cs="仿宋"/>
          <w:b/>
          <w:bCs/>
          <w:color w:val="000000"/>
          <w:sz w:val="18"/>
          <w:szCs w:val="18"/>
        </w:rPr>
      </w:pPr>
      <w:r>
        <w:rPr>
          <w:rFonts w:hint="eastAsia" w:ascii="仿宋" w:hAnsi="仿宋" w:eastAsia="仿宋" w:cs="仿宋"/>
          <w:b/>
          <w:bCs/>
          <w:color w:val="000000"/>
          <w:sz w:val="18"/>
          <w:szCs w:val="18"/>
        </w:rPr>
        <w:t>首次进入湖南省水利建设市场、未申请信用评价以及连续两年无在建项目的市场主体单位，其湖南省信用等级默认为B级；未取得全国水利建设市场主体信用评价证书的，在湖南省水利建设市场其全国信用等级视为B级。</w:t>
      </w:r>
    </w:p>
    <w:p>
      <w:pPr>
        <w:pStyle w:val="164"/>
        <w:widowControl w:val="0"/>
        <w:snapToGrid w:val="0"/>
        <w:spacing w:before="0" w:beforeAutospacing="0" w:after="0" w:afterAutospacing="0"/>
        <w:ind w:left="88" w:firstLine="450" w:firstLineChars="250"/>
        <w:rPr>
          <w:rFonts w:hint="eastAsia" w:ascii="仿宋" w:hAnsi="仿宋" w:eastAsia="仿宋" w:cs="仿宋"/>
          <w:b/>
          <w:color w:val="000000"/>
          <w:sz w:val="18"/>
          <w:szCs w:val="18"/>
        </w:rPr>
      </w:pPr>
      <w:r>
        <w:rPr>
          <w:rFonts w:hint="eastAsia" w:ascii="仿宋" w:hAnsi="仿宋" w:eastAsia="仿宋" w:cs="仿宋"/>
          <w:color w:val="000000"/>
          <w:sz w:val="18"/>
          <w:szCs w:val="18"/>
        </w:rPr>
        <w:t>4.</w:t>
      </w:r>
      <w:r>
        <w:rPr>
          <w:rFonts w:hint="eastAsia" w:ascii="仿宋" w:hAnsi="仿宋" w:eastAsia="仿宋" w:cs="仿宋"/>
          <w:b/>
          <w:color w:val="000000"/>
          <w:sz w:val="18"/>
          <w:szCs w:val="18"/>
        </w:rPr>
        <w:t>联合体投标的，按照其联合体协议书约定的各成员工作量所占比例加权折算的原则确定联合体的信用评价分值。如联合体协议书约定联合体牵头人在本合同承担工作量为70%、联合体成员一在本合同承担工作量为20%、联合体成员二在本合同承担工作量为10%，则该联合体最终信用等级得分=联合体牵头人信用等级得分×70%+联合体成员一信用等级得分×20%+联合体成员二信用等级得分×10%。</w:t>
      </w:r>
    </w:p>
    <w:p>
      <w:pPr>
        <w:ind w:firstLine="540" w:firstLineChars="300"/>
        <w:jc w:val="left"/>
        <w:rPr>
          <w:rFonts w:hint="eastAsia" w:ascii="仿宋" w:hAnsi="仿宋" w:eastAsia="仿宋" w:cs="仿宋"/>
          <w:color w:val="000000"/>
          <w:sz w:val="18"/>
          <w:szCs w:val="18"/>
        </w:rPr>
      </w:pPr>
      <w:r>
        <w:rPr>
          <w:rFonts w:hint="eastAsia" w:ascii="仿宋" w:hAnsi="仿宋" w:eastAsia="仿宋" w:cs="仿宋"/>
          <w:color w:val="000000"/>
          <w:sz w:val="18"/>
          <w:szCs w:val="18"/>
        </w:rPr>
        <w:t>5. 企业类似项目经验要求见本文件第二章投标须知前附表第10.1款第2项的规定。</w:t>
      </w:r>
    </w:p>
    <w:p>
      <w:pPr>
        <w:pStyle w:val="164"/>
        <w:widowControl w:val="0"/>
        <w:snapToGrid w:val="0"/>
        <w:spacing w:before="0" w:beforeAutospacing="0" w:after="0" w:afterAutospacing="0"/>
        <w:ind w:firstLine="540" w:firstLineChars="300"/>
        <w:rPr>
          <w:rFonts w:hint="eastAsia" w:ascii="仿宋" w:hAnsi="仿宋" w:eastAsia="仿宋" w:cs="仿宋"/>
          <w:color w:val="000000"/>
          <w:sz w:val="18"/>
          <w:szCs w:val="18"/>
        </w:rPr>
      </w:pPr>
      <w:r>
        <w:rPr>
          <w:rFonts w:hint="eastAsia" w:ascii="仿宋" w:hAnsi="仿宋" w:eastAsia="仿宋" w:cs="仿宋"/>
          <w:color w:val="000000"/>
          <w:sz w:val="18"/>
          <w:szCs w:val="18"/>
        </w:rPr>
        <w:t>6.财务状况计算公式：流动比率=流动资产除以流动负债*100%；利润总额=营业利润+营业外收入-营业外支出；净利润=利润总额-所得税费用；资产负债率=负债合计除以资产合计*100%。</w:t>
      </w:r>
    </w:p>
    <w:p>
      <w:pPr>
        <w:pStyle w:val="164"/>
        <w:widowControl w:val="0"/>
        <w:snapToGrid w:val="0"/>
        <w:spacing w:before="0" w:beforeAutospacing="0" w:after="0" w:afterAutospacing="0"/>
        <w:ind w:left="88" w:leftChars="42" w:firstLine="450" w:firstLineChars="250"/>
        <w:rPr>
          <w:rFonts w:hint="eastAsia" w:ascii="仿宋" w:hAnsi="仿宋" w:eastAsia="仿宋" w:cs="仿宋"/>
          <w:color w:val="000000"/>
          <w:sz w:val="18"/>
          <w:szCs w:val="18"/>
        </w:rPr>
      </w:pPr>
      <w:r>
        <w:rPr>
          <w:rFonts w:hint="eastAsia" w:ascii="仿宋" w:hAnsi="仿宋" w:eastAsia="仿宋" w:cs="仿宋"/>
          <w:color w:val="000000"/>
          <w:sz w:val="18"/>
          <w:szCs w:val="18"/>
        </w:rPr>
        <w:t>7.工程获奖、年度考核、技术创新在评标办法中是否计分由招标人根据项目情况选择使用。招标人不得对投标人获得的上述奖项以外的其他奖项进行计分。本评分标准表中的工程获奖均指农田建设项目工程的获奖，且为单位（标段）获奖。同一标段获得多个奖项的，不重复计分（以得分最高计）。同一单位考核获得多个名次的，不重复计分（以得分最高计，首次进入或未得到考核名次的按其他计分），省级考核适用于全省范围、县区级考核仅适用于本行政范围。同一技术创新获得多个奖项的，不重复计分（以得分最高计）。</w:t>
      </w:r>
    </w:p>
    <w:p>
      <w:pPr>
        <w:pStyle w:val="164"/>
        <w:widowControl w:val="0"/>
        <w:snapToGrid w:val="0"/>
        <w:spacing w:before="0" w:beforeAutospacing="0" w:after="0" w:afterAutospacing="0"/>
        <w:ind w:left="88" w:leftChars="42" w:firstLine="450" w:firstLineChars="250"/>
        <w:rPr>
          <w:rFonts w:hint="eastAsia" w:ascii="仿宋" w:hAnsi="仿宋" w:eastAsia="仿宋" w:cs="仿宋"/>
          <w:color w:val="000000"/>
          <w:sz w:val="18"/>
          <w:szCs w:val="18"/>
        </w:rPr>
      </w:pPr>
      <w:r>
        <w:rPr>
          <w:rFonts w:hint="eastAsia" w:ascii="仿宋" w:hAnsi="仿宋" w:eastAsia="仿宋" w:cs="仿宋"/>
          <w:color w:val="000000"/>
          <w:sz w:val="18"/>
          <w:szCs w:val="18"/>
        </w:rPr>
        <w:t xml:space="preserve">8、联合体投标的，仅对联合体牵头人的工程获奖和技术创新计分。 </w:t>
      </w:r>
    </w:p>
    <w:p>
      <w:pPr>
        <w:pStyle w:val="164"/>
        <w:widowControl w:val="0"/>
        <w:snapToGrid w:val="0"/>
        <w:spacing w:before="0" w:beforeAutospacing="0" w:after="0" w:afterAutospacing="0"/>
        <w:ind w:left="88" w:leftChars="42" w:firstLine="450" w:firstLineChars="250"/>
        <w:rPr>
          <w:rFonts w:hint="eastAsia" w:ascii="仿宋" w:hAnsi="仿宋" w:eastAsia="仿宋" w:cs="仿宋"/>
          <w:color w:val="000000"/>
          <w:sz w:val="18"/>
          <w:szCs w:val="18"/>
        </w:rPr>
      </w:pPr>
      <w:r>
        <w:rPr>
          <w:rFonts w:hint="eastAsia" w:ascii="仿宋" w:hAnsi="仿宋" w:eastAsia="仿宋" w:cs="仿宋"/>
          <w:color w:val="000000"/>
          <w:sz w:val="18"/>
          <w:szCs w:val="18"/>
        </w:rPr>
        <w:t>9、联合体投标的，仅对联合体牵头人的财务状况计分。</w:t>
      </w:r>
    </w:p>
    <w:p>
      <w:pPr>
        <w:pStyle w:val="164"/>
        <w:widowControl w:val="0"/>
        <w:snapToGrid w:val="0"/>
        <w:spacing w:before="0" w:beforeAutospacing="0" w:after="0" w:afterAutospacing="0"/>
        <w:ind w:firstLine="540" w:firstLineChars="300"/>
        <w:rPr>
          <w:rFonts w:ascii="仿宋" w:hAnsi="仿宋" w:eastAsia="仿宋" w:cs="仿宋"/>
          <w:color w:val="000000"/>
          <w:sz w:val="18"/>
          <w:szCs w:val="18"/>
        </w:rPr>
      </w:pPr>
      <w:r>
        <w:rPr>
          <w:rFonts w:hint="eastAsia" w:ascii="仿宋" w:hAnsi="仿宋" w:eastAsia="仿宋" w:cs="仿宋"/>
          <w:color w:val="000000"/>
          <w:sz w:val="18"/>
          <w:szCs w:val="18"/>
        </w:rPr>
        <w:t>10、联合体投标的，仅对联合体牵头人的考核名次计分。</w:t>
      </w:r>
    </w:p>
    <w:p>
      <w:pPr>
        <w:pStyle w:val="164"/>
        <w:widowControl w:val="0"/>
        <w:snapToGrid w:val="0"/>
        <w:ind w:left="88" w:leftChars="42" w:firstLine="450" w:firstLineChars="250"/>
        <w:rPr>
          <w:rFonts w:hint="eastAsia" w:ascii="仿宋" w:hAnsi="仿宋" w:eastAsia="仿宋" w:cs="仿宋"/>
          <w:color w:val="000000"/>
          <w:sz w:val="18"/>
          <w:szCs w:val="18"/>
        </w:rPr>
      </w:pPr>
    </w:p>
    <w:p>
      <w:pPr>
        <w:spacing w:line="600" w:lineRule="exact"/>
        <w:jc w:val="left"/>
        <w:rPr>
          <w:rFonts w:hint="eastAsia" w:ascii="仿宋" w:hAnsi="仿宋" w:eastAsia="仿宋" w:cs="仿宋"/>
          <w:color w:val="000000"/>
          <w:sz w:val="28"/>
          <w:szCs w:val="21"/>
        </w:rPr>
      </w:pPr>
      <w:r>
        <w:rPr>
          <w:rFonts w:hint="eastAsia" w:ascii="仿宋" w:hAnsi="仿宋" w:eastAsia="仿宋" w:cs="仿宋"/>
          <w:color w:val="000000"/>
          <w:sz w:val="28"/>
          <w:szCs w:val="21"/>
        </w:rPr>
        <w:t>评委签字：</w:t>
      </w:r>
    </w:p>
    <w:p>
      <w:pPr>
        <w:pStyle w:val="32"/>
        <w:spacing w:before="120" w:beforeLines="50" w:after="120" w:afterLines="50" w:line="600" w:lineRule="exact"/>
        <w:ind w:left="0" w:firstLine="0" w:firstLineChars="0"/>
        <w:rPr>
          <w:rFonts w:eastAsia="黑体"/>
          <w:bCs/>
          <w:color w:val="000000"/>
          <w:sz w:val="32"/>
          <w:szCs w:val="20"/>
        </w:rPr>
      </w:pPr>
      <w:r>
        <w:rPr>
          <w:rFonts w:hint="eastAsia" w:ascii="仿宋" w:hAnsi="仿宋" w:eastAsia="仿宋" w:cs="仿宋"/>
          <w:color w:val="000000"/>
        </w:rPr>
        <w:br w:type="page"/>
      </w:r>
      <w:bookmarkStart w:id="836" w:name="_Toc511317244"/>
      <w:bookmarkStart w:id="837" w:name="_Toc511317993"/>
      <w:r>
        <w:rPr>
          <w:rFonts w:eastAsia="黑体"/>
          <w:bCs/>
          <w:color w:val="000000"/>
          <w:sz w:val="32"/>
          <w:szCs w:val="20"/>
        </w:rPr>
        <w:t>附表3-7（3）：详细评审</w:t>
      </w:r>
      <w:r>
        <w:rPr>
          <w:rFonts w:hint="eastAsia" w:eastAsia="黑体"/>
          <w:bCs/>
          <w:color w:val="000000"/>
          <w:sz w:val="32"/>
          <w:szCs w:val="20"/>
        </w:rPr>
        <w:t>－</w:t>
      </w:r>
      <w:r>
        <w:rPr>
          <w:rFonts w:eastAsia="黑体"/>
          <w:bCs/>
          <w:color w:val="000000"/>
          <w:sz w:val="32"/>
          <w:szCs w:val="20"/>
        </w:rPr>
        <w:t>投标报价评分表</w:t>
      </w:r>
      <w:bookmarkEnd w:id="836"/>
      <w:bookmarkEnd w:id="837"/>
    </w:p>
    <w:p>
      <w:pPr>
        <w:spacing w:line="600" w:lineRule="exact"/>
        <w:jc w:val="center"/>
        <w:rPr>
          <w:rFonts w:eastAsia="方正小标宋_GBK"/>
          <w:b/>
          <w:color w:val="000000"/>
          <w:sz w:val="36"/>
          <w:szCs w:val="36"/>
        </w:rPr>
      </w:pPr>
    </w:p>
    <w:p>
      <w:pPr>
        <w:spacing w:line="600" w:lineRule="exact"/>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1.投标报价评分标准</w:t>
      </w:r>
    </w:p>
    <w:p>
      <w:pPr>
        <w:spacing w:line="600" w:lineRule="exact"/>
        <w:jc w:val="center"/>
        <w:rPr>
          <w:rFonts w:eastAsia="仿宋"/>
          <w:b/>
          <w:color w:val="000000"/>
          <w:sz w:val="44"/>
          <w:szCs w:val="44"/>
        </w:rPr>
      </w:pP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356"/>
        <w:gridCol w:w="1419"/>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8" w:hRule="atLeast"/>
          <w:jc w:val="center"/>
        </w:trPr>
        <w:tc>
          <w:tcPr>
            <w:tcW w:w="849" w:type="dxa"/>
            <w:vMerge w:val="restart"/>
            <w:noWrap w:val="0"/>
            <w:vAlign w:val="center"/>
          </w:tcPr>
          <w:p>
            <w:pPr>
              <w:autoSpaceDE w:val="0"/>
              <w:autoSpaceDN w:val="0"/>
              <w:adjustRightInd w:val="0"/>
              <w:jc w:val="left"/>
              <w:rPr>
                <w:rFonts w:hint="eastAsia" w:ascii="仿宋" w:hAnsi="仿宋" w:eastAsia="仿宋" w:cs="仿宋"/>
                <w:color w:val="000000"/>
                <w:kern w:val="0"/>
                <w:sz w:val="24"/>
              </w:rPr>
            </w:pPr>
            <w:r>
              <w:rPr>
                <w:rFonts w:hint="eastAsia" w:ascii="仿宋" w:hAnsi="仿宋" w:eastAsia="仿宋" w:cs="仿宋"/>
                <w:color w:val="000000"/>
                <w:kern w:val="0"/>
                <w:sz w:val="24"/>
              </w:rPr>
              <w:t>2.2.4（3）</w:t>
            </w:r>
          </w:p>
        </w:tc>
        <w:tc>
          <w:tcPr>
            <w:tcW w:w="1356" w:type="dxa"/>
            <w:vMerge w:val="restart"/>
            <w:noWrap w:val="0"/>
            <w:vAlign w:val="center"/>
          </w:tcPr>
          <w:p>
            <w:pPr>
              <w:autoSpaceDE w:val="0"/>
              <w:autoSpaceDN w:val="0"/>
              <w:adjustRightInd w:val="0"/>
              <w:rPr>
                <w:rFonts w:hint="eastAsia" w:ascii="仿宋" w:hAnsi="仿宋" w:eastAsia="仿宋" w:cs="仿宋"/>
                <w:color w:val="000000"/>
                <w:kern w:val="0"/>
                <w:sz w:val="24"/>
              </w:rPr>
            </w:pPr>
            <w:r>
              <w:rPr>
                <w:rFonts w:hint="eastAsia" w:ascii="仿宋" w:hAnsi="仿宋" w:eastAsia="仿宋" w:cs="仿宋"/>
                <w:color w:val="000000"/>
                <w:kern w:val="0"/>
                <w:sz w:val="24"/>
              </w:rPr>
              <w:t>投标报价评分标准（100分）</w:t>
            </w:r>
          </w:p>
        </w:tc>
        <w:tc>
          <w:tcPr>
            <w:tcW w:w="1419" w:type="dxa"/>
            <w:noWrap w:val="0"/>
            <w:vAlign w:val="center"/>
          </w:tcPr>
          <w:p>
            <w:pPr>
              <w:autoSpaceDE w:val="0"/>
              <w:autoSpaceDN w:val="0"/>
              <w:adjustRightInd w:val="0"/>
              <w:jc w:val="center"/>
              <w:rPr>
                <w:rFonts w:hint="eastAsia" w:ascii="仿宋" w:hAnsi="仿宋" w:eastAsia="仿宋" w:cs="仿宋"/>
                <w:color w:val="000000"/>
                <w:kern w:val="0"/>
                <w:sz w:val="24"/>
              </w:rPr>
            </w:pPr>
            <w:r>
              <w:rPr>
                <w:rFonts w:hint="eastAsia" w:ascii="仿宋" w:hAnsi="仿宋" w:eastAsia="仿宋" w:cs="仿宋"/>
                <w:color w:val="000000"/>
                <w:kern w:val="0"/>
                <w:sz w:val="24"/>
              </w:rPr>
              <w:t>偏差率（X）</w:t>
            </w:r>
          </w:p>
        </w:tc>
        <w:tc>
          <w:tcPr>
            <w:tcW w:w="5528" w:type="dxa"/>
            <w:noWrap w:val="0"/>
            <w:vAlign w:val="center"/>
          </w:tcPr>
          <w:p>
            <w:pPr>
              <w:autoSpaceDE w:val="0"/>
              <w:autoSpaceDN w:val="0"/>
              <w:adjustRightInd w:val="0"/>
              <w:jc w:val="center"/>
              <w:rPr>
                <w:rFonts w:hint="eastAsia" w:ascii="仿宋" w:hAnsi="仿宋" w:eastAsia="仿宋" w:cs="仿宋"/>
                <w:color w:val="000000"/>
                <w:kern w:val="0"/>
                <w:sz w:val="24"/>
              </w:rPr>
            </w:pPr>
            <w:r>
              <w:rPr>
                <w:rFonts w:hint="eastAsia" w:ascii="仿宋" w:hAnsi="仿宋" w:eastAsia="仿宋" w:cs="仿宋"/>
                <w:color w:val="000000"/>
                <w:kern w:val="0"/>
                <w:sz w:val="24"/>
              </w:rPr>
              <w:t>X=（</w:t>
            </w:r>
            <w:r>
              <w:rPr>
                <w:rFonts w:hint="eastAsia" w:ascii="仿宋" w:hAnsi="仿宋" w:eastAsia="仿宋" w:cs="仿宋"/>
                <w:color w:val="000000"/>
                <w:sz w:val="24"/>
              </w:rPr>
              <w:t>投标人报价</w:t>
            </w:r>
            <w:r>
              <w:rPr>
                <w:rFonts w:hint="eastAsia" w:ascii="仿宋" w:hAnsi="仿宋" w:eastAsia="仿宋" w:cs="仿宋"/>
                <w:color w:val="000000"/>
                <w:kern w:val="0"/>
                <w:sz w:val="24"/>
              </w:rPr>
              <w:t>-评标基准价）÷评标基准价×100％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8" w:hRule="atLeast"/>
          <w:jc w:val="center"/>
        </w:trPr>
        <w:tc>
          <w:tcPr>
            <w:tcW w:w="849" w:type="dxa"/>
            <w:vMerge w:val="continue"/>
            <w:noWrap w:val="0"/>
            <w:vAlign w:val="center"/>
          </w:tcPr>
          <w:p>
            <w:pPr>
              <w:autoSpaceDE w:val="0"/>
              <w:autoSpaceDN w:val="0"/>
              <w:adjustRightInd w:val="0"/>
              <w:ind w:firstLine="480"/>
              <w:jc w:val="center"/>
              <w:rPr>
                <w:rFonts w:hint="eastAsia" w:ascii="仿宋" w:hAnsi="仿宋" w:eastAsia="仿宋" w:cs="仿宋"/>
                <w:color w:val="000000"/>
                <w:kern w:val="0"/>
                <w:sz w:val="24"/>
              </w:rPr>
            </w:pPr>
          </w:p>
        </w:tc>
        <w:tc>
          <w:tcPr>
            <w:tcW w:w="1356" w:type="dxa"/>
            <w:vMerge w:val="continue"/>
            <w:noWrap w:val="0"/>
            <w:vAlign w:val="center"/>
          </w:tcPr>
          <w:p>
            <w:pPr>
              <w:autoSpaceDE w:val="0"/>
              <w:autoSpaceDN w:val="0"/>
              <w:adjustRightInd w:val="0"/>
              <w:ind w:firstLine="480"/>
              <w:jc w:val="center"/>
              <w:rPr>
                <w:rFonts w:hint="eastAsia" w:ascii="仿宋" w:hAnsi="仿宋" w:eastAsia="仿宋" w:cs="仿宋"/>
                <w:color w:val="000000"/>
                <w:kern w:val="0"/>
                <w:sz w:val="24"/>
              </w:rPr>
            </w:pPr>
          </w:p>
        </w:tc>
        <w:tc>
          <w:tcPr>
            <w:tcW w:w="1419" w:type="dxa"/>
            <w:noWrap w:val="0"/>
            <w:vAlign w:val="center"/>
          </w:tcPr>
          <w:p>
            <w:pPr>
              <w:autoSpaceDE w:val="0"/>
              <w:autoSpaceDN w:val="0"/>
              <w:adjustRightInd w:val="0"/>
              <w:jc w:val="center"/>
              <w:rPr>
                <w:rFonts w:hint="eastAsia" w:ascii="仿宋" w:hAnsi="仿宋" w:eastAsia="仿宋" w:cs="仿宋"/>
                <w:color w:val="000000"/>
                <w:kern w:val="0"/>
                <w:sz w:val="24"/>
              </w:rPr>
            </w:pPr>
            <w:r>
              <w:rPr>
                <w:rFonts w:hint="eastAsia" w:ascii="仿宋" w:hAnsi="仿宋" w:eastAsia="仿宋" w:cs="仿宋"/>
                <w:color w:val="000000"/>
                <w:kern w:val="0"/>
                <w:sz w:val="24"/>
              </w:rPr>
              <w:t>投标报价总价评分标准</w:t>
            </w:r>
          </w:p>
          <w:p>
            <w:pPr>
              <w:autoSpaceDE w:val="0"/>
              <w:autoSpaceDN w:val="0"/>
              <w:adjustRightInd w:val="0"/>
              <w:jc w:val="center"/>
              <w:rPr>
                <w:rFonts w:hint="eastAsia" w:ascii="仿宋" w:hAnsi="仿宋" w:eastAsia="仿宋" w:cs="仿宋"/>
                <w:color w:val="000000"/>
                <w:kern w:val="0"/>
                <w:sz w:val="24"/>
              </w:rPr>
            </w:pPr>
            <w:r>
              <w:rPr>
                <w:rFonts w:hint="eastAsia" w:ascii="仿宋" w:hAnsi="仿宋" w:eastAsia="仿宋" w:cs="仿宋"/>
                <w:color w:val="000000"/>
                <w:kern w:val="0"/>
                <w:sz w:val="24"/>
              </w:rPr>
              <w:t>（</w:t>
            </w:r>
            <w:r>
              <w:rPr>
                <w:rFonts w:hint="eastAsia" w:ascii="仿宋" w:hAnsi="仿宋" w:eastAsia="仿宋" w:cs="仿宋"/>
                <w:color w:val="000000"/>
                <w:sz w:val="24"/>
              </w:rPr>
              <w:t>100</w:t>
            </w:r>
            <w:r>
              <w:rPr>
                <w:rFonts w:hint="eastAsia" w:ascii="仿宋" w:hAnsi="仿宋" w:eastAsia="仿宋" w:cs="仿宋"/>
                <w:color w:val="000000"/>
                <w:kern w:val="0"/>
                <w:sz w:val="24"/>
              </w:rPr>
              <w:t>分）</w:t>
            </w:r>
          </w:p>
        </w:tc>
        <w:tc>
          <w:tcPr>
            <w:tcW w:w="5528" w:type="dxa"/>
            <w:noWrap w:val="0"/>
            <w:vAlign w:val="center"/>
          </w:tcPr>
          <w:p>
            <w:pPr>
              <w:autoSpaceDE w:val="0"/>
              <w:autoSpaceDN w:val="0"/>
              <w:adjustRightInd w:val="0"/>
              <w:jc w:val="left"/>
              <w:rPr>
                <w:rFonts w:hint="eastAsia" w:ascii="仿宋" w:hAnsi="仿宋" w:eastAsia="仿宋" w:cs="仿宋"/>
                <w:color w:val="000000"/>
                <w:kern w:val="0"/>
                <w:sz w:val="24"/>
              </w:rPr>
            </w:pPr>
            <w:r>
              <w:rPr>
                <w:rFonts w:hint="eastAsia" w:ascii="仿宋" w:hAnsi="仿宋" w:eastAsia="仿宋" w:cs="仿宋"/>
                <w:color w:val="000000"/>
                <w:kern w:val="0"/>
                <w:sz w:val="24"/>
              </w:rPr>
              <w:t>偏差率大于0：偏差率从0开始每递升1％减1.5分。</w:t>
            </w:r>
          </w:p>
          <w:p>
            <w:pPr>
              <w:autoSpaceDE w:val="0"/>
              <w:autoSpaceDN w:val="0"/>
              <w:adjustRightInd w:val="0"/>
              <w:rPr>
                <w:rFonts w:hint="eastAsia" w:ascii="仿宋" w:hAnsi="仿宋" w:eastAsia="仿宋" w:cs="仿宋"/>
                <w:color w:val="000000"/>
                <w:kern w:val="0"/>
                <w:sz w:val="24"/>
              </w:rPr>
            </w:pPr>
            <w:r>
              <w:rPr>
                <w:rFonts w:hint="eastAsia" w:ascii="仿宋" w:hAnsi="仿宋" w:eastAsia="仿宋" w:cs="仿宋"/>
                <w:color w:val="000000"/>
                <w:kern w:val="0"/>
                <w:sz w:val="24"/>
              </w:rPr>
              <w:t>偏差率等于0：报价分为</w:t>
            </w:r>
            <w:r>
              <w:rPr>
                <w:rFonts w:hint="eastAsia" w:ascii="仿宋" w:hAnsi="仿宋" w:eastAsia="仿宋" w:cs="仿宋"/>
                <w:color w:val="000000"/>
                <w:kern w:val="0"/>
                <w:sz w:val="24"/>
                <w:u w:val="single"/>
              </w:rPr>
              <w:t xml:space="preserve"> </w:t>
            </w:r>
            <w:r>
              <w:rPr>
                <w:rFonts w:hint="eastAsia" w:ascii="仿宋" w:hAnsi="仿宋" w:eastAsia="仿宋" w:cs="仿宋"/>
                <w:color w:val="000000"/>
                <w:sz w:val="24"/>
                <w:u w:val="single"/>
              </w:rPr>
              <w:t xml:space="preserve">100 </w:t>
            </w:r>
            <w:r>
              <w:rPr>
                <w:rFonts w:hint="eastAsia" w:ascii="仿宋" w:hAnsi="仿宋" w:eastAsia="仿宋" w:cs="仿宋"/>
                <w:color w:val="000000"/>
                <w:kern w:val="0"/>
                <w:sz w:val="24"/>
              </w:rPr>
              <w:t>分；</w:t>
            </w:r>
          </w:p>
          <w:p>
            <w:pPr>
              <w:autoSpaceDE w:val="0"/>
              <w:autoSpaceDN w:val="0"/>
              <w:adjustRightInd w:val="0"/>
              <w:jc w:val="left"/>
              <w:rPr>
                <w:rFonts w:hint="eastAsia" w:ascii="仿宋" w:hAnsi="仿宋" w:eastAsia="仿宋" w:cs="仿宋"/>
                <w:color w:val="000000"/>
                <w:kern w:val="0"/>
                <w:sz w:val="24"/>
              </w:rPr>
            </w:pPr>
            <w:r>
              <w:rPr>
                <w:rFonts w:hint="eastAsia" w:ascii="仿宋" w:hAnsi="仿宋" w:eastAsia="仿宋" w:cs="仿宋"/>
                <w:color w:val="000000"/>
                <w:kern w:val="0"/>
                <w:sz w:val="24"/>
              </w:rPr>
              <w:t>偏差率小于0：偏差率从0开始每降1％减1分计算。</w:t>
            </w:r>
          </w:p>
        </w:tc>
      </w:tr>
    </w:tbl>
    <w:p>
      <w:pPr>
        <w:rPr>
          <w:rFonts w:hint="eastAsia" w:ascii="宋体" w:hAnsi="宋体" w:cs="宋体"/>
          <w:color w:val="000000"/>
        </w:rPr>
      </w:pPr>
    </w:p>
    <w:p>
      <w:pPr>
        <w:pStyle w:val="32"/>
        <w:spacing w:line="600" w:lineRule="exact"/>
        <w:ind w:left="420" w:hanging="420"/>
        <w:outlineLvl w:val="4"/>
        <w:rPr>
          <w:rFonts w:eastAsia="黑体"/>
          <w:bCs/>
          <w:color w:val="000000"/>
          <w:sz w:val="32"/>
          <w:szCs w:val="20"/>
        </w:rPr>
      </w:pPr>
      <w:r>
        <w:rPr>
          <w:color w:val="000000"/>
        </w:rPr>
        <w:br w:type="page"/>
      </w:r>
      <w:bookmarkStart w:id="838" w:name="_Toc511317245"/>
      <w:bookmarkStart w:id="839" w:name="_Toc511317994"/>
      <w:r>
        <w:rPr>
          <w:rFonts w:eastAsia="黑体"/>
          <w:bCs/>
          <w:color w:val="000000"/>
          <w:sz w:val="32"/>
          <w:szCs w:val="20"/>
        </w:rPr>
        <w:t>附表3-8：权数取值表</w:t>
      </w:r>
      <w:bookmarkEnd w:id="838"/>
      <w:bookmarkEnd w:id="839"/>
    </w:p>
    <w:p>
      <w:pPr>
        <w:spacing w:line="600" w:lineRule="exact"/>
        <w:jc w:val="center"/>
        <w:rPr>
          <w:rFonts w:eastAsia="方正小标宋_GBK"/>
          <w:b/>
          <w:color w:val="000000"/>
          <w:sz w:val="36"/>
          <w:szCs w:val="36"/>
        </w:rPr>
      </w:pPr>
    </w:p>
    <w:p>
      <w:pPr>
        <w:spacing w:line="600" w:lineRule="exact"/>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权数取值表</w:t>
      </w:r>
    </w:p>
    <w:p>
      <w:pPr>
        <w:spacing w:line="600" w:lineRule="exact"/>
        <w:jc w:val="center"/>
        <w:rPr>
          <w:rFonts w:eastAsia="方正小标宋_GBK"/>
          <w:b/>
          <w:color w:val="000000"/>
          <w:sz w:val="36"/>
          <w:szCs w:val="36"/>
        </w:rPr>
      </w:pP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3057"/>
        <w:gridCol w:w="2127"/>
        <w:gridCol w:w="2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exact"/>
          <w:jc w:val="center"/>
        </w:trPr>
        <w:tc>
          <w:tcPr>
            <w:tcW w:w="1090" w:type="dxa"/>
            <w:vMerge w:val="restart"/>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序号</w:t>
            </w:r>
          </w:p>
        </w:tc>
        <w:tc>
          <w:tcPr>
            <w:tcW w:w="3057" w:type="dxa"/>
            <w:vMerge w:val="restart"/>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项     目</w:t>
            </w:r>
          </w:p>
        </w:tc>
        <w:tc>
          <w:tcPr>
            <w:tcW w:w="2127" w:type="dxa"/>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权        数</w:t>
            </w:r>
          </w:p>
        </w:tc>
        <w:tc>
          <w:tcPr>
            <w:tcW w:w="2820" w:type="dxa"/>
            <w:vMerge w:val="restart"/>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具体权数取值</w:t>
            </w:r>
          </w:p>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（招标人填写）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exact"/>
          <w:jc w:val="center"/>
        </w:trPr>
        <w:tc>
          <w:tcPr>
            <w:tcW w:w="1090" w:type="dxa"/>
            <w:vMerge w:val="continue"/>
            <w:noWrap w:val="0"/>
            <w:vAlign w:val="center"/>
          </w:tcPr>
          <w:p>
            <w:pPr>
              <w:jc w:val="center"/>
              <w:rPr>
                <w:rFonts w:hint="eastAsia" w:ascii="仿宋" w:hAnsi="仿宋" w:eastAsia="仿宋" w:cs="仿宋"/>
                <w:color w:val="000000"/>
                <w:sz w:val="24"/>
                <w:szCs w:val="21"/>
              </w:rPr>
            </w:pPr>
          </w:p>
        </w:tc>
        <w:tc>
          <w:tcPr>
            <w:tcW w:w="3057" w:type="dxa"/>
            <w:vMerge w:val="continue"/>
            <w:noWrap w:val="0"/>
            <w:vAlign w:val="center"/>
          </w:tcPr>
          <w:p>
            <w:pPr>
              <w:jc w:val="center"/>
              <w:rPr>
                <w:rFonts w:hint="eastAsia" w:ascii="仿宋" w:hAnsi="仿宋" w:eastAsia="仿宋" w:cs="仿宋"/>
                <w:color w:val="000000"/>
                <w:sz w:val="24"/>
                <w:szCs w:val="21"/>
              </w:rPr>
            </w:pPr>
          </w:p>
        </w:tc>
        <w:tc>
          <w:tcPr>
            <w:tcW w:w="2127" w:type="dxa"/>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综合评估法</w:t>
            </w:r>
          </w:p>
        </w:tc>
        <w:tc>
          <w:tcPr>
            <w:tcW w:w="2820" w:type="dxa"/>
            <w:vMerge w:val="continue"/>
            <w:noWrap w:val="0"/>
            <w:vAlign w:val="center"/>
          </w:tcPr>
          <w:p>
            <w:pPr>
              <w:jc w:val="center"/>
              <w:rPr>
                <w:rFonts w:hint="eastAsia" w:ascii="仿宋" w:hAnsi="仿宋" w:eastAsia="仿宋" w:cs="仿宋"/>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7" w:hRule="exact"/>
          <w:jc w:val="center"/>
        </w:trPr>
        <w:tc>
          <w:tcPr>
            <w:tcW w:w="1090" w:type="dxa"/>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1</w:t>
            </w:r>
          </w:p>
        </w:tc>
        <w:tc>
          <w:tcPr>
            <w:tcW w:w="3057" w:type="dxa"/>
            <w:noWrap w:val="0"/>
            <w:vAlign w:val="center"/>
          </w:tcPr>
          <w:p>
            <w:pPr>
              <w:rPr>
                <w:rFonts w:hint="eastAsia" w:ascii="仿宋" w:hAnsi="仿宋" w:eastAsia="仿宋" w:cs="仿宋"/>
                <w:color w:val="000000"/>
                <w:sz w:val="24"/>
                <w:szCs w:val="21"/>
              </w:rPr>
            </w:pPr>
            <w:r>
              <w:rPr>
                <w:rFonts w:hint="eastAsia" w:ascii="仿宋" w:hAnsi="仿宋" w:eastAsia="仿宋" w:cs="仿宋"/>
                <w:color w:val="000000"/>
                <w:sz w:val="24"/>
                <w:szCs w:val="21"/>
              </w:rPr>
              <w:t>项目管理机构（K</w:t>
            </w:r>
            <w:r>
              <w:rPr>
                <w:rFonts w:hint="eastAsia" w:ascii="仿宋" w:hAnsi="仿宋" w:eastAsia="仿宋" w:cs="仿宋"/>
                <w:color w:val="000000"/>
                <w:sz w:val="24"/>
                <w:szCs w:val="21"/>
                <w:vertAlign w:val="subscript"/>
              </w:rPr>
              <w:t>1</w:t>
            </w:r>
            <w:r>
              <w:rPr>
                <w:rFonts w:hint="eastAsia" w:ascii="仿宋" w:hAnsi="仿宋" w:eastAsia="仿宋" w:cs="仿宋"/>
                <w:color w:val="000000"/>
                <w:sz w:val="24"/>
                <w:szCs w:val="21"/>
              </w:rPr>
              <w:t>）</w:t>
            </w:r>
          </w:p>
        </w:tc>
        <w:tc>
          <w:tcPr>
            <w:tcW w:w="2127" w:type="dxa"/>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0.08～0.15</w:t>
            </w:r>
          </w:p>
        </w:tc>
        <w:tc>
          <w:tcPr>
            <w:tcW w:w="2820" w:type="dxa"/>
            <w:noWrap w:val="0"/>
            <w:vAlign w:val="center"/>
          </w:tcPr>
          <w:p>
            <w:pPr>
              <w:jc w:val="center"/>
              <w:rPr>
                <w:rFonts w:hint="eastAsia" w:ascii="仿宋" w:hAnsi="仿宋" w:eastAsia="仿宋" w:cs="仿宋"/>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exact"/>
          <w:jc w:val="center"/>
        </w:trPr>
        <w:tc>
          <w:tcPr>
            <w:tcW w:w="1090" w:type="dxa"/>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2</w:t>
            </w:r>
          </w:p>
        </w:tc>
        <w:tc>
          <w:tcPr>
            <w:tcW w:w="3057" w:type="dxa"/>
            <w:noWrap w:val="0"/>
            <w:vAlign w:val="center"/>
          </w:tcPr>
          <w:p>
            <w:pPr>
              <w:rPr>
                <w:rFonts w:hint="eastAsia" w:ascii="仿宋" w:hAnsi="仿宋" w:eastAsia="仿宋" w:cs="仿宋"/>
                <w:color w:val="000000"/>
                <w:sz w:val="24"/>
                <w:szCs w:val="21"/>
              </w:rPr>
            </w:pPr>
            <w:r>
              <w:rPr>
                <w:rFonts w:hint="eastAsia" w:ascii="仿宋" w:hAnsi="仿宋" w:eastAsia="仿宋" w:cs="仿宋"/>
                <w:color w:val="000000"/>
                <w:sz w:val="24"/>
                <w:szCs w:val="21"/>
              </w:rPr>
              <w:t>信誉等其他评分因素（K</w:t>
            </w:r>
            <w:r>
              <w:rPr>
                <w:rFonts w:hint="eastAsia" w:ascii="仿宋" w:hAnsi="仿宋" w:eastAsia="仿宋" w:cs="仿宋"/>
                <w:color w:val="000000"/>
                <w:sz w:val="24"/>
                <w:szCs w:val="21"/>
                <w:vertAlign w:val="subscript"/>
              </w:rPr>
              <w:t>2</w:t>
            </w:r>
            <w:r>
              <w:rPr>
                <w:rFonts w:hint="eastAsia" w:ascii="仿宋" w:hAnsi="仿宋" w:eastAsia="仿宋" w:cs="仿宋"/>
                <w:color w:val="000000"/>
                <w:sz w:val="24"/>
                <w:szCs w:val="21"/>
              </w:rPr>
              <w:t>）</w:t>
            </w:r>
          </w:p>
        </w:tc>
        <w:tc>
          <w:tcPr>
            <w:tcW w:w="2127" w:type="dxa"/>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0.10～0.15</w:t>
            </w:r>
          </w:p>
        </w:tc>
        <w:tc>
          <w:tcPr>
            <w:tcW w:w="2820" w:type="dxa"/>
            <w:noWrap w:val="0"/>
            <w:vAlign w:val="center"/>
          </w:tcPr>
          <w:p>
            <w:pPr>
              <w:jc w:val="center"/>
              <w:rPr>
                <w:rFonts w:hint="eastAsia" w:ascii="仿宋" w:hAnsi="仿宋" w:eastAsia="仿宋" w:cs="仿宋"/>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exact"/>
          <w:jc w:val="center"/>
        </w:trPr>
        <w:tc>
          <w:tcPr>
            <w:tcW w:w="1090" w:type="dxa"/>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3</w:t>
            </w:r>
          </w:p>
        </w:tc>
        <w:tc>
          <w:tcPr>
            <w:tcW w:w="3057" w:type="dxa"/>
            <w:noWrap w:val="0"/>
            <w:vAlign w:val="center"/>
          </w:tcPr>
          <w:p>
            <w:pPr>
              <w:rPr>
                <w:rFonts w:hint="eastAsia" w:ascii="仿宋" w:hAnsi="仿宋" w:eastAsia="仿宋" w:cs="仿宋"/>
                <w:color w:val="000000"/>
                <w:sz w:val="24"/>
                <w:szCs w:val="21"/>
              </w:rPr>
            </w:pPr>
            <w:r>
              <w:rPr>
                <w:rFonts w:hint="eastAsia" w:ascii="仿宋" w:hAnsi="仿宋" w:eastAsia="仿宋" w:cs="仿宋"/>
                <w:color w:val="000000"/>
                <w:sz w:val="24"/>
                <w:szCs w:val="21"/>
              </w:rPr>
              <w:t>投标报价（K</w:t>
            </w:r>
            <w:r>
              <w:rPr>
                <w:rFonts w:hint="eastAsia" w:ascii="仿宋" w:hAnsi="仿宋" w:eastAsia="仿宋" w:cs="仿宋"/>
                <w:color w:val="000000"/>
                <w:sz w:val="24"/>
                <w:szCs w:val="21"/>
                <w:vertAlign w:val="subscript"/>
              </w:rPr>
              <w:t>3</w:t>
            </w:r>
            <w:r>
              <w:rPr>
                <w:rFonts w:hint="eastAsia" w:ascii="仿宋" w:hAnsi="仿宋" w:eastAsia="仿宋" w:cs="仿宋"/>
                <w:color w:val="000000"/>
                <w:sz w:val="24"/>
                <w:szCs w:val="21"/>
              </w:rPr>
              <w:t>）</w:t>
            </w:r>
          </w:p>
        </w:tc>
        <w:tc>
          <w:tcPr>
            <w:tcW w:w="2127" w:type="dxa"/>
            <w:noWrap w:val="0"/>
            <w:vAlign w:val="center"/>
          </w:tcPr>
          <w:p>
            <w:pPr>
              <w:jc w:val="center"/>
              <w:rPr>
                <w:rFonts w:ascii="仿宋" w:hAnsi="仿宋" w:eastAsia="仿宋" w:cs="仿宋"/>
                <w:color w:val="000000"/>
                <w:sz w:val="24"/>
                <w:szCs w:val="21"/>
              </w:rPr>
            </w:pPr>
            <w:r>
              <w:rPr>
                <w:rFonts w:hint="eastAsia" w:ascii="仿宋" w:hAnsi="仿宋" w:eastAsia="仿宋" w:cs="仿宋"/>
                <w:color w:val="000000"/>
                <w:sz w:val="24"/>
                <w:szCs w:val="21"/>
              </w:rPr>
              <w:t>0.70～0.80</w:t>
            </w:r>
          </w:p>
        </w:tc>
        <w:tc>
          <w:tcPr>
            <w:tcW w:w="2820" w:type="dxa"/>
            <w:noWrap w:val="0"/>
            <w:vAlign w:val="center"/>
          </w:tcPr>
          <w:p>
            <w:pPr>
              <w:jc w:val="center"/>
              <w:rPr>
                <w:rFonts w:hint="eastAsia" w:ascii="仿宋" w:hAnsi="仿宋" w:eastAsia="仿宋" w:cs="仿宋"/>
                <w:color w:val="000000"/>
                <w:sz w:val="24"/>
                <w:szCs w:val="21"/>
              </w:rPr>
            </w:pPr>
          </w:p>
        </w:tc>
      </w:tr>
    </w:tbl>
    <w:p>
      <w:pPr>
        <w:rPr>
          <w:rFonts w:hint="eastAsia" w:ascii="仿宋" w:hAnsi="仿宋" w:eastAsia="仿宋" w:cs="仿宋"/>
          <w:color w:val="000000"/>
        </w:rPr>
      </w:pPr>
    </w:p>
    <w:p>
      <w:pPr>
        <w:pStyle w:val="32"/>
        <w:spacing w:line="600" w:lineRule="exact"/>
        <w:ind w:left="420" w:hanging="420"/>
        <w:outlineLvl w:val="4"/>
        <w:rPr>
          <w:rFonts w:eastAsia="黑体"/>
          <w:bCs/>
          <w:color w:val="000000"/>
          <w:sz w:val="32"/>
          <w:szCs w:val="20"/>
        </w:rPr>
      </w:pPr>
      <w:r>
        <w:rPr>
          <w:color w:val="000000"/>
        </w:rPr>
        <w:br w:type="page"/>
      </w:r>
      <w:bookmarkStart w:id="840" w:name="_Toc511317246"/>
      <w:bookmarkStart w:id="841" w:name="_Toc511317995"/>
      <w:r>
        <w:rPr>
          <w:rFonts w:eastAsia="黑体"/>
          <w:bCs/>
          <w:color w:val="000000"/>
          <w:sz w:val="32"/>
          <w:szCs w:val="20"/>
        </w:rPr>
        <w:t xml:space="preserve">附表3-9：综合得分计算表 </w:t>
      </w:r>
      <w:bookmarkEnd w:id="840"/>
      <w:bookmarkEnd w:id="841"/>
    </w:p>
    <w:p>
      <w:pPr>
        <w:spacing w:line="560" w:lineRule="exact"/>
        <w:jc w:val="center"/>
        <w:rPr>
          <w:rFonts w:eastAsia="方正小标宋_GBK"/>
          <w:b/>
          <w:color w:val="000000"/>
          <w:sz w:val="44"/>
          <w:szCs w:val="44"/>
        </w:rPr>
      </w:pPr>
    </w:p>
    <w:p>
      <w:pPr>
        <w:spacing w:line="560" w:lineRule="exact"/>
        <w:jc w:val="center"/>
        <w:rPr>
          <w:rFonts w:hint="eastAsia" w:ascii="方正小标宋简体" w:eastAsia="方正小标宋简体"/>
          <w:color w:val="000000"/>
          <w:sz w:val="40"/>
          <w:szCs w:val="44"/>
        </w:rPr>
      </w:pPr>
      <w:r>
        <w:rPr>
          <w:rFonts w:hint="eastAsia" w:ascii="方正小标宋简体" w:eastAsia="方正小标宋简体"/>
          <w:color w:val="000000"/>
          <w:sz w:val="40"/>
          <w:szCs w:val="44"/>
        </w:rPr>
        <w:t>综合得分计算表</w:t>
      </w:r>
    </w:p>
    <w:p>
      <w:pPr>
        <w:spacing w:line="560" w:lineRule="exact"/>
        <w:jc w:val="center"/>
        <w:rPr>
          <w:rFonts w:eastAsia="方正小标宋_GBK"/>
          <w:b/>
          <w:color w:val="000000"/>
          <w:sz w:val="44"/>
          <w:szCs w:val="44"/>
        </w:rPr>
      </w:pPr>
    </w:p>
    <w:p>
      <w:pPr>
        <w:snapToGrid w:val="0"/>
        <w:spacing w:line="560" w:lineRule="exact"/>
        <w:rPr>
          <w:rFonts w:hint="eastAsia" w:ascii="仿宋" w:hAnsi="仿宋" w:eastAsia="仿宋" w:cs="仿宋"/>
          <w:color w:val="000000"/>
          <w:sz w:val="24"/>
          <w:u w:val="single"/>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（标段名称）</w:t>
      </w:r>
      <w:r>
        <w:rPr>
          <w:rFonts w:hint="eastAsia" w:ascii="仿宋" w:hAnsi="仿宋" w:eastAsia="仿宋" w:cs="仿宋"/>
          <w:color w:val="000000"/>
          <w:sz w:val="24"/>
          <w:u w:val="single"/>
        </w:rPr>
        <w:t xml:space="preserve">                      </w:t>
      </w:r>
    </w:p>
    <w:p>
      <w:pPr>
        <w:snapToGrid w:val="0"/>
        <w:spacing w:line="560" w:lineRule="exact"/>
        <w:rPr>
          <w:rFonts w:hint="eastAsia" w:ascii="仿宋" w:hAnsi="仿宋" w:eastAsia="仿宋" w:cs="仿宋"/>
          <w:color w:val="000000"/>
          <w:sz w:val="24"/>
        </w:rPr>
      </w:pPr>
      <w:r>
        <w:rPr>
          <w:rFonts w:hint="eastAsia" w:ascii="仿宋" w:hAnsi="仿宋" w:eastAsia="仿宋" w:cs="仿宋"/>
          <w:color w:val="000000"/>
          <w:sz w:val="24"/>
        </w:rPr>
        <w:t>项目管理编号：</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tbl>
      <w:tblPr>
        <w:tblStyle w:val="47"/>
        <w:tblW w:w="0" w:type="auto"/>
        <w:tblInd w:w="93"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42"/>
        <w:gridCol w:w="488"/>
        <w:gridCol w:w="2630"/>
        <w:gridCol w:w="1276"/>
        <w:gridCol w:w="1134"/>
        <w:gridCol w:w="14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260" w:type="dxa"/>
            <w:gridSpan w:val="3"/>
            <w:vMerge w:val="restart"/>
            <w:tcBorders>
              <w:top w:val="single" w:color="auto" w:sz="4" w:space="0"/>
              <w:left w:val="single" w:color="auto" w:sz="4" w:space="0"/>
              <w:bottom w:val="single" w:color="auto" w:sz="4" w:space="0"/>
              <w:right w:val="single" w:color="auto" w:sz="4" w:space="0"/>
              <w:tl2br w:val="single" w:color="auto" w:sz="6" w:space="0"/>
            </w:tcBorders>
            <w:noWrap w:val="0"/>
            <w:vAlign w:val="center"/>
          </w:tcPr>
          <w:p>
            <w:pPr>
              <w:ind w:left="210" w:leftChars="100" w:firstLine="3600" w:firstLineChars="1500"/>
              <w:jc w:val="left"/>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投标单位</w:t>
            </w:r>
          </w:p>
          <w:p>
            <w:pPr>
              <w:ind w:firstLine="960" w:firstLineChars="400"/>
              <w:jc w:val="left"/>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项  目</w:t>
            </w:r>
          </w:p>
        </w:tc>
        <w:tc>
          <w:tcPr>
            <w:tcW w:w="3827"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投标人名称及评审计分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260" w:type="dxa"/>
            <w:gridSpan w:val="3"/>
            <w:vMerge w:val="continue"/>
            <w:tcBorders>
              <w:top w:val="single" w:color="auto" w:sz="4" w:space="0"/>
              <w:left w:val="single" w:color="auto" w:sz="4" w:space="0"/>
              <w:bottom w:val="single" w:color="auto" w:sz="4" w:space="0"/>
              <w:right w:val="single" w:color="auto" w:sz="4" w:space="0"/>
              <w:tl2br w:val="single" w:color="auto" w:sz="6" w:space="0"/>
            </w:tcBorders>
            <w:noWrap w:val="0"/>
            <w:vAlign w:val="center"/>
          </w:tcPr>
          <w:p>
            <w:pPr>
              <w:jc w:val="left"/>
              <w:rPr>
                <w:rFonts w:hint="eastAsia" w:ascii="仿宋" w:hAnsi="仿宋" w:eastAsia="仿宋" w:cs="仿宋"/>
                <w:color w:val="000000"/>
                <w:kern w:val="0"/>
                <w:sz w:val="24"/>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1</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2</w:t>
            </w:r>
          </w:p>
        </w:tc>
        <w:tc>
          <w:tcPr>
            <w:tcW w:w="141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260" w:type="dxa"/>
            <w:gridSpan w:val="3"/>
            <w:vMerge w:val="continue"/>
            <w:tcBorders>
              <w:top w:val="single" w:color="auto" w:sz="4" w:space="0"/>
              <w:left w:val="single" w:color="auto" w:sz="4" w:space="0"/>
              <w:bottom w:val="single" w:color="auto" w:sz="4" w:space="0"/>
              <w:right w:val="single" w:color="auto" w:sz="4" w:space="0"/>
              <w:tl2br w:val="single" w:color="auto" w:sz="6" w:space="0"/>
            </w:tcBorders>
            <w:noWrap w:val="0"/>
            <w:vAlign w:val="center"/>
          </w:tcPr>
          <w:p>
            <w:pPr>
              <w:jc w:val="left"/>
              <w:rPr>
                <w:rFonts w:hint="eastAsia" w:ascii="仿宋" w:hAnsi="仿宋" w:eastAsia="仿宋" w:cs="仿宋"/>
                <w:color w:val="000000"/>
                <w:kern w:val="0"/>
                <w:sz w:val="24"/>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142" w:type="dxa"/>
            <w:vMerge w:val="restart"/>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1.项目管理机构</w:t>
            </w:r>
          </w:p>
          <w:p>
            <w:pPr>
              <w:jc w:val="left"/>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（基本分100分）</w:t>
            </w:r>
          </w:p>
        </w:tc>
        <w:tc>
          <w:tcPr>
            <w:tcW w:w="3118"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得分（A）</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142"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000000"/>
                <w:kern w:val="0"/>
                <w:sz w:val="24"/>
                <w:szCs w:val="21"/>
              </w:rPr>
            </w:pPr>
          </w:p>
        </w:tc>
        <w:tc>
          <w:tcPr>
            <w:tcW w:w="3118"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加权得分（A╳K</w:t>
            </w:r>
            <w:r>
              <w:rPr>
                <w:rFonts w:hint="eastAsia" w:ascii="仿宋" w:hAnsi="仿宋" w:eastAsia="仿宋" w:cs="仿宋"/>
                <w:color w:val="000000"/>
                <w:kern w:val="0"/>
                <w:sz w:val="24"/>
                <w:szCs w:val="21"/>
                <w:vertAlign w:val="subscript"/>
              </w:rPr>
              <w:t>1</w:t>
            </w:r>
            <w:r>
              <w:rPr>
                <w:rFonts w:hint="eastAsia" w:ascii="仿宋" w:hAnsi="仿宋" w:eastAsia="仿宋" w:cs="仿宋"/>
                <w:color w:val="000000"/>
                <w:kern w:val="0"/>
                <w:sz w:val="24"/>
                <w:szCs w:val="21"/>
              </w:rPr>
              <w:t>）</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right"/>
              <w:rPr>
                <w:rFonts w:hint="eastAsia" w:ascii="仿宋" w:hAnsi="仿宋" w:eastAsia="仿宋" w:cs="仿宋"/>
                <w:i/>
                <w:iCs/>
                <w:color w:val="000000"/>
                <w:kern w:val="0"/>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right"/>
              <w:rPr>
                <w:rFonts w:hint="eastAsia" w:ascii="仿宋" w:hAnsi="仿宋" w:eastAsia="仿宋" w:cs="仿宋"/>
                <w:i/>
                <w:iCs/>
                <w:color w:val="000000"/>
                <w:kern w:val="0"/>
                <w:sz w:val="24"/>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jc w:val="right"/>
              <w:rPr>
                <w:rFonts w:hint="eastAsia" w:ascii="仿宋" w:hAnsi="仿宋" w:eastAsia="仿宋" w:cs="仿宋"/>
                <w:i/>
                <w:iCs/>
                <w:color w:val="000000"/>
                <w:kern w:val="0"/>
                <w:sz w:val="2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142" w:type="dxa"/>
            <w:vMerge w:val="restart"/>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2.信誉等其他评分</w:t>
            </w:r>
          </w:p>
          <w:p>
            <w:pPr>
              <w:jc w:val="left"/>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（基本分100分）</w:t>
            </w:r>
          </w:p>
        </w:tc>
        <w:tc>
          <w:tcPr>
            <w:tcW w:w="3118"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得分（B）</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142"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000000"/>
                <w:kern w:val="0"/>
                <w:sz w:val="24"/>
                <w:szCs w:val="21"/>
              </w:rPr>
            </w:pPr>
          </w:p>
        </w:tc>
        <w:tc>
          <w:tcPr>
            <w:tcW w:w="3118"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加权得分（B╳K</w:t>
            </w:r>
            <w:r>
              <w:rPr>
                <w:rFonts w:hint="eastAsia" w:ascii="仿宋" w:hAnsi="仿宋" w:eastAsia="仿宋" w:cs="仿宋"/>
                <w:color w:val="000000"/>
                <w:kern w:val="0"/>
                <w:sz w:val="24"/>
                <w:szCs w:val="21"/>
                <w:vertAlign w:val="subscript"/>
              </w:rPr>
              <w:t>2</w:t>
            </w:r>
            <w:r>
              <w:rPr>
                <w:rFonts w:hint="eastAsia" w:ascii="仿宋" w:hAnsi="仿宋" w:eastAsia="仿宋" w:cs="仿宋"/>
                <w:color w:val="000000"/>
                <w:kern w:val="0"/>
                <w:sz w:val="24"/>
                <w:szCs w:val="21"/>
              </w:rPr>
              <w:t>）</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right"/>
              <w:rPr>
                <w:rFonts w:hint="eastAsia" w:ascii="仿宋" w:hAnsi="仿宋" w:eastAsia="仿宋" w:cs="仿宋"/>
                <w:i/>
                <w:iCs/>
                <w:color w:val="000000"/>
                <w:kern w:val="0"/>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right"/>
              <w:rPr>
                <w:rFonts w:hint="eastAsia" w:ascii="仿宋" w:hAnsi="仿宋" w:eastAsia="仿宋" w:cs="仿宋"/>
                <w:i/>
                <w:iCs/>
                <w:color w:val="000000"/>
                <w:kern w:val="0"/>
                <w:sz w:val="24"/>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jc w:val="right"/>
              <w:rPr>
                <w:rFonts w:hint="eastAsia" w:ascii="仿宋" w:hAnsi="仿宋" w:eastAsia="仿宋" w:cs="仿宋"/>
                <w:i/>
                <w:iCs/>
                <w:color w:val="000000"/>
                <w:kern w:val="0"/>
                <w:sz w:val="2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142" w:type="dxa"/>
            <w:vMerge w:val="restart"/>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3.投标报价</w:t>
            </w:r>
          </w:p>
          <w:p>
            <w:pPr>
              <w:jc w:val="left"/>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（基本分100分）</w:t>
            </w:r>
          </w:p>
        </w:tc>
        <w:tc>
          <w:tcPr>
            <w:tcW w:w="3118"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得分（C）</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right"/>
              <w:rPr>
                <w:rFonts w:hint="eastAsia" w:ascii="仿宋" w:hAnsi="仿宋" w:eastAsia="仿宋" w:cs="仿宋"/>
                <w:i/>
                <w:iCs/>
                <w:color w:val="000000"/>
                <w:kern w:val="0"/>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right"/>
              <w:rPr>
                <w:rFonts w:hint="eastAsia" w:ascii="仿宋" w:hAnsi="仿宋" w:eastAsia="仿宋" w:cs="仿宋"/>
                <w:i/>
                <w:iCs/>
                <w:color w:val="000000"/>
                <w:kern w:val="0"/>
                <w:sz w:val="24"/>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jc w:val="right"/>
              <w:rPr>
                <w:rFonts w:hint="eastAsia" w:ascii="仿宋" w:hAnsi="仿宋" w:eastAsia="仿宋" w:cs="仿宋"/>
                <w:i/>
                <w:iCs/>
                <w:color w:val="000000"/>
                <w:kern w:val="0"/>
                <w:sz w:val="2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142"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000000"/>
                <w:kern w:val="0"/>
                <w:sz w:val="24"/>
                <w:szCs w:val="21"/>
              </w:rPr>
            </w:pPr>
          </w:p>
        </w:tc>
        <w:tc>
          <w:tcPr>
            <w:tcW w:w="3118"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加权得分（C╳K</w:t>
            </w:r>
            <w:r>
              <w:rPr>
                <w:rFonts w:hint="eastAsia" w:ascii="仿宋" w:hAnsi="仿宋" w:eastAsia="仿宋" w:cs="仿宋"/>
                <w:color w:val="000000"/>
                <w:kern w:val="0"/>
                <w:sz w:val="24"/>
                <w:szCs w:val="21"/>
                <w:vertAlign w:val="subscript"/>
              </w:rPr>
              <w:t>3</w:t>
            </w:r>
            <w:r>
              <w:rPr>
                <w:rFonts w:hint="eastAsia" w:ascii="仿宋" w:hAnsi="仿宋" w:eastAsia="仿宋" w:cs="仿宋"/>
                <w:color w:val="000000"/>
                <w:kern w:val="0"/>
                <w:sz w:val="24"/>
                <w:szCs w:val="21"/>
              </w:rPr>
              <w:t>）</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right"/>
              <w:rPr>
                <w:rFonts w:hint="eastAsia" w:ascii="仿宋" w:hAnsi="仿宋" w:eastAsia="仿宋" w:cs="仿宋"/>
                <w:i/>
                <w:iCs/>
                <w:color w:val="000000"/>
                <w:kern w:val="0"/>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right"/>
              <w:rPr>
                <w:rFonts w:hint="eastAsia" w:ascii="仿宋" w:hAnsi="仿宋" w:eastAsia="仿宋" w:cs="仿宋"/>
                <w:i/>
                <w:iCs/>
                <w:color w:val="000000"/>
                <w:kern w:val="0"/>
                <w:sz w:val="24"/>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jc w:val="right"/>
              <w:rPr>
                <w:rFonts w:hint="eastAsia" w:ascii="仿宋" w:hAnsi="仿宋" w:eastAsia="仿宋" w:cs="仿宋"/>
                <w:i/>
                <w:iCs/>
                <w:color w:val="000000"/>
                <w:kern w:val="0"/>
                <w:sz w:val="2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26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1</w:t>
            </w:r>
            <w:r>
              <w:rPr>
                <w:rFonts w:hint="eastAsia" w:ascii="仿宋" w:hAnsi="仿宋" w:eastAsia="仿宋" w:cs="仿宋"/>
                <w:color w:val="000000"/>
                <w:sz w:val="24"/>
                <w:szCs w:val="21"/>
              </w:rPr>
              <w:t>～</w:t>
            </w:r>
            <w:r>
              <w:rPr>
                <w:rFonts w:hint="eastAsia" w:ascii="仿宋" w:hAnsi="仿宋" w:eastAsia="仿宋" w:cs="仿宋"/>
                <w:color w:val="000000"/>
                <w:kern w:val="0"/>
                <w:sz w:val="24"/>
                <w:szCs w:val="21"/>
              </w:rPr>
              <w:t>3项加权得分</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630" w:type="dxa"/>
            <w:gridSpan w:val="2"/>
            <w:vMerge w:val="restart"/>
            <w:tcBorders>
              <w:top w:val="single" w:color="auto" w:sz="4" w:space="0"/>
              <w:left w:val="single" w:color="auto" w:sz="4" w:space="0"/>
              <w:right w:val="single" w:color="auto" w:sz="4" w:space="0"/>
            </w:tcBorders>
            <w:noWrap w:val="0"/>
            <w:vAlign w:val="center"/>
          </w:tcPr>
          <w:p>
            <w:pPr>
              <w:numPr>
                <w:ilvl w:val="0"/>
                <w:numId w:val="2"/>
              </w:numPr>
              <w:jc w:val="left"/>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不良行为记录扣分</w:t>
            </w:r>
          </w:p>
          <w:p>
            <w:pPr>
              <w:pStyle w:val="2"/>
              <w:ind w:firstLine="480" w:firstLineChars="200"/>
              <w:rPr>
                <w:rFonts w:hint="eastAsia" w:ascii="仿宋" w:hAnsi="仿宋" w:eastAsia="仿宋" w:cs="仿宋"/>
                <w:color w:val="000000"/>
                <w:kern w:val="0"/>
                <w:sz w:val="24"/>
                <w:szCs w:val="21"/>
                <w:lang w:val="en-US" w:eastAsia="zh-CN"/>
              </w:rPr>
            </w:pPr>
            <w:r>
              <w:rPr>
                <w:rFonts w:hint="eastAsia" w:ascii="仿宋" w:hAnsi="仿宋" w:eastAsia="仿宋" w:cs="仿宋"/>
                <w:color w:val="000000"/>
                <w:kern w:val="0"/>
                <w:sz w:val="24"/>
                <w:szCs w:val="21"/>
                <w:lang w:val="en-US" w:eastAsia="zh-CN"/>
              </w:rPr>
              <w:t>（扣分项）</w:t>
            </w:r>
          </w:p>
        </w:tc>
        <w:tc>
          <w:tcPr>
            <w:tcW w:w="263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得分（D）</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630" w:type="dxa"/>
            <w:gridSpan w:val="2"/>
            <w:vMerge w:val="continue"/>
            <w:tcBorders>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000000"/>
                <w:kern w:val="0"/>
                <w:sz w:val="24"/>
                <w:szCs w:val="21"/>
              </w:rPr>
            </w:pPr>
          </w:p>
        </w:tc>
        <w:tc>
          <w:tcPr>
            <w:tcW w:w="263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扣分项</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26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最终得分</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26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按最终得分排名（</w:t>
            </w:r>
            <w:r>
              <w:rPr>
                <w:rFonts w:hint="eastAsia" w:ascii="仿宋" w:hAnsi="仿宋" w:eastAsia="仿宋" w:cs="仿宋"/>
                <w:color w:val="000000"/>
                <w:sz w:val="24"/>
              </w:rPr>
              <w:t>得分由高到低顺序</w:t>
            </w:r>
            <w:r>
              <w:rPr>
                <w:rFonts w:hint="eastAsia" w:ascii="仿宋" w:hAnsi="仿宋" w:eastAsia="仿宋" w:cs="仿宋"/>
                <w:color w:val="000000"/>
                <w:kern w:val="0"/>
                <w:sz w:val="24"/>
                <w:szCs w:val="21"/>
              </w:rPr>
              <w:t>）</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szCs w:val="21"/>
              </w:rPr>
            </w:pPr>
          </w:p>
        </w:tc>
      </w:tr>
    </w:tbl>
    <w:p>
      <w:pPr>
        <w:spacing w:line="300" w:lineRule="exact"/>
        <w:rPr>
          <w:rFonts w:hint="eastAsia" w:ascii="仿宋" w:hAnsi="仿宋" w:eastAsia="仿宋" w:cs="仿宋"/>
          <w:color w:val="000000"/>
          <w:sz w:val="18"/>
          <w:szCs w:val="18"/>
        </w:rPr>
      </w:pPr>
      <w:r>
        <w:rPr>
          <w:rFonts w:hint="eastAsia" w:ascii="仿宋" w:hAnsi="仿宋" w:eastAsia="仿宋" w:cs="仿宋"/>
          <w:color w:val="000000"/>
          <w:sz w:val="18"/>
          <w:szCs w:val="18"/>
        </w:rPr>
        <w:t>备注：1、综合得分计算保留2位小数（百分比亦取2位小数），第3位小数4舍5入。</w:t>
      </w:r>
    </w:p>
    <w:p>
      <w:pPr>
        <w:spacing w:line="300" w:lineRule="exact"/>
        <w:ind w:firstLine="540" w:firstLineChars="300"/>
        <w:rPr>
          <w:rFonts w:hint="eastAsia" w:ascii="仿宋" w:hAnsi="仿宋" w:eastAsia="仿宋" w:cs="仿宋"/>
          <w:color w:val="000000"/>
          <w:sz w:val="18"/>
          <w:szCs w:val="18"/>
        </w:rPr>
      </w:pPr>
      <w:r>
        <w:rPr>
          <w:rFonts w:hint="eastAsia" w:ascii="仿宋" w:hAnsi="仿宋" w:eastAsia="仿宋" w:cs="仿宋"/>
          <w:color w:val="000000"/>
          <w:sz w:val="18"/>
          <w:szCs w:val="18"/>
        </w:rPr>
        <w:t>2、投标人综合得分为项目管理机构、信誉等其他、投标报价的单项得分乘以相应的权数取值之和加</w:t>
      </w:r>
      <w:r>
        <w:rPr>
          <w:rFonts w:hint="eastAsia" w:ascii="仿宋" w:hAnsi="仿宋" w:eastAsia="仿宋" w:cs="仿宋"/>
          <w:color w:val="000000"/>
          <w:kern w:val="0"/>
          <w:sz w:val="18"/>
          <w:szCs w:val="18"/>
        </w:rPr>
        <w:t>不良行为记录扣分</w:t>
      </w:r>
    </w:p>
    <w:p>
      <w:pPr>
        <w:spacing w:line="300" w:lineRule="exact"/>
        <w:ind w:firstLine="540" w:firstLineChars="300"/>
        <w:rPr>
          <w:rFonts w:hint="eastAsia" w:ascii="仿宋" w:hAnsi="仿宋" w:eastAsia="仿宋" w:cs="仿宋"/>
          <w:color w:val="000000"/>
          <w:kern w:val="0"/>
          <w:sz w:val="18"/>
          <w:szCs w:val="18"/>
        </w:rPr>
      </w:pPr>
      <w:r>
        <w:rPr>
          <w:rFonts w:hint="eastAsia" w:ascii="仿宋" w:hAnsi="仿宋" w:eastAsia="仿宋" w:cs="仿宋"/>
          <w:color w:val="000000"/>
          <w:sz w:val="18"/>
          <w:szCs w:val="18"/>
        </w:rPr>
        <w:t>3、</w:t>
      </w:r>
      <w:r>
        <w:rPr>
          <w:rFonts w:hint="eastAsia" w:ascii="仿宋" w:hAnsi="仿宋" w:eastAsia="仿宋" w:cs="仿宋"/>
          <w:color w:val="000000"/>
          <w:kern w:val="0"/>
          <w:sz w:val="18"/>
          <w:szCs w:val="18"/>
        </w:rPr>
        <w:t>不良行为记录扣分：湖南省农业农村厅、市州级农业农村局正在处罚或在公告期内的不良行为记录，每项扣1分；县市区级农业农村部门正在处罚或在公告期内的不良行为记录，每项扣0.25分；从事建设工程项目被湖南省相关行政主管部门正在处罚或在公告期内的不良行为记录，每项扣0.25分；累计扣分不超过资格审查或评标办法确定的投标人信誉分值权重。</w:t>
      </w:r>
      <w:r>
        <w:rPr>
          <w:rFonts w:hint="eastAsia" w:ascii="仿宋" w:hAnsi="仿宋" w:eastAsia="仿宋" w:cs="仿宋"/>
          <w:b/>
          <w:color w:val="000000"/>
          <w:kern w:val="0"/>
          <w:sz w:val="18"/>
          <w:szCs w:val="18"/>
        </w:rPr>
        <w:t>不良行为扣分应为负值</w:t>
      </w:r>
      <w:r>
        <w:rPr>
          <w:rFonts w:hint="eastAsia" w:ascii="仿宋" w:hAnsi="仿宋" w:eastAsia="仿宋" w:cs="仿宋"/>
          <w:color w:val="000000"/>
          <w:kern w:val="0"/>
          <w:sz w:val="18"/>
          <w:szCs w:val="18"/>
        </w:rPr>
        <w:t>。</w:t>
      </w:r>
    </w:p>
    <w:p>
      <w:pPr>
        <w:pStyle w:val="2"/>
        <w:rPr>
          <w:rFonts w:hint="eastAsia"/>
          <w:color w:val="000000"/>
        </w:rPr>
      </w:pPr>
    </w:p>
    <w:p>
      <w:pPr>
        <w:pStyle w:val="2"/>
        <w:rPr>
          <w:rFonts w:hint="eastAsia"/>
          <w:color w:val="000000"/>
        </w:rPr>
      </w:pPr>
    </w:p>
    <w:p>
      <w:pPr>
        <w:spacing w:line="600" w:lineRule="exact"/>
        <w:jc w:val="left"/>
        <w:rPr>
          <w:rFonts w:hint="eastAsia" w:ascii="仿宋" w:hAnsi="仿宋" w:eastAsia="仿宋" w:cs="仿宋"/>
          <w:color w:val="000000"/>
          <w:sz w:val="28"/>
          <w:szCs w:val="21"/>
        </w:rPr>
      </w:pPr>
      <w:r>
        <w:rPr>
          <w:rFonts w:hint="eastAsia" w:ascii="仿宋" w:hAnsi="仿宋" w:eastAsia="仿宋" w:cs="仿宋"/>
          <w:color w:val="000000"/>
          <w:sz w:val="28"/>
          <w:szCs w:val="21"/>
        </w:rPr>
        <w:t>评标委员会全体成员签字：</w:t>
      </w:r>
    </w:p>
    <w:p>
      <w:pPr>
        <w:pStyle w:val="32"/>
        <w:spacing w:line="600" w:lineRule="exact"/>
        <w:ind w:left="420" w:hanging="420"/>
        <w:outlineLvl w:val="4"/>
        <w:rPr>
          <w:rFonts w:eastAsia="黑体"/>
          <w:bCs/>
          <w:color w:val="000000"/>
          <w:sz w:val="32"/>
          <w:szCs w:val="20"/>
        </w:rPr>
      </w:pPr>
      <w:r>
        <w:rPr>
          <w:rFonts w:hint="eastAsia" w:ascii="仿宋" w:hAnsi="仿宋" w:eastAsia="仿宋" w:cs="仿宋"/>
          <w:color w:val="000000"/>
        </w:rPr>
        <w:br w:type="page"/>
      </w:r>
      <w:bookmarkStart w:id="842" w:name="_Toc511317247"/>
      <w:bookmarkStart w:id="843" w:name="_Toc511317996"/>
      <w:r>
        <w:rPr>
          <w:rFonts w:eastAsia="黑体"/>
          <w:bCs/>
          <w:color w:val="000000"/>
          <w:sz w:val="32"/>
          <w:szCs w:val="20"/>
        </w:rPr>
        <w:t>附表3-10：经评审的投标人排序表</w:t>
      </w:r>
      <w:bookmarkEnd w:id="842"/>
      <w:bookmarkEnd w:id="843"/>
    </w:p>
    <w:p>
      <w:pPr>
        <w:spacing w:line="600" w:lineRule="exact"/>
        <w:jc w:val="center"/>
        <w:rPr>
          <w:rFonts w:eastAsia="方正小标宋_GBK"/>
          <w:b/>
          <w:color w:val="000000"/>
          <w:sz w:val="36"/>
          <w:szCs w:val="36"/>
        </w:rPr>
      </w:pPr>
    </w:p>
    <w:p>
      <w:pPr>
        <w:spacing w:line="600" w:lineRule="exact"/>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经评审的投标人排序表</w:t>
      </w:r>
    </w:p>
    <w:p>
      <w:pPr>
        <w:spacing w:line="600" w:lineRule="exact"/>
        <w:jc w:val="center"/>
        <w:rPr>
          <w:rFonts w:hint="eastAsia" w:ascii="方正小标宋简体" w:eastAsia="方正小标宋简体"/>
          <w:color w:val="000000"/>
          <w:sz w:val="36"/>
          <w:szCs w:val="36"/>
        </w:rPr>
      </w:pPr>
    </w:p>
    <w:p>
      <w:pPr>
        <w:spacing w:line="600" w:lineRule="exact"/>
        <w:jc w:val="left"/>
        <w:rPr>
          <w:rFonts w:hint="eastAsia" w:ascii="仿宋" w:hAnsi="仿宋" w:eastAsia="仿宋" w:cs="仿宋"/>
          <w:color w:val="000000"/>
          <w:sz w:val="32"/>
          <w:szCs w:val="21"/>
        </w:rPr>
      </w:pPr>
      <w:r>
        <w:rPr>
          <w:rFonts w:hint="eastAsia" w:ascii="仿宋" w:hAnsi="仿宋" w:eastAsia="仿宋" w:cs="仿宋"/>
          <w:color w:val="000000"/>
          <w:sz w:val="32"/>
          <w:szCs w:val="21"/>
        </w:rPr>
        <w:t>项目名称：</w:t>
      </w:r>
      <w:r>
        <w:rPr>
          <w:rFonts w:hint="eastAsia" w:ascii="仿宋" w:hAnsi="仿宋" w:eastAsia="仿宋" w:cs="仿宋"/>
          <w:color w:val="000000"/>
          <w:sz w:val="32"/>
          <w:szCs w:val="21"/>
          <w:u w:val="single"/>
        </w:rPr>
        <w:t xml:space="preserve">                       </w:t>
      </w:r>
      <w:r>
        <w:rPr>
          <w:rFonts w:hint="eastAsia" w:ascii="仿宋" w:hAnsi="仿宋" w:eastAsia="仿宋" w:cs="仿宋"/>
          <w:color w:val="000000"/>
          <w:sz w:val="32"/>
          <w:szCs w:val="21"/>
        </w:rPr>
        <w:t>（标段）</w:t>
      </w:r>
      <w:r>
        <w:rPr>
          <w:rFonts w:hint="eastAsia" w:ascii="仿宋" w:hAnsi="仿宋" w:eastAsia="仿宋" w:cs="仿宋"/>
          <w:color w:val="000000"/>
          <w:sz w:val="32"/>
          <w:szCs w:val="21"/>
          <w:u w:val="single"/>
        </w:rPr>
        <w:t xml:space="preserve">                </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6"/>
        <w:gridCol w:w="4871"/>
        <w:gridCol w:w="3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406" w:type="dxa"/>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排  序</w:t>
            </w:r>
          </w:p>
        </w:tc>
        <w:tc>
          <w:tcPr>
            <w:tcW w:w="4871" w:type="dxa"/>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投标人名称</w:t>
            </w:r>
          </w:p>
        </w:tc>
        <w:tc>
          <w:tcPr>
            <w:tcW w:w="3009" w:type="dxa"/>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406" w:type="dxa"/>
            <w:noWrap w:val="0"/>
            <w:vAlign w:val="center"/>
          </w:tcPr>
          <w:p>
            <w:pPr>
              <w:jc w:val="center"/>
              <w:rPr>
                <w:rFonts w:hint="eastAsia" w:ascii="仿宋" w:hAnsi="仿宋" w:eastAsia="仿宋" w:cs="仿宋"/>
                <w:color w:val="000000"/>
                <w:sz w:val="24"/>
                <w:szCs w:val="21"/>
              </w:rPr>
            </w:pPr>
          </w:p>
        </w:tc>
        <w:tc>
          <w:tcPr>
            <w:tcW w:w="4871" w:type="dxa"/>
            <w:noWrap w:val="0"/>
            <w:vAlign w:val="center"/>
          </w:tcPr>
          <w:p>
            <w:pPr>
              <w:jc w:val="center"/>
              <w:rPr>
                <w:rFonts w:hint="eastAsia" w:ascii="仿宋" w:hAnsi="仿宋" w:eastAsia="仿宋" w:cs="仿宋"/>
                <w:color w:val="000000"/>
                <w:sz w:val="24"/>
                <w:szCs w:val="21"/>
              </w:rPr>
            </w:pPr>
          </w:p>
        </w:tc>
        <w:tc>
          <w:tcPr>
            <w:tcW w:w="3009" w:type="dxa"/>
            <w:noWrap w:val="0"/>
            <w:vAlign w:val="center"/>
          </w:tcPr>
          <w:p>
            <w:pPr>
              <w:jc w:val="center"/>
              <w:rPr>
                <w:rFonts w:hint="eastAsia" w:ascii="仿宋" w:hAnsi="仿宋" w:eastAsia="仿宋" w:cs="仿宋"/>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406" w:type="dxa"/>
            <w:noWrap w:val="0"/>
            <w:vAlign w:val="center"/>
          </w:tcPr>
          <w:p>
            <w:pPr>
              <w:jc w:val="center"/>
              <w:rPr>
                <w:rFonts w:hint="eastAsia" w:ascii="仿宋" w:hAnsi="仿宋" w:eastAsia="仿宋" w:cs="仿宋"/>
                <w:color w:val="000000"/>
                <w:sz w:val="24"/>
                <w:szCs w:val="21"/>
              </w:rPr>
            </w:pPr>
          </w:p>
        </w:tc>
        <w:tc>
          <w:tcPr>
            <w:tcW w:w="4871" w:type="dxa"/>
            <w:noWrap w:val="0"/>
            <w:vAlign w:val="center"/>
          </w:tcPr>
          <w:p>
            <w:pPr>
              <w:jc w:val="center"/>
              <w:rPr>
                <w:rFonts w:hint="eastAsia" w:ascii="仿宋" w:hAnsi="仿宋" w:eastAsia="仿宋" w:cs="仿宋"/>
                <w:color w:val="000000"/>
                <w:sz w:val="24"/>
                <w:szCs w:val="21"/>
              </w:rPr>
            </w:pPr>
          </w:p>
        </w:tc>
        <w:tc>
          <w:tcPr>
            <w:tcW w:w="3009" w:type="dxa"/>
            <w:noWrap w:val="0"/>
            <w:vAlign w:val="center"/>
          </w:tcPr>
          <w:p>
            <w:pPr>
              <w:jc w:val="center"/>
              <w:rPr>
                <w:rFonts w:hint="eastAsia" w:ascii="仿宋" w:hAnsi="仿宋" w:eastAsia="仿宋" w:cs="仿宋"/>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06" w:type="dxa"/>
            <w:noWrap w:val="0"/>
            <w:vAlign w:val="center"/>
          </w:tcPr>
          <w:p>
            <w:pPr>
              <w:jc w:val="center"/>
              <w:rPr>
                <w:rFonts w:hint="eastAsia" w:ascii="仿宋" w:hAnsi="仿宋" w:eastAsia="仿宋" w:cs="仿宋"/>
                <w:color w:val="000000"/>
                <w:sz w:val="24"/>
                <w:szCs w:val="21"/>
              </w:rPr>
            </w:pPr>
          </w:p>
        </w:tc>
        <w:tc>
          <w:tcPr>
            <w:tcW w:w="4871" w:type="dxa"/>
            <w:noWrap w:val="0"/>
            <w:vAlign w:val="center"/>
          </w:tcPr>
          <w:p>
            <w:pPr>
              <w:jc w:val="center"/>
              <w:rPr>
                <w:rFonts w:hint="eastAsia" w:ascii="仿宋" w:hAnsi="仿宋" w:eastAsia="仿宋" w:cs="仿宋"/>
                <w:color w:val="000000"/>
                <w:sz w:val="24"/>
                <w:szCs w:val="21"/>
              </w:rPr>
            </w:pPr>
          </w:p>
        </w:tc>
        <w:tc>
          <w:tcPr>
            <w:tcW w:w="3009" w:type="dxa"/>
            <w:noWrap w:val="0"/>
            <w:vAlign w:val="center"/>
          </w:tcPr>
          <w:p>
            <w:pPr>
              <w:jc w:val="center"/>
              <w:rPr>
                <w:rFonts w:hint="eastAsia" w:ascii="仿宋" w:hAnsi="仿宋" w:eastAsia="仿宋" w:cs="仿宋"/>
                <w:color w:val="000000"/>
                <w:sz w:val="24"/>
                <w:szCs w:val="21"/>
              </w:rPr>
            </w:pPr>
          </w:p>
        </w:tc>
      </w:tr>
    </w:tbl>
    <w:p>
      <w:pPr>
        <w:spacing w:line="600" w:lineRule="exact"/>
        <w:jc w:val="left"/>
        <w:rPr>
          <w:rFonts w:hint="eastAsia" w:ascii="仿宋" w:hAnsi="仿宋" w:eastAsia="仿宋" w:cs="仿宋"/>
          <w:color w:val="000000"/>
          <w:sz w:val="28"/>
          <w:szCs w:val="21"/>
        </w:rPr>
      </w:pPr>
      <w:r>
        <w:rPr>
          <w:rFonts w:hint="eastAsia" w:ascii="仿宋" w:hAnsi="仿宋" w:eastAsia="仿宋" w:cs="仿宋"/>
          <w:color w:val="000000"/>
          <w:sz w:val="28"/>
          <w:szCs w:val="21"/>
        </w:rPr>
        <w:t>评标委员会全体成员签字：</w:t>
      </w:r>
    </w:p>
    <w:p>
      <w:pPr>
        <w:pStyle w:val="32"/>
        <w:spacing w:line="600" w:lineRule="exact"/>
        <w:ind w:left="420" w:hanging="420"/>
        <w:outlineLvl w:val="4"/>
        <w:rPr>
          <w:rFonts w:eastAsia="黑体"/>
          <w:bCs/>
          <w:color w:val="000000"/>
          <w:sz w:val="32"/>
          <w:szCs w:val="20"/>
        </w:rPr>
      </w:pPr>
      <w:r>
        <w:rPr>
          <w:rFonts w:hint="eastAsia" w:ascii="宋体" w:hAnsi="宋体" w:cs="宋体"/>
          <w:color w:val="000000"/>
        </w:rPr>
        <w:br w:type="page"/>
      </w:r>
      <w:bookmarkStart w:id="844" w:name="_Toc511317248"/>
      <w:bookmarkStart w:id="845" w:name="_Toc511317997"/>
      <w:r>
        <w:rPr>
          <w:rFonts w:eastAsia="黑体"/>
          <w:bCs/>
          <w:color w:val="000000"/>
          <w:sz w:val="32"/>
          <w:szCs w:val="20"/>
        </w:rPr>
        <w:t>附表3-11：中标候选人表</w:t>
      </w:r>
      <w:bookmarkEnd w:id="844"/>
      <w:bookmarkEnd w:id="845"/>
    </w:p>
    <w:p>
      <w:pPr>
        <w:spacing w:line="600" w:lineRule="exact"/>
        <w:jc w:val="center"/>
        <w:rPr>
          <w:rFonts w:eastAsia="方正小标宋_GBK"/>
          <w:color w:val="000000"/>
          <w:sz w:val="44"/>
          <w:szCs w:val="44"/>
        </w:rPr>
      </w:pPr>
    </w:p>
    <w:p>
      <w:pPr>
        <w:spacing w:line="600" w:lineRule="exact"/>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中标候选人表</w:t>
      </w:r>
    </w:p>
    <w:p>
      <w:pPr>
        <w:spacing w:line="600" w:lineRule="exact"/>
        <w:jc w:val="center"/>
        <w:rPr>
          <w:rFonts w:eastAsia="方正小标宋_GBK"/>
          <w:b/>
          <w:color w:val="000000"/>
          <w:sz w:val="36"/>
          <w:szCs w:val="36"/>
        </w:rPr>
      </w:pPr>
    </w:p>
    <w:p>
      <w:pPr>
        <w:spacing w:line="600" w:lineRule="exact"/>
        <w:jc w:val="left"/>
        <w:rPr>
          <w:rFonts w:hint="eastAsia" w:ascii="仿宋" w:hAnsi="仿宋" w:eastAsia="仿宋" w:cs="仿宋"/>
          <w:color w:val="000000"/>
          <w:sz w:val="32"/>
          <w:szCs w:val="21"/>
        </w:rPr>
      </w:pPr>
      <w:r>
        <w:rPr>
          <w:rFonts w:hint="eastAsia" w:ascii="仿宋" w:hAnsi="仿宋" w:eastAsia="仿宋" w:cs="仿宋"/>
          <w:color w:val="000000"/>
          <w:sz w:val="32"/>
          <w:szCs w:val="21"/>
        </w:rPr>
        <w:t>工程名称：</w:t>
      </w:r>
      <w:r>
        <w:rPr>
          <w:rFonts w:hint="eastAsia" w:ascii="仿宋" w:hAnsi="仿宋" w:eastAsia="仿宋" w:cs="仿宋"/>
          <w:color w:val="000000"/>
          <w:sz w:val="32"/>
          <w:szCs w:val="21"/>
          <w:u w:val="single"/>
        </w:rPr>
        <w:t xml:space="preserve">                                 </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4660"/>
        <w:gridCol w:w="3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160" w:type="dxa"/>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排  序</w:t>
            </w:r>
          </w:p>
        </w:tc>
        <w:tc>
          <w:tcPr>
            <w:tcW w:w="4660" w:type="dxa"/>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中标候选人</w:t>
            </w:r>
          </w:p>
        </w:tc>
        <w:tc>
          <w:tcPr>
            <w:tcW w:w="3466" w:type="dxa"/>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160" w:type="dxa"/>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第一名</w:t>
            </w:r>
          </w:p>
        </w:tc>
        <w:tc>
          <w:tcPr>
            <w:tcW w:w="4660" w:type="dxa"/>
            <w:noWrap w:val="0"/>
            <w:vAlign w:val="center"/>
          </w:tcPr>
          <w:p>
            <w:pPr>
              <w:jc w:val="center"/>
              <w:rPr>
                <w:rFonts w:hint="eastAsia" w:ascii="仿宋" w:hAnsi="仿宋" w:eastAsia="仿宋" w:cs="仿宋"/>
                <w:color w:val="000000"/>
                <w:sz w:val="24"/>
                <w:szCs w:val="21"/>
              </w:rPr>
            </w:pPr>
          </w:p>
        </w:tc>
        <w:tc>
          <w:tcPr>
            <w:tcW w:w="3466" w:type="dxa"/>
            <w:noWrap w:val="0"/>
            <w:vAlign w:val="center"/>
          </w:tcPr>
          <w:p>
            <w:pPr>
              <w:jc w:val="center"/>
              <w:rPr>
                <w:rFonts w:hint="eastAsia" w:ascii="仿宋" w:hAnsi="仿宋" w:eastAsia="仿宋" w:cs="仿宋"/>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160" w:type="dxa"/>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第二名</w:t>
            </w:r>
          </w:p>
        </w:tc>
        <w:tc>
          <w:tcPr>
            <w:tcW w:w="4660" w:type="dxa"/>
            <w:noWrap w:val="0"/>
            <w:vAlign w:val="center"/>
          </w:tcPr>
          <w:p>
            <w:pPr>
              <w:jc w:val="center"/>
              <w:rPr>
                <w:rFonts w:hint="eastAsia" w:ascii="仿宋" w:hAnsi="仿宋" w:eastAsia="仿宋" w:cs="仿宋"/>
                <w:color w:val="000000"/>
                <w:sz w:val="24"/>
                <w:szCs w:val="21"/>
              </w:rPr>
            </w:pPr>
          </w:p>
        </w:tc>
        <w:tc>
          <w:tcPr>
            <w:tcW w:w="3466" w:type="dxa"/>
            <w:noWrap w:val="0"/>
            <w:vAlign w:val="center"/>
          </w:tcPr>
          <w:p>
            <w:pPr>
              <w:jc w:val="center"/>
              <w:rPr>
                <w:rFonts w:hint="eastAsia" w:ascii="仿宋" w:hAnsi="仿宋" w:eastAsia="仿宋" w:cs="仿宋"/>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160" w:type="dxa"/>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第三名</w:t>
            </w:r>
          </w:p>
        </w:tc>
        <w:tc>
          <w:tcPr>
            <w:tcW w:w="4660" w:type="dxa"/>
            <w:noWrap w:val="0"/>
            <w:vAlign w:val="center"/>
          </w:tcPr>
          <w:p>
            <w:pPr>
              <w:jc w:val="center"/>
              <w:rPr>
                <w:rFonts w:hint="eastAsia" w:ascii="仿宋" w:hAnsi="仿宋" w:eastAsia="仿宋" w:cs="仿宋"/>
                <w:color w:val="000000"/>
                <w:sz w:val="24"/>
                <w:szCs w:val="21"/>
              </w:rPr>
            </w:pPr>
          </w:p>
        </w:tc>
        <w:tc>
          <w:tcPr>
            <w:tcW w:w="3466" w:type="dxa"/>
            <w:noWrap w:val="0"/>
            <w:vAlign w:val="center"/>
          </w:tcPr>
          <w:p>
            <w:pPr>
              <w:jc w:val="center"/>
              <w:rPr>
                <w:rFonts w:hint="eastAsia" w:ascii="仿宋" w:hAnsi="仿宋" w:eastAsia="仿宋" w:cs="仿宋"/>
                <w:color w:val="000000"/>
                <w:sz w:val="24"/>
                <w:szCs w:val="21"/>
              </w:rPr>
            </w:pPr>
          </w:p>
        </w:tc>
      </w:tr>
    </w:tbl>
    <w:p>
      <w:pPr>
        <w:spacing w:line="600" w:lineRule="exact"/>
        <w:jc w:val="left"/>
        <w:rPr>
          <w:rFonts w:hint="eastAsia" w:ascii="仿宋" w:hAnsi="仿宋" w:eastAsia="仿宋" w:cs="仿宋"/>
          <w:color w:val="000000"/>
          <w:sz w:val="28"/>
          <w:szCs w:val="21"/>
        </w:rPr>
      </w:pPr>
      <w:r>
        <w:rPr>
          <w:rFonts w:hint="eastAsia" w:ascii="仿宋" w:hAnsi="仿宋" w:eastAsia="仿宋" w:cs="仿宋"/>
          <w:color w:val="000000"/>
          <w:sz w:val="28"/>
          <w:szCs w:val="21"/>
        </w:rPr>
        <w:t>签订合同前要处理的事宜：</w:t>
      </w:r>
    </w:p>
    <w:p>
      <w:pPr>
        <w:spacing w:line="600" w:lineRule="exact"/>
        <w:jc w:val="left"/>
        <w:rPr>
          <w:rFonts w:hint="eastAsia" w:ascii="仿宋" w:hAnsi="仿宋" w:eastAsia="仿宋" w:cs="仿宋"/>
          <w:color w:val="000000"/>
          <w:sz w:val="28"/>
          <w:szCs w:val="21"/>
        </w:rPr>
      </w:pPr>
    </w:p>
    <w:p>
      <w:pPr>
        <w:spacing w:line="600" w:lineRule="exact"/>
        <w:jc w:val="left"/>
        <w:rPr>
          <w:rFonts w:hint="eastAsia" w:ascii="仿宋" w:hAnsi="仿宋" w:eastAsia="仿宋" w:cs="仿宋"/>
          <w:color w:val="000000"/>
          <w:sz w:val="28"/>
          <w:szCs w:val="21"/>
        </w:rPr>
      </w:pPr>
      <w:r>
        <w:rPr>
          <w:rFonts w:hint="eastAsia" w:ascii="仿宋" w:hAnsi="仿宋" w:eastAsia="仿宋" w:cs="仿宋"/>
          <w:color w:val="000000"/>
          <w:sz w:val="28"/>
          <w:szCs w:val="21"/>
        </w:rPr>
        <w:t>评标委员会全体成员签字：</w:t>
      </w:r>
    </w:p>
    <w:p>
      <w:pPr>
        <w:spacing w:line="600" w:lineRule="exact"/>
        <w:jc w:val="left"/>
        <w:rPr>
          <w:rFonts w:hint="eastAsia" w:ascii="仿宋" w:hAnsi="仿宋" w:eastAsia="仿宋" w:cs="仿宋"/>
          <w:color w:val="000000"/>
          <w:sz w:val="32"/>
          <w:szCs w:val="21"/>
        </w:rPr>
      </w:pPr>
    </w:p>
    <w:p>
      <w:pPr>
        <w:spacing w:line="600" w:lineRule="exact"/>
        <w:jc w:val="left"/>
        <w:rPr>
          <w:rFonts w:hint="eastAsia" w:ascii="仿宋" w:hAnsi="仿宋" w:eastAsia="仿宋" w:cs="仿宋"/>
          <w:color w:val="000000"/>
          <w:sz w:val="32"/>
          <w:szCs w:val="21"/>
        </w:rPr>
      </w:pPr>
    </w:p>
    <w:p>
      <w:pPr>
        <w:spacing w:line="600" w:lineRule="exact"/>
        <w:jc w:val="left"/>
        <w:rPr>
          <w:rFonts w:hint="eastAsia" w:ascii="仿宋" w:hAnsi="仿宋" w:eastAsia="仿宋" w:cs="仿宋"/>
          <w:color w:val="000000"/>
          <w:sz w:val="32"/>
          <w:szCs w:val="28"/>
        </w:rPr>
      </w:pPr>
    </w:p>
    <w:p>
      <w:pPr>
        <w:spacing w:line="600" w:lineRule="exact"/>
        <w:ind w:firstLine="4676" w:firstLineChars="1670"/>
        <w:jc w:val="center"/>
        <w:rPr>
          <w:rFonts w:hint="eastAsia" w:ascii="仿宋" w:hAnsi="仿宋" w:eastAsia="仿宋" w:cs="仿宋"/>
          <w:color w:val="000000"/>
          <w:sz w:val="24"/>
          <w:szCs w:val="20"/>
        </w:rPr>
      </w:pPr>
      <w:r>
        <w:rPr>
          <w:rFonts w:hint="eastAsia" w:ascii="仿宋" w:hAnsi="仿宋" w:eastAsia="仿宋" w:cs="仿宋"/>
          <w:color w:val="000000"/>
          <w:sz w:val="28"/>
          <w:szCs w:val="28"/>
        </w:rPr>
        <w:t>日期：</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年</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月</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日</w:t>
      </w:r>
    </w:p>
    <w:p>
      <w:pPr>
        <w:pStyle w:val="124"/>
        <w:ind w:firstLine="0" w:firstLineChars="0"/>
        <w:jc w:val="center"/>
        <w:rPr>
          <w:rFonts w:hint="eastAsia" w:ascii="方正小标宋简体" w:eastAsia="方正小标宋简体"/>
          <w:bCs/>
          <w:color w:val="000000"/>
          <w:sz w:val="36"/>
          <w:szCs w:val="36"/>
          <w:u w:val="none"/>
        </w:rPr>
      </w:pPr>
      <w:r>
        <w:rPr>
          <w:rFonts w:hint="eastAsia" w:ascii="仿宋" w:hAnsi="仿宋" w:eastAsia="仿宋" w:cs="仿宋"/>
          <w:color w:val="000000"/>
        </w:rPr>
        <w:br w:type="page"/>
      </w:r>
      <w:bookmarkStart w:id="846" w:name="_Toc51091866"/>
      <w:bookmarkStart w:id="847" w:name="_Toc227"/>
      <w:bookmarkStart w:id="848" w:name="_Toc30814"/>
      <w:r>
        <w:rPr>
          <w:rFonts w:hint="eastAsia" w:ascii="方正小标宋简体" w:eastAsia="方正小标宋简体"/>
          <w:bCs/>
          <w:color w:val="000000"/>
          <w:sz w:val="36"/>
          <w:szCs w:val="36"/>
          <w:u w:val="none"/>
        </w:rPr>
        <w:t>第三章  评标办法（综合评估法II）</w:t>
      </w:r>
      <w:bookmarkEnd w:id="846"/>
      <w:bookmarkEnd w:id="847"/>
      <w:bookmarkEnd w:id="848"/>
    </w:p>
    <w:p>
      <w:pPr>
        <w:pStyle w:val="40"/>
        <w:snapToGrid w:val="0"/>
        <w:spacing w:before="0" w:beforeAutospacing="0" w:after="0" w:afterAutospacing="0" w:line="600" w:lineRule="exact"/>
        <w:jc w:val="center"/>
        <w:outlineLvl w:val="1"/>
        <w:rPr>
          <w:rFonts w:hint="eastAsia" w:eastAsia="黑体"/>
          <w:b/>
          <w:color w:val="000000"/>
          <w:sz w:val="32"/>
          <w:szCs w:val="32"/>
        </w:rPr>
      </w:pPr>
      <w:bookmarkStart w:id="849" w:name="_Toc51091867"/>
      <w:bookmarkStart w:id="850" w:name="_Toc7210"/>
      <w:bookmarkStart w:id="851" w:name="_Toc13858"/>
      <w:r>
        <w:rPr>
          <w:rFonts w:hint="eastAsia" w:eastAsia="黑体"/>
          <w:b/>
          <w:color w:val="000000"/>
          <w:sz w:val="32"/>
          <w:szCs w:val="32"/>
        </w:rPr>
        <w:t>评标办法前附表</w:t>
      </w:r>
      <w:bookmarkEnd w:id="849"/>
      <w:bookmarkEnd w:id="850"/>
      <w:bookmarkEnd w:id="851"/>
    </w:p>
    <w:tbl>
      <w:tblPr>
        <w:tblStyle w:val="47"/>
        <w:tblW w:w="94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4"/>
        <w:gridCol w:w="1080"/>
        <w:gridCol w:w="2345"/>
        <w:gridCol w:w="33"/>
        <w:gridCol w:w="4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354" w:type="dxa"/>
            <w:gridSpan w:val="2"/>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条  款  号</w:t>
            </w:r>
          </w:p>
        </w:tc>
        <w:tc>
          <w:tcPr>
            <w:tcW w:w="2345"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评  分  因  素</w:t>
            </w:r>
          </w:p>
        </w:tc>
        <w:tc>
          <w:tcPr>
            <w:tcW w:w="4704" w:type="dxa"/>
            <w:gridSpan w:val="2"/>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评  分  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4"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2.1.1（1）</w:t>
            </w:r>
          </w:p>
        </w:tc>
        <w:tc>
          <w:tcPr>
            <w:tcW w:w="1080" w:type="dxa"/>
            <w:vMerge w:val="restart"/>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形式评审标准</w:t>
            </w:r>
          </w:p>
        </w:tc>
        <w:tc>
          <w:tcPr>
            <w:tcW w:w="2345" w:type="dxa"/>
            <w:noWrap w:val="0"/>
            <w:vAlign w:val="center"/>
          </w:tcPr>
          <w:p>
            <w:pPr>
              <w:pStyle w:val="106"/>
              <w:jc w:val="center"/>
              <w:rPr>
                <w:rFonts w:hint="eastAsia" w:ascii="仿宋" w:hAnsi="仿宋" w:eastAsia="仿宋" w:cs="仿宋"/>
                <w:sz w:val="21"/>
                <w:szCs w:val="21"/>
              </w:rPr>
            </w:pPr>
            <w:r>
              <w:rPr>
                <w:rFonts w:hint="eastAsia" w:ascii="仿宋" w:hAnsi="仿宋" w:eastAsia="仿宋" w:cs="仿宋"/>
                <w:sz w:val="21"/>
                <w:szCs w:val="21"/>
              </w:rPr>
              <w:t>投标人名称</w:t>
            </w:r>
          </w:p>
        </w:tc>
        <w:tc>
          <w:tcPr>
            <w:tcW w:w="4704" w:type="dxa"/>
            <w:gridSpan w:val="2"/>
            <w:noWrap w:val="0"/>
            <w:vAlign w:val="center"/>
          </w:tcPr>
          <w:p>
            <w:pPr>
              <w:pStyle w:val="106"/>
              <w:rPr>
                <w:rFonts w:hint="eastAsia" w:ascii="仿宋" w:hAnsi="仿宋" w:eastAsia="仿宋" w:cs="仿宋"/>
                <w:sz w:val="21"/>
                <w:szCs w:val="21"/>
              </w:rPr>
            </w:pPr>
            <w:r>
              <w:rPr>
                <w:rFonts w:hint="eastAsia" w:ascii="仿宋" w:hAnsi="仿宋" w:eastAsia="仿宋" w:cs="仿宋"/>
                <w:sz w:val="21"/>
                <w:szCs w:val="21"/>
              </w:rPr>
              <w:t>投标人名称应与营业执照、资质证书、安全生产许可证一致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4" w:type="dxa"/>
            <w:noWrap w:val="0"/>
            <w:vAlign w:val="center"/>
          </w:tcPr>
          <w:p>
            <w:pPr>
              <w:snapToGrid w:val="0"/>
              <w:ind w:left="-92" w:leftChars="-44"/>
              <w:jc w:val="center"/>
              <w:rPr>
                <w:rFonts w:hint="eastAsia" w:ascii="仿宋" w:hAnsi="仿宋" w:eastAsia="仿宋" w:cs="仿宋"/>
                <w:color w:val="000000"/>
              </w:rPr>
            </w:pPr>
            <w:r>
              <w:rPr>
                <w:rFonts w:hint="eastAsia" w:ascii="仿宋" w:hAnsi="仿宋" w:eastAsia="仿宋" w:cs="仿宋"/>
                <w:color w:val="000000"/>
              </w:rPr>
              <w:t>2.1.1（2）</w:t>
            </w:r>
          </w:p>
        </w:tc>
        <w:tc>
          <w:tcPr>
            <w:tcW w:w="1080" w:type="dxa"/>
            <w:vMerge w:val="continue"/>
            <w:noWrap w:val="0"/>
            <w:vAlign w:val="center"/>
          </w:tcPr>
          <w:p>
            <w:pPr>
              <w:snapToGrid w:val="0"/>
              <w:rPr>
                <w:rFonts w:hint="eastAsia" w:ascii="仿宋" w:hAnsi="仿宋" w:eastAsia="仿宋" w:cs="仿宋"/>
                <w:color w:val="000000"/>
              </w:rPr>
            </w:pPr>
          </w:p>
        </w:tc>
        <w:tc>
          <w:tcPr>
            <w:tcW w:w="2345" w:type="dxa"/>
            <w:noWrap w:val="0"/>
            <w:vAlign w:val="center"/>
          </w:tcPr>
          <w:p>
            <w:pPr>
              <w:pStyle w:val="106"/>
              <w:jc w:val="center"/>
              <w:rPr>
                <w:rFonts w:hint="eastAsia" w:ascii="仿宋" w:hAnsi="仿宋" w:eastAsia="仿宋" w:cs="仿宋"/>
                <w:sz w:val="21"/>
                <w:szCs w:val="21"/>
              </w:rPr>
            </w:pPr>
            <w:r>
              <w:rPr>
                <w:rFonts w:hint="eastAsia" w:ascii="仿宋" w:hAnsi="仿宋" w:eastAsia="仿宋" w:cs="仿宋"/>
                <w:sz w:val="21"/>
                <w:szCs w:val="21"/>
              </w:rPr>
              <w:t>投标文件的签字盖章</w:t>
            </w:r>
          </w:p>
        </w:tc>
        <w:tc>
          <w:tcPr>
            <w:tcW w:w="4704" w:type="dxa"/>
            <w:gridSpan w:val="2"/>
            <w:noWrap w:val="0"/>
            <w:vAlign w:val="center"/>
          </w:tcPr>
          <w:p>
            <w:pPr>
              <w:pStyle w:val="106"/>
              <w:rPr>
                <w:rFonts w:hint="eastAsia" w:ascii="仿宋" w:hAnsi="仿宋" w:eastAsia="仿宋" w:cs="仿宋"/>
                <w:sz w:val="21"/>
                <w:szCs w:val="21"/>
              </w:rPr>
            </w:pPr>
            <w:r>
              <w:rPr>
                <w:rFonts w:hint="eastAsia" w:ascii="仿宋" w:hAnsi="仿宋" w:eastAsia="仿宋" w:cs="仿宋"/>
                <w:sz w:val="21"/>
                <w:szCs w:val="21"/>
              </w:rPr>
              <w:t>投标文件的签字盖章符合第二章投标人须知第3.7.3项规定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4"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2.1.1（3）</w:t>
            </w:r>
          </w:p>
        </w:tc>
        <w:tc>
          <w:tcPr>
            <w:tcW w:w="1080" w:type="dxa"/>
            <w:vMerge w:val="continue"/>
            <w:noWrap w:val="0"/>
            <w:vAlign w:val="center"/>
          </w:tcPr>
          <w:p>
            <w:pPr>
              <w:snapToGrid w:val="0"/>
              <w:rPr>
                <w:rFonts w:hint="eastAsia" w:ascii="仿宋" w:hAnsi="仿宋" w:eastAsia="仿宋" w:cs="仿宋"/>
                <w:color w:val="000000"/>
              </w:rPr>
            </w:pPr>
          </w:p>
        </w:tc>
        <w:tc>
          <w:tcPr>
            <w:tcW w:w="2345" w:type="dxa"/>
            <w:noWrap w:val="0"/>
            <w:vAlign w:val="center"/>
          </w:tcPr>
          <w:p>
            <w:pPr>
              <w:pStyle w:val="106"/>
              <w:jc w:val="center"/>
              <w:rPr>
                <w:rFonts w:hint="eastAsia" w:ascii="仿宋" w:hAnsi="仿宋" w:eastAsia="仿宋" w:cs="仿宋"/>
                <w:sz w:val="21"/>
                <w:szCs w:val="21"/>
              </w:rPr>
            </w:pPr>
            <w:r>
              <w:rPr>
                <w:rFonts w:hint="eastAsia" w:ascii="仿宋" w:hAnsi="仿宋" w:eastAsia="仿宋" w:cs="仿宋"/>
                <w:sz w:val="21"/>
                <w:szCs w:val="21"/>
              </w:rPr>
              <w:t>投标文件完整性</w:t>
            </w:r>
          </w:p>
        </w:tc>
        <w:tc>
          <w:tcPr>
            <w:tcW w:w="4704" w:type="dxa"/>
            <w:gridSpan w:val="2"/>
            <w:noWrap w:val="0"/>
            <w:vAlign w:val="center"/>
          </w:tcPr>
          <w:p>
            <w:pPr>
              <w:pStyle w:val="106"/>
              <w:rPr>
                <w:rFonts w:hint="eastAsia" w:ascii="仿宋" w:hAnsi="仿宋" w:eastAsia="仿宋" w:cs="仿宋"/>
                <w:sz w:val="21"/>
                <w:szCs w:val="21"/>
              </w:rPr>
            </w:pPr>
            <w:r>
              <w:rPr>
                <w:rFonts w:hint="eastAsia" w:ascii="仿宋" w:hAnsi="仿宋" w:eastAsia="仿宋" w:cs="仿宋"/>
                <w:sz w:val="21"/>
                <w:szCs w:val="21"/>
              </w:rPr>
              <w:t>符合第八章投标文件格式的要求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4"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2.1.1（4）</w:t>
            </w:r>
          </w:p>
        </w:tc>
        <w:tc>
          <w:tcPr>
            <w:tcW w:w="1080" w:type="dxa"/>
            <w:vMerge w:val="continue"/>
            <w:noWrap w:val="0"/>
            <w:vAlign w:val="center"/>
          </w:tcPr>
          <w:p>
            <w:pPr>
              <w:snapToGrid w:val="0"/>
              <w:rPr>
                <w:rFonts w:hint="eastAsia" w:ascii="仿宋" w:hAnsi="仿宋" w:eastAsia="仿宋" w:cs="仿宋"/>
                <w:color w:val="000000"/>
              </w:rPr>
            </w:pPr>
          </w:p>
        </w:tc>
        <w:tc>
          <w:tcPr>
            <w:tcW w:w="2345" w:type="dxa"/>
            <w:noWrap w:val="0"/>
            <w:vAlign w:val="center"/>
          </w:tcPr>
          <w:p>
            <w:pPr>
              <w:pStyle w:val="106"/>
              <w:jc w:val="center"/>
              <w:rPr>
                <w:rFonts w:hint="eastAsia" w:ascii="仿宋" w:hAnsi="仿宋" w:eastAsia="仿宋" w:cs="仿宋"/>
                <w:sz w:val="21"/>
                <w:szCs w:val="21"/>
              </w:rPr>
            </w:pPr>
            <w:r>
              <w:rPr>
                <w:rFonts w:hint="eastAsia" w:ascii="仿宋" w:hAnsi="仿宋" w:eastAsia="仿宋" w:cs="仿宋"/>
                <w:sz w:val="21"/>
                <w:szCs w:val="21"/>
              </w:rPr>
              <w:t>投标报价</w:t>
            </w:r>
          </w:p>
        </w:tc>
        <w:tc>
          <w:tcPr>
            <w:tcW w:w="4704" w:type="dxa"/>
            <w:gridSpan w:val="2"/>
            <w:noWrap w:val="0"/>
            <w:vAlign w:val="center"/>
          </w:tcPr>
          <w:p>
            <w:pPr>
              <w:pStyle w:val="106"/>
              <w:rPr>
                <w:rFonts w:hint="eastAsia" w:ascii="仿宋" w:hAnsi="仿宋" w:eastAsia="仿宋" w:cs="仿宋"/>
                <w:sz w:val="21"/>
                <w:szCs w:val="21"/>
              </w:rPr>
            </w:pPr>
            <w:r>
              <w:rPr>
                <w:rFonts w:hint="eastAsia" w:ascii="仿宋" w:hAnsi="仿宋" w:eastAsia="仿宋" w:cs="仿宋"/>
                <w:sz w:val="21"/>
                <w:szCs w:val="21"/>
              </w:rPr>
              <w:t>只能有一个报价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4"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2.1.1（5）</w:t>
            </w:r>
          </w:p>
        </w:tc>
        <w:tc>
          <w:tcPr>
            <w:tcW w:w="1080" w:type="dxa"/>
            <w:vMerge w:val="continue"/>
            <w:noWrap w:val="0"/>
            <w:vAlign w:val="center"/>
          </w:tcPr>
          <w:p>
            <w:pPr>
              <w:snapToGrid w:val="0"/>
              <w:rPr>
                <w:rFonts w:hint="eastAsia" w:ascii="仿宋" w:hAnsi="仿宋" w:eastAsia="仿宋" w:cs="仿宋"/>
                <w:color w:val="000000"/>
              </w:rPr>
            </w:pPr>
          </w:p>
        </w:tc>
        <w:tc>
          <w:tcPr>
            <w:tcW w:w="2345" w:type="dxa"/>
            <w:noWrap w:val="0"/>
            <w:vAlign w:val="center"/>
          </w:tcPr>
          <w:p>
            <w:pPr>
              <w:pStyle w:val="106"/>
              <w:jc w:val="center"/>
              <w:rPr>
                <w:rFonts w:hint="eastAsia" w:ascii="仿宋" w:hAnsi="仿宋" w:eastAsia="仿宋" w:cs="仿宋"/>
                <w:sz w:val="21"/>
                <w:szCs w:val="21"/>
              </w:rPr>
            </w:pPr>
            <w:r>
              <w:rPr>
                <w:rFonts w:hint="eastAsia" w:ascii="仿宋" w:hAnsi="仿宋" w:eastAsia="仿宋" w:cs="仿宋"/>
                <w:sz w:val="21"/>
                <w:szCs w:val="21"/>
              </w:rPr>
              <w:t>联合体协议书</w:t>
            </w:r>
            <w:r>
              <w:rPr>
                <w:rFonts w:hint="eastAsia" w:ascii="仿宋" w:hAnsi="仿宋" w:eastAsia="仿宋" w:cs="仿宋"/>
                <w:b/>
                <w:i/>
                <w:sz w:val="21"/>
                <w:szCs w:val="21"/>
              </w:rPr>
              <w:t>（如有）</w:t>
            </w:r>
          </w:p>
        </w:tc>
        <w:tc>
          <w:tcPr>
            <w:tcW w:w="4704" w:type="dxa"/>
            <w:gridSpan w:val="2"/>
            <w:noWrap w:val="0"/>
            <w:vAlign w:val="center"/>
          </w:tcPr>
          <w:p>
            <w:pPr>
              <w:pStyle w:val="106"/>
              <w:rPr>
                <w:rFonts w:hint="eastAsia" w:ascii="仿宋" w:hAnsi="仿宋" w:eastAsia="仿宋" w:cs="仿宋"/>
                <w:sz w:val="21"/>
                <w:szCs w:val="21"/>
              </w:rPr>
            </w:pPr>
            <w:r>
              <w:rPr>
                <w:rFonts w:hint="eastAsia" w:ascii="仿宋" w:hAnsi="仿宋" w:eastAsia="仿宋" w:cs="仿宋"/>
                <w:sz w:val="21"/>
                <w:szCs w:val="21"/>
              </w:rPr>
              <w:t>联合体投标人应提交联合体协议书，并明确联合体牵头人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4"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2.1.1（6）</w:t>
            </w:r>
          </w:p>
        </w:tc>
        <w:tc>
          <w:tcPr>
            <w:tcW w:w="1080" w:type="dxa"/>
            <w:vMerge w:val="continue"/>
            <w:noWrap w:val="0"/>
            <w:vAlign w:val="center"/>
          </w:tcPr>
          <w:p>
            <w:pPr>
              <w:snapToGrid w:val="0"/>
              <w:rPr>
                <w:rFonts w:hint="eastAsia" w:ascii="仿宋" w:hAnsi="仿宋" w:eastAsia="仿宋" w:cs="仿宋"/>
                <w:color w:val="000000"/>
              </w:rPr>
            </w:pPr>
          </w:p>
        </w:tc>
        <w:tc>
          <w:tcPr>
            <w:tcW w:w="2345" w:type="dxa"/>
            <w:noWrap w:val="0"/>
            <w:vAlign w:val="center"/>
          </w:tcPr>
          <w:p>
            <w:pPr>
              <w:pStyle w:val="106"/>
              <w:jc w:val="center"/>
              <w:rPr>
                <w:rFonts w:hint="eastAsia" w:ascii="仿宋" w:hAnsi="仿宋" w:eastAsia="仿宋" w:cs="仿宋"/>
                <w:sz w:val="21"/>
                <w:szCs w:val="21"/>
              </w:rPr>
            </w:pPr>
            <w:r>
              <w:rPr>
                <w:rFonts w:hint="eastAsia" w:ascii="仿宋" w:hAnsi="仿宋" w:eastAsia="仿宋" w:cs="仿宋"/>
                <w:sz w:val="21"/>
                <w:szCs w:val="21"/>
              </w:rPr>
              <w:t>技术投标文件暗标的制作要求</w:t>
            </w:r>
          </w:p>
        </w:tc>
        <w:tc>
          <w:tcPr>
            <w:tcW w:w="4704" w:type="dxa"/>
            <w:gridSpan w:val="2"/>
            <w:noWrap w:val="0"/>
            <w:vAlign w:val="center"/>
          </w:tcPr>
          <w:p>
            <w:pPr>
              <w:pStyle w:val="106"/>
              <w:rPr>
                <w:rFonts w:hint="eastAsia" w:ascii="仿宋" w:hAnsi="仿宋" w:eastAsia="仿宋" w:cs="仿宋"/>
                <w:sz w:val="21"/>
                <w:szCs w:val="21"/>
              </w:rPr>
            </w:pPr>
            <w:r>
              <w:rPr>
                <w:rFonts w:hint="eastAsia" w:ascii="仿宋" w:hAnsi="仿宋" w:eastAsia="仿宋" w:cs="仿宋"/>
                <w:sz w:val="21"/>
                <w:szCs w:val="21"/>
              </w:rPr>
              <w:t>符合第二章投标人须知第3.7.5项规定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4"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2.1.1（7）</w:t>
            </w:r>
          </w:p>
        </w:tc>
        <w:tc>
          <w:tcPr>
            <w:tcW w:w="1080" w:type="dxa"/>
            <w:vMerge w:val="continue"/>
            <w:noWrap w:val="0"/>
            <w:vAlign w:val="center"/>
          </w:tcPr>
          <w:p>
            <w:pPr>
              <w:snapToGrid w:val="0"/>
              <w:rPr>
                <w:rFonts w:hint="eastAsia" w:ascii="仿宋" w:hAnsi="仿宋" w:eastAsia="仿宋" w:cs="仿宋"/>
                <w:color w:val="000000"/>
              </w:rPr>
            </w:pPr>
          </w:p>
        </w:tc>
        <w:tc>
          <w:tcPr>
            <w:tcW w:w="2345" w:type="dxa"/>
            <w:noWrap w:val="0"/>
            <w:vAlign w:val="center"/>
          </w:tcPr>
          <w:p>
            <w:pPr>
              <w:pStyle w:val="106"/>
              <w:jc w:val="center"/>
              <w:rPr>
                <w:rFonts w:hint="eastAsia" w:ascii="仿宋" w:hAnsi="仿宋" w:eastAsia="仿宋" w:cs="仿宋"/>
                <w:sz w:val="21"/>
                <w:szCs w:val="21"/>
              </w:rPr>
            </w:pPr>
            <w:r>
              <w:rPr>
                <w:rFonts w:hint="eastAsia" w:ascii="仿宋" w:hAnsi="仿宋" w:eastAsia="仿宋" w:cs="仿宋"/>
              </w:rPr>
              <w:t>其它标准</w:t>
            </w:r>
          </w:p>
        </w:tc>
        <w:tc>
          <w:tcPr>
            <w:tcW w:w="4704" w:type="dxa"/>
            <w:gridSpan w:val="2"/>
            <w:noWrap w:val="0"/>
            <w:vAlign w:val="center"/>
          </w:tcPr>
          <w:p>
            <w:pPr>
              <w:pStyle w:val="106"/>
              <w:rPr>
                <w:rFonts w:hint="eastAsia" w:ascii="仿宋" w:hAnsi="仿宋" w:eastAsia="仿宋" w:cs="仿宋"/>
                <w:sz w:val="21"/>
                <w:szCs w:val="21"/>
              </w:rPr>
            </w:pPr>
            <w:r>
              <w:rPr>
                <w:rFonts w:hint="eastAsia" w:ascii="仿宋" w:hAnsi="仿宋" w:eastAsia="仿宋" w:cs="仿宋"/>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4" w:type="dxa"/>
            <w:noWrap w:val="0"/>
            <w:vAlign w:val="center"/>
          </w:tcPr>
          <w:p>
            <w:pPr>
              <w:snapToGrid w:val="0"/>
              <w:jc w:val="center"/>
              <w:rPr>
                <w:rFonts w:hint="eastAsia" w:ascii="仿宋" w:hAnsi="仿宋" w:eastAsia="仿宋" w:cs="仿宋"/>
                <w:color w:val="000000"/>
              </w:rPr>
            </w:pPr>
          </w:p>
        </w:tc>
        <w:tc>
          <w:tcPr>
            <w:tcW w:w="1080" w:type="dxa"/>
            <w:vMerge w:val="continue"/>
            <w:noWrap w:val="0"/>
            <w:vAlign w:val="center"/>
          </w:tcPr>
          <w:p>
            <w:pPr>
              <w:snapToGrid w:val="0"/>
              <w:rPr>
                <w:rFonts w:hint="eastAsia" w:ascii="仿宋" w:hAnsi="仿宋" w:eastAsia="仿宋" w:cs="仿宋"/>
                <w:color w:val="000000"/>
              </w:rPr>
            </w:pPr>
          </w:p>
        </w:tc>
        <w:tc>
          <w:tcPr>
            <w:tcW w:w="7049" w:type="dxa"/>
            <w:gridSpan w:val="3"/>
            <w:noWrap w:val="0"/>
            <w:vAlign w:val="center"/>
          </w:tcPr>
          <w:p>
            <w:pPr>
              <w:pStyle w:val="106"/>
              <w:jc w:val="center"/>
              <w:rPr>
                <w:rFonts w:hint="eastAsia" w:ascii="仿宋" w:hAnsi="仿宋" w:eastAsia="仿宋" w:cs="仿宋"/>
                <w:b/>
                <w:sz w:val="21"/>
                <w:szCs w:val="21"/>
              </w:rPr>
            </w:pPr>
            <w:r>
              <w:rPr>
                <w:rFonts w:hint="eastAsia" w:ascii="仿宋" w:hAnsi="仿宋" w:eastAsia="仿宋" w:cs="仿宋"/>
                <w:b/>
                <w:sz w:val="21"/>
                <w:szCs w:val="21"/>
              </w:rPr>
              <w:t>详见本章附表3-3（1）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4"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2.1.2（1）</w:t>
            </w:r>
          </w:p>
        </w:tc>
        <w:tc>
          <w:tcPr>
            <w:tcW w:w="1080" w:type="dxa"/>
            <w:vMerge w:val="restart"/>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资格评审标准</w:t>
            </w:r>
          </w:p>
        </w:tc>
        <w:tc>
          <w:tcPr>
            <w:tcW w:w="2345" w:type="dxa"/>
            <w:noWrap w:val="0"/>
            <w:vAlign w:val="center"/>
          </w:tcPr>
          <w:p>
            <w:pPr>
              <w:pStyle w:val="106"/>
              <w:jc w:val="center"/>
              <w:rPr>
                <w:rFonts w:hint="eastAsia" w:ascii="仿宋" w:hAnsi="仿宋" w:eastAsia="仿宋" w:cs="仿宋"/>
                <w:sz w:val="21"/>
                <w:szCs w:val="21"/>
              </w:rPr>
            </w:pPr>
            <w:r>
              <w:rPr>
                <w:rFonts w:hint="eastAsia" w:ascii="仿宋" w:hAnsi="仿宋" w:eastAsia="仿宋" w:cs="仿宋"/>
                <w:sz w:val="21"/>
                <w:szCs w:val="21"/>
              </w:rPr>
              <w:t>营业执照</w:t>
            </w:r>
          </w:p>
        </w:tc>
        <w:tc>
          <w:tcPr>
            <w:tcW w:w="4704" w:type="dxa"/>
            <w:gridSpan w:val="2"/>
            <w:noWrap w:val="0"/>
            <w:vAlign w:val="center"/>
          </w:tcPr>
          <w:p>
            <w:pPr>
              <w:snapToGrid w:val="0"/>
              <w:rPr>
                <w:rFonts w:hint="eastAsia" w:ascii="仿宋" w:hAnsi="仿宋" w:eastAsia="仿宋" w:cs="仿宋"/>
                <w:color w:val="000000"/>
                <w:kern w:val="0"/>
                <w:szCs w:val="21"/>
              </w:rPr>
            </w:pPr>
            <w:r>
              <w:rPr>
                <w:rFonts w:hint="eastAsia" w:ascii="仿宋" w:hAnsi="仿宋" w:eastAsia="仿宋" w:cs="仿宋"/>
                <w:color w:val="000000"/>
                <w:kern w:val="0"/>
                <w:szCs w:val="21"/>
              </w:rPr>
              <w:t>具备有效的营业执照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4"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2.1.2（2）</w:t>
            </w:r>
          </w:p>
        </w:tc>
        <w:tc>
          <w:tcPr>
            <w:tcW w:w="1080" w:type="dxa"/>
            <w:vMerge w:val="continue"/>
            <w:noWrap w:val="0"/>
            <w:vAlign w:val="center"/>
          </w:tcPr>
          <w:p>
            <w:pPr>
              <w:snapToGrid w:val="0"/>
              <w:jc w:val="center"/>
              <w:rPr>
                <w:rFonts w:hint="eastAsia" w:ascii="仿宋" w:hAnsi="仿宋" w:eastAsia="仿宋" w:cs="仿宋"/>
                <w:color w:val="000000"/>
              </w:rPr>
            </w:pPr>
          </w:p>
        </w:tc>
        <w:tc>
          <w:tcPr>
            <w:tcW w:w="2345" w:type="dxa"/>
            <w:noWrap w:val="0"/>
            <w:vAlign w:val="center"/>
          </w:tcPr>
          <w:p>
            <w:pPr>
              <w:pStyle w:val="106"/>
              <w:jc w:val="center"/>
              <w:rPr>
                <w:rFonts w:hint="eastAsia" w:ascii="仿宋" w:hAnsi="仿宋" w:eastAsia="仿宋" w:cs="仿宋"/>
                <w:sz w:val="21"/>
                <w:szCs w:val="21"/>
              </w:rPr>
            </w:pPr>
            <w:r>
              <w:rPr>
                <w:rFonts w:hint="eastAsia" w:ascii="仿宋" w:hAnsi="仿宋" w:eastAsia="仿宋" w:cs="仿宋"/>
                <w:sz w:val="21"/>
                <w:szCs w:val="21"/>
              </w:rPr>
              <w:t>安全生产许可证</w:t>
            </w:r>
          </w:p>
        </w:tc>
        <w:tc>
          <w:tcPr>
            <w:tcW w:w="4704" w:type="dxa"/>
            <w:gridSpan w:val="2"/>
            <w:noWrap w:val="0"/>
            <w:vAlign w:val="center"/>
          </w:tcPr>
          <w:p>
            <w:pPr>
              <w:pStyle w:val="106"/>
              <w:rPr>
                <w:rFonts w:hint="eastAsia" w:ascii="仿宋" w:hAnsi="仿宋" w:eastAsia="仿宋" w:cs="仿宋"/>
                <w:sz w:val="21"/>
                <w:szCs w:val="21"/>
              </w:rPr>
            </w:pPr>
            <w:r>
              <w:rPr>
                <w:rFonts w:hint="eastAsia" w:ascii="仿宋" w:hAnsi="仿宋" w:eastAsia="仿宋" w:cs="仿宋"/>
                <w:sz w:val="21"/>
                <w:szCs w:val="21"/>
              </w:rPr>
              <w:t>具备有效的安全生产许可证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4"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2.1.2（3）</w:t>
            </w:r>
          </w:p>
        </w:tc>
        <w:tc>
          <w:tcPr>
            <w:tcW w:w="1080" w:type="dxa"/>
            <w:vMerge w:val="continue"/>
            <w:noWrap w:val="0"/>
            <w:vAlign w:val="center"/>
          </w:tcPr>
          <w:p>
            <w:pPr>
              <w:snapToGrid w:val="0"/>
              <w:jc w:val="center"/>
              <w:rPr>
                <w:rFonts w:hint="eastAsia" w:ascii="仿宋" w:hAnsi="仿宋" w:eastAsia="仿宋" w:cs="仿宋"/>
                <w:color w:val="000000"/>
              </w:rPr>
            </w:pPr>
          </w:p>
        </w:tc>
        <w:tc>
          <w:tcPr>
            <w:tcW w:w="2345" w:type="dxa"/>
            <w:noWrap w:val="0"/>
            <w:vAlign w:val="center"/>
          </w:tcPr>
          <w:p>
            <w:pPr>
              <w:pStyle w:val="106"/>
              <w:jc w:val="center"/>
              <w:rPr>
                <w:rFonts w:hint="eastAsia" w:ascii="仿宋" w:hAnsi="仿宋" w:eastAsia="仿宋" w:cs="仿宋"/>
                <w:sz w:val="21"/>
                <w:szCs w:val="21"/>
              </w:rPr>
            </w:pPr>
            <w:r>
              <w:rPr>
                <w:rFonts w:hint="eastAsia" w:ascii="仿宋" w:hAnsi="仿宋" w:eastAsia="仿宋" w:cs="仿宋"/>
                <w:sz w:val="21"/>
                <w:szCs w:val="21"/>
              </w:rPr>
              <w:t>资质证书</w:t>
            </w:r>
          </w:p>
        </w:tc>
        <w:tc>
          <w:tcPr>
            <w:tcW w:w="4704" w:type="dxa"/>
            <w:gridSpan w:val="2"/>
            <w:noWrap w:val="0"/>
            <w:vAlign w:val="center"/>
          </w:tcPr>
          <w:p>
            <w:pPr>
              <w:pStyle w:val="106"/>
              <w:rPr>
                <w:rFonts w:hint="eastAsia" w:ascii="仿宋" w:hAnsi="仿宋" w:eastAsia="仿宋" w:cs="仿宋"/>
                <w:sz w:val="21"/>
                <w:szCs w:val="21"/>
              </w:rPr>
            </w:pPr>
            <w:r>
              <w:rPr>
                <w:rFonts w:hint="eastAsia" w:ascii="仿宋" w:hAnsi="仿宋" w:eastAsia="仿宋" w:cs="仿宋"/>
                <w:sz w:val="21"/>
                <w:szCs w:val="21"/>
              </w:rPr>
              <w:t>具备有效的资质证书且资质等级符合第二章投标人须知第1.4.1项规定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4"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2.1.2（4）</w:t>
            </w:r>
          </w:p>
        </w:tc>
        <w:tc>
          <w:tcPr>
            <w:tcW w:w="1080" w:type="dxa"/>
            <w:vMerge w:val="continue"/>
            <w:noWrap w:val="0"/>
            <w:vAlign w:val="center"/>
          </w:tcPr>
          <w:p>
            <w:pPr>
              <w:snapToGrid w:val="0"/>
              <w:jc w:val="center"/>
              <w:rPr>
                <w:rFonts w:hint="eastAsia" w:ascii="仿宋" w:hAnsi="仿宋" w:eastAsia="仿宋" w:cs="仿宋"/>
                <w:color w:val="000000"/>
              </w:rPr>
            </w:pPr>
          </w:p>
        </w:tc>
        <w:tc>
          <w:tcPr>
            <w:tcW w:w="2345" w:type="dxa"/>
            <w:noWrap w:val="0"/>
            <w:vAlign w:val="center"/>
          </w:tcPr>
          <w:p>
            <w:pPr>
              <w:pStyle w:val="118"/>
              <w:widowControl w:val="0"/>
              <w:jc w:val="center"/>
              <w:rPr>
                <w:rFonts w:hint="eastAsia" w:ascii="仿宋" w:hAnsi="仿宋" w:eastAsia="仿宋" w:cs="仿宋"/>
                <w:color w:val="000000"/>
                <w:sz w:val="21"/>
                <w:szCs w:val="21"/>
              </w:rPr>
            </w:pPr>
            <w:r>
              <w:rPr>
                <w:rFonts w:hint="eastAsia" w:ascii="仿宋" w:hAnsi="仿宋" w:eastAsia="仿宋" w:cs="仿宋"/>
                <w:color w:val="000000"/>
                <w:sz w:val="21"/>
                <w:szCs w:val="21"/>
              </w:rPr>
              <w:t>业绩</w:t>
            </w:r>
          </w:p>
        </w:tc>
        <w:tc>
          <w:tcPr>
            <w:tcW w:w="4704" w:type="dxa"/>
            <w:gridSpan w:val="2"/>
            <w:noWrap w:val="0"/>
            <w:vAlign w:val="center"/>
          </w:tcPr>
          <w:p>
            <w:pPr>
              <w:pStyle w:val="118"/>
              <w:widowControl w:val="0"/>
              <w:rPr>
                <w:rFonts w:hint="eastAsia" w:ascii="仿宋" w:hAnsi="仿宋" w:eastAsia="仿宋" w:cs="仿宋"/>
                <w:color w:val="000000"/>
                <w:sz w:val="21"/>
                <w:szCs w:val="21"/>
              </w:rPr>
            </w:pPr>
            <w:r>
              <w:rPr>
                <w:rFonts w:hint="eastAsia" w:ascii="仿宋" w:hAnsi="仿宋" w:eastAsia="仿宋" w:cs="仿宋"/>
                <w:color w:val="000000"/>
                <w:sz w:val="21"/>
                <w:szCs w:val="21"/>
              </w:rPr>
              <w:t>业绩符合第二章投标人须知第1.4.1项规定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4"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2.1.2（5）</w:t>
            </w:r>
          </w:p>
        </w:tc>
        <w:tc>
          <w:tcPr>
            <w:tcW w:w="1080" w:type="dxa"/>
            <w:vMerge w:val="continue"/>
            <w:noWrap w:val="0"/>
            <w:vAlign w:val="center"/>
          </w:tcPr>
          <w:p>
            <w:pPr>
              <w:snapToGrid w:val="0"/>
              <w:jc w:val="center"/>
              <w:rPr>
                <w:rFonts w:hint="eastAsia" w:ascii="仿宋" w:hAnsi="仿宋" w:eastAsia="仿宋" w:cs="仿宋"/>
                <w:color w:val="000000"/>
              </w:rPr>
            </w:pPr>
          </w:p>
        </w:tc>
        <w:tc>
          <w:tcPr>
            <w:tcW w:w="2345" w:type="dxa"/>
            <w:noWrap w:val="0"/>
            <w:vAlign w:val="center"/>
          </w:tcPr>
          <w:p>
            <w:pPr>
              <w:pStyle w:val="106"/>
              <w:jc w:val="center"/>
              <w:rPr>
                <w:rFonts w:hint="eastAsia" w:ascii="仿宋" w:hAnsi="仿宋" w:eastAsia="仿宋" w:cs="仿宋"/>
                <w:sz w:val="21"/>
                <w:szCs w:val="21"/>
              </w:rPr>
            </w:pPr>
            <w:r>
              <w:rPr>
                <w:rFonts w:hint="eastAsia" w:ascii="仿宋" w:hAnsi="仿宋" w:eastAsia="仿宋" w:cs="仿宋"/>
                <w:sz w:val="21"/>
                <w:szCs w:val="21"/>
              </w:rPr>
              <w:t>信誉</w:t>
            </w:r>
          </w:p>
        </w:tc>
        <w:tc>
          <w:tcPr>
            <w:tcW w:w="4704" w:type="dxa"/>
            <w:gridSpan w:val="2"/>
            <w:noWrap w:val="0"/>
            <w:vAlign w:val="center"/>
          </w:tcPr>
          <w:p>
            <w:pPr>
              <w:pStyle w:val="106"/>
              <w:rPr>
                <w:rFonts w:hint="eastAsia" w:ascii="仿宋" w:hAnsi="仿宋" w:eastAsia="仿宋" w:cs="仿宋"/>
                <w:kern w:val="2"/>
                <w:sz w:val="21"/>
                <w:szCs w:val="21"/>
              </w:rPr>
            </w:pPr>
            <w:r>
              <w:rPr>
                <w:rFonts w:hint="eastAsia" w:ascii="仿宋" w:hAnsi="仿宋" w:eastAsia="仿宋" w:cs="仿宋"/>
                <w:sz w:val="21"/>
                <w:szCs w:val="21"/>
              </w:rPr>
              <w:t>信誉</w:t>
            </w:r>
            <w:r>
              <w:rPr>
                <w:rFonts w:hint="eastAsia" w:ascii="仿宋" w:hAnsi="仿宋" w:eastAsia="仿宋" w:cs="仿宋"/>
                <w:kern w:val="2"/>
                <w:sz w:val="21"/>
                <w:szCs w:val="21"/>
              </w:rPr>
              <w:t>符合第二章投标人须知第1.4.1</w:t>
            </w:r>
            <w:r>
              <w:rPr>
                <w:rFonts w:hint="eastAsia" w:ascii="仿宋" w:hAnsi="仿宋" w:eastAsia="仿宋" w:cs="仿宋"/>
                <w:sz w:val="21"/>
                <w:szCs w:val="21"/>
              </w:rPr>
              <w:t>项</w:t>
            </w:r>
            <w:r>
              <w:rPr>
                <w:rFonts w:hint="eastAsia" w:ascii="仿宋" w:hAnsi="仿宋" w:eastAsia="仿宋" w:cs="仿宋"/>
                <w:kern w:val="2"/>
                <w:sz w:val="21"/>
                <w:szCs w:val="21"/>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4"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2.1.2（6）</w:t>
            </w:r>
          </w:p>
        </w:tc>
        <w:tc>
          <w:tcPr>
            <w:tcW w:w="1080" w:type="dxa"/>
            <w:vMerge w:val="continue"/>
            <w:noWrap w:val="0"/>
            <w:vAlign w:val="center"/>
          </w:tcPr>
          <w:p>
            <w:pPr>
              <w:snapToGrid w:val="0"/>
              <w:jc w:val="center"/>
              <w:rPr>
                <w:rFonts w:hint="eastAsia" w:ascii="仿宋" w:hAnsi="仿宋" w:eastAsia="仿宋" w:cs="仿宋"/>
                <w:color w:val="000000"/>
              </w:rPr>
            </w:pPr>
          </w:p>
        </w:tc>
        <w:tc>
          <w:tcPr>
            <w:tcW w:w="2345" w:type="dxa"/>
            <w:noWrap w:val="0"/>
            <w:vAlign w:val="center"/>
          </w:tcPr>
          <w:p>
            <w:pPr>
              <w:pStyle w:val="106"/>
              <w:jc w:val="center"/>
              <w:rPr>
                <w:rFonts w:hint="eastAsia" w:ascii="仿宋" w:hAnsi="仿宋" w:eastAsia="仿宋" w:cs="仿宋"/>
                <w:sz w:val="21"/>
                <w:szCs w:val="21"/>
              </w:rPr>
            </w:pPr>
            <w:r>
              <w:rPr>
                <w:rFonts w:hint="eastAsia" w:ascii="仿宋" w:hAnsi="仿宋" w:eastAsia="仿宋" w:cs="仿宋"/>
                <w:sz w:val="21"/>
                <w:szCs w:val="21"/>
              </w:rPr>
              <w:t>项目负责人</w:t>
            </w:r>
          </w:p>
        </w:tc>
        <w:tc>
          <w:tcPr>
            <w:tcW w:w="4704" w:type="dxa"/>
            <w:gridSpan w:val="2"/>
            <w:noWrap w:val="0"/>
            <w:vAlign w:val="center"/>
          </w:tcPr>
          <w:p>
            <w:pPr>
              <w:pStyle w:val="106"/>
              <w:rPr>
                <w:rFonts w:hint="eastAsia" w:ascii="仿宋" w:hAnsi="仿宋" w:eastAsia="仿宋" w:cs="仿宋"/>
                <w:sz w:val="21"/>
                <w:szCs w:val="21"/>
              </w:rPr>
            </w:pPr>
            <w:r>
              <w:rPr>
                <w:rFonts w:hint="eastAsia" w:ascii="仿宋" w:hAnsi="仿宋" w:eastAsia="仿宋" w:cs="仿宋"/>
                <w:sz w:val="21"/>
                <w:szCs w:val="21"/>
              </w:rPr>
              <w:t>项目负责人资格符合第二章投标人须知第1.4.1项规定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4"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2.1.2（7）</w:t>
            </w:r>
          </w:p>
        </w:tc>
        <w:tc>
          <w:tcPr>
            <w:tcW w:w="1080" w:type="dxa"/>
            <w:vMerge w:val="continue"/>
            <w:noWrap w:val="0"/>
            <w:vAlign w:val="center"/>
          </w:tcPr>
          <w:p>
            <w:pPr>
              <w:snapToGrid w:val="0"/>
              <w:jc w:val="center"/>
              <w:rPr>
                <w:rFonts w:hint="eastAsia" w:ascii="仿宋" w:hAnsi="仿宋" w:eastAsia="仿宋" w:cs="仿宋"/>
                <w:color w:val="000000"/>
              </w:rPr>
            </w:pPr>
          </w:p>
        </w:tc>
        <w:tc>
          <w:tcPr>
            <w:tcW w:w="2345" w:type="dxa"/>
            <w:noWrap w:val="0"/>
            <w:vAlign w:val="center"/>
          </w:tcPr>
          <w:p>
            <w:pPr>
              <w:pStyle w:val="106"/>
              <w:jc w:val="center"/>
              <w:rPr>
                <w:rFonts w:hint="eastAsia" w:ascii="仿宋" w:hAnsi="仿宋" w:eastAsia="仿宋" w:cs="仿宋"/>
                <w:sz w:val="21"/>
                <w:szCs w:val="21"/>
              </w:rPr>
            </w:pPr>
            <w:r>
              <w:rPr>
                <w:rFonts w:hint="eastAsia" w:ascii="仿宋" w:hAnsi="仿宋" w:eastAsia="仿宋" w:cs="仿宋"/>
                <w:sz w:val="21"/>
                <w:szCs w:val="21"/>
              </w:rPr>
              <w:t>企业负责人</w:t>
            </w:r>
          </w:p>
        </w:tc>
        <w:tc>
          <w:tcPr>
            <w:tcW w:w="4704" w:type="dxa"/>
            <w:gridSpan w:val="2"/>
            <w:noWrap w:val="0"/>
            <w:vAlign w:val="center"/>
          </w:tcPr>
          <w:p>
            <w:pPr>
              <w:pStyle w:val="106"/>
              <w:rPr>
                <w:rFonts w:hint="eastAsia" w:ascii="仿宋" w:hAnsi="仿宋" w:eastAsia="仿宋" w:cs="仿宋"/>
                <w:sz w:val="21"/>
                <w:szCs w:val="21"/>
              </w:rPr>
            </w:pPr>
            <w:r>
              <w:rPr>
                <w:rFonts w:hint="eastAsia" w:ascii="仿宋" w:hAnsi="仿宋" w:eastAsia="仿宋" w:cs="仿宋"/>
                <w:sz w:val="21"/>
                <w:szCs w:val="21"/>
              </w:rPr>
              <w:t>企业负责人具备有效的建设或水行政主管部门颁发的安全生产考核合格证书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4"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2.1.2（8）</w:t>
            </w:r>
          </w:p>
        </w:tc>
        <w:tc>
          <w:tcPr>
            <w:tcW w:w="1080" w:type="dxa"/>
            <w:vMerge w:val="continue"/>
            <w:noWrap w:val="0"/>
            <w:vAlign w:val="center"/>
          </w:tcPr>
          <w:p>
            <w:pPr>
              <w:snapToGrid w:val="0"/>
              <w:jc w:val="center"/>
              <w:rPr>
                <w:rFonts w:hint="eastAsia" w:ascii="仿宋" w:hAnsi="仿宋" w:eastAsia="仿宋" w:cs="仿宋"/>
                <w:color w:val="000000"/>
              </w:rPr>
            </w:pPr>
          </w:p>
        </w:tc>
        <w:tc>
          <w:tcPr>
            <w:tcW w:w="2345" w:type="dxa"/>
            <w:noWrap w:val="0"/>
            <w:vAlign w:val="center"/>
          </w:tcPr>
          <w:p>
            <w:pPr>
              <w:pStyle w:val="106"/>
              <w:jc w:val="center"/>
              <w:rPr>
                <w:rFonts w:hint="eastAsia" w:ascii="仿宋" w:hAnsi="仿宋" w:eastAsia="仿宋" w:cs="仿宋"/>
                <w:sz w:val="21"/>
                <w:szCs w:val="21"/>
              </w:rPr>
            </w:pPr>
            <w:r>
              <w:rPr>
                <w:rFonts w:hint="eastAsia" w:ascii="仿宋" w:hAnsi="仿宋" w:eastAsia="仿宋" w:cs="仿宋"/>
                <w:sz w:val="21"/>
                <w:szCs w:val="21"/>
              </w:rPr>
              <w:t>技术负责人</w:t>
            </w:r>
          </w:p>
        </w:tc>
        <w:tc>
          <w:tcPr>
            <w:tcW w:w="4704" w:type="dxa"/>
            <w:gridSpan w:val="2"/>
            <w:noWrap w:val="0"/>
            <w:vAlign w:val="center"/>
          </w:tcPr>
          <w:p>
            <w:pPr>
              <w:pStyle w:val="106"/>
              <w:rPr>
                <w:rFonts w:hint="eastAsia" w:ascii="仿宋" w:hAnsi="仿宋" w:eastAsia="仿宋" w:cs="仿宋"/>
                <w:sz w:val="21"/>
                <w:szCs w:val="21"/>
              </w:rPr>
            </w:pPr>
            <w:r>
              <w:rPr>
                <w:rFonts w:hint="eastAsia" w:ascii="仿宋" w:hAnsi="仿宋" w:eastAsia="仿宋" w:cs="仿宋"/>
                <w:sz w:val="21"/>
                <w:szCs w:val="21"/>
              </w:rPr>
              <w:t>技术负责人资格符合第二章投标人须知第1.4.1项规定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4"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2.1.2（9）</w:t>
            </w:r>
          </w:p>
        </w:tc>
        <w:tc>
          <w:tcPr>
            <w:tcW w:w="1080" w:type="dxa"/>
            <w:vMerge w:val="continue"/>
            <w:noWrap w:val="0"/>
            <w:vAlign w:val="center"/>
          </w:tcPr>
          <w:p>
            <w:pPr>
              <w:snapToGrid w:val="0"/>
              <w:jc w:val="center"/>
              <w:rPr>
                <w:rFonts w:hint="eastAsia" w:ascii="仿宋" w:hAnsi="仿宋" w:eastAsia="仿宋" w:cs="仿宋"/>
                <w:color w:val="000000"/>
              </w:rPr>
            </w:pPr>
          </w:p>
        </w:tc>
        <w:tc>
          <w:tcPr>
            <w:tcW w:w="2345" w:type="dxa"/>
            <w:noWrap w:val="0"/>
            <w:vAlign w:val="center"/>
          </w:tcPr>
          <w:p>
            <w:pPr>
              <w:pStyle w:val="106"/>
              <w:jc w:val="center"/>
              <w:rPr>
                <w:rFonts w:hint="eastAsia" w:ascii="仿宋" w:hAnsi="仿宋" w:eastAsia="仿宋" w:cs="仿宋"/>
                <w:sz w:val="21"/>
                <w:szCs w:val="21"/>
              </w:rPr>
            </w:pPr>
            <w:r>
              <w:rPr>
                <w:rFonts w:hint="eastAsia" w:ascii="仿宋" w:hAnsi="仿宋" w:eastAsia="仿宋" w:cs="仿宋"/>
                <w:sz w:val="21"/>
                <w:szCs w:val="21"/>
              </w:rPr>
              <w:t>专职安全员</w:t>
            </w:r>
          </w:p>
        </w:tc>
        <w:tc>
          <w:tcPr>
            <w:tcW w:w="4704" w:type="dxa"/>
            <w:gridSpan w:val="2"/>
            <w:noWrap w:val="0"/>
            <w:vAlign w:val="center"/>
          </w:tcPr>
          <w:p>
            <w:pPr>
              <w:pStyle w:val="106"/>
              <w:rPr>
                <w:rFonts w:hint="eastAsia" w:ascii="仿宋" w:hAnsi="仿宋" w:eastAsia="仿宋" w:cs="仿宋"/>
                <w:sz w:val="21"/>
                <w:szCs w:val="21"/>
              </w:rPr>
            </w:pPr>
            <w:r>
              <w:rPr>
                <w:rFonts w:hint="eastAsia" w:ascii="仿宋" w:hAnsi="仿宋" w:eastAsia="仿宋" w:cs="仿宋"/>
                <w:sz w:val="21"/>
                <w:szCs w:val="21"/>
              </w:rPr>
              <w:t>专职安全员资格符合第二章投标人须知第1.4.1项规定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4"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2.1.2（10）</w:t>
            </w:r>
          </w:p>
        </w:tc>
        <w:tc>
          <w:tcPr>
            <w:tcW w:w="1080" w:type="dxa"/>
            <w:vMerge w:val="continue"/>
            <w:noWrap w:val="0"/>
            <w:vAlign w:val="center"/>
          </w:tcPr>
          <w:p>
            <w:pPr>
              <w:snapToGrid w:val="0"/>
              <w:jc w:val="center"/>
              <w:rPr>
                <w:rFonts w:hint="eastAsia" w:ascii="仿宋" w:hAnsi="仿宋" w:eastAsia="仿宋" w:cs="仿宋"/>
                <w:color w:val="000000"/>
              </w:rPr>
            </w:pPr>
          </w:p>
        </w:tc>
        <w:tc>
          <w:tcPr>
            <w:tcW w:w="2345" w:type="dxa"/>
            <w:noWrap w:val="0"/>
            <w:vAlign w:val="center"/>
          </w:tcPr>
          <w:p>
            <w:pPr>
              <w:pStyle w:val="106"/>
              <w:jc w:val="center"/>
              <w:rPr>
                <w:rFonts w:hint="eastAsia" w:ascii="仿宋" w:hAnsi="仿宋" w:eastAsia="仿宋" w:cs="仿宋"/>
                <w:sz w:val="21"/>
                <w:szCs w:val="21"/>
              </w:rPr>
            </w:pPr>
            <w:r>
              <w:rPr>
                <w:rFonts w:hint="eastAsia" w:ascii="仿宋" w:hAnsi="仿宋" w:eastAsia="仿宋" w:cs="仿宋"/>
                <w:sz w:val="21"/>
                <w:szCs w:val="21"/>
              </w:rPr>
              <w:t>其他要求</w:t>
            </w:r>
          </w:p>
        </w:tc>
        <w:tc>
          <w:tcPr>
            <w:tcW w:w="4704" w:type="dxa"/>
            <w:gridSpan w:val="2"/>
            <w:noWrap w:val="0"/>
            <w:vAlign w:val="center"/>
          </w:tcPr>
          <w:p>
            <w:pPr>
              <w:pStyle w:val="106"/>
              <w:jc w:val="center"/>
              <w:rPr>
                <w:rFonts w:hint="eastAsia" w:ascii="仿宋" w:hAnsi="仿宋" w:eastAsia="仿宋" w:cs="仿宋"/>
                <w:sz w:val="21"/>
                <w:szCs w:val="21"/>
              </w:rPr>
            </w:pPr>
            <w:r>
              <w:rPr>
                <w:rFonts w:hint="eastAsia" w:ascii="仿宋" w:hAnsi="仿宋" w:eastAsia="仿宋" w:cs="仿宋"/>
                <w:sz w:val="21"/>
                <w:szCs w:val="21"/>
              </w:rPr>
              <w:t>其他要求符合第二章投标人须知第1.4.1项规定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4"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2.1.2（11）</w:t>
            </w:r>
          </w:p>
        </w:tc>
        <w:tc>
          <w:tcPr>
            <w:tcW w:w="1080" w:type="dxa"/>
            <w:vMerge w:val="continue"/>
            <w:noWrap w:val="0"/>
            <w:vAlign w:val="center"/>
          </w:tcPr>
          <w:p>
            <w:pPr>
              <w:snapToGrid w:val="0"/>
              <w:jc w:val="center"/>
              <w:rPr>
                <w:rFonts w:hint="eastAsia" w:ascii="仿宋" w:hAnsi="仿宋" w:eastAsia="仿宋" w:cs="仿宋"/>
                <w:color w:val="000000"/>
              </w:rPr>
            </w:pPr>
          </w:p>
        </w:tc>
        <w:tc>
          <w:tcPr>
            <w:tcW w:w="2345" w:type="dxa"/>
            <w:noWrap w:val="0"/>
            <w:vAlign w:val="center"/>
          </w:tcPr>
          <w:p>
            <w:pPr>
              <w:pStyle w:val="106"/>
              <w:jc w:val="center"/>
              <w:rPr>
                <w:rFonts w:hint="eastAsia" w:ascii="仿宋" w:hAnsi="仿宋" w:eastAsia="仿宋" w:cs="仿宋"/>
                <w:sz w:val="21"/>
                <w:szCs w:val="21"/>
              </w:rPr>
            </w:pPr>
            <w:r>
              <w:rPr>
                <w:rFonts w:hint="eastAsia" w:ascii="仿宋" w:hAnsi="仿宋" w:eastAsia="仿宋" w:cs="仿宋"/>
                <w:sz w:val="21"/>
                <w:szCs w:val="21"/>
              </w:rPr>
              <w:t>联合体投标人</w:t>
            </w:r>
            <w:r>
              <w:rPr>
                <w:rFonts w:hint="eastAsia" w:ascii="仿宋" w:hAnsi="仿宋" w:eastAsia="仿宋" w:cs="仿宋"/>
                <w:b/>
                <w:i/>
                <w:sz w:val="21"/>
                <w:szCs w:val="21"/>
              </w:rPr>
              <w:t>（如有）</w:t>
            </w:r>
          </w:p>
        </w:tc>
        <w:tc>
          <w:tcPr>
            <w:tcW w:w="4704" w:type="dxa"/>
            <w:gridSpan w:val="2"/>
            <w:noWrap w:val="0"/>
            <w:vAlign w:val="center"/>
          </w:tcPr>
          <w:p>
            <w:pPr>
              <w:pStyle w:val="106"/>
              <w:jc w:val="center"/>
              <w:rPr>
                <w:rFonts w:hint="eastAsia" w:ascii="仿宋" w:hAnsi="仿宋" w:eastAsia="仿宋" w:cs="仿宋"/>
                <w:spacing w:val="-4"/>
                <w:sz w:val="21"/>
                <w:szCs w:val="21"/>
              </w:rPr>
            </w:pPr>
            <w:r>
              <w:rPr>
                <w:rFonts w:hint="eastAsia" w:ascii="仿宋" w:hAnsi="仿宋" w:eastAsia="仿宋" w:cs="仿宋"/>
                <w:spacing w:val="-4"/>
                <w:sz w:val="21"/>
                <w:szCs w:val="21"/>
              </w:rPr>
              <w:t>联合体投标人符合第二章投标人须知第1.4.2项规定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4"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2.1.2（12）</w:t>
            </w:r>
          </w:p>
        </w:tc>
        <w:tc>
          <w:tcPr>
            <w:tcW w:w="1080" w:type="dxa"/>
            <w:vMerge w:val="continue"/>
            <w:noWrap w:val="0"/>
            <w:vAlign w:val="center"/>
          </w:tcPr>
          <w:p>
            <w:pPr>
              <w:snapToGrid w:val="0"/>
              <w:jc w:val="center"/>
              <w:rPr>
                <w:rFonts w:hint="eastAsia" w:ascii="仿宋" w:hAnsi="仿宋" w:eastAsia="仿宋" w:cs="仿宋"/>
                <w:color w:val="000000"/>
              </w:rPr>
            </w:pPr>
          </w:p>
        </w:tc>
        <w:tc>
          <w:tcPr>
            <w:tcW w:w="2345" w:type="dxa"/>
            <w:noWrap w:val="0"/>
            <w:vAlign w:val="center"/>
          </w:tcPr>
          <w:p>
            <w:pPr>
              <w:pStyle w:val="106"/>
              <w:jc w:val="center"/>
              <w:rPr>
                <w:rFonts w:hint="eastAsia" w:ascii="仿宋" w:hAnsi="仿宋" w:eastAsia="仿宋" w:cs="仿宋"/>
                <w:sz w:val="21"/>
                <w:szCs w:val="21"/>
              </w:rPr>
            </w:pPr>
            <w:r>
              <w:rPr>
                <w:rFonts w:hint="eastAsia" w:ascii="仿宋" w:hAnsi="仿宋" w:eastAsia="仿宋" w:cs="仿宋"/>
                <w:sz w:val="21"/>
                <w:szCs w:val="21"/>
              </w:rPr>
              <w:t>其它标准</w:t>
            </w:r>
          </w:p>
        </w:tc>
        <w:tc>
          <w:tcPr>
            <w:tcW w:w="4704" w:type="dxa"/>
            <w:gridSpan w:val="2"/>
            <w:noWrap w:val="0"/>
            <w:vAlign w:val="center"/>
          </w:tcPr>
          <w:p>
            <w:pPr>
              <w:pStyle w:val="106"/>
              <w:jc w:val="center"/>
              <w:rPr>
                <w:rFonts w:hint="eastAsia" w:ascii="仿宋" w:hAnsi="仿宋" w:eastAsia="仿宋" w:cs="仿宋"/>
                <w:sz w:val="21"/>
                <w:szCs w:val="21"/>
              </w:rPr>
            </w:pPr>
            <w:r>
              <w:rPr>
                <w:rFonts w:hint="eastAsia" w:ascii="仿宋" w:hAnsi="仿宋" w:eastAsia="仿宋" w:cs="仿宋"/>
                <w:sz w:val="21"/>
                <w:szCs w:val="21"/>
              </w:rPr>
              <w:t>不存在第二章“投标人须知”第1.4.3项规定的任何一种情形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4"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2.1.2（13）</w:t>
            </w:r>
          </w:p>
        </w:tc>
        <w:tc>
          <w:tcPr>
            <w:tcW w:w="1080" w:type="dxa"/>
            <w:vMerge w:val="continue"/>
            <w:noWrap w:val="0"/>
            <w:vAlign w:val="center"/>
          </w:tcPr>
          <w:p>
            <w:pPr>
              <w:snapToGrid w:val="0"/>
              <w:rPr>
                <w:rFonts w:hint="eastAsia" w:ascii="仿宋" w:hAnsi="仿宋" w:eastAsia="仿宋" w:cs="仿宋"/>
                <w:color w:val="000000"/>
              </w:rPr>
            </w:pPr>
          </w:p>
        </w:tc>
        <w:tc>
          <w:tcPr>
            <w:tcW w:w="2345" w:type="dxa"/>
            <w:noWrap w:val="0"/>
            <w:vAlign w:val="center"/>
          </w:tcPr>
          <w:p>
            <w:pPr>
              <w:pStyle w:val="106"/>
              <w:jc w:val="center"/>
              <w:rPr>
                <w:rFonts w:hint="eastAsia" w:ascii="仿宋" w:hAnsi="仿宋" w:eastAsia="仿宋" w:cs="仿宋"/>
                <w:sz w:val="21"/>
                <w:szCs w:val="21"/>
              </w:rPr>
            </w:pPr>
            <w:r>
              <w:rPr>
                <w:rFonts w:hint="eastAsia" w:ascii="仿宋" w:hAnsi="仿宋" w:eastAsia="仿宋" w:cs="仿宋"/>
              </w:rPr>
              <w:t>其它标准</w:t>
            </w:r>
          </w:p>
        </w:tc>
        <w:tc>
          <w:tcPr>
            <w:tcW w:w="4704" w:type="dxa"/>
            <w:gridSpan w:val="2"/>
            <w:noWrap w:val="0"/>
            <w:vAlign w:val="center"/>
          </w:tcPr>
          <w:p>
            <w:pPr>
              <w:pStyle w:val="106"/>
              <w:jc w:val="center"/>
              <w:rPr>
                <w:rFonts w:hint="eastAsia" w:ascii="仿宋" w:hAnsi="仿宋" w:eastAsia="仿宋" w:cs="仿宋"/>
                <w:sz w:val="21"/>
                <w:szCs w:val="21"/>
              </w:rPr>
            </w:pPr>
            <w:r>
              <w:rPr>
                <w:rFonts w:hint="eastAsia" w:ascii="仿宋" w:hAnsi="仿宋" w:eastAsia="仿宋" w:cs="仿宋"/>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4" w:type="dxa"/>
            <w:noWrap w:val="0"/>
            <w:vAlign w:val="center"/>
          </w:tcPr>
          <w:p>
            <w:pPr>
              <w:snapToGrid w:val="0"/>
              <w:jc w:val="center"/>
              <w:rPr>
                <w:rFonts w:hint="eastAsia" w:ascii="仿宋" w:hAnsi="仿宋" w:eastAsia="仿宋" w:cs="仿宋"/>
                <w:color w:val="000000"/>
              </w:rPr>
            </w:pPr>
          </w:p>
        </w:tc>
        <w:tc>
          <w:tcPr>
            <w:tcW w:w="1080" w:type="dxa"/>
            <w:vMerge w:val="continue"/>
            <w:noWrap w:val="0"/>
            <w:vAlign w:val="center"/>
          </w:tcPr>
          <w:p>
            <w:pPr>
              <w:snapToGrid w:val="0"/>
              <w:rPr>
                <w:rFonts w:hint="eastAsia" w:ascii="仿宋" w:hAnsi="仿宋" w:eastAsia="仿宋" w:cs="仿宋"/>
                <w:color w:val="000000"/>
              </w:rPr>
            </w:pPr>
          </w:p>
        </w:tc>
        <w:tc>
          <w:tcPr>
            <w:tcW w:w="7049" w:type="dxa"/>
            <w:gridSpan w:val="3"/>
            <w:noWrap w:val="0"/>
            <w:vAlign w:val="center"/>
          </w:tcPr>
          <w:p>
            <w:pPr>
              <w:pStyle w:val="106"/>
              <w:jc w:val="center"/>
              <w:rPr>
                <w:rFonts w:hint="eastAsia" w:ascii="仿宋" w:hAnsi="仿宋" w:eastAsia="仿宋" w:cs="仿宋"/>
                <w:b/>
                <w:sz w:val="21"/>
                <w:szCs w:val="21"/>
              </w:rPr>
            </w:pPr>
            <w:r>
              <w:rPr>
                <w:rFonts w:hint="eastAsia" w:ascii="仿宋" w:hAnsi="仿宋" w:eastAsia="仿宋" w:cs="仿宋"/>
                <w:b/>
                <w:sz w:val="21"/>
                <w:szCs w:val="21"/>
              </w:rPr>
              <w:t>详见本章附表3-3（2）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4"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2.1.3（1）</w:t>
            </w:r>
          </w:p>
        </w:tc>
        <w:tc>
          <w:tcPr>
            <w:tcW w:w="1080" w:type="dxa"/>
            <w:vMerge w:val="restart"/>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响应性评审标准</w:t>
            </w:r>
          </w:p>
        </w:tc>
        <w:tc>
          <w:tcPr>
            <w:tcW w:w="2345" w:type="dxa"/>
            <w:noWrap w:val="0"/>
            <w:vAlign w:val="center"/>
          </w:tcPr>
          <w:p>
            <w:pPr>
              <w:pStyle w:val="106"/>
              <w:jc w:val="center"/>
              <w:rPr>
                <w:rFonts w:hint="eastAsia" w:ascii="仿宋" w:hAnsi="仿宋" w:eastAsia="仿宋" w:cs="仿宋"/>
                <w:sz w:val="21"/>
                <w:szCs w:val="21"/>
              </w:rPr>
            </w:pPr>
            <w:r>
              <w:rPr>
                <w:rFonts w:hint="eastAsia" w:ascii="仿宋" w:hAnsi="仿宋" w:eastAsia="仿宋" w:cs="仿宋"/>
                <w:sz w:val="21"/>
                <w:szCs w:val="21"/>
              </w:rPr>
              <w:t>投标范围</w:t>
            </w:r>
          </w:p>
        </w:tc>
        <w:tc>
          <w:tcPr>
            <w:tcW w:w="4704" w:type="dxa"/>
            <w:gridSpan w:val="2"/>
            <w:noWrap w:val="0"/>
            <w:vAlign w:val="center"/>
          </w:tcPr>
          <w:p>
            <w:pPr>
              <w:pStyle w:val="106"/>
              <w:rPr>
                <w:rFonts w:hint="eastAsia" w:ascii="仿宋" w:hAnsi="仿宋" w:eastAsia="仿宋" w:cs="仿宋"/>
                <w:sz w:val="21"/>
                <w:szCs w:val="21"/>
              </w:rPr>
            </w:pPr>
            <w:r>
              <w:rPr>
                <w:rFonts w:hint="eastAsia" w:ascii="仿宋" w:hAnsi="仿宋" w:eastAsia="仿宋" w:cs="仿宋"/>
                <w:sz w:val="21"/>
                <w:szCs w:val="21"/>
              </w:rPr>
              <w:t>投标范围符合第二章投标人须知第1.3.1项规定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4"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2.1.3（2）</w:t>
            </w:r>
          </w:p>
        </w:tc>
        <w:tc>
          <w:tcPr>
            <w:tcW w:w="1080" w:type="dxa"/>
            <w:vMerge w:val="continue"/>
            <w:noWrap w:val="0"/>
            <w:vAlign w:val="center"/>
          </w:tcPr>
          <w:p>
            <w:pPr>
              <w:snapToGrid w:val="0"/>
              <w:rPr>
                <w:rFonts w:hint="eastAsia" w:ascii="仿宋" w:hAnsi="仿宋" w:eastAsia="仿宋" w:cs="仿宋"/>
                <w:color w:val="000000"/>
              </w:rPr>
            </w:pPr>
          </w:p>
        </w:tc>
        <w:tc>
          <w:tcPr>
            <w:tcW w:w="2345" w:type="dxa"/>
            <w:noWrap w:val="0"/>
            <w:vAlign w:val="center"/>
          </w:tcPr>
          <w:p>
            <w:pPr>
              <w:pStyle w:val="106"/>
              <w:jc w:val="center"/>
              <w:rPr>
                <w:rFonts w:hint="eastAsia" w:ascii="仿宋" w:hAnsi="仿宋" w:eastAsia="仿宋" w:cs="仿宋"/>
                <w:sz w:val="21"/>
                <w:szCs w:val="21"/>
              </w:rPr>
            </w:pPr>
            <w:r>
              <w:rPr>
                <w:rFonts w:hint="eastAsia" w:ascii="仿宋" w:hAnsi="仿宋" w:eastAsia="仿宋" w:cs="仿宋"/>
                <w:sz w:val="21"/>
                <w:szCs w:val="21"/>
              </w:rPr>
              <w:t>工期</w:t>
            </w:r>
          </w:p>
        </w:tc>
        <w:tc>
          <w:tcPr>
            <w:tcW w:w="4704" w:type="dxa"/>
            <w:gridSpan w:val="2"/>
            <w:noWrap w:val="0"/>
            <w:vAlign w:val="center"/>
          </w:tcPr>
          <w:p>
            <w:pPr>
              <w:pStyle w:val="106"/>
              <w:rPr>
                <w:rFonts w:hint="eastAsia" w:ascii="仿宋" w:hAnsi="仿宋" w:eastAsia="仿宋" w:cs="仿宋"/>
                <w:sz w:val="21"/>
                <w:szCs w:val="21"/>
              </w:rPr>
            </w:pPr>
            <w:r>
              <w:rPr>
                <w:rFonts w:hint="eastAsia" w:ascii="仿宋" w:hAnsi="仿宋" w:eastAsia="仿宋" w:cs="仿宋"/>
                <w:sz w:val="21"/>
                <w:szCs w:val="21"/>
              </w:rPr>
              <w:t>计划工期符合第二章投标人须知第1.3.2项规定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4"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2.1.3（3）</w:t>
            </w:r>
          </w:p>
        </w:tc>
        <w:tc>
          <w:tcPr>
            <w:tcW w:w="1080" w:type="dxa"/>
            <w:vMerge w:val="continue"/>
            <w:noWrap w:val="0"/>
            <w:vAlign w:val="center"/>
          </w:tcPr>
          <w:p>
            <w:pPr>
              <w:snapToGrid w:val="0"/>
              <w:rPr>
                <w:rFonts w:hint="eastAsia" w:ascii="仿宋" w:hAnsi="仿宋" w:eastAsia="仿宋" w:cs="仿宋"/>
                <w:color w:val="000000"/>
              </w:rPr>
            </w:pPr>
          </w:p>
        </w:tc>
        <w:tc>
          <w:tcPr>
            <w:tcW w:w="2345" w:type="dxa"/>
            <w:noWrap w:val="0"/>
            <w:vAlign w:val="center"/>
          </w:tcPr>
          <w:p>
            <w:pPr>
              <w:pStyle w:val="106"/>
              <w:jc w:val="center"/>
              <w:rPr>
                <w:rFonts w:hint="eastAsia" w:ascii="仿宋" w:hAnsi="仿宋" w:eastAsia="仿宋" w:cs="仿宋"/>
                <w:sz w:val="21"/>
                <w:szCs w:val="21"/>
              </w:rPr>
            </w:pPr>
            <w:r>
              <w:rPr>
                <w:rFonts w:hint="eastAsia" w:ascii="仿宋" w:hAnsi="仿宋" w:eastAsia="仿宋" w:cs="仿宋"/>
                <w:sz w:val="21"/>
                <w:szCs w:val="21"/>
              </w:rPr>
              <w:t>工程质量</w:t>
            </w:r>
          </w:p>
        </w:tc>
        <w:tc>
          <w:tcPr>
            <w:tcW w:w="4704" w:type="dxa"/>
            <w:gridSpan w:val="2"/>
            <w:noWrap w:val="0"/>
            <w:vAlign w:val="center"/>
          </w:tcPr>
          <w:p>
            <w:pPr>
              <w:pStyle w:val="106"/>
              <w:rPr>
                <w:rFonts w:hint="eastAsia" w:ascii="仿宋" w:hAnsi="仿宋" w:eastAsia="仿宋" w:cs="仿宋"/>
                <w:sz w:val="21"/>
                <w:szCs w:val="21"/>
              </w:rPr>
            </w:pPr>
            <w:r>
              <w:rPr>
                <w:rFonts w:hint="eastAsia" w:ascii="仿宋" w:hAnsi="仿宋" w:eastAsia="仿宋" w:cs="仿宋"/>
                <w:sz w:val="21"/>
                <w:szCs w:val="21"/>
              </w:rPr>
              <w:t>工程质量符合第二章投标人须知第1.3.3项规定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4"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2.1.3（4）</w:t>
            </w:r>
          </w:p>
        </w:tc>
        <w:tc>
          <w:tcPr>
            <w:tcW w:w="1080" w:type="dxa"/>
            <w:vMerge w:val="continue"/>
            <w:noWrap w:val="0"/>
            <w:vAlign w:val="center"/>
          </w:tcPr>
          <w:p>
            <w:pPr>
              <w:snapToGrid w:val="0"/>
              <w:rPr>
                <w:rFonts w:hint="eastAsia" w:ascii="仿宋" w:hAnsi="仿宋" w:eastAsia="仿宋" w:cs="仿宋"/>
                <w:color w:val="000000"/>
              </w:rPr>
            </w:pPr>
          </w:p>
        </w:tc>
        <w:tc>
          <w:tcPr>
            <w:tcW w:w="2345" w:type="dxa"/>
            <w:noWrap w:val="0"/>
            <w:vAlign w:val="center"/>
          </w:tcPr>
          <w:p>
            <w:pPr>
              <w:pStyle w:val="106"/>
              <w:jc w:val="center"/>
              <w:rPr>
                <w:rFonts w:hint="eastAsia" w:ascii="仿宋" w:hAnsi="仿宋" w:eastAsia="仿宋" w:cs="仿宋"/>
                <w:sz w:val="21"/>
                <w:szCs w:val="21"/>
              </w:rPr>
            </w:pPr>
            <w:r>
              <w:rPr>
                <w:rFonts w:hint="eastAsia" w:ascii="仿宋" w:hAnsi="仿宋" w:eastAsia="仿宋" w:cs="仿宋"/>
                <w:sz w:val="21"/>
                <w:szCs w:val="21"/>
              </w:rPr>
              <w:t>投标有效期</w:t>
            </w:r>
          </w:p>
        </w:tc>
        <w:tc>
          <w:tcPr>
            <w:tcW w:w="4704" w:type="dxa"/>
            <w:gridSpan w:val="2"/>
            <w:noWrap w:val="0"/>
            <w:vAlign w:val="center"/>
          </w:tcPr>
          <w:p>
            <w:pPr>
              <w:pStyle w:val="106"/>
              <w:rPr>
                <w:rFonts w:hint="eastAsia" w:ascii="仿宋" w:hAnsi="仿宋" w:eastAsia="仿宋" w:cs="仿宋"/>
                <w:sz w:val="21"/>
                <w:szCs w:val="21"/>
              </w:rPr>
            </w:pPr>
            <w:r>
              <w:rPr>
                <w:rFonts w:hint="eastAsia" w:ascii="仿宋" w:hAnsi="仿宋" w:eastAsia="仿宋" w:cs="仿宋"/>
                <w:sz w:val="21"/>
                <w:szCs w:val="21"/>
              </w:rPr>
              <w:t>投标有效期符合第二章投标人须知第3.3.1项规定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4"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2.1.3（5）</w:t>
            </w:r>
          </w:p>
        </w:tc>
        <w:tc>
          <w:tcPr>
            <w:tcW w:w="1080" w:type="dxa"/>
            <w:vMerge w:val="continue"/>
            <w:noWrap w:val="0"/>
            <w:vAlign w:val="center"/>
          </w:tcPr>
          <w:p>
            <w:pPr>
              <w:snapToGrid w:val="0"/>
              <w:rPr>
                <w:rFonts w:hint="eastAsia" w:ascii="仿宋" w:hAnsi="仿宋" w:eastAsia="仿宋" w:cs="仿宋"/>
                <w:color w:val="000000"/>
              </w:rPr>
            </w:pPr>
          </w:p>
        </w:tc>
        <w:tc>
          <w:tcPr>
            <w:tcW w:w="2345" w:type="dxa"/>
            <w:noWrap w:val="0"/>
            <w:vAlign w:val="center"/>
          </w:tcPr>
          <w:p>
            <w:pPr>
              <w:pStyle w:val="106"/>
              <w:jc w:val="center"/>
              <w:rPr>
                <w:rFonts w:hint="eastAsia" w:ascii="仿宋" w:hAnsi="仿宋" w:eastAsia="仿宋" w:cs="仿宋"/>
                <w:sz w:val="21"/>
                <w:szCs w:val="21"/>
              </w:rPr>
            </w:pPr>
            <w:r>
              <w:rPr>
                <w:rFonts w:hint="eastAsia" w:ascii="仿宋" w:hAnsi="仿宋" w:eastAsia="仿宋" w:cs="仿宋"/>
                <w:sz w:val="21"/>
                <w:szCs w:val="21"/>
              </w:rPr>
              <w:t>投标担保</w:t>
            </w:r>
          </w:p>
        </w:tc>
        <w:tc>
          <w:tcPr>
            <w:tcW w:w="4704" w:type="dxa"/>
            <w:gridSpan w:val="2"/>
            <w:noWrap w:val="0"/>
            <w:vAlign w:val="center"/>
          </w:tcPr>
          <w:p>
            <w:pPr>
              <w:pStyle w:val="106"/>
              <w:rPr>
                <w:rFonts w:hint="eastAsia" w:ascii="仿宋" w:hAnsi="仿宋" w:eastAsia="仿宋" w:cs="仿宋"/>
                <w:sz w:val="21"/>
                <w:szCs w:val="21"/>
              </w:rPr>
            </w:pPr>
            <w:r>
              <w:rPr>
                <w:rFonts w:hint="eastAsia" w:ascii="仿宋" w:hAnsi="仿宋" w:eastAsia="仿宋" w:cs="仿宋"/>
                <w:sz w:val="21"/>
                <w:szCs w:val="21"/>
              </w:rPr>
              <w:t>投标担保符合第二章投标人须知第3.4款规定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4"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2.1.3（6）</w:t>
            </w:r>
          </w:p>
        </w:tc>
        <w:tc>
          <w:tcPr>
            <w:tcW w:w="1080" w:type="dxa"/>
            <w:vMerge w:val="continue"/>
            <w:noWrap w:val="0"/>
            <w:vAlign w:val="center"/>
          </w:tcPr>
          <w:p>
            <w:pPr>
              <w:snapToGrid w:val="0"/>
              <w:rPr>
                <w:rFonts w:hint="eastAsia" w:ascii="仿宋" w:hAnsi="仿宋" w:eastAsia="仿宋" w:cs="仿宋"/>
                <w:color w:val="000000"/>
                <w:u w:val="single"/>
              </w:rPr>
            </w:pPr>
          </w:p>
        </w:tc>
        <w:tc>
          <w:tcPr>
            <w:tcW w:w="2345" w:type="dxa"/>
            <w:noWrap w:val="0"/>
            <w:vAlign w:val="center"/>
          </w:tcPr>
          <w:p>
            <w:pPr>
              <w:pStyle w:val="106"/>
              <w:jc w:val="center"/>
              <w:rPr>
                <w:rFonts w:hint="eastAsia" w:ascii="仿宋" w:hAnsi="仿宋" w:eastAsia="仿宋" w:cs="仿宋"/>
                <w:sz w:val="21"/>
                <w:szCs w:val="21"/>
              </w:rPr>
            </w:pPr>
            <w:r>
              <w:rPr>
                <w:rFonts w:hint="eastAsia" w:ascii="仿宋" w:hAnsi="仿宋" w:eastAsia="仿宋" w:cs="仿宋"/>
                <w:sz w:val="21"/>
                <w:szCs w:val="21"/>
              </w:rPr>
              <w:t>权利义务</w:t>
            </w:r>
          </w:p>
        </w:tc>
        <w:tc>
          <w:tcPr>
            <w:tcW w:w="4704" w:type="dxa"/>
            <w:gridSpan w:val="2"/>
            <w:noWrap w:val="0"/>
            <w:vAlign w:val="center"/>
          </w:tcPr>
          <w:p>
            <w:pPr>
              <w:pStyle w:val="106"/>
              <w:rPr>
                <w:rFonts w:hint="eastAsia" w:ascii="仿宋" w:hAnsi="仿宋" w:eastAsia="仿宋" w:cs="仿宋"/>
                <w:sz w:val="21"/>
                <w:szCs w:val="21"/>
              </w:rPr>
            </w:pPr>
            <w:r>
              <w:rPr>
                <w:rFonts w:hint="eastAsia" w:ascii="仿宋" w:hAnsi="仿宋" w:eastAsia="仿宋" w:cs="仿宋"/>
                <w:sz w:val="21"/>
                <w:szCs w:val="21"/>
              </w:rPr>
              <w:t>权利义务符合第四章合同条款及格式规定的权利义务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4" w:type="dxa"/>
            <w:noWrap w:val="0"/>
            <w:vAlign w:val="center"/>
          </w:tcPr>
          <w:p>
            <w:pPr>
              <w:snapToGrid w:val="0"/>
              <w:ind w:left="-92" w:leftChars="-44"/>
              <w:jc w:val="center"/>
              <w:rPr>
                <w:rFonts w:hint="eastAsia" w:ascii="仿宋" w:hAnsi="仿宋" w:eastAsia="仿宋" w:cs="仿宋"/>
                <w:color w:val="000000"/>
              </w:rPr>
            </w:pPr>
            <w:r>
              <w:rPr>
                <w:rFonts w:hint="eastAsia" w:ascii="仿宋" w:hAnsi="仿宋" w:eastAsia="仿宋" w:cs="仿宋"/>
                <w:color w:val="000000"/>
              </w:rPr>
              <w:t>2.1.3（7）</w:t>
            </w:r>
          </w:p>
        </w:tc>
        <w:tc>
          <w:tcPr>
            <w:tcW w:w="1080" w:type="dxa"/>
            <w:vMerge w:val="continue"/>
            <w:noWrap w:val="0"/>
            <w:vAlign w:val="center"/>
          </w:tcPr>
          <w:p>
            <w:pPr>
              <w:snapToGrid w:val="0"/>
              <w:rPr>
                <w:rFonts w:hint="eastAsia" w:ascii="仿宋" w:hAnsi="仿宋" w:eastAsia="仿宋" w:cs="仿宋"/>
                <w:color w:val="000000"/>
              </w:rPr>
            </w:pPr>
          </w:p>
        </w:tc>
        <w:tc>
          <w:tcPr>
            <w:tcW w:w="2345" w:type="dxa"/>
            <w:noWrap w:val="0"/>
            <w:vAlign w:val="center"/>
          </w:tcPr>
          <w:p>
            <w:pPr>
              <w:pStyle w:val="106"/>
              <w:jc w:val="center"/>
              <w:rPr>
                <w:rFonts w:hint="eastAsia" w:ascii="仿宋" w:hAnsi="仿宋" w:eastAsia="仿宋" w:cs="仿宋"/>
                <w:sz w:val="21"/>
                <w:szCs w:val="21"/>
              </w:rPr>
            </w:pPr>
            <w:r>
              <w:rPr>
                <w:rFonts w:hint="eastAsia" w:ascii="仿宋" w:hAnsi="仿宋" w:eastAsia="仿宋" w:cs="仿宋"/>
                <w:sz w:val="21"/>
                <w:szCs w:val="21"/>
              </w:rPr>
              <w:t>工程量清单</w:t>
            </w:r>
          </w:p>
        </w:tc>
        <w:tc>
          <w:tcPr>
            <w:tcW w:w="4704" w:type="dxa"/>
            <w:gridSpan w:val="2"/>
            <w:noWrap w:val="0"/>
            <w:vAlign w:val="center"/>
          </w:tcPr>
          <w:p>
            <w:pPr>
              <w:pStyle w:val="106"/>
              <w:rPr>
                <w:rFonts w:hint="eastAsia" w:ascii="仿宋" w:hAnsi="仿宋" w:eastAsia="仿宋" w:cs="仿宋"/>
                <w:sz w:val="21"/>
                <w:szCs w:val="21"/>
              </w:rPr>
            </w:pPr>
            <w:r>
              <w:rPr>
                <w:rFonts w:hint="eastAsia" w:ascii="仿宋" w:hAnsi="仿宋" w:eastAsia="仿宋" w:cs="仿宋"/>
                <w:sz w:val="21"/>
                <w:szCs w:val="21"/>
              </w:rPr>
              <w:t>已标价工程量清单符合第五章工程量清单的有关要求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4"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2.1.3（8）</w:t>
            </w:r>
          </w:p>
        </w:tc>
        <w:tc>
          <w:tcPr>
            <w:tcW w:w="1080" w:type="dxa"/>
            <w:vMerge w:val="continue"/>
            <w:noWrap w:val="0"/>
            <w:vAlign w:val="center"/>
          </w:tcPr>
          <w:p>
            <w:pPr>
              <w:snapToGrid w:val="0"/>
              <w:rPr>
                <w:rFonts w:hint="eastAsia" w:ascii="仿宋" w:hAnsi="仿宋" w:eastAsia="仿宋" w:cs="仿宋"/>
                <w:color w:val="000000"/>
              </w:rPr>
            </w:pPr>
          </w:p>
        </w:tc>
        <w:tc>
          <w:tcPr>
            <w:tcW w:w="2345" w:type="dxa"/>
            <w:noWrap w:val="0"/>
            <w:vAlign w:val="center"/>
          </w:tcPr>
          <w:p>
            <w:pPr>
              <w:pStyle w:val="106"/>
              <w:jc w:val="center"/>
              <w:rPr>
                <w:rFonts w:hint="eastAsia" w:ascii="仿宋" w:hAnsi="仿宋" w:eastAsia="仿宋" w:cs="仿宋"/>
                <w:sz w:val="21"/>
                <w:szCs w:val="21"/>
              </w:rPr>
            </w:pPr>
            <w:r>
              <w:rPr>
                <w:rFonts w:hint="eastAsia" w:ascii="仿宋" w:hAnsi="仿宋" w:eastAsia="仿宋" w:cs="仿宋"/>
                <w:sz w:val="21"/>
                <w:szCs w:val="21"/>
              </w:rPr>
              <w:t>技术标准和要求</w:t>
            </w:r>
          </w:p>
        </w:tc>
        <w:tc>
          <w:tcPr>
            <w:tcW w:w="4704" w:type="dxa"/>
            <w:gridSpan w:val="2"/>
            <w:noWrap w:val="0"/>
            <w:vAlign w:val="center"/>
          </w:tcPr>
          <w:p>
            <w:pPr>
              <w:pStyle w:val="106"/>
              <w:rPr>
                <w:rFonts w:hint="eastAsia" w:ascii="仿宋" w:hAnsi="仿宋" w:eastAsia="仿宋" w:cs="仿宋"/>
                <w:sz w:val="21"/>
                <w:szCs w:val="21"/>
              </w:rPr>
            </w:pPr>
            <w:r>
              <w:rPr>
                <w:rFonts w:hint="eastAsia" w:ascii="仿宋" w:hAnsi="仿宋" w:eastAsia="仿宋" w:cs="仿宋"/>
                <w:sz w:val="21"/>
                <w:szCs w:val="21"/>
              </w:rPr>
              <w:t>技术标准和要求符合第七章技术标准和要求（合同技术条款）的规定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4"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2.1.3（9）</w:t>
            </w:r>
          </w:p>
        </w:tc>
        <w:tc>
          <w:tcPr>
            <w:tcW w:w="1080" w:type="dxa"/>
            <w:vMerge w:val="continue"/>
            <w:noWrap w:val="0"/>
            <w:vAlign w:val="center"/>
          </w:tcPr>
          <w:p>
            <w:pPr>
              <w:snapToGrid w:val="0"/>
              <w:rPr>
                <w:rFonts w:hint="eastAsia" w:ascii="仿宋" w:hAnsi="仿宋" w:eastAsia="仿宋" w:cs="仿宋"/>
                <w:color w:val="000000"/>
              </w:rPr>
            </w:pPr>
          </w:p>
        </w:tc>
        <w:tc>
          <w:tcPr>
            <w:tcW w:w="2345" w:type="dxa"/>
            <w:noWrap w:val="0"/>
            <w:vAlign w:val="center"/>
          </w:tcPr>
          <w:p>
            <w:pPr>
              <w:pStyle w:val="106"/>
              <w:jc w:val="center"/>
              <w:rPr>
                <w:rFonts w:hint="eastAsia" w:ascii="仿宋" w:hAnsi="仿宋" w:eastAsia="仿宋" w:cs="仿宋"/>
                <w:sz w:val="21"/>
                <w:szCs w:val="21"/>
              </w:rPr>
            </w:pPr>
            <w:r>
              <w:rPr>
                <w:rFonts w:hint="eastAsia" w:ascii="仿宋" w:hAnsi="仿宋" w:eastAsia="仿宋" w:cs="仿宋"/>
                <w:sz w:val="21"/>
                <w:szCs w:val="21"/>
              </w:rPr>
              <w:t>对投标人的纪律要求</w:t>
            </w:r>
          </w:p>
        </w:tc>
        <w:tc>
          <w:tcPr>
            <w:tcW w:w="4704" w:type="dxa"/>
            <w:gridSpan w:val="2"/>
            <w:noWrap w:val="0"/>
            <w:vAlign w:val="center"/>
          </w:tcPr>
          <w:p>
            <w:pPr>
              <w:pStyle w:val="106"/>
              <w:rPr>
                <w:rFonts w:hint="eastAsia" w:ascii="仿宋" w:hAnsi="仿宋" w:eastAsia="仿宋" w:cs="仿宋"/>
                <w:sz w:val="21"/>
                <w:szCs w:val="21"/>
              </w:rPr>
            </w:pPr>
            <w:r>
              <w:rPr>
                <w:rFonts w:hint="eastAsia" w:ascii="仿宋" w:hAnsi="仿宋" w:eastAsia="仿宋" w:cs="仿宋"/>
                <w:sz w:val="21"/>
                <w:szCs w:val="21"/>
              </w:rPr>
              <w:t>符合第二章“投标人须知”第9.2款规定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4"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2.1.3（10）</w:t>
            </w:r>
          </w:p>
        </w:tc>
        <w:tc>
          <w:tcPr>
            <w:tcW w:w="1080" w:type="dxa"/>
            <w:vMerge w:val="continue"/>
            <w:noWrap w:val="0"/>
            <w:vAlign w:val="center"/>
          </w:tcPr>
          <w:p>
            <w:pPr>
              <w:snapToGrid w:val="0"/>
              <w:rPr>
                <w:rFonts w:hint="eastAsia" w:ascii="仿宋" w:hAnsi="仿宋" w:eastAsia="仿宋" w:cs="仿宋"/>
                <w:color w:val="000000"/>
              </w:rPr>
            </w:pPr>
          </w:p>
        </w:tc>
        <w:tc>
          <w:tcPr>
            <w:tcW w:w="2345" w:type="dxa"/>
            <w:noWrap w:val="0"/>
            <w:vAlign w:val="center"/>
          </w:tcPr>
          <w:p>
            <w:pPr>
              <w:pStyle w:val="106"/>
              <w:jc w:val="center"/>
              <w:rPr>
                <w:rFonts w:hint="eastAsia" w:ascii="仿宋" w:hAnsi="仿宋" w:eastAsia="仿宋" w:cs="仿宋"/>
                <w:sz w:val="21"/>
                <w:szCs w:val="21"/>
              </w:rPr>
            </w:pPr>
            <w:r>
              <w:rPr>
                <w:rFonts w:hint="eastAsia" w:ascii="仿宋" w:hAnsi="仿宋" w:eastAsia="仿宋" w:cs="仿宋"/>
                <w:sz w:val="21"/>
                <w:szCs w:val="21"/>
              </w:rPr>
              <w:t>工程结算款支付账户</w:t>
            </w:r>
          </w:p>
        </w:tc>
        <w:tc>
          <w:tcPr>
            <w:tcW w:w="4704" w:type="dxa"/>
            <w:gridSpan w:val="2"/>
            <w:noWrap w:val="0"/>
            <w:vAlign w:val="center"/>
          </w:tcPr>
          <w:p>
            <w:pPr>
              <w:pStyle w:val="106"/>
              <w:rPr>
                <w:rFonts w:hint="eastAsia" w:ascii="仿宋" w:hAnsi="仿宋" w:eastAsia="仿宋" w:cs="仿宋"/>
                <w:sz w:val="21"/>
                <w:szCs w:val="21"/>
              </w:rPr>
            </w:pPr>
            <w:r>
              <w:rPr>
                <w:rFonts w:hint="eastAsia" w:ascii="仿宋" w:hAnsi="仿宋" w:eastAsia="仿宋" w:cs="仿宋"/>
                <w:sz w:val="21"/>
                <w:szCs w:val="21"/>
              </w:rPr>
              <w:t>符合第二章“投标人须知”第10.3款规定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4"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2.1.3（11）</w:t>
            </w:r>
          </w:p>
        </w:tc>
        <w:tc>
          <w:tcPr>
            <w:tcW w:w="1080" w:type="dxa"/>
            <w:vMerge w:val="continue"/>
            <w:noWrap w:val="0"/>
            <w:vAlign w:val="center"/>
          </w:tcPr>
          <w:p>
            <w:pPr>
              <w:snapToGrid w:val="0"/>
              <w:rPr>
                <w:rFonts w:hint="eastAsia" w:ascii="仿宋" w:hAnsi="仿宋" w:eastAsia="仿宋" w:cs="仿宋"/>
                <w:color w:val="000000"/>
              </w:rPr>
            </w:pPr>
          </w:p>
        </w:tc>
        <w:tc>
          <w:tcPr>
            <w:tcW w:w="2345" w:type="dxa"/>
            <w:noWrap w:val="0"/>
            <w:vAlign w:val="center"/>
          </w:tcPr>
          <w:p>
            <w:pPr>
              <w:pStyle w:val="106"/>
              <w:jc w:val="center"/>
              <w:rPr>
                <w:rFonts w:hint="eastAsia" w:ascii="仿宋" w:hAnsi="仿宋" w:eastAsia="仿宋" w:cs="仿宋"/>
                <w:sz w:val="21"/>
                <w:szCs w:val="21"/>
              </w:rPr>
            </w:pPr>
            <w:r>
              <w:rPr>
                <w:rFonts w:hint="eastAsia" w:ascii="仿宋" w:hAnsi="仿宋" w:eastAsia="仿宋" w:cs="仿宋"/>
                <w:sz w:val="21"/>
                <w:szCs w:val="21"/>
              </w:rPr>
              <w:t>最高投标限价</w:t>
            </w:r>
          </w:p>
        </w:tc>
        <w:tc>
          <w:tcPr>
            <w:tcW w:w="4704" w:type="dxa"/>
            <w:gridSpan w:val="2"/>
            <w:noWrap w:val="0"/>
            <w:vAlign w:val="center"/>
          </w:tcPr>
          <w:p>
            <w:pPr>
              <w:pStyle w:val="106"/>
              <w:rPr>
                <w:rFonts w:hint="eastAsia" w:ascii="仿宋" w:hAnsi="仿宋" w:eastAsia="仿宋" w:cs="仿宋"/>
                <w:sz w:val="21"/>
                <w:szCs w:val="21"/>
              </w:rPr>
            </w:pPr>
            <w:r>
              <w:rPr>
                <w:rFonts w:hint="eastAsia" w:ascii="仿宋" w:hAnsi="仿宋" w:eastAsia="仿宋" w:cs="仿宋"/>
                <w:sz w:val="21"/>
                <w:szCs w:val="21"/>
              </w:rPr>
              <w:t>符合第二章“投标人须知</w:t>
            </w:r>
            <w:r>
              <w:rPr>
                <w:rFonts w:hint="eastAsia" w:ascii="仿宋" w:hAnsi="仿宋" w:eastAsia="仿宋" w:cs="仿宋"/>
                <w:kern w:val="2"/>
                <w:sz w:val="21"/>
                <w:szCs w:val="21"/>
              </w:rPr>
              <w:t>”第10.5款</w:t>
            </w:r>
            <w:r>
              <w:rPr>
                <w:rFonts w:hint="eastAsia" w:ascii="仿宋" w:hAnsi="仿宋" w:eastAsia="仿宋" w:cs="仿宋"/>
                <w:sz w:val="21"/>
                <w:szCs w:val="21"/>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4"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2.1.3（12）</w:t>
            </w:r>
          </w:p>
        </w:tc>
        <w:tc>
          <w:tcPr>
            <w:tcW w:w="1080" w:type="dxa"/>
            <w:vMerge w:val="continue"/>
            <w:noWrap w:val="0"/>
            <w:vAlign w:val="center"/>
          </w:tcPr>
          <w:p>
            <w:pPr>
              <w:snapToGrid w:val="0"/>
              <w:rPr>
                <w:rFonts w:hint="eastAsia" w:ascii="仿宋" w:hAnsi="仿宋" w:eastAsia="仿宋" w:cs="仿宋"/>
                <w:color w:val="000000"/>
              </w:rPr>
            </w:pPr>
          </w:p>
        </w:tc>
        <w:tc>
          <w:tcPr>
            <w:tcW w:w="2345" w:type="dxa"/>
            <w:noWrap w:val="0"/>
            <w:vAlign w:val="center"/>
          </w:tcPr>
          <w:p>
            <w:pPr>
              <w:pStyle w:val="106"/>
              <w:jc w:val="center"/>
              <w:rPr>
                <w:rFonts w:hint="eastAsia" w:ascii="仿宋" w:hAnsi="仿宋" w:eastAsia="仿宋" w:cs="仿宋"/>
                <w:sz w:val="21"/>
                <w:szCs w:val="21"/>
              </w:rPr>
            </w:pPr>
            <w:r>
              <w:rPr>
                <w:rFonts w:hint="eastAsia" w:ascii="仿宋" w:hAnsi="仿宋" w:eastAsia="仿宋" w:cs="仿宋"/>
              </w:rPr>
              <w:t>其它标准</w:t>
            </w:r>
          </w:p>
        </w:tc>
        <w:tc>
          <w:tcPr>
            <w:tcW w:w="4704" w:type="dxa"/>
            <w:gridSpan w:val="2"/>
            <w:noWrap w:val="0"/>
            <w:vAlign w:val="center"/>
          </w:tcPr>
          <w:p>
            <w:pPr>
              <w:pStyle w:val="106"/>
              <w:jc w:val="center"/>
              <w:rPr>
                <w:rFonts w:hint="eastAsia" w:ascii="仿宋" w:hAnsi="仿宋" w:eastAsia="仿宋" w:cs="仿宋"/>
                <w:sz w:val="21"/>
                <w:szCs w:val="21"/>
              </w:rPr>
            </w:pPr>
            <w:r>
              <w:rPr>
                <w:rFonts w:hint="eastAsia" w:ascii="仿宋" w:hAnsi="仿宋" w:eastAsia="仿宋" w:cs="仿宋"/>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4" w:type="dxa"/>
            <w:noWrap w:val="0"/>
            <w:vAlign w:val="center"/>
          </w:tcPr>
          <w:p>
            <w:pPr>
              <w:snapToGrid w:val="0"/>
              <w:jc w:val="center"/>
              <w:rPr>
                <w:rFonts w:hint="eastAsia" w:ascii="仿宋" w:hAnsi="仿宋" w:eastAsia="仿宋" w:cs="仿宋"/>
                <w:color w:val="000000"/>
              </w:rPr>
            </w:pPr>
          </w:p>
        </w:tc>
        <w:tc>
          <w:tcPr>
            <w:tcW w:w="1080" w:type="dxa"/>
            <w:vMerge w:val="continue"/>
            <w:noWrap w:val="0"/>
            <w:vAlign w:val="center"/>
          </w:tcPr>
          <w:p>
            <w:pPr>
              <w:snapToGrid w:val="0"/>
              <w:rPr>
                <w:rFonts w:hint="eastAsia" w:ascii="仿宋" w:hAnsi="仿宋" w:eastAsia="仿宋" w:cs="仿宋"/>
                <w:color w:val="000000"/>
              </w:rPr>
            </w:pPr>
          </w:p>
        </w:tc>
        <w:tc>
          <w:tcPr>
            <w:tcW w:w="7049" w:type="dxa"/>
            <w:gridSpan w:val="3"/>
            <w:noWrap w:val="0"/>
            <w:vAlign w:val="center"/>
          </w:tcPr>
          <w:p>
            <w:pPr>
              <w:pStyle w:val="106"/>
              <w:jc w:val="center"/>
              <w:rPr>
                <w:rFonts w:hint="eastAsia" w:ascii="仿宋" w:hAnsi="仿宋" w:eastAsia="仿宋" w:cs="仿宋"/>
                <w:b/>
                <w:sz w:val="21"/>
                <w:szCs w:val="21"/>
              </w:rPr>
            </w:pPr>
            <w:r>
              <w:rPr>
                <w:rFonts w:hint="eastAsia" w:ascii="仿宋" w:hAnsi="仿宋" w:eastAsia="仿宋" w:cs="仿宋"/>
                <w:b/>
                <w:sz w:val="21"/>
                <w:szCs w:val="21"/>
              </w:rPr>
              <w:t>详见本章附表3-3（3）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54" w:type="dxa"/>
            <w:gridSpan w:val="2"/>
            <w:noWrap w:val="0"/>
            <w:vAlign w:val="center"/>
          </w:tcPr>
          <w:p>
            <w:pPr>
              <w:snapToGrid w:val="0"/>
              <w:jc w:val="center"/>
              <w:rPr>
                <w:rFonts w:hint="eastAsia" w:ascii="仿宋" w:hAnsi="仿宋" w:eastAsia="仿宋" w:cs="仿宋"/>
                <w:b/>
                <w:color w:val="000000"/>
              </w:rPr>
            </w:pPr>
            <w:r>
              <w:rPr>
                <w:rFonts w:hint="eastAsia" w:ascii="仿宋" w:hAnsi="仿宋" w:eastAsia="仿宋" w:cs="仿宋"/>
                <w:b/>
                <w:color w:val="000000"/>
              </w:rPr>
              <w:t>条款号</w:t>
            </w:r>
          </w:p>
        </w:tc>
        <w:tc>
          <w:tcPr>
            <w:tcW w:w="2378" w:type="dxa"/>
            <w:gridSpan w:val="2"/>
            <w:noWrap w:val="0"/>
            <w:vAlign w:val="center"/>
          </w:tcPr>
          <w:p>
            <w:pPr>
              <w:pStyle w:val="106"/>
              <w:jc w:val="center"/>
              <w:rPr>
                <w:rFonts w:hint="eastAsia" w:ascii="仿宋" w:hAnsi="仿宋" w:eastAsia="仿宋" w:cs="仿宋"/>
                <w:b/>
                <w:sz w:val="21"/>
                <w:szCs w:val="21"/>
              </w:rPr>
            </w:pPr>
            <w:r>
              <w:rPr>
                <w:rFonts w:hint="eastAsia" w:ascii="仿宋" w:hAnsi="仿宋" w:eastAsia="仿宋" w:cs="仿宋"/>
                <w:b/>
                <w:sz w:val="21"/>
                <w:szCs w:val="21"/>
              </w:rPr>
              <w:t>条款内容</w:t>
            </w:r>
          </w:p>
        </w:tc>
        <w:tc>
          <w:tcPr>
            <w:tcW w:w="4671" w:type="dxa"/>
            <w:noWrap w:val="0"/>
            <w:vAlign w:val="center"/>
          </w:tcPr>
          <w:p>
            <w:pPr>
              <w:pStyle w:val="106"/>
              <w:jc w:val="center"/>
              <w:rPr>
                <w:rFonts w:hint="eastAsia" w:ascii="仿宋" w:hAnsi="仿宋" w:eastAsia="仿宋" w:cs="仿宋"/>
                <w:b/>
                <w:sz w:val="21"/>
                <w:szCs w:val="21"/>
              </w:rPr>
            </w:pPr>
            <w:r>
              <w:rPr>
                <w:rFonts w:hint="eastAsia" w:ascii="仿宋" w:hAnsi="仿宋" w:eastAsia="仿宋" w:cs="仿宋"/>
                <w:b/>
                <w:sz w:val="21"/>
                <w:szCs w:val="21"/>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354" w:type="dxa"/>
            <w:gridSpan w:val="2"/>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rPr>
              <w:t>2.2.1</w:t>
            </w:r>
            <w:r>
              <w:rPr>
                <w:rFonts w:hint="eastAsia" w:ascii="仿宋" w:hAnsi="仿宋" w:eastAsia="仿宋" w:cs="仿宋"/>
                <w:color w:val="000000"/>
                <w:szCs w:val="21"/>
              </w:rPr>
              <w:t>（1）</w:t>
            </w:r>
          </w:p>
        </w:tc>
        <w:tc>
          <w:tcPr>
            <w:tcW w:w="2378" w:type="dxa"/>
            <w:gridSpan w:val="2"/>
            <w:vMerge w:val="restart"/>
            <w:noWrap w:val="0"/>
            <w:vAlign w:val="center"/>
          </w:tcPr>
          <w:p>
            <w:pPr>
              <w:pStyle w:val="106"/>
              <w:jc w:val="center"/>
              <w:rPr>
                <w:rFonts w:hint="eastAsia" w:ascii="仿宋" w:hAnsi="仿宋" w:eastAsia="仿宋" w:cs="仿宋"/>
                <w:sz w:val="21"/>
                <w:szCs w:val="21"/>
              </w:rPr>
            </w:pPr>
            <w:r>
              <w:rPr>
                <w:rFonts w:hint="eastAsia" w:ascii="仿宋" w:hAnsi="仿宋" w:eastAsia="仿宋" w:cs="仿宋"/>
                <w:sz w:val="21"/>
                <w:szCs w:val="21"/>
              </w:rPr>
              <w:t>分值构成</w:t>
            </w:r>
          </w:p>
          <w:p>
            <w:pPr>
              <w:pStyle w:val="106"/>
              <w:jc w:val="center"/>
              <w:rPr>
                <w:rFonts w:hint="eastAsia" w:ascii="仿宋" w:hAnsi="仿宋" w:eastAsia="仿宋" w:cs="仿宋"/>
                <w:sz w:val="21"/>
                <w:szCs w:val="21"/>
              </w:rPr>
            </w:pPr>
            <w:r>
              <w:rPr>
                <w:rFonts w:hint="eastAsia" w:ascii="仿宋" w:hAnsi="仿宋" w:eastAsia="仿宋" w:cs="仿宋"/>
                <w:sz w:val="21"/>
                <w:szCs w:val="21"/>
              </w:rPr>
              <w:t>（总分100分，在总分得分基础上单独进行不良行为记录扣分））</w:t>
            </w:r>
          </w:p>
        </w:tc>
        <w:tc>
          <w:tcPr>
            <w:tcW w:w="4671" w:type="dxa"/>
            <w:noWrap w:val="0"/>
            <w:vAlign w:val="center"/>
          </w:tcPr>
          <w:p>
            <w:pPr>
              <w:pStyle w:val="106"/>
              <w:rPr>
                <w:rFonts w:hint="eastAsia" w:ascii="仿宋" w:hAnsi="仿宋" w:eastAsia="仿宋" w:cs="仿宋"/>
                <w:sz w:val="21"/>
                <w:szCs w:val="21"/>
              </w:rPr>
            </w:pPr>
            <w:r>
              <w:rPr>
                <w:rFonts w:hint="eastAsia" w:ascii="仿宋" w:hAnsi="仿宋" w:eastAsia="仿宋" w:cs="仿宋"/>
                <w:sz w:val="21"/>
                <w:szCs w:val="21"/>
              </w:rPr>
              <w:t>技术投标文件：</w:t>
            </w:r>
            <w:r>
              <w:rPr>
                <w:rFonts w:hint="eastAsia" w:ascii="仿宋" w:hAnsi="仿宋" w:eastAsia="仿宋" w:cs="仿宋"/>
                <w:sz w:val="21"/>
                <w:szCs w:val="21"/>
                <w:u w:val="single"/>
              </w:rPr>
              <w:t xml:space="preserve"> 15～30 </w:t>
            </w:r>
            <w:r>
              <w:rPr>
                <w:rFonts w:hint="eastAsia" w:ascii="仿宋" w:hAnsi="仿宋" w:eastAsia="仿宋" w:cs="仿宋"/>
                <w:sz w:val="21"/>
                <w:szCs w:val="21"/>
              </w:rPr>
              <w:t xml:space="preserve">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2354" w:type="dxa"/>
            <w:gridSpan w:val="2"/>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2.2.1</w:t>
            </w:r>
            <w:r>
              <w:rPr>
                <w:rFonts w:hint="eastAsia" w:ascii="仿宋" w:hAnsi="仿宋" w:eastAsia="仿宋" w:cs="仿宋"/>
                <w:color w:val="000000"/>
                <w:szCs w:val="21"/>
              </w:rPr>
              <w:t>（2）</w:t>
            </w:r>
          </w:p>
        </w:tc>
        <w:tc>
          <w:tcPr>
            <w:tcW w:w="2378" w:type="dxa"/>
            <w:gridSpan w:val="2"/>
            <w:vMerge w:val="continue"/>
            <w:noWrap w:val="0"/>
            <w:vAlign w:val="center"/>
          </w:tcPr>
          <w:p>
            <w:pPr>
              <w:pStyle w:val="106"/>
              <w:jc w:val="center"/>
              <w:rPr>
                <w:rFonts w:hint="eastAsia" w:ascii="仿宋" w:hAnsi="仿宋" w:eastAsia="仿宋" w:cs="仿宋"/>
                <w:sz w:val="21"/>
                <w:szCs w:val="21"/>
              </w:rPr>
            </w:pPr>
          </w:p>
        </w:tc>
        <w:tc>
          <w:tcPr>
            <w:tcW w:w="4671" w:type="dxa"/>
            <w:noWrap w:val="0"/>
            <w:vAlign w:val="center"/>
          </w:tcPr>
          <w:p>
            <w:pPr>
              <w:pStyle w:val="106"/>
              <w:rPr>
                <w:rFonts w:hint="eastAsia" w:ascii="仿宋" w:hAnsi="仿宋" w:eastAsia="仿宋" w:cs="仿宋"/>
                <w:sz w:val="21"/>
                <w:szCs w:val="21"/>
              </w:rPr>
            </w:pPr>
            <w:r>
              <w:rPr>
                <w:rFonts w:hint="eastAsia" w:ascii="仿宋" w:hAnsi="仿宋" w:eastAsia="仿宋" w:cs="仿宋"/>
                <w:sz w:val="21"/>
                <w:szCs w:val="21"/>
              </w:rPr>
              <w:t>项目管理机构：</w:t>
            </w:r>
            <w:r>
              <w:rPr>
                <w:rFonts w:hint="eastAsia" w:ascii="仿宋" w:hAnsi="仿宋" w:eastAsia="仿宋" w:cs="仿宋"/>
                <w:sz w:val="21"/>
                <w:szCs w:val="21"/>
                <w:u w:val="single"/>
              </w:rPr>
              <w:t xml:space="preserve"> 8～10 </w:t>
            </w:r>
            <w:r>
              <w:rPr>
                <w:rFonts w:hint="eastAsia" w:ascii="仿宋" w:hAnsi="仿宋" w:eastAsia="仿宋" w:cs="仿宋"/>
                <w:sz w:val="21"/>
                <w:szCs w:val="21"/>
              </w:rPr>
              <w:t xml:space="preserve">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2354" w:type="dxa"/>
            <w:gridSpan w:val="2"/>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2.2.1</w:t>
            </w:r>
            <w:r>
              <w:rPr>
                <w:rFonts w:hint="eastAsia" w:ascii="仿宋" w:hAnsi="仿宋" w:eastAsia="仿宋" w:cs="仿宋"/>
                <w:color w:val="000000"/>
                <w:szCs w:val="21"/>
              </w:rPr>
              <w:t>（3）</w:t>
            </w:r>
          </w:p>
        </w:tc>
        <w:tc>
          <w:tcPr>
            <w:tcW w:w="2378" w:type="dxa"/>
            <w:gridSpan w:val="2"/>
            <w:vMerge w:val="continue"/>
            <w:noWrap w:val="0"/>
            <w:vAlign w:val="center"/>
          </w:tcPr>
          <w:p>
            <w:pPr>
              <w:pStyle w:val="106"/>
              <w:jc w:val="center"/>
              <w:rPr>
                <w:rFonts w:hint="eastAsia" w:ascii="仿宋" w:hAnsi="仿宋" w:eastAsia="仿宋" w:cs="仿宋"/>
                <w:sz w:val="21"/>
                <w:szCs w:val="21"/>
              </w:rPr>
            </w:pPr>
          </w:p>
        </w:tc>
        <w:tc>
          <w:tcPr>
            <w:tcW w:w="4671" w:type="dxa"/>
            <w:noWrap w:val="0"/>
            <w:vAlign w:val="center"/>
          </w:tcPr>
          <w:p>
            <w:pPr>
              <w:pStyle w:val="106"/>
              <w:rPr>
                <w:rFonts w:hint="eastAsia" w:ascii="仿宋" w:hAnsi="仿宋" w:eastAsia="仿宋" w:cs="仿宋"/>
                <w:sz w:val="21"/>
                <w:szCs w:val="21"/>
              </w:rPr>
            </w:pPr>
            <w:r>
              <w:rPr>
                <w:rFonts w:hint="eastAsia" w:ascii="仿宋" w:hAnsi="仿宋" w:eastAsia="仿宋" w:cs="仿宋"/>
                <w:sz w:val="21"/>
                <w:szCs w:val="21"/>
              </w:rPr>
              <w:t>信誉等其他评分因素：</w:t>
            </w:r>
            <w:r>
              <w:rPr>
                <w:rFonts w:hint="eastAsia" w:ascii="仿宋" w:hAnsi="仿宋" w:eastAsia="仿宋" w:cs="仿宋"/>
                <w:sz w:val="21"/>
                <w:szCs w:val="21"/>
                <w:u w:val="single"/>
              </w:rPr>
              <w:t xml:space="preserve">7～15 </w:t>
            </w:r>
            <w:r>
              <w:rPr>
                <w:rFonts w:hint="eastAsia" w:ascii="仿宋" w:hAnsi="仿宋" w:eastAsia="仿宋" w:cs="仿宋"/>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2354" w:type="dxa"/>
            <w:gridSpan w:val="2"/>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2.2.1</w:t>
            </w:r>
            <w:r>
              <w:rPr>
                <w:rFonts w:hint="eastAsia" w:ascii="仿宋" w:hAnsi="仿宋" w:eastAsia="仿宋" w:cs="仿宋"/>
                <w:color w:val="000000"/>
                <w:szCs w:val="21"/>
              </w:rPr>
              <w:t>（4）</w:t>
            </w:r>
          </w:p>
        </w:tc>
        <w:tc>
          <w:tcPr>
            <w:tcW w:w="2378" w:type="dxa"/>
            <w:gridSpan w:val="2"/>
            <w:vMerge w:val="continue"/>
            <w:noWrap w:val="0"/>
            <w:vAlign w:val="center"/>
          </w:tcPr>
          <w:p>
            <w:pPr>
              <w:pStyle w:val="106"/>
              <w:jc w:val="center"/>
              <w:rPr>
                <w:rFonts w:hint="eastAsia" w:ascii="仿宋" w:hAnsi="仿宋" w:eastAsia="仿宋" w:cs="仿宋"/>
                <w:sz w:val="21"/>
                <w:szCs w:val="21"/>
              </w:rPr>
            </w:pPr>
          </w:p>
        </w:tc>
        <w:tc>
          <w:tcPr>
            <w:tcW w:w="4671" w:type="dxa"/>
            <w:noWrap w:val="0"/>
            <w:vAlign w:val="center"/>
          </w:tcPr>
          <w:p>
            <w:pPr>
              <w:pStyle w:val="106"/>
              <w:rPr>
                <w:rFonts w:hint="eastAsia" w:ascii="仿宋" w:hAnsi="仿宋" w:eastAsia="仿宋" w:cs="仿宋"/>
                <w:sz w:val="21"/>
                <w:szCs w:val="21"/>
              </w:rPr>
            </w:pPr>
            <w:r>
              <w:rPr>
                <w:rFonts w:hint="eastAsia" w:ascii="仿宋" w:hAnsi="仿宋" w:eastAsia="仿宋" w:cs="仿宋"/>
                <w:sz w:val="21"/>
                <w:szCs w:val="21"/>
              </w:rPr>
              <w:t>投标报价：</w:t>
            </w:r>
            <w:r>
              <w:rPr>
                <w:rFonts w:hint="eastAsia" w:ascii="仿宋" w:hAnsi="仿宋" w:eastAsia="仿宋" w:cs="仿宋"/>
                <w:sz w:val="21"/>
                <w:szCs w:val="21"/>
                <w:u w:val="single"/>
              </w:rPr>
              <w:t xml:space="preserve"> 50～70 </w:t>
            </w:r>
            <w:r>
              <w:rPr>
                <w:rFonts w:hint="eastAsia" w:ascii="仿宋" w:hAnsi="仿宋" w:eastAsia="仿宋" w:cs="仿宋"/>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2354" w:type="dxa"/>
            <w:gridSpan w:val="2"/>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2.2.1</w:t>
            </w:r>
            <w:r>
              <w:rPr>
                <w:rFonts w:hint="eastAsia" w:ascii="仿宋" w:hAnsi="仿宋" w:eastAsia="仿宋" w:cs="仿宋"/>
                <w:color w:val="000000"/>
                <w:szCs w:val="21"/>
              </w:rPr>
              <w:t>（5）</w:t>
            </w:r>
          </w:p>
        </w:tc>
        <w:tc>
          <w:tcPr>
            <w:tcW w:w="2378" w:type="dxa"/>
            <w:gridSpan w:val="2"/>
            <w:vMerge w:val="continue"/>
            <w:noWrap w:val="0"/>
            <w:vAlign w:val="center"/>
          </w:tcPr>
          <w:p>
            <w:pPr>
              <w:pStyle w:val="106"/>
              <w:jc w:val="center"/>
              <w:rPr>
                <w:rFonts w:hint="eastAsia" w:ascii="仿宋" w:hAnsi="仿宋" w:eastAsia="仿宋" w:cs="仿宋"/>
                <w:sz w:val="21"/>
                <w:szCs w:val="21"/>
              </w:rPr>
            </w:pPr>
          </w:p>
        </w:tc>
        <w:tc>
          <w:tcPr>
            <w:tcW w:w="4671" w:type="dxa"/>
            <w:noWrap w:val="0"/>
            <w:vAlign w:val="center"/>
          </w:tcPr>
          <w:p>
            <w:pPr>
              <w:pStyle w:val="106"/>
              <w:rPr>
                <w:rFonts w:hint="eastAsia" w:ascii="仿宋" w:hAnsi="仿宋" w:eastAsia="仿宋" w:cs="仿宋"/>
                <w:sz w:val="21"/>
                <w:szCs w:val="21"/>
              </w:rPr>
            </w:pPr>
            <w:r>
              <w:rPr>
                <w:rFonts w:hint="eastAsia" w:ascii="仿宋" w:hAnsi="仿宋" w:eastAsia="仿宋" w:cs="仿宋"/>
                <w:sz w:val="21"/>
                <w:szCs w:val="21"/>
              </w:rPr>
              <w:t>不良行为记录扣分：每项扣1分或0.25分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2354" w:type="dxa"/>
            <w:gridSpan w:val="2"/>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rPr>
              <w:t>2.2.2</w:t>
            </w:r>
          </w:p>
        </w:tc>
        <w:tc>
          <w:tcPr>
            <w:tcW w:w="2378" w:type="dxa"/>
            <w:gridSpan w:val="2"/>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评标基准价计算</w:t>
            </w:r>
          </w:p>
        </w:tc>
        <w:tc>
          <w:tcPr>
            <w:tcW w:w="4671" w:type="dxa"/>
            <w:noWrap w:val="0"/>
            <w:vAlign w:val="center"/>
          </w:tcPr>
          <w:p>
            <w:pPr>
              <w:snapToGrid w:val="0"/>
              <w:rPr>
                <w:rFonts w:hint="eastAsia" w:ascii="仿宋" w:hAnsi="仿宋" w:eastAsia="仿宋" w:cs="仿宋"/>
                <w:color w:val="000000"/>
                <w:szCs w:val="21"/>
              </w:rPr>
            </w:pPr>
            <w:r>
              <w:rPr>
                <w:rFonts w:hint="eastAsia" w:ascii="仿宋" w:hAnsi="仿宋" w:eastAsia="仿宋" w:cs="仿宋"/>
                <w:color w:val="000000"/>
              </w:rPr>
              <w:t>详见本章正文“2.2.2 评标基准价计算”。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2354" w:type="dxa"/>
            <w:gridSpan w:val="2"/>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2.2.3</w:t>
            </w:r>
          </w:p>
        </w:tc>
        <w:tc>
          <w:tcPr>
            <w:tcW w:w="2378" w:type="dxa"/>
            <w:gridSpan w:val="2"/>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投标报价的偏差率</w:t>
            </w:r>
          </w:p>
          <w:p>
            <w:pPr>
              <w:snapToGrid w:val="0"/>
              <w:jc w:val="center"/>
              <w:rPr>
                <w:rFonts w:hint="eastAsia" w:ascii="仿宋" w:hAnsi="仿宋" w:eastAsia="仿宋" w:cs="仿宋"/>
                <w:color w:val="000000"/>
              </w:rPr>
            </w:pPr>
            <w:r>
              <w:rPr>
                <w:rFonts w:hint="eastAsia" w:ascii="仿宋" w:hAnsi="仿宋" w:eastAsia="仿宋" w:cs="仿宋"/>
                <w:color w:val="000000"/>
              </w:rPr>
              <w:t>计算公式</w:t>
            </w:r>
          </w:p>
        </w:tc>
        <w:tc>
          <w:tcPr>
            <w:tcW w:w="4671"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详见本章正文“2.2.3 投标报价的偏差率计算”。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54" w:type="dxa"/>
            <w:gridSpan w:val="2"/>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2.2.4（1）</w:t>
            </w:r>
          </w:p>
        </w:tc>
        <w:tc>
          <w:tcPr>
            <w:tcW w:w="2378" w:type="dxa"/>
            <w:gridSpan w:val="2"/>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技术投标文件评分标准</w:t>
            </w:r>
          </w:p>
        </w:tc>
        <w:tc>
          <w:tcPr>
            <w:tcW w:w="4671"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详见本章</w:t>
            </w:r>
            <w:r>
              <w:rPr>
                <w:rFonts w:hint="eastAsia" w:ascii="仿宋" w:hAnsi="仿宋" w:eastAsia="仿宋" w:cs="仿宋"/>
                <w:b/>
                <w:color w:val="000000"/>
                <w:szCs w:val="21"/>
              </w:rPr>
              <w:t>附表3-7（1）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54" w:type="dxa"/>
            <w:gridSpan w:val="2"/>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2.2.4（2）</w:t>
            </w:r>
          </w:p>
        </w:tc>
        <w:tc>
          <w:tcPr>
            <w:tcW w:w="2378" w:type="dxa"/>
            <w:gridSpan w:val="2"/>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项目管理机构评分标准</w:t>
            </w:r>
          </w:p>
        </w:tc>
        <w:tc>
          <w:tcPr>
            <w:tcW w:w="4671" w:type="dxa"/>
            <w:noWrap w:val="0"/>
            <w:vAlign w:val="center"/>
          </w:tcPr>
          <w:p>
            <w:pPr>
              <w:jc w:val="center"/>
              <w:rPr>
                <w:rFonts w:hint="eastAsia" w:ascii="仿宋" w:hAnsi="仿宋" w:eastAsia="仿宋" w:cs="仿宋"/>
                <w:color w:val="000000"/>
              </w:rPr>
            </w:pPr>
            <w:r>
              <w:rPr>
                <w:rFonts w:hint="eastAsia" w:ascii="仿宋" w:hAnsi="仿宋" w:eastAsia="仿宋" w:cs="仿宋"/>
                <w:color w:val="000000"/>
              </w:rPr>
              <w:t>详见本章</w:t>
            </w:r>
            <w:r>
              <w:rPr>
                <w:rFonts w:hint="eastAsia" w:ascii="仿宋" w:hAnsi="仿宋" w:eastAsia="仿宋" w:cs="仿宋"/>
                <w:b/>
                <w:color w:val="000000"/>
                <w:szCs w:val="21"/>
              </w:rPr>
              <w:t>附表3-7（2）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54" w:type="dxa"/>
            <w:gridSpan w:val="2"/>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2.2.4（3）</w:t>
            </w:r>
          </w:p>
        </w:tc>
        <w:tc>
          <w:tcPr>
            <w:tcW w:w="2378" w:type="dxa"/>
            <w:gridSpan w:val="2"/>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信誉等其他评分标准</w:t>
            </w:r>
          </w:p>
        </w:tc>
        <w:tc>
          <w:tcPr>
            <w:tcW w:w="4671"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详见本章</w:t>
            </w:r>
            <w:r>
              <w:rPr>
                <w:rFonts w:hint="eastAsia" w:ascii="仿宋" w:hAnsi="仿宋" w:eastAsia="仿宋" w:cs="仿宋"/>
                <w:b/>
                <w:color w:val="000000"/>
                <w:szCs w:val="21"/>
              </w:rPr>
              <w:t>附表3-7（3）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54" w:type="dxa"/>
            <w:gridSpan w:val="2"/>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2.2.4（4）</w:t>
            </w:r>
          </w:p>
        </w:tc>
        <w:tc>
          <w:tcPr>
            <w:tcW w:w="2378" w:type="dxa"/>
            <w:gridSpan w:val="2"/>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投标报价评分标准</w:t>
            </w:r>
          </w:p>
        </w:tc>
        <w:tc>
          <w:tcPr>
            <w:tcW w:w="4671"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详见本章</w:t>
            </w:r>
            <w:r>
              <w:rPr>
                <w:rFonts w:hint="eastAsia" w:ascii="仿宋" w:hAnsi="仿宋" w:eastAsia="仿宋" w:cs="仿宋"/>
                <w:b/>
                <w:color w:val="000000"/>
                <w:szCs w:val="21"/>
              </w:rPr>
              <w:t>附表3-7（4）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2354" w:type="dxa"/>
            <w:gridSpan w:val="2"/>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2.2.4（5）</w:t>
            </w:r>
          </w:p>
        </w:tc>
        <w:tc>
          <w:tcPr>
            <w:tcW w:w="2378" w:type="dxa"/>
            <w:gridSpan w:val="2"/>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不良行为记录扣分</w:t>
            </w:r>
          </w:p>
        </w:tc>
        <w:tc>
          <w:tcPr>
            <w:tcW w:w="4671" w:type="dxa"/>
            <w:noWrap w:val="0"/>
            <w:vAlign w:val="center"/>
          </w:tcPr>
          <w:p>
            <w:pPr>
              <w:snapToGrid w:val="0"/>
              <w:rPr>
                <w:rFonts w:hint="eastAsia" w:ascii="仿宋" w:hAnsi="仿宋" w:eastAsia="仿宋" w:cs="仿宋"/>
                <w:color w:val="000000"/>
                <w:szCs w:val="21"/>
              </w:rPr>
            </w:pPr>
            <w:r>
              <w:rPr>
                <w:rFonts w:hint="eastAsia" w:ascii="汉仪书宋二S" w:hAnsi="汉仪书宋二S" w:eastAsia="汉仪书宋二S" w:cs="汉仪书宋二S"/>
                <w:color w:val="000000"/>
                <w:szCs w:val="21"/>
              </w:rPr>
              <w:t>①</w:t>
            </w:r>
            <w:r>
              <w:rPr>
                <w:rFonts w:hint="eastAsia" w:ascii="仿宋" w:hAnsi="仿宋" w:eastAsia="仿宋" w:cs="仿宋"/>
                <w:color w:val="000000"/>
                <w:szCs w:val="21"/>
              </w:rPr>
              <w:t>湖南省农业农村厅、市州级农业农村局正在处罚或在公告期内的不良行为记录，每项扣1分；县市区级农业农村部门正在处罚或在公告期内的不良行为记录，每项扣0.25分；</w:t>
            </w:r>
          </w:p>
          <w:p>
            <w:pPr>
              <w:snapToGrid w:val="0"/>
              <w:rPr>
                <w:rFonts w:hint="eastAsia" w:ascii="仿宋" w:hAnsi="仿宋" w:eastAsia="仿宋" w:cs="仿宋"/>
                <w:color w:val="000000"/>
                <w:szCs w:val="21"/>
              </w:rPr>
            </w:pPr>
            <w:r>
              <w:rPr>
                <w:rFonts w:hint="eastAsia" w:ascii="汉仪书宋二S" w:hAnsi="汉仪书宋二S" w:eastAsia="汉仪书宋二S" w:cs="汉仪书宋二S"/>
                <w:color w:val="000000"/>
                <w:szCs w:val="21"/>
              </w:rPr>
              <w:t>②</w:t>
            </w:r>
            <w:r>
              <w:rPr>
                <w:rFonts w:hint="eastAsia" w:ascii="仿宋" w:hAnsi="仿宋" w:eastAsia="仿宋" w:cs="仿宋"/>
                <w:color w:val="000000"/>
                <w:szCs w:val="21"/>
              </w:rPr>
              <w:t>从事建设工程项目被湖南省相关行政主管部门正在处罚或在公告期内的不良行为记录，每项扣0.25分；</w:t>
            </w:r>
          </w:p>
          <w:p>
            <w:pPr>
              <w:snapToGrid w:val="0"/>
              <w:rPr>
                <w:rFonts w:hint="eastAsia" w:ascii="仿宋" w:hAnsi="仿宋" w:eastAsia="仿宋" w:cs="仿宋"/>
                <w:color w:val="000000"/>
              </w:rPr>
            </w:pPr>
            <w:r>
              <w:rPr>
                <w:rFonts w:hint="eastAsia" w:ascii="汉仪书宋二S" w:hAnsi="汉仪书宋二S" w:eastAsia="汉仪书宋二S" w:cs="汉仪书宋二S"/>
                <w:color w:val="000000"/>
                <w:szCs w:val="21"/>
              </w:rPr>
              <w:t>③</w:t>
            </w:r>
            <w:r>
              <w:rPr>
                <w:rFonts w:hint="eastAsia" w:ascii="仿宋" w:hAnsi="仿宋" w:eastAsia="仿宋" w:cs="仿宋"/>
                <w:color w:val="000000"/>
                <w:szCs w:val="21"/>
              </w:rPr>
              <w:t>处罚或不良行为记录累计扣分不超过投标人信誉分值。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2354" w:type="dxa"/>
            <w:gridSpan w:val="2"/>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rPr>
              <w:t>3.4.1</w:t>
            </w:r>
            <w:r>
              <w:rPr>
                <w:rFonts w:hint="eastAsia" w:ascii="仿宋" w:hAnsi="仿宋" w:eastAsia="仿宋" w:cs="仿宋"/>
                <w:color w:val="000000"/>
                <w:szCs w:val="21"/>
              </w:rPr>
              <w:t xml:space="preserve"> </w:t>
            </w:r>
          </w:p>
        </w:tc>
        <w:tc>
          <w:tcPr>
            <w:tcW w:w="2378" w:type="dxa"/>
            <w:gridSpan w:val="2"/>
            <w:noWrap w:val="0"/>
            <w:vAlign w:val="center"/>
          </w:tcPr>
          <w:p>
            <w:pPr>
              <w:snapToGrid w:val="0"/>
              <w:rPr>
                <w:rFonts w:hint="eastAsia" w:ascii="仿宋" w:hAnsi="仿宋" w:eastAsia="仿宋" w:cs="仿宋"/>
                <w:color w:val="000000"/>
              </w:rPr>
            </w:pPr>
            <w:r>
              <w:rPr>
                <w:rFonts w:hint="eastAsia" w:ascii="仿宋" w:hAnsi="仿宋" w:eastAsia="仿宋" w:cs="仿宋"/>
                <w:color w:val="000000"/>
              </w:rPr>
              <w:t>投标人最终得分的计算方法</w:t>
            </w:r>
          </w:p>
        </w:tc>
        <w:tc>
          <w:tcPr>
            <w:tcW w:w="4671" w:type="dxa"/>
            <w:noWrap w:val="0"/>
            <w:vAlign w:val="center"/>
          </w:tcPr>
          <w:p>
            <w:pPr>
              <w:snapToGrid w:val="0"/>
              <w:rPr>
                <w:rFonts w:hint="eastAsia" w:ascii="仿宋" w:hAnsi="仿宋" w:eastAsia="仿宋" w:cs="仿宋"/>
                <w:color w:val="000000"/>
                <w:szCs w:val="21"/>
              </w:rPr>
            </w:pPr>
            <w:r>
              <w:rPr>
                <w:rFonts w:hint="eastAsia" w:ascii="仿宋" w:hAnsi="仿宋" w:eastAsia="仿宋" w:cs="仿宋"/>
                <w:color w:val="000000"/>
              </w:rPr>
              <w:t>投标人最终得分为</w:t>
            </w:r>
            <w:r>
              <w:rPr>
                <w:rFonts w:hint="eastAsia" w:ascii="仿宋" w:hAnsi="仿宋" w:eastAsia="仿宋" w:cs="仿宋"/>
                <w:color w:val="000000"/>
                <w:szCs w:val="21"/>
              </w:rPr>
              <w:t>技术投标文件、项目管理机构、信誉等其他评分因素、投标报价和不良行为扣分项5个方面评价得分之和</w:t>
            </w:r>
            <w:r>
              <w:rPr>
                <w:rFonts w:hint="eastAsia" w:ascii="仿宋" w:hAnsi="仿宋" w:eastAsia="仿宋" w:cs="仿宋"/>
                <w:color w:val="000000"/>
              </w:rPr>
              <w:t>。</w:t>
            </w:r>
          </w:p>
        </w:tc>
      </w:tr>
    </w:tbl>
    <w:p>
      <w:pPr>
        <w:autoSpaceDE w:val="0"/>
        <w:autoSpaceDN w:val="0"/>
        <w:adjustRightInd w:val="0"/>
        <w:jc w:val="left"/>
        <w:rPr>
          <w:rFonts w:hint="eastAsia" w:ascii="仿宋" w:hAnsi="仿宋" w:eastAsia="仿宋" w:cs="仿宋"/>
          <w:color w:val="000000"/>
          <w:spacing w:val="15"/>
          <w:kern w:val="0"/>
          <w:sz w:val="18"/>
          <w:szCs w:val="18"/>
        </w:rPr>
      </w:pPr>
      <w:r>
        <w:rPr>
          <w:rFonts w:hint="eastAsia" w:ascii="仿宋" w:hAnsi="仿宋" w:eastAsia="仿宋" w:cs="仿宋"/>
          <w:b/>
          <w:color w:val="000000"/>
          <w:kern w:val="0"/>
          <w:sz w:val="18"/>
          <w:szCs w:val="18"/>
        </w:rPr>
        <w:t>备注：</w:t>
      </w:r>
      <w:r>
        <w:rPr>
          <w:rFonts w:hint="eastAsia" w:ascii="仿宋" w:hAnsi="仿宋" w:eastAsia="仿宋" w:cs="仿宋"/>
          <w:color w:val="000000"/>
          <w:spacing w:val="15"/>
          <w:kern w:val="0"/>
          <w:sz w:val="18"/>
          <w:szCs w:val="18"/>
        </w:rPr>
        <w:t>1.</w:t>
      </w:r>
      <w:r>
        <w:rPr>
          <w:rFonts w:hint="eastAsia" w:ascii="仿宋" w:hAnsi="仿宋" w:eastAsia="仿宋" w:cs="仿宋"/>
          <w:color w:val="000000"/>
          <w:sz w:val="18"/>
          <w:szCs w:val="18"/>
        </w:rPr>
        <w:t>相关专业最低资质等级单位承担的工程</w:t>
      </w:r>
      <w:r>
        <w:rPr>
          <w:rFonts w:hint="eastAsia" w:ascii="仿宋" w:hAnsi="仿宋" w:eastAsia="仿宋" w:cs="仿宋"/>
          <w:color w:val="000000"/>
          <w:spacing w:val="15"/>
          <w:kern w:val="0"/>
          <w:sz w:val="18"/>
          <w:szCs w:val="18"/>
        </w:rPr>
        <w:t>，类似工程业绩不作为投标人资格审查条件。</w:t>
      </w:r>
    </w:p>
    <w:p>
      <w:pPr>
        <w:autoSpaceDE w:val="0"/>
        <w:autoSpaceDN w:val="0"/>
        <w:adjustRightInd w:val="0"/>
        <w:ind w:firstLine="540" w:firstLineChars="300"/>
        <w:jc w:val="left"/>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2.类似工程业绩见投标人须知前附表第1.4.1项、第10.1款的规定和投标人须知第3.5.3项的要求。</w:t>
      </w:r>
    </w:p>
    <w:p>
      <w:pPr>
        <w:autoSpaceDE w:val="0"/>
        <w:autoSpaceDN w:val="0"/>
        <w:adjustRightInd w:val="0"/>
        <w:ind w:firstLine="540" w:firstLineChars="300"/>
        <w:jc w:val="left"/>
        <w:rPr>
          <w:rFonts w:hint="eastAsia" w:ascii="仿宋" w:hAnsi="仿宋" w:eastAsia="仿宋" w:cs="仿宋"/>
          <w:color w:val="000000"/>
          <w:sz w:val="18"/>
          <w:szCs w:val="18"/>
        </w:rPr>
      </w:pPr>
      <w:r>
        <w:rPr>
          <w:rFonts w:hint="eastAsia" w:ascii="仿宋" w:hAnsi="仿宋" w:eastAsia="仿宋" w:cs="仿宋"/>
          <w:color w:val="000000"/>
          <w:sz w:val="18"/>
          <w:szCs w:val="18"/>
        </w:rPr>
        <w:t>3.不良行为记录：住建部门以“全国建筑市场监管公共服务平台”或“湖南省智慧住建云”发布的《湖南省建筑市场责任主体不良行为记录》为准；水利部门以“水利部水利建设市场监管平台”或“湖南省水利建设市场综合监管系统”公示的不良行为为准；其他不良行为记录以相关行政主管部门文件为准。</w:t>
      </w:r>
    </w:p>
    <w:p>
      <w:pPr>
        <w:pStyle w:val="6"/>
        <w:keepNext w:val="0"/>
        <w:keepLines w:val="0"/>
        <w:spacing w:before="0" w:after="0" w:line="490" w:lineRule="exact"/>
        <w:ind w:firstLine="482" w:firstLineChars="200"/>
        <w:rPr>
          <w:rFonts w:hint="eastAsia" w:ascii="仿宋" w:hAnsi="仿宋" w:eastAsia="仿宋" w:cs="仿宋"/>
          <w:bCs w:val="0"/>
          <w:color w:val="000000"/>
        </w:rPr>
      </w:pPr>
      <w:r>
        <w:rPr>
          <w:color w:val="000000"/>
        </w:rPr>
        <w:br w:type="page"/>
      </w:r>
      <w:bookmarkStart w:id="852" w:name="_Toc9767"/>
      <w:bookmarkStart w:id="853" w:name="_Toc25821"/>
      <w:bookmarkStart w:id="854" w:name="_Toc51091868"/>
      <w:r>
        <w:rPr>
          <w:rFonts w:hint="eastAsia" w:ascii="仿宋" w:hAnsi="仿宋" w:eastAsia="仿宋" w:cs="仿宋"/>
          <w:bCs w:val="0"/>
          <w:color w:val="000000"/>
        </w:rPr>
        <w:t>1．评标方法</w:t>
      </w:r>
      <w:bookmarkEnd w:id="852"/>
      <w:bookmarkEnd w:id="853"/>
      <w:bookmarkEnd w:id="854"/>
    </w:p>
    <w:p>
      <w:pPr>
        <w:autoSpaceDE w:val="0"/>
        <w:autoSpaceDN w:val="0"/>
        <w:adjustRightInd w:val="0"/>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本次评标采用综合评估法，技术投标文件（施工组织设计，下同）采用暗标评审方式。评标委员会对满足招标文件实质性要求的投标文件，按照本章第2.2 款规定的评分标准进行打分，并按得分由高到低顺序推荐中标候选人，或根据招标人授权直接确定中标人，但投标报价低于其成本的除外。综合评分相等时，以投标报价低的优先；投标报价也相等的，由招标人自行确定。</w:t>
      </w:r>
    </w:p>
    <w:p>
      <w:pPr>
        <w:pStyle w:val="6"/>
        <w:keepNext w:val="0"/>
        <w:keepLines w:val="0"/>
        <w:spacing w:before="0" w:after="0" w:line="490" w:lineRule="exact"/>
        <w:ind w:firstLine="482" w:firstLineChars="200"/>
        <w:rPr>
          <w:rFonts w:hint="eastAsia" w:ascii="仿宋" w:hAnsi="仿宋" w:eastAsia="仿宋" w:cs="仿宋"/>
          <w:bCs w:val="0"/>
          <w:color w:val="000000"/>
        </w:rPr>
      </w:pPr>
      <w:bookmarkStart w:id="855" w:name="_Toc2591"/>
      <w:bookmarkStart w:id="856" w:name="_Toc10068"/>
      <w:bookmarkStart w:id="857" w:name="_Toc51091869"/>
      <w:r>
        <w:rPr>
          <w:rFonts w:hint="eastAsia" w:ascii="仿宋" w:hAnsi="仿宋" w:eastAsia="仿宋" w:cs="仿宋"/>
          <w:bCs w:val="0"/>
          <w:color w:val="000000"/>
        </w:rPr>
        <w:t>2．评审标准</w:t>
      </w:r>
      <w:bookmarkEnd w:id="855"/>
      <w:bookmarkEnd w:id="856"/>
      <w:bookmarkEnd w:id="857"/>
    </w:p>
    <w:p>
      <w:pPr>
        <w:pStyle w:val="7"/>
        <w:keepNext w:val="0"/>
        <w:keepLines w:val="0"/>
        <w:overflowPunct w:val="0"/>
        <w:topLinePunct/>
        <w:snapToGrid w:val="0"/>
        <w:spacing w:before="0" w:after="0" w:line="490" w:lineRule="exact"/>
        <w:ind w:firstLine="482"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2.1初步评审标准</w:t>
      </w:r>
    </w:p>
    <w:p>
      <w:pPr>
        <w:autoSpaceDE w:val="0"/>
        <w:autoSpaceDN w:val="0"/>
        <w:adjustRightInd w:val="0"/>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2.1.1  形式评审标准：</w:t>
      </w:r>
    </w:p>
    <w:p>
      <w:pPr>
        <w:autoSpaceDE w:val="0"/>
        <w:autoSpaceDN w:val="0"/>
        <w:adjustRightInd w:val="0"/>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（1）投标人名称应与营业执照、资质证书、安全生产许可证一致；</w:t>
      </w:r>
    </w:p>
    <w:p>
      <w:pPr>
        <w:autoSpaceDE w:val="0"/>
        <w:autoSpaceDN w:val="0"/>
        <w:adjustRightInd w:val="0"/>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（2）投标文件的签字盖章符合第二章投标人须知第3.7.3项规定；</w:t>
      </w:r>
    </w:p>
    <w:p>
      <w:pPr>
        <w:autoSpaceDE w:val="0"/>
        <w:autoSpaceDN w:val="0"/>
        <w:adjustRightInd w:val="0"/>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（3）投标文件完整性符合第八章投标文件格式的要求；</w:t>
      </w:r>
    </w:p>
    <w:p>
      <w:pPr>
        <w:autoSpaceDE w:val="0"/>
        <w:autoSpaceDN w:val="0"/>
        <w:adjustRightInd w:val="0"/>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（4）只能有一个报价；</w:t>
      </w:r>
    </w:p>
    <w:p>
      <w:pPr>
        <w:autoSpaceDE w:val="0"/>
        <w:autoSpaceDN w:val="0"/>
        <w:adjustRightInd w:val="0"/>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（5）联合体投标人应提交联合体协议书，并明确联合体牵头人；</w:t>
      </w:r>
    </w:p>
    <w:p>
      <w:pPr>
        <w:autoSpaceDE w:val="0"/>
        <w:autoSpaceDN w:val="0"/>
        <w:adjustRightInd w:val="0"/>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（6）技术投标文件暗标的制作要求符合第二章投标人须知第3.7.5项规定。</w:t>
      </w:r>
    </w:p>
    <w:p>
      <w:pPr>
        <w:autoSpaceDE w:val="0"/>
        <w:autoSpaceDN w:val="0"/>
        <w:adjustRightInd w:val="0"/>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（7）形式评审其它标准见评标办法前附表。</w:t>
      </w:r>
    </w:p>
    <w:p>
      <w:pPr>
        <w:autoSpaceDE w:val="0"/>
        <w:autoSpaceDN w:val="0"/>
        <w:adjustRightInd w:val="0"/>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2.1.2  资格评审标准：</w:t>
      </w:r>
    </w:p>
    <w:p>
      <w:pPr>
        <w:autoSpaceDE w:val="0"/>
        <w:autoSpaceDN w:val="0"/>
        <w:adjustRightInd w:val="0"/>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（1）具备有效的营业执照；</w:t>
      </w:r>
    </w:p>
    <w:p>
      <w:pPr>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（2）具备有效的安全生产许可证；</w:t>
      </w:r>
    </w:p>
    <w:p>
      <w:pPr>
        <w:autoSpaceDE w:val="0"/>
        <w:autoSpaceDN w:val="0"/>
        <w:adjustRightInd w:val="0"/>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（3）具备有效的资质证书且资质等级符合第二章投标人须知第1.4.1项规定；</w:t>
      </w:r>
    </w:p>
    <w:p>
      <w:pPr>
        <w:snapToGrid w:val="0"/>
        <w:spacing w:line="490" w:lineRule="exact"/>
        <w:ind w:firstLine="480" w:firstLineChars="200"/>
        <w:rPr>
          <w:rFonts w:hint="eastAsia" w:ascii="仿宋" w:hAnsi="仿宋" w:eastAsia="仿宋" w:cs="仿宋"/>
          <w:color w:val="000000"/>
          <w:kern w:val="0"/>
          <w:sz w:val="24"/>
        </w:rPr>
      </w:pPr>
      <w:r>
        <w:rPr>
          <w:rFonts w:hint="eastAsia" w:ascii="仿宋" w:hAnsi="仿宋" w:eastAsia="仿宋" w:cs="仿宋"/>
          <w:color w:val="000000"/>
          <w:kern w:val="0"/>
          <w:sz w:val="24"/>
        </w:rPr>
        <w:t>（4）业绩符合第二章投标人须知第1.4.1项规定；</w:t>
      </w:r>
    </w:p>
    <w:p>
      <w:pPr>
        <w:snapToGrid w:val="0"/>
        <w:spacing w:line="490" w:lineRule="exact"/>
        <w:ind w:firstLine="480" w:firstLineChars="200"/>
        <w:rPr>
          <w:rFonts w:hint="eastAsia" w:ascii="仿宋" w:hAnsi="仿宋" w:eastAsia="仿宋" w:cs="仿宋"/>
          <w:color w:val="000000"/>
          <w:kern w:val="0"/>
          <w:sz w:val="24"/>
        </w:rPr>
      </w:pPr>
      <w:r>
        <w:rPr>
          <w:rFonts w:hint="eastAsia" w:ascii="仿宋" w:hAnsi="仿宋" w:eastAsia="仿宋" w:cs="仿宋"/>
          <w:color w:val="000000"/>
          <w:kern w:val="0"/>
          <w:sz w:val="24"/>
        </w:rPr>
        <w:t>（5）信誉符合第二章投标人须知第1.4.1项规定；</w:t>
      </w:r>
    </w:p>
    <w:p>
      <w:pPr>
        <w:spacing w:line="490" w:lineRule="exact"/>
        <w:ind w:firstLine="480" w:firstLineChars="200"/>
        <w:rPr>
          <w:rFonts w:hint="eastAsia" w:ascii="仿宋" w:hAnsi="仿宋" w:eastAsia="仿宋" w:cs="仿宋"/>
          <w:color w:val="000000"/>
          <w:kern w:val="0"/>
          <w:sz w:val="24"/>
        </w:rPr>
      </w:pPr>
      <w:r>
        <w:rPr>
          <w:rFonts w:hint="eastAsia" w:ascii="仿宋" w:hAnsi="仿宋" w:eastAsia="仿宋" w:cs="仿宋"/>
          <w:color w:val="000000"/>
          <w:kern w:val="0"/>
          <w:sz w:val="24"/>
        </w:rPr>
        <w:t>（6）项目负责人资格符合第二章投标人须知第1.4.1项规定；</w:t>
      </w:r>
    </w:p>
    <w:p>
      <w:pPr>
        <w:snapToGrid w:val="0"/>
        <w:spacing w:line="490" w:lineRule="exact"/>
        <w:ind w:firstLine="480" w:firstLineChars="200"/>
        <w:rPr>
          <w:rFonts w:hint="eastAsia" w:ascii="仿宋" w:hAnsi="仿宋" w:eastAsia="仿宋" w:cs="仿宋"/>
          <w:color w:val="000000"/>
          <w:kern w:val="0"/>
          <w:sz w:val="24"/>
        </w:rPr>
      </w:pPr>
      <w:r>
        <w:rPr>
          <w:rFonts w:hint="eastAsia" w:ascii="仿宋" w:hAnsi="仿宋" w:eastAsia="仿宋" w:cs="仿宋"/>
          <w:color w:val="000000"/>
          <w:kern w:val="0"/>
          <w:sz w:val="24"/>
        </w:rPr>
        <w:t>（7）企业负责人具备有效的建设或水行政主管部门颁发的安全生产考核合格证书；</w:t>
      </w:r>
    </w:p>
    <w:p>
      <w:pPr>
        <w:spacing w:line="490" w:lineRule="exact"/>
        <w:ind w:firstLine="480" w:firstLineChars="200"/>
        <w:rPr>
          <w:rFonts w:hint="eastAsia" w:ascii="仿宋" w:hAnsi="仿宋" w:eastAsia="仿宋" w:cs="仿宋"/>
          <w:color w:val="000000"/>
          <w:kern w:val="0"/>
          <w:sz w:val="24"/>
        </w:rPr>
      </w:pPr>
      <w:r>
        <w:rPr>
          <w:rFonts w:hint="eastAsia" w:ascii="仿宋" w:hAnsi="仿宋" w:eastAsia="仿宋" w:cs="仿宋"/>
          <w:color w:val="000000"/>
          <w:kern w:val="0"/>
          <w:sz w:val="24"/>
        </w:rPr>
        <w:t>（8）技术负责人资格符合第二章投标人须知第1.4.1项规定；</w:t>
      </w:r>
    </w:p>
    <w:p>
      <w:pPr>
        <w:spacing w:line="490" w:lineRule="exact"/>
        <w:ind w:firstLine="480" w:firstLineChars="200"/>
        <w:rPr>
          <w:rFonts w:hint="eastAsia" w:ascii="仿宋" w:hAnsi="仿宋" w:eastAsia="仿宋" w:cs="仿宋"/>
          <w:color w:val="000000"/>
          <w:kern w:val="0"/>
          <w:sz w:val="24"/>
        </w:rPr>
      </w:pPr>
      <w:r>
        <w:rPr>
          <w:rFonts w:hint="eastAsia" w:ascii="仿宋" w:hAnsi="仿宋" w:eastAsia="仿宋" w:cs="仿宋"/>
          <w:color w:val="000000"/>
          <w:kern w:val="0"/>
          <w:sz w:val="24"/>
        </w:rPr>
        <w:t>（9）专职安全员资格符合第二章投标人须知第1.4.1项规定；</w:t>
      </w:r>
    </w:p>
    <w:p>
      <w:pPr>
        <w:spacing w:line="490" w:lineRule="exact"/>
        <w:ind w:firstLine="480" w:firstLineChars="200"/>
        <w:rPr>
          <w:rFonts w:hint="eastAsia" w:ascii="仿宋" w:hAnsi="仿宋" w:eastAsia="仿宋" w:cs="仿宋"/>
          <w:color w:val="000000"/>
          <w:kern w:val="0"/>
          <w:sz w:val="24"/>
        </w:rPr>
      </w:pPr>
      <w:r>
        <w:rPr>
          <w:rFonts w:hint="eastAsia" w:ascii="仿宋" w:hAnsi="仿宋" w:eastAsia="仿宋" w:cs="仿宋"/>
          <w:color w:val="000000"/>
          <w:kern w:val="0"/>
          <w:sz w:val="24"/>
        </w:rPr>
        <w:t>（10）其它要求符合第二章投标人须知第1.4.1项规定；</w:t>
      </w:r>
    </w:p>
    <w:p>
      <w:pPr>
        <w:spacing w:line="490" w:lineRule="exact"/>
        <w:ind w:firstLine="480" w:firstLineChars="200"/>
        <w:rPr>
          <w:rFonts w:hint="eastAsia" w:ascii="仿宋" w:hAnsi="仿宋" w:eastAsia="仿宋" w:cs="仿宋"/>
          <w:color w:val="000000"/>
          <w:kern w:val="0"/>
          <w:sz w:val="24"/>
        </w:rPr>
      </w:pPr>
      <w:r>
        <w:rPr>
          <w:rFonts w:hint="eastAsia" w:ascii="仿宋" w:hAnsi="仿宋" w:eastAsia="仿宋" w:cs="仿宋"/>
          <w:color w:val="000000"/>
          <w:kern w:val="0"/>
          <w:sz w:val="24"/>
        </w:rPr>
        <w:t>（11）</w:t>
      </w:r>
      <w:r>
        <w:rPr>
          <w:rFonts w:hint="eastAsia" w:ascii="仿宋" w:hAnsi="仿宋" w:eastAsia="仿宋" w:cs="仿宋"/>
          <w:color w:val="000000"/>
          <w:sz w:val="24"/>
        </w:rPr>
        <w:t>联合体投标人</w:t>
      </w:r>
      <w:r>
        <w:rPr>
          <w:rFonts w:hint="eastAsia" w:ascii="仿宋" w:hAnsi="仿宋" w:eastAsia="仿宋" w:cs="仿宋"/>
          <w:color w:val="000000"/>
          <w:kern w:val="0"/>
          <w:sz w:val="24"/>
        </w:rPr>
        <w:t>符合第二章投标人须知第1.4.2项规定；</w:t>
      </w:r>
    </w:p>
    <w:p>
      <w:pPr>
        <w:spacing w:line="490" w:lineRule="exact"/>
        <w:ind w:firstLine="480" w:firstLineChars="200"/>
        <w:rPr>
          <w:rFonts w:hint="eastAsia" w:ascii="仿宋" w:hAnsi="仿宋" w:eastAsia="仿宋" w:cs="仿宋"/>
          <w:color w:val="000000"/>
          <w:kern w:val="0"/>
          <w:sz w:val="24"/>
        </w:rPr>
      </w:pPr>
      <w:r>
        <w:rPr>
          <w:rFonts w:hint="eastAsia" w:ascii="仿宋" w:hAnsi="仿宋" w:eastAsia="仿宋" w:cs="仿宋"/>
          <w:color w:val="000000"/>
          <w:kern w:val="0"/>
          <w:sz w:val="24"/>
        </w:rPr>
        <w:t>（12）其它标准不存在第二章投标人须知第1.4.3 项规定的任何一种情形；</w:t>
      </w:r>
    </w:p>
    <w:p>
      <w:pPr>
        <w:spacing w:line="490" w:lineRule="exact"/>
        <w:ind w:firstLine="480" w:firstLineChars="200"/>
        <w:rPr>
          <w:rFonts w:hint="eastAsia" w:ascii="仿宋" w:hAnsi="仿宋" w:eastAsia="仿宋" w:cs="仿宋"/>
          <w:color w:val="000000"/>
          <w:kern w:val="0"/>
          <w:sz w:val="24"/>
        </w:rPr>
      </w:pPr>
      <w:r>
        <w:rPr>
          <w:rFonts w:hint="eastAsia" w:ascii="仿宋" w:hAnsi="仿宋" w:eastAsia="仿宋" w:cs="仿宋"/>
          <w:color w:val="000000"/>
          <w:kern w:val="0"/>
          <w:sz w:val="24"/>
        </w:rPr>
        <w:t>（13）资格评审其它标准见评标办法前附表。</w:t>
      </w:r>
    </w:p>
    <w:p>
      <w:pPr>
        <w:autoSpaceDE w:val="0"/>
        <w:autoSpaceDN w:val="0"/>
        <w:adjustRightInd w:val="0"/>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2.1.3  响应性评审标准：</w:t>
      </w:r>
    </w:p>
    <w:p>
      <w:pPr>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（1）投标范围符合第二章投标人须知第1.3.1项规定；</w:t>
      </w:r>
    </w:p>
    <w:p>
      <w:pPr>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（2）计划工期符合第二章投标人须知第1.3.2项规定；</w:t>
      </w:r>
    </w:p>
    <w:p>
      <w:pPr>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（3）工程质量符合第二章投标人须知第1.3.3项规定；</w:t>
      </w:r>
    </w:p>
    <w:p>
      <w:pPr>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（4）投标有效期符合第二章投标人须知第3.3.1项规定；</w:t>
      </w:r>
    </w:p>
    <w:p>
      <w:pPr>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（5）投标担保符合第二章投标人须知第3.4款规定；</w:t>
      </w:r>
    </w:p>
    <w:p>
      <w:pPr>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（6）权利义务符合第四章合同条款及格式规定的权利义务；</w:t>
      </w:r>
    </w:p>
    <w:p>
      <w:pPr>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（7）已标价工程量清单符合第五章工程量清单的有关要求；</w:t>
      </w:r>
    </w:p>
    <w:p>
      <w:pPr>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（8）技术标准和要求符合第七章技术标准和要求（合同技术条款）的规定；</w:t>
      </w:r>
    </w:p>
    <w:p>
      <w:pPr>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（9）对投标人的纪律要求符合第二章“投标人须知”第9.2款规定；</w:t>
      </w:r>
    </w:p>
    <w:p>
      <w:pPr>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（10）工程结算款支付账户符合第二章投标人须知第10.3款规定；</w:t>
      </w:r>
    </w:p>
    <w:p>
      <w:pPr>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（11）最高投标限价符合第二章投标人须知第10.5款规定；</w:t>
      </w:r>
    </w:p>
    <w:p>
      <w:pPr>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（12）响应性评审其它标准见评标办法前附表。</w:t>
      </w:r>
    </w:p>
    <w:p>
      <w:pPr>
        <w:pStyle w:val="7"/>
        <w:keepNext w:val="0"/>
        <w:keepLines w:val="0"/>
        <w:overflowPunct w:val="0"/>
        <w:topLinePunct/>
        <w:snapToGrid w:val="0"/>
        <w:spacing w:before="0" w:after="0" w:line="490" w:lineRule="exact"/>
        <w:ind w:firstLine="482"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2.2分值构成与评分标准</w:t>
      </w:r>
    </w:p>
    <w:p>
      <w:pPr>
        <w:autoSpaceDE w:val="0"/>
        <w:autoSpaceDN w:val="0"/>
        <w:adjustRightInd w:val="0"/>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2.2.1  分值构成</w:t>
      </w:r>
    </w:p>
    <w:p>
      <w:pPr>
        <w:autoSpaceDE w:val="0"/>
        <w:autoSpaceDN w:val="0"/>
        <w:adjustRightInd w:val="0"/>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（1）技术投标文件：见评标办法前附表；</w:t>
      </w:r>
    </w:p>
    <w:p>
      <w:pPr>
        <w:autoSpaceDE w:val="0"/>
        <w:autoSpaceDN w:val="0"/>
        <w:adjustRightInd w:val="0"/>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（2）项目管理机构：见评标办法前附表；</w:t>
      </w:r>
    </w:p>
    <w:p>
      <w:pPr>
        <w:autoSpaceDE w:val="0"/>
        <w:autoSpaceDN w:val="0"/>
        <w:adjustRightInd w:val="0"/>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（3）信誉等其他评分因素：见评标办法前附表；</w:t>
      </w:r>
    </w:p>
    <w:p>
      <w:pPr>
        <w:autoSpaceDE w:val="0"/>
        <w:autoSpaceDN w:val="0"/>
        <w:adjustRightInd w:val="0"/>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（4）投标报价：见评标办法前附表；</w:t>
      </w:r>
    </w:p>
    <w:p>
      <w:pPr>
        <w:autoSpaceDE w:val="0"/>
        <w:autoSpaceDN w:val="0"/>
        <w:adjustRightInd w:val="0"/>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（5）不良行为记录扣分：见评标办法前附表。</w:t>
      </w:r>
    </w:p>
    <w:p>
      <w:pPr>
        <w:autoSpaceDE w:val="0"/>
        <w:autoSpaceDN w:val="0"/>
        <w:adjustRightInd w:val="0"/>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2.2.2  评标基准价计算</w:t>
      </w:r>
    </w:p>
    <w:p>
      <w:pPr>
        <w:autoSpaceDE w:val="0"/>
        <w:autoSpaceDN w:val="0"/>
        <w:adjustRightInd w:val="0"/>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采用最高投标限价和所有通过初步评审的合格投标人的有效投标报价的平均数确定评标基准价，评标基准价分两步计算：</w:t>
      </w:r>
    </w:p>
    <w:p>
      <w:pPr>
        <w:autoSpaceDE w:val="0"/>
        <w:autoSpaceDN w:val="0"/>
        <w:adjustRightInd w:val="0"/>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（1）将所有合格投标人的有效投标报价按算术平均的方法计算第一次平均价，若投标人的有效投标报价小于第一次平均价的</w:t>
      </w:r>
      <w:r>
        <w:rPr>
          <w:rFonts w:hint="eastAsia" w:ascii="仿宋" w:hAnsi="仿宋" w:eastAsia="仿宋" w:cs="仿宋"/>
          <w:color w:val="000000"/>
          <w:sz w:val="24"/>
          <w:u w:val="single"/>
        </w:rPr>
        <w:t xml:space="preserve">      </w:t>
      </w:r>
      <w:r>
        <w:rPr>
          <w:rFonts w:hint="eastAsia" w:ascii="仿宋" w:hAnsi="仿宋" w:eastAsia="仿宋" w:cs="仿宋"/>
          <w:b/>
          <w:color w:val="000000"/>
          <w:sz w:val="24"/>
        </w:rPr>
        <w:t>（取值区间：90%～95%）</w:t>
      </w:r>
      <w:r>
        <w:rPr>
          <w:rFonts w:hint="eastAsia" w:ascii="仿宋" w:hAnsi="仿宋" w:eastAsia="仿宋" w:cs="仿宋"/>
          <w:color w:val="000000"/>
          <w:sz w:val="24"/>
        </w:rPr>
        <w:t>，则该投标人的有效投标报价不进入下一步的评标基准价计算。</w:t>
      </w:r>
    </w:p>
    <w:p>
      <w:pPr>
        <w:autoSpaceDE w:val="0"/>
        <w:autoSpaceDN w:val="0"/>
        <w:adjustRightInd w:val="0"/>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（2）将余下的合格投标人的有效投标报价再次进行计算，得出经评审的最终评标基准价，基准价计算公式：</w:t>
      </w:r>
    </w:p>
    <w:p>
      <w:pPr>
        <w:autoSpaceDE w:val="0"/>
        <w:autoSpaceDN w:val="0"/>
        <w:adjustRightInd w:val="0"/>
        <w:ind w:firstLine="480" w:firstLineChars="200"/>
        <w:rPr>
          <w:rFonts w:hint="eastAsia" w:ascii="仿宋" w:hAnsi="仿宋" w:eastAsia="仿宋" w:cs="仿宋"/>
          <w:color w:val="000000"/>
          <w:sz w:val="24"/>
        </w:rPr>
      </w:pPr>
      <w:r>
        <w:rPr>
          <w:rFonts w:hint="eastAsia" w:ascii="仿宋" w:hAnsi="仿宋" w:eastAsia="仿宋" w:cs="仿宋"/>
          <w:color w:val="000000"/>
          <w:position w:val="-96"/>
          <w:sz w:val="24"/>
        </w:rPr>
        <w:object>
          <v:shape id="_x0000_i1026" o:spt="75" type="#_x0000_t75" style="height:109.25pt;width:388.5pt;" o:ole="t" filled="f" o:preferrelative="t" stroked="f" coordsize="21600,21600">
            <v:path/>
            <v:fill on="f" focussize="0,0"/>
            <v:stroke on="f"/>
            <v:imagedata r:id="rId31" o:title=""/>
            <o:lock v:ext="edit" aspectratio="t"/>
            <w10:wrap type="none"/>
            <w10:anchorlock/>
          </v:shape>
          <o:OLEObject Type="Embed" ProgID="Equation.3" ShapeID="_x0000_i1026" DrawAspect="Content" ObjectID="_1468075725" r:id="rId30">
            <o:LockedField>false</o:LockedField>
          </o:OLEObject>
        </w:object>
      </w:r>
    </w:p>
    <w:p>
      <w:pPr>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式中：</w:t>
      </w:r>
    </w:p>
    <w:p>
      <w:pPr>
        <w:spacing w:line="490" w:lineRule="exact"/>
        <w:ind w:firstLine="960" w:firstLineChars="400"/>
        <w:rPr>
          <w:rFonts w:hint="eastAsia" w:ascii="仿宋" w:hAnsi="仿宋" w:eastAsia="仿宋" w:cs="仿宋"/>
          <w:color w:val="000000"/>
          <w:sz w:val="24"/>
        </w:rPr>
      </w:pPr>
      <w:r>
        <w:rPr>
          <w:rFonts w:hint="eastAsia" w:ascii="仿宋" w:hAnsi="仿宋" w:eastAsia="仿宋" w:cs="仿宋"/>
          <w:color w:val="000000"/>
          <w:sz w:val="24"/>
        </w:rPr>
        <w:t>S—评标基准价；</w:t>
      </w:r>
    </w:p>
    <w:p>
      <w:pPr>
        <w:spacing w:line="490" w:lineRule="exact"/>
        <w:ind w:firstLine="960" w:firstLineChars="400"/>
        <w:rPr>
          <w:rFonts w:hint="eastAsia" w:ascii="仿宋" w:hAnsi="仿宋" w:eastAsia="仿宋" w:cs="仿宋"/>
          <w:color w:val="000000"/>
          <w:sz w:val="24"/>
        </w:rPr>
      </w:pPr>
      <w:r>
        <w:rPr>
          <w:rFonts w:hint="eastAsia" w:ascii="仿宋" w:hAnsi="仿宋" w:eastAsia="仿宋" w:cs="仿宋"/>
          <w:color w:val="000000"/>
          <w:sz w:val="24"/>
        </w:rPr>
        <w:t>T—招标人最高投标限价；</w:t>
      </w:r>
    </w:p>
    <w:p>
      <w:pPr>
        <w:spacing w:line="490" w:lineRule="exact"/>
        <w:ind w:firstLine="960" w:firstLineChars="400"/>
        <w:jc w:val="left"/>
        <w:rPr>
          <w:rFonts w:hint="eastAsia" w:ascii="仿宋" w:hAnsi="仿宋" w:eastAsia="仿宋" w:cs="仿宋"/>
          <w:color w:val="000000"/>
          <w:sz w:val="24"/>
        </w:rPr>
      </w:pPr>
      <w:r>
        <w:rPr>
          <w:rFonts w:hint="eastAsia" w:ascii="仿宋" w:hAnsi="仿宋" w:eastAsia="仿宋" w:cs="仿宋"/>
          <w:color w:val="000000"/>
          <w:sz w:val="24"/>
        </w:rPr>
        <w:t>C</w:t>
      </w:r>
      <w:r>
        <w:rPr>
          <w:rFonts w:hint="eastAsia" w:ascii="仿宋" w:hAnsi="仿宋" w:eastAsia="仿宋" w:cs="仿宋"/>
          <w:color w:val="000000"/>
          <w:sz w:val="24"/>
          <w:vertAlign w:val="subscript"/>
        </w:rPr>
        <w:t>1</w:t>
      </w:r>
      <w:r>
        <w:rPr>
          <w:rFonts w:hint="eastAsia" w:ascii="仿宋" w:hAnsi="仿宋" w:eastAsia="仿宋" w:cs="仿宋"/>
          <w:color w:val="000000"/>
          <w:sz w:val="24"/>
        </w:rPr>
        <w:t>、C</w:t>
      </w:r>
      <w:r>
        <w:rPr>
          <w:rFonts w:hint="eastAsia" w:ascii="仿宋" w:hAnsi="仿宋" w:eastAsia="仿宋" w:cs="仿宋"/>
          <w:color w:val="000000"/>
          <w:sz w:val="24"/>
          <w:vertAlign w:val="subscript"/>
        </w:rPr>
        <w:t>2</w:t>
      </w:r>
      <w:r>
        <w:rPr>
          <w:rFonts w:hint="eastAsia" w:ascii="仿宋" w:hAnsi="仿宋" w:eastAsia="仿宋" w:cs="仿宋"/>
          <w:color w:val="000000"/>
          <w:sz w:val="24"/>
        </w:rPr>
        <w:t>—分别为招标人最高投标限价和合格投标人有效报价平均数的权重系数，（C</w:t>
      </w:r>
      <w:r>
        <w:rPr>
          <w:rFonts w:hint="eastAsia" w:ascii="仿宋" w:hAnsi="仿宋" w:eastAsia="仿宋" w:cs="仿宋"/>
          <w:color w:val="000000"/>
          <w:sz w:val="24"/>
          <w:vertAlign w:val="subscript"/>
        </w:rPr>
        <w:t>1</w:t>
      </w:r>
      <w:r>
        <w:rPr>
          <w:rFonts w:hint="eastAsia" w:ascii="仿宋" w:hAnsi="仿宋" w:eastAsia="仿宋" w:cs="仿宋"/>
          <w:color w:val="000000"/>
          <w:sz w:val="24"/>
        </w:rPr>
        <w:t>，C</w:t>
      </w:r>
      <w:r>
        <w:rPr>
          <w:rFonts w:hint="eastAsia" w:ascii="仿宋" w:hAnsi="仿宋" w:eastAsia="仿宋" w:cs="仿宋"/>
          <w:color w:val="000000"/>
          <w:sz w:val="24"/>
          <w:vertAlign w:val="subscript"/>
        </w:rPr>
        <w:t>2</w:t>
      </w:r>
      <w:r>
        <w:rPr>
          <w:rFonts w:hint="eastAsia" w:ascii="仿宋" w:hAnsi="仿宋" w:eastAsia="仿宋" w:cs="仿宋"/>
          <w:color w:val="000000"/>
          <w:sz w:val="24"/>
        </w:rPr>
        <w:t>）共五组（0.3，0.7）、（0.4，0.6）、（0.5，0.5）、（0.6，0.4）、（0.7，0.3），由招标人在开标现场随机抽取一组；</w:t>
      </w:r>
    </w:p>
    <w:p>
      <w:pPr>
        <w:spacing w:line="490" w:lineRule="exact"/>
        <w:ind w:firstLine="960" w:firstLineChars="400"/>
        <w:rPr>
          <w:rFonts w:hint="eastAsia" w:ascii="仿宋" w:hAnsi="仿宋" w:eastAsia="仿宋" w:cs="仿宋"/>
          <w:color w:val="000000"/>
          <w:sz w:val="24"/>
        </w:rPr>
      </w:pPr>
      <w:r>
        <w:rPr>
          <w:rFonts w:hint="eastAsia" w:ascii="仿宋" w:hAnsi="仿宋" w:eastAsia="仿宋" w:cs="仿宋"/>
          <w:color w:val="000000"/>
          <w:sz w:val="24"/>
        </w:rPr>
        <w:t>β—招标人在开标现场随机抽取的下浮点数，下浮点数为：0.5％、1.0％、1.5％、2.0％、2.5％；</w:t>
      </w:r>
    </w:p>
    <w:p>
      <w:pPr>
        <w:spacing w:line="490" w:lineRule="exact"/>
        <w:ind w:firstLine="960" w:firstLineChars="400"/>
        <w:rPr>
          <w:rFonts w:hint="eastAsia" w:ascii="仿宋" w:hAnsi="仿宋" w:eastAsia="仿宋" w:cs="仿宋"/>
          <w:color w:val="000000"/>
          <w:sz w:val="24"/>
        </w:rPr>
      </w:pPr>
      <w:r>
        <w:rPr>
          <w:rFonts w:hint="eastAsia" w:ascii="仿宋" w:hAnsi="仿宋" w:eastAsia="仿宋" w:cs="仿宋"/>
          <w:color w:val="000000"/>
          <w:sz w:val="24"/>
        </w:rPr>
        <w:t>a</w:t>
      </w:r>
      <w:r>
        <w:rPr>
          <w:rFonts w:hint="eastAsia" w:ascii="仿宋" w:hAnsi="仿宋" w:eastAsia="仿宋" w:cs="仿宋"/>
          <w:color w:val="000000"/>
          <w:sz w:val="24"/>
          <w:vertAlign w:val="subscript"/>
        </w:rPr>
        <w:t>i</w:t>
      </w:r>
      <w:r>
        <w:rPr>
          <w:rFonts w:hint="eastAsia" w:ascii="仿宋" w:hAnsi="仿宋" w:eastAsia="仿宋" w:cs="仿宋"/>
          <w:color w:val="000000"/>
          <w:sz w:val="24"/>
        </w:rPr>
        <w:t>—进入基准价计算的合格投标人的有效报价（i＝1，2，…，n）；</w:t>
      </w:r>
    </w:p>
    <w:p>
      <w:pPr>
        <w:spacing w:line="490" w:lineRule="exact"/>
        <w:ind w:firstLine="960" w:firstLineChars="400"/>
        <w:rPr>
          <w:rFonts w:hint="eastAsia" w:ascii="仿宋" w:hAnsi="仿宋" w:eastAsia="仿宋" w:cs="仿宋"/>
          <w:color w:val="000000"/>
          <w:sz w:val="24"/>
        </w:rPr>
      </w:pPr>
      <w:r>
        <w:rPr>
          <w:rFonts w:hint="eastAsia" w:ascii="仿宋" w:hAnsi="仿宋" w:eastAsia="仿宋" w:cs="仿宋"/>
          <w:color w:val="000000"/>
          <w:sz w:val="24"/>
        </w:rPr>
        <w:t>n—进入基准价计算的合格投标人有效报价个数；</w:t>
      </w:r>
    </w:p>
    <w:p>
      <w:pPr>
        <w:spacing w:line="490" w:lineRule="exact"/>
        <w:ind w:firstLine="960" w:firstLineChars="400"/>
        <w:rPr>
          <w:rFonts w:hint="eastAsia" w:ascii="仿宋" w:hAnsi="仿宋" w:eastAsia="仿宋" w:cs="仿宋"/>
          <w:color w:val="000000"/>
          <w:sz w:val="24"/>
        </w:rPr>
      </w:pPr>
      <w:r>
        <w:rPr>
          <w:rFonts w:hint="eastAsia" w:ascii="仿宋" w:hAnsi="仿宋" w:eastAsia="仿宋" w:cs="仿宋"/>
          <w:color w:val="000000"/>
          <w:sz w:val="24"/>
        </w:rPr>
        <w:t>P—进入基准价计算最高的合格投标人有效报价；</w:t>
      </w:r>
    </w:p>
    <w:p>
      <w:pPr>
        <w:spacing w:line="490" w:lineRule="exact"/>
        <w:ind w:firstLine="960" w:firstLineChars="400"/>
        <w:rPr>
          <w:rFonts w:hint="eastAsia" w:ascii="仿宋" w:hAnsi="仿宋" w:eastAsia="仿宋" w:cs="仿宋"/>
          <w:color w:val="000000"/>
          <w:sz w:val="24"/>
        </w:rPr>
      </w:pPr>
      <w:r>
        <w:rPr>
          <w:rFonts w:hint="eastAsia" w:ascii="仿宋" w:hAnsi="仿宋" w:eastAsia="仿宋" w:cs="仿宋"/>
          <w:color w:val="000000"/>
          <w:sz w:val="24"/>
        </w:rPr>
        <w:t>Q—进入基准价计算最低的合格投标人有效报价。</w:t>
      </w:r>
    </w:p>
    <w:p>
      <w:pPr>
        <w:autoSpaceDE w:val="0"/>
        <w:autoSpaceDN w:val="0"/>
        <w:adjustRightInd w:val="0"/>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2.2.3  投标报价的偏差率计算</w:t>
      </w:r>
    </w:p>
    <w:p>
      <w:pPr>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偏差率＝（投标人报价－评标基准价）/评标基准价×100％。</w:t>
      </w:r>
    </w:p>
    <w:p>
      <w:pPr>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2.2.4  评分标准</w:t>
      </w:r>
    </w:p>
    <w:p>
      <w:pPr>
        <w:snapToGrid w:val="0"/>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（1）技术投标文件评分标准：见评标办法前附表；</w:t>
      </w:r>
    </w:p>
    <w:p>
      <w:pPr>
        <w:snapToGrid w:val="0"/>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（2）项目管理机构评分标准：见评标办法前附表；</w:t>
      </w:r>
    </w:p>
    <w:p>
      <w:pPr>
        <w:snapToGrid w:val="0"/>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（3）信誉等其他评分标准：见评标办法前附表；</w:t>
      </w:r>
    </w:p>
    <w:p>
      <w:pPr>
        <w:snapToGrid w:val="0"/>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（4）投标报价评分标准：见评标办法前附表；</w:t>
      </w:r>
    </w:p>
    <w:p>
      <w:pPr>
        <w:autoSpaceDE w:val="0"/>
        <w:autoSpaceDN w:val="0"/>
        <w:adjustRightInd w:val="0"/>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（5）不良行为记录扣分：见评标办法前附表。</w:t>
      </w:r>
    </w:p>
    <w:p>
      <w:pPr>
        <w:pStyle w:val="6"/>
        <w:keepNext w:val="0"/>
        <w:keepLines w:val="0"/>
        <w:spacing w:before="0" w:after="0" w:line="490" w:lineRule="exact"/>
        <w:ind w:firstLine="482" w:firstLineChars="200"/>
        <w:rPr>
          <w:rFonts w:hint="eastAsia" w:ascii="仿宋" w:hAnsi="仿宋" w:eastAsia="仿宋" w:cs="仿宋"/>
          <w:bCs w:val="0"/>
          <w:color w:val="000000"/>
        </w:rPr>
      </w:pPr>
      <w:bookmarkStart w:id="858" w:name="_Toc51091870"/>
      <w:bookmarkStart w:id="859" w:name="_Toc2189"/>
      <w:bookmarkStart w:id="860" w:name="_Toc28537"/>
      <w:r>
        <w:rPr>
          <w:rFonts w:hint="eastAsia" w:ascii="仿宋" w:hAnsi="仿宋" w:eastAsia="仿宋" w:cs="仿宋"/>
          <w:bCs w:val="0"/>
          <w:color w:val="000000"/>
        </w:rPr>
        <w:t>3．评标程序</w:t>
      </w:r>
      <w:bookmarkEnd w:id="858"/>
      <w:bookmarkEnd w:id="859"/>
      <w:bookmarkEnd w:id="860"/>
    </w:p>
    <w:p>
      <w:pPr>
        <w:pStyle w:val="7"/>
        <w:keepNext w:val="0"/>
        <w:keepLines w:val="0"/>
        <w:overflowPunct w:val="0"/>
        <w:topLinePunct/>
        <w:snapToGrid w:val="0"/>
        <w:spacing w:before="0" w:after="0" w:line="490" w:lineRule="exact"/>
        <w:ind w:firstLine="482"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3.1 初步评审</w:t>
      </w:r>
    </w:p>
    <w:p>
      <w:pPr>
        <w:autoSpaceDE w:val="0"/>
        <w:autoSpaceDN w:val="0"/>
        <w:adjustRightInd w:val="0"/>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3.1.1  评标委员会核验第二章“投标人须知”第3.5.1项至第3.5.5 项规定的有关证明和证件的原件扫描件。评标委员会依据本章第2.1款规定的标准对投标文件进行初步评审。有一项不符合评审标准的，评标委员会应当否决其投标。</w:t>
      </w:r>
    </w:p>
    <w:p>
      <w:pPr>
        <w:autoSpaceDE w:val="0"/>
        <w:autoSpaceDN w:val="0"/>
        <w:adjustRightInd w:val="0"/>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3.1.2  投标人有以下情形之一的，评标委员会应当否决其投标：</w:t>
      </w:r>
    </w:p>
    <w:p>
      <w:pPr>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（1）第二章“投标人须知”第1.4.3项规定的任何一种情形的；</w:t>
      </w:r>
    </w:p>
    <w:p>
      <w:pPr>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（2）串通投标或弄虚作假或有其他违法行为的；</w:t>
      </w:r>
    </w:p>
    <w:p>
      <w:pPr>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（3）不按评标委员会要求澄清、说明或补正的。</w:t>
      </w:r>
    </w:p>
    <w:p>
      <w:pPr>
        <w:autoSpaceDE w:val="0"/>
        <w:autoSpaceDN w:val="0"/>
        <w:adjustRightInd w:val="0"/>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3.1.3  投标报价有算术错误的，评标委员会按以下原则对投标报价进行修正，修正的价格经投标人书面确认后具有约束力。投标人不接受修正价格的，评标委员会应当否决其投标。</w:t>
      </w:r>
    </w:p>
    <w:p>
      <w:pPr>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（1）投标文件中的大写金额与小写金额不一致的，以大写金额为准；</w:t>
      </w:r>
    </w:p>
    <w:p>
      <w:pPr>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（2）总价金额与依据单价计算出的结果不一致的，以单价金额为准修正总价，但单价金额小数点有明显错误的除外。</w:t>
      </w:r>
    </w:p>
    <w:p>
      <w:pPr>
        <w:pStyle w:val="7"/>
        <w:keepNext w:val="0"/>
        <w:keepLines w:val="0"/>
        <w:overflowPunct w:val="0"/>
        <w:topLinePunct/>
        <w:snapToGrid w:val="0"/>
        <w:spacing w:before="0" w:after="0" w:line="490" w:lineRule="exact"/>
        <w:ind w:firstLine="482"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3.2 详细评审</w:t>
      </w:r>
    </w:p>
    <w:p>
      <w:pPr>
        <w:autoSpaceDE w:val="0"/>
        <w:autoSpaceDN w:val="0"/>
        <w:adjustRightInd w:val="0"/>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3.2.1  评标委员会根据本章第2.2.2项和</w:t>
      </w:r>
      <w:r>
        <w:rPr>
          <w:rFonts w:hint="eastAsia" w:ascii="仿宋" w:hAnsi="仿宋" w:eastAsia="仿宋" w:cs="仿宋"/>
          <w:bCs/>
          <w:color w:val="000000"/>
          <w:sz w:val="24"/>
        </w:rPr>
        <w:t>附表3-7（4）</w:t>
      </w:r>
      <w:r>
        <w:rPr>
          <w:rFonts w:hint="eastAsia" w:ascii="仿宋" w:hAnsi="仿宋" w:eastAsia="仿宋" w:cs="仿宋"/>
          <w:color w:val="000000"/>
          <w:sz w:val="24"/>
        </w:rPr>
        <w:t>的规定计算所有通过初步评审的合格投标人（M为合格投标人数量）的投标报价得分，并按由高到低顺序进行排序选取投标报价得分前N名的投标人进入详细评审程序， 进入详细评审程序的投标人数量N按下列规定确定：</w:t>
      </w:r>
    </w:p>
    <w:p>
      <w:pPr>
        <w:autoSpaceDE w:val="0"/>
        <w:autoSpaceDN w:val="0"/>
        <w:adjustRightInd w:val="0"/>
        <w:spacing w:line="49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当6＜M≤10时，取Nmax=6，即取投标报价得分由高到低顺序前6名的投标人进入详细评审程序；当3≤M≤6时，则所有合格投标人全部进入详细评审程序；当1≤M＜3时，评标委员会认为不存在明显缺乏竞争的，全部进入详细评审程序；</w:t>
      </w:r>
    </w:p>
    <w:p>
      <w:pPr>
        <w:autoSpaceDE w:val="0"/>
        <w:autoSpaceDN w:val="0"/>
        <w:adjustRightInd w:val="0"/>
        <w:spacing w:line="49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（2）当10＜M≤20时，取N</w:t>
      </w:r>
      <w:r>
        <w:rPr>
          <w:rFonts w:hint="eastAsia" w:ascii="仿宋" w:hAnsi="仿宋" w:eastAsia="仿宋" w:cs="仿宋"/>
          <w:color w:val="000000"/>
          <w:sz w:val="24"/>
          <w:vertAlign w:val="subscript"/>
        </w:rPr>
        <w:t>max</w:t>
      </w:r>
      <w:r>
        <w:rPr>
          <w:rFonts w:hint="eastAsia" w:ascii="仿宋" w:hAnsi="仿宋" w:eastAsia="仿宋" w:cs="仿宋"/>
          <w:color w:val="000000"/>
          <w:sz w:val="24"/>
        </w:rPr>
        <w:t>=9，即取投标报价得分由高到低顺序前9名的投标人进入详细评审程序；</w:t>
      </w:r>
    </w:p>
    <w:p>
      <w:pPr>
        <w:autoSpaceDE w:val="0"/>
        <w:autoSpaceDN w:val="0"/>
        <w:adjustRightInd w:val="0"/>
        <w:spacing w:line="49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（3）当20＜M≤30时，取N</w:t>
      </w:r>
      <w:r>
        <w:rPr>
          <w:rFonts w:hint="eastAsia" w:ascii="仿宋" w:hAnsi="仿宋" w:eastAsia="仿宋" w:cs="仿宋"/>
          <w:color w:val="000000"/>
          <w:sz w:val="24"/>
          <w:vertAlign w:val="subscript"/>
        </w:rPr>
        <w:t>max</w:t>
      </w:r>
      <w:r>
        <w:rPr>
          <w:rFonts w:hint="eastAsia" w:ascii="仿宋" w:hAnsi="仿宋" w:eastAsia="仿宋" w:cs="仿宋"/>
          <w:color w:val="000000"/>
          <w:sz w:val="24"/>
        </w:rPr>
        <w:t xml:space="preserve">=15，即取投标报价得分由高到低顺序前15名的投标人进入详细评审程序； </w:t>
      </w:r>
    </w:p>
    <w:p>
      <w:pPr>
        <w:autoSpaceDE w:val="0"/>
        <w:autoSpaceDN w:val="0"/>
        <w:adjustRightInd w:val="0"/>
        <w:spacing w:line="49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（4）当M＞30时，取N</w:t>
      </w:r>
      <w:r>
        <w:rPr>
          <w:rFonts w:hint="eastAsia" w:ascii="仿宋" w:hAnsi="仿宋" w:eastAsia="仿宋" w:cs="仿宋"/>
          <w:color w:val="000000"/>
          <w:sz w:val="24"/>
          <w:vertAlign w:val="subscript"/>
        </w:rPr>
        <w:t>max</w:t>
      </w:r>
      <w:r>
        <w:rPr>
          <w:rFonts w:hint="eastAsia" w:ascii="仿宋" w:hAnsi="仿宋" w:eastAsia="仿宋" w:cs="仿宋"/>
          <w:color w:val="000000"/>
          <w:sz w:val="24"/>
        </w:rPr>
        <w:t>=M*0.5（四舍五入，取整数），即取投标报价得分由高到低顺序前M*0.5的投标人进入详细评审程序。</w:t>
      </w:r>
    </w:p>
    <w:p>
      <w:pPr>
        <w:autoSpaceDE w:val="0"/>
        <w:autoSpaceDN w:val="0"/>
        <w:adjustRightInd w:val="0"/>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3.2.2  评标委员会按本章第2.2款规定的量化因素和分值进行打分，并计算出综合评估得分。</w:t>
      </w:r>
    </w:p>
    <w:p>
      <w:pPr>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 xml:space="preserve">（1）按本章第2.2.4（1）目规定的评审因素和分值对技术投标文件计算出得分A； </w:t>
      </w:r>
    </w:p>
    <w:p>
      <w:pPr>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 xml:space="preserve">（2）按本章第2.2.4（2）目规定的评审因素和分值对项目管理机构计算出得分B； </w:t>
      </w:r>
    </w:p>
    <w:p>
      <w:pPr>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（3）按本章第2.2.4（3）目规定的评审因素和分值对信誉等其他评分因素计算出得分C；</w:t>
      </w:r>
    </w:p>
    <w:p>
      <w:pPr>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（4）按本章第2.2.4（4）目规定的评审因素和分值对对投标报价计算出得分</w:t>
      </w:r>
      <w:r>
        <w:rPr>
          <w:rFonts w:hint="eastAsia" w:ascii="仿宋" w:hAnsi="仿宋" w:eastAsia="仿宋" w:cs="仿宋"/>
          <w:sz w:val="24"/>
          <w:shd w:val="clear" w:color="FFFFFF" w:fill="D9D9D9"/>
        </w:rPr>
        <w:t>D</w:t>
      </w:r>
      <w:r>
        <w:rPr>
          <w:rFonts w:hint="eastAsia" w:ascii="仿宋" w:hAnsi="仿宋" w:eastAsia="仿宋" w:cs="仿宋"/>
          <w:color w:val="000000"/>
          <w:sz w:val="24"/>
        </w:rPr>
        <w:t>；</w:t>
      </w:r>
    </w:p>
    <w:p>
      <w:pPr>
        <w:autoSpaceDE w:val="0"/>
        <w:autoSpaceDN w:val="0"/>
        <w:adjustRightInd w:val="0"/>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（5）按本章第2.2.4（5）目规定的评审因素和分值对不良行为记录扣分计算出得分E。</w:t>
      </w:r>
    </w:p>
    <w:p>
      <w:pPr>
        <w:autoSpaceDE w:val="0"/>
        <w:autoSpaceDN w:val="0"/>
        <w:adjustRightInd w:val="0"/>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3.2.3  评分分值计算保留小数点后两位，小数点后第三位“四舍五入”。</w:t>
      </w:r>
    </w:p>
    <w:p>
      <w:pPr>
        <w:autoSpaceDE w:val="0"/>
        <w:autoSpaceDN w:val="0"/>
        <w:adjustRightInd w:val="0"/>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3.2.4  投标人得分=</w:t>
      </w:r>
      <w:r>
        <w:rPr>
          <w:rFonts w:hint="eastAsia" w:ascii="仿宋" w:hAnsi="仿宋" w:eastAsia="仿宋" w:cs="仿宋"/>
          <w:color w:val="000000"/>
          <w:kern w:val="0"/>
          <w:sz w:val="24"/>
        </w:rPr>
        <w:t xml:space="preserve"> A×K</w:t>
      </w:r>
      <w:r>
        <w:rPr>
          <w:rFonts w:hint="eastAsia" w:ascii="仿宋" w:hAnsi="仿宋" w:eastAsia="仿宋" w:cs="仿宋"/>
          <w:color w:val="000000"/>
          <w:kern w:val="0"/>
          <w:sz w:val="24"/>
          <w:vertAlign w:val="subscript"/>
        </w:rPr>
        <w:t>1</w:t>
      </w:r>
      <w:r>
        <w:rPr>
          <w:rFonts w:hint="eastAsia" w:ascii="仿宋" w:hAnsi="仿宋" w:eastAsia="仿宋" w:cs="仿宋"/>
          <w:color w:val="000000"/>
          <w:sz w:val="24"/>
        </w:rPr>
        <w:t>+</w:t>
      </w:r>
      <w:r>
        <w:rPr>
          <w:rFonts w:hint="eastAsia" w:ascii="仿宋" w:hAnsi="仿宋" w:eastAsia="仿宋" w:cs="仿宋"/>
          <w:color w:val="000000"/>
          <w:kern w:val="0"/>
          <w:sz w:val="24"/>
        </w:rPr>
        <w:t xml:space="preserve"> B×K</w:t>
      </w:r>
      <w:r>
        <w:rPr>
          <w:rFonts w:hint="eastAsia" w:ascii="仿宋" w:hAnsi="仿宋" w:eastAsia="仿宋" w:cs="仿宋"/>
          <w:color w:val="000000"/>
          <w:kern w:val="0"/>
          <w:sz w:val="24"/>
          <w:vertAlign w:val="subscript"/>
        </w:rPr>
        <w:t>2</w:t>
      </w:r>
      <w:r>
        <w:rPr>
          <w:rFonts w:hint="eastAsia" w:ascii="仿宋" w:hAnsi="仿宋" w:eastAsia="仿宋" w:cs="仿宋"/>
          <w:color w:val="000000"/>
          <w:sz w:val="24"/>
        </w:rPr>
        <w:t>+</w:t>
      </w:r>
      <w:r>
        <w:rPr>
          <w:rFonts w:hint="eastAsia" w:ascii="仿宋" w:hAnsi="仿宋" w:eastAsia="仿宋" w:cs="仿宋"/>
          <w:color w:val="000000"/>
          <w:kern w:val="0"/>
          <w:sz w:val="24"/>
        </w:rPr>
        <w:t>C×K</w:t>
      </w:r>
      <w:r>
        <w:rPr>
          <w:rFonts w:hint="eastAsia" w:ascii="仿宋" w:hAnsi="仿宋" w:eastAsia="仿宋" w:cs="仿宋"/>
          <w:kern w:val="0"/>
          <w:sz w:val="24"/>
          <w:vertAlign w:val="subscript"/>
        </w:rPr>
        <w:t>3</w:t>
      </w:r>
      <w:r>
        <w:rPr>
          <w:rFonts w:hint="eastAsia" w:ascii="仿宋" w:hAnsi="仿宋" w:eastAsia="仿宋" w:cs="仿宋"/>
          <w:sz w:val="24"/>
        </w:rPr>
        <w:t>+D</w:t>
      </w:r>
      <w:r>
        <w:rPr>
          <w:rFonts w:hint="eastAsia" w:ascii="仿宋" w:hAnsi="仿宋" w:eastAsia="仿宋" w:cs="仿宋"/>
          <w:color w:val="000000"/>
          <w:kern w:val="0"/>
          <w:sz w:val="24"/>
        </w:rPr>
        <w:t>×K</w:t>
      </w:r>
      <w:r>
        <w:rPr>
          <w:rFonts w:hint="eastAsia" w:ascii="仿宋" w:hAnsi="仿宋" w:eastAsia="仿宋" w:cs="仿宋"/>
          <w:color w:val="000000"/>
          <w:kern w:val="0"/>
          <w:sz w:val="24"/>
          <w:vertAlign w:val="subscript"/>
        </w:rPr>
        <w:t>4</w:t>
      </w:r>
      <w:r>
        <w:rPr>
          <w:rFonts w:hint="eastAsia" w:ascii="仿宋" w:hAnsi="仿宋" w:eastAsia="仿宋" w:cs="仿宋"/>
          <w:color w:val="000000"/>
          <w:kern w:val="0"/>
          <w:sz w:val="24"/>
        </w:rPr>
        <w:t>+</w:t>
      </w:r>
      <w:r>
        <w:rPr>
          <w:rFonts w:hint="eastAsia" w:ascii="仿宋" w:hAnsi="仿宋" w:eastAsia="仿宋" w:cs="仿宋"/>
          <w:color w:val="000000"/>
          <w:sz w:val="24"/>
        </w:rPr>
        <w:t xml:space="preserve"> E，其中</w:t>
      </w:r>
      <w:r>
        <w:rPr>
          <w:rFonts w:hint="eastAsia" w:ascii="仿宋" w:hAnsi="仿宋" w:eastAsia="仿宋" w:cs="仿宋"/>
          <w:color w:val="000000"/>
          <w:kern w:val="0"/>
          <w:sz w:val="24"/>
        </w:rPr>
        <w:t>K</w:t>
      </w:r>
      <w:r>
        <w:rPr>
          <w:rFonts w:hint="eastAsia" w:ascii="仿宋" w:hAnsi="仿宋" w:eastAsia="仿宋" w:cs="仿宋"/>
          <w:color w:val="000000"/>
          <w:kern w:val="0"/>
          <w:sz w:val="24"/>
          <w:vertAlign w:val="subscript"/>
        </w:rPr>
        <w:t>1</w:t>
      </w:r>
      <w:r>
        <w:rPr>
          <w:rFonts w:hint="eastAsia" w:ascii="仿宋" w:hAnsi="仿宋" w:eastAsia="仿宋" w:cs="仿宋"/>
          <w:color w:val="000000"/>
          <w:kern w:val="0"/>
          <w:sz w:val="24"/>
        </w:rPr>
        <w:t xml:space="preserve"> 、K</w:t>
      </w:r>
      <w:r>
        <w:rPr>
          <w:rFonts w:hint="eastAsia" w:ascii="仿宋" w:hAnsi="仿宋" w:eastAsia="仿宋" w:cs="仿宋"/>
          <w:color w:val="000000"/>
          <w:kern w:val="0"/>
          <w:sz w:val="24"/>
          <w:vertAlign w:val="subscript"/>
        </w:rPr>
        <w:t>2</w:t>
      </w:r>
      <w:r>
        <w:rPr>
          <w:rFonts w:hint="eastAsia" w:ascii="仿宋" w:hAnsi="仿宋" w:eastAsia="仿宋" w:cs="仿宋"/>
          <w:color w:val="000000"/>
          <w:kern w:val="0"/>
          <w:sz w:val="24"/>
        </w:rPr>
        <w:t xml:space="preserve"> 、K</w:t>
      </w:r>
      <w:r>
        <w:rPr>
          <w:rFonts w:hint="eastAsia" w:ascii="仿宋" w:hAnsi="仿宋" w:eastAsia="仿宋" w:cs="仿宋"/>
          <w:color w:val="000000"/>
          <w:kern w:val="0"/>
          <w:sz w:val="24"/>
          <w:vertAlign w:val="subscript"/>
        </w:rPr>
        <w:t>3</w:t>
      </w:r>
      <w:r>
        <w:rPr>
          <w:rFonts w:hint="eastAsia" w:ascii="仿宋" w:hAnsi="仿宋" w:eastAsia="仿宋" w:cs="仿宋"/>
          <w:color w:val="000000"/>
          <w:kern w:val="0"/>
          <w:sz w:val="24"/>
        </w:rPr>
        <w:t>、K</w:t>
      </w:r>
      <w:r>
        <w:rPr>
          <w:rFonts w:hint="eastAsia" w:ascii="仿宋" w:hAnsi="仿宋" w:eastAsia="仿宋" w:cs="仿宋"/>
          <w:color w:val="000000"/>
          <w:kern w:val="0"/>
          <w:sz w:val="24"/>
          <w:vertAlign w:val="subscript"/>
        </w:rPr>
        <w:t>4</w:t>
      </w:r>
      <w:r>
        <w:rPr>
          <w:rFonts w:hint="eastAsia" w:ascii="仿宋" w:hAnsi="仿宋" w:eastAsia="仿宋" w:cs="仿宋"/>
          <w:color w:val="000000"/>
          <w:kern w:val="0"/>
          <w:sz w:val="24"/>
        </w:rPr>
        <w:t>分别为技术投标文件、项目管理机构、</w:t>
      </w:r>
      <w:r>
        <w:rPr>
          <w:rFonts w:hint="eastAsia" w:ascii="仿宋" w:hAnsi="仿宋" w:eastAsia="仿宋" w:cs="仿宋"/>
          <w:color w:val="000000"/>
          <w:sz w:val="24"/>
        </w:rPr>
        <w:t>信誉等其他评分因素</w:t>
      </w:r>
      <w:r>
        <w:rPr>
          <w:rFonts w:hint="eastAsia" w:ascii="仿宋" w:hAnsi="仿宋" w:eastAsia="仿宋" w:cs="仿宋"/>
          <w:color w:val="000000"/>
          <w:kern w:val="0"/>
          <w:sz w:val="24"/>
        </w:rPr>
        <w:t>、</w:t>
      </w:r>
      <w:r>
        <w:rPr>
          <w:rFonts w:hint="eastAsia" w:ascii="仿宋" w:hAnsi="仿宋" w:eastAsia="仿宋" w:cs="仿宋"/>
          <w:color w:val="000000"/>
          <w:sz w:val="24"/>
        </w:rPr>
        <w:t>投标报价的</w:t>
      </w:r>
      <w:r>
        <w:rPr>
          <w:rFonts w:hint="eastAsia" w:ascii="仿宋" w:hAnsi="仿宋" w:eastAsia="仿宋" w:cs="仿宋"/>
          <w:bCs/>
          <w:color w:val="000000"/>
          <w:kern w:val="0"/>
          <w:sz w:val="24"/>
        </w:rPr>
        <w:t>权数值</w:t>
      </w:r>
      <w:r>
        <w:rPr>
          <w:rFonts w:hint="eastAsia" w:ascii="仿宋" w:hAnsi="仿宋" w:eastAsia="仿宋" w:cs="仿宋"/>
          <w:color w:val="000000"/>
          <w:sz w:val="24"/>
        </w:rPr>
        <w:t>。</w:t>
      </w:r>
    </w:p>
    <w:p>
      <w:pPr>
        <w:autoSpaceDE w:val="0"/>
        <w:autoSpaceDN w:val="0"/>
        <w:adjustRightInd w:val="0"/>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3.2.5  评标委员会发现投标人的报价明显低于其他投标报价，或者在设有标底时明显低于标底，使得其投标报价可能低于其个别成本的，应当要求该投标人作出书面说明并提供相应的证明材料。投标人不能合理说明或者不能提供相应证明材料的，由评标委员会认定该投标人以低于成本报价竞标，应当否决其投标。</w:t>
      </w:r>
    </w:p>
    <w:p>
      <w:pPr>
        <w:pStyle w:val="7"/>
        <w:keepNext w:val="0"/>
        <w:keepLines w:val="0"/>
        <w:overflowPunct w:val="0"/>
        <w:topLinePunct/>
        <w:snapToGrid w:val="0"/>
        <w:spacing w:before="0" w:after="0" w:line="490" w:lineRule="exact"/>
        <w:ind w:firstLine="482"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3.3 投标文件的澄清和补正</w:t>
      </w:r>
    </w:p>
    <w:p>
      <w:pPr>
        <w:autoSpaceDE w:val="0"/>
        <w:autoSpaceDN w:val="0"/>
        <w:adjustRightInd w:val="0"/>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3.3.1  在评标过程中，评标委员会可以书面形式要求投标人对所提交投标文件中不明确的内容进行书面澄清或说明，或者对细微偏差进行补正。评标委员会不接受投标人主动提出的澄清、说明或补正。</w:t>
      </w:r>
    </w:p>
    <w:p>
      <w:pPr>
        <w:autoSpaceDE w:val="0"/>
        <w:autoSpaceDN w:val="0"/>
        <w:adjustRightInd w:val="0"/>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3.3.2  澄清、说明和补正不得改变投标文件的实质性内容（算术性错误修正的除外）。投标人的书面澄清、说明和补正属于投标文件的组成部分。</w:t>
      </w:r>
    </w:p>
    <w:p>
      <w:pPr>
        <w:autoSpaceDE w:val="0"/>
        <w:autoSpaceDN w:val="0"/>
        <w:adjustRightInd w:val="0"/>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3.3.3  评标委员会对投标人提交的澄清、说明或补正有疑问的，可以要求投标人进一步澄清、说明或补正，直至满足评标委员会的要求。</w:t>
      </w:r>
    </w:p>
    <w:p>
      <w:pPr>
        <w:pStyle w:val="7"/>
        <w:keepNext w:val="0"/>
        <w:keepLines w:val="0"/>
        <w:overflowPunct w:val="0"/>
        <w:topLinePunct/>
        <w:snapToGrid w:val="0"/>
        <w:spacing w:before="0" w:after="0" w:line="490" w:lineRule="exact"/>
        <w:ind w:firstLine="482"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3.4 评标结果</w:t>
      </w:r>
    </w:p>
    <w:p>
      <w:pPr>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3.4.1  评标委员会依据本章第2.2条评分标准进行评分，按评标办法前附表的约定计算投标人最终得分，根据得分由高到低的顺序推荐不超过3名中标候选人，并标明推荐顺序。</w:t>
      </w:r>
    </w:p>
    <w:p>
      <w:pPr>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3.4.2  评标委员会完成评标后，应当向招标人提交书面评标报告。</w:t>
      </w:r>
    </w:p>
    <w:p>
      <w:pPr>
        <w:pStyle w:val="32"/>
        <w:spacing w:line="490" w:lineRule="exact"/>
        <w:ind w:left="0" w:firstLine="0" w:firstLineChars="0"/>
        <w:outlineLvl w:val="3"/>
        <w:rPr>
          <w:rFonts w:eastAsia="黑体"/>
          <w:bCs/>
          <w:color w:val="000000"/>
          <w:sz w:val="28"/>
          <w:szCs w:val="20"/>
        </w:rPr>
      </w:pPr>
      <w:r>
        <w:rPr>
          <w:rFonts w:hint="eastAsia" w:ascii="仿宋" w:hAnsi="仿宋" w:eastAsia="仿宋" w:cs="仿宋"/>
          <w:color w:val="000000"/>
          <w:sz w:val="24"/>
        </w:rPr>
        <w:br w:type="page"/>
      </w:r>
      <w:bookmarkStart w:id="861" w:name="_Toc511318002"/>
      <w:bookmarkStart w:id="862" w:name="_Toc511317253"/>
      <w:r>
        <w:rPr>
          <w:rFonts w:eastAsia="黑体"/>
          <w:bCs/>
          <w:color w:val="000000"/>
          <w:sz w:val="28"/>
          <w:szCs w:val="20"/>
        </w:rPr>
        <w:t>附件1</w:t>
      </w:r>
      <w:bookmarkEnd w:id="861"/>
      <w:bookmarkEnd w:id="862"/>
    </w:p>
    <w:p>
      <w:pPr>
        <w:pStyle w:val="32"/>
        <w:spacing w:line="490" w:lineRule="exact"/>
        <w:ind w:left="0" w:firstLine="0" w:firstLineChars="0"/>
        <w:jc w:val="center"/>
        <w:rPr>
          <w:rFonts w:eastAsia="方正小标宋_GBK"/>
          <w:bCs/>
          <w:color w:val="000000"/>
          <w:sz w:val="36"/>
          <w:szCs w:val="20"/>
        </w:rPr>
      </w:pPr>
    </w:p>
    <w:p>
      <w:pPr>
        <w:pStyle w:val="32"/>
        <w:spacing w:line="490" w:lineRule="exact"/>
        <w:ind w:left="0" w:firstLine="0" w:firstLineChars="0"/>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投标文件澄清通知</w:t>
      </w:r>
    </w:p>
    <w:p>
      <w:pPr>
        <w:spacing w:line="490" w:lineRule="exact"/>
        <w:jc w:val="center"/>
        <w:rPr>
          <w:rFonts w:eastAsia="方正小标宋_GBK"/>
          <w:color w:val="000000"/>
          <w:sz w:val="28"/>
        </w:rPr>
      </w:pPr>
    </w:p>
    <w:p>
      <w:pPr>
        <w:pStyle w:val="32"/>
        <w:spacing w:line="490" w:lineRule="exact"/>
        <w:ind w:left="480" w:hanging="480"/>
        <w:jc w:val="center"/>
        <w:rPr>
          <w:rFonts w:hint="eastAsia" w:ascii="仿宋" w:hAnsi="仿宋" w:eastAsia="仿宋" w:cs="仿宋"/>
          <w:color w:val="000000"/>
          <w:sz w:val="24"/>
          <w:u w:val="single"/>
        </w:rPr>
      </w:pPr>
      <w:r>
        <w:rPr>
          <w:rFonts w:hint="eastAsia" w:ascii="仿宋" w:hAnsi="仿宋" w:eastAsia="仿宋" w:cs="仿宋"/>
          <w:color w:val="000000"/>
          <w:sz w:val="24"/>
        </w:rPr>
        <w:t xml:space="preserve">                              编号：</w:t>
      </w:r>
      <w:r>
        <w:rPr>
          <w:rFonts w:hint="eastAsia" w:ascii="仿宋" w:hAnsi="仿宋" w:eastAsia="仿宋" w:cs="仿宋"/>
          <w:color w:val="000000"/>
          <w:sz w:val="24"/>
          <w:u w:val="single"/>
        </w:rPr>
        <w:t xml:space="preserve">             </w:t>
      </w:r>
    </w:p>
    <w:p>
      <w:pPr>
        <w:spacing w:line="490" w:lineRule="exact"/>
        <w:rPr>
          <w:rFonts w:hint="eastAsia" w:ascii="仿宋" w:hAnsi="仿宋" w:eastAsia="仿宋" w:cs="仿宋"/>
          <w:color w:val="000000"/>
          <w:sz w:val="24"/>
        </w:rPr>
      </w:pPr>
    </w:p>
    <w:p>
      <w:pPr>
        <w:pStyle w:val="19"/>
        <w:spacing w:line="490" w:lineRule="exact"/>
        <w:ind w:left="0" w:leftChars="0"/>
        <w:rPr>
          <w:rFonts w:hint="eastAsia" w:ascii="仿宋" w:hAnsi="仿宋" w:eastAsia="仿宋" w:cs="仿宋"/>
          <w:color w:val="000000"/>
          <w:sz w:val="24"/>
        </w:rPr>
      </w:pPr>
      <w:r>
        <w:rPr>
          <w:rFonts w:hint="eastAsia" w:ascii="仿宋" w:hAnsi="仿宋" w:eastAsia="仿宋" w:cs="仿宋"/>
          <w:color w:val="000000"/>
          <w:sz w:val="24"/>
          <w:u w:val="single"/>
        </w:rPr>
        <w:t xml:space="preserve">                    </w:t>
      </w:r>
      <w:r>
        <w:rPr>
          <w:rFonts w:hint="eastAsia" w:ascii="仿宋" w:hAnsi="仿宋" w:eastAsia="仿宋" w:cs="仿宋"/>
          <w:color w:val="000000"/>
          <w:sz w:val="24"/>
        </w:rPr>
        <w:t>（投标人名称）：</w:t>
      </w:r>
    </w:p>
    <w:p>
      <w:pPr>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u w:val="single"/>
        </w:rPr>
        <w:t xml:space="preserve">          </w:t>
      </w: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（标段名称）评标委员会对你方的投标文件进行了仔细的审查，现需你方对下列问题以书面形式予以澄清：</w:t>
      </w:r>
    </w:p>
    <w:p>
      <w:pPr>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1.……</w:t>
      </w:r>
    </w:p>
    <w:p>
      <w:pPr>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2.……</w:t>
      </w:r>
    </w:p>
    <w:p>
      <w:pPr>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w:t>
      </w:r>
    </w:p>
    <w:p>
      <w:pPr>
        <w:spacing w:line="490" w:lineRule="exact"/>
        <w:rPr>
          <w:rFonts w:hint="eastAsia" w:ascii="仿宋" w:hAnsi="仿宋" w:eastAsia="仿宋" w:cs="仿宋"/>
          <w:color w:val="000000"/>
          <w:sz w:val="24"/>
        </w:rPr>
      </w:pPr>
    </w:p>
    <w:p>
      <w:pPr>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请将上述问题的澄清函于</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年</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月</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日</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时（北京时间）前递交至</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（详细地址）或传真至</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（传真号码）或发送至</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（电子邮箱）。采用传真或电子邮件方式的，应在</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年</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月</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日</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时（北京时间）前将原件递交至 </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（详细地址）。</w:t>
      </w:r>
    </w:p>
    <w:p>
      <w:pPr>
        <w:spacing w:line="490" w:lineRule="exact"/>
        <w:rPr>
          <w:rFonts w:hint="eastAsia" w:ascii="仿宋" w:hAnsi="仿宋" w:eastAsia="仿宋" w:cs="仿宋"/>
          <w:color w:val="000000"/>
          <w:sz w:val="24"/>
        </w:rPr>
      </w:pPr>
    </w:p>
    <w:p>
      <w:pPr>
        <w:spacing w:line="490" w:lineRule="exact"/>
        <w:rPr>
          <w:rFonts w:hint="eastAsia" w:ascii="仿宋" w:hAnsi="仿宋" w:eastAsia="仿宋" w:cs="仿宋"/>
          <w:color w:val="000000"/>
          <w:sz w:val="24"/>
        </w:rPr>
      </w:pPr>
    </w:p>
    <w:p>
      <w:pPr>
        <w:spacing w:line="490" w:lineRule="exact"/>
        <w:ind w:firstLine="480" w:firstLineChars="200"/>
        <w:jc w:val="right"/>
        <w:rPr>
          <w:rFonts w:hint="eastAsia" w:ascii="仿宋" w:hAnsi="仿宋" w:eastAsia="仿宋" w:cs="仿宋"/>
          <w:color w:val="000000"/>
          <w:sz w:val="24"/>
        </w:rPr>
      </w:pPr>
      <w:r>
        <w:rPr>
          <w:rFonts w:hint="eastAsia" w:ascii="仿宋" w:hAnsi="仿宋" w:eastAsia="仿宋" w:cs="仿宋"/>
          <w:color w:val="000000"/>
          <w:sz w:val="24"/>
        </w:rPr>
        <w:t>评标委员会负责人：</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（签字）</w:t>
      </w:r>
    </w:p>
    <w:p>
      <w:pPr>
        <w:spacing w:line="490" w:lineRule="exact"/>
        <w:ind w:right="420"/>
        <w:jc w:val="right"/>
        <w:rPr>
          <w:rFonts w:hint="eastAsia" w:ascii="仿宋" w:hAnsi="仿宋" w:eastAsia="仿宋" w:cs="仿宋"/>
          <w:color w:val="000000"/>
          <w:sz w:val="24"/>
        </w:rPr>
      </w:pPr>
      <w:r>
        <w:rPr>
          <w:rFonts w:hint="eastAsia" w:ascii="仿宋" w:hAnsi="仿宋" w:eastAsia="仿宋" w:cs="仿宋"/>
          <w:color w:val="000000"/>
          <w:sz w:val="24"/>
          <w:u w:val="single"/>
        </w:rPr>
        <w:t xml:space="preserve">      </w:t>
      </w:r>
      <w:r>
        <w:rPr>
          <w:rFonts w:hint="eastAsia" w:ascii="仿宋" w:hAnsi="仿宋" w:eastAsia="仿宋" w:cs="仿宋"/>
          <w:color w:val="000000"/>
          <w:sz w:val="24"/>
        </w:rPr>
        <w:t>年</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月</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日</w:t>
      </w:r>
    </w:p>
    <w:p>
      <w:pPr>
        <w:pStyle w:val="32"/>
        <w:spacing w:line="490" w:lineRule="exact"/>
        <w:ind w:firstLineChars="0"/>
        <w:jc w:val="left"/>
        <w:outlineLvl w:val="3"/>
        <w:rPr>
          <w:rFonts w:eastAsia="黑体"/>
          <w:bCs/>
          <w:color w:val="000000"/>
          <w:sz w:val="28"/>
          <w:szCs w:val="20"/>
        </w:rPr>
      </w:pPr>
      <w:r>
        <w:rPr>
          <w:rFonts w:hint="eastAsia" w:ascii="仿宋" w:hAnsi="仿宋" w:eastAsia="仿宋" w:cs="仿宋"/>
          <w:color w:val="000000"/>
          <w:szCs w:val="21"/>
        </w:rPr>
        <w:br w:type="page"/>
      </w:r>
      <w:bookmarkStart w:id="863" w:name="_Toc511318003"/>
      <w:bookmarkStart w:id="864" w:name="_Toc511317254"/>
      <w:r>
        <w:rPr>
          <w:rFonts w:eastAsia="黑体"/>
          <w:bCs/>
          <w:color w:val="000000"/>
          <w:sz w:val="28"/>
          <w:szCs w:val="20"/>
        </w:rPr>
        <w:t>附件2</w:t>
      </w:r>
      <w:bookmarkEnd w:id="863"/>
      <w:bookmarkEnd w:id="864"/>
    </w:p>
    <w:p>
      <w:pPr>
        <w:pStyle w:val="32"/>
        <w:spacing w:line="490" w:lineRule="exact"/>
        <w:ind w:left="0" w:firstLine="0" w:firstLineChars="0"/>
        <w:jc w:val="center"/>
        <w:rPr>
          <w:rFonts w:eastAsia="方正小标宋_GBK"/>
          <w:b/>
          <w:bCs/>
          <w:color w:val="000000"/>
          <w:sz w:val="36"/>
          <w:szCs w:val="36"/>
        </w:rPr>
      </w:pPr>
    </w:p>
    <w:p>
      <w:pPr>
        <w:pStyle w:val="32"/>
        <w:spacing w:line="490" w:lineRule="exact"/>
        <w:ind w:left="0" w:firstLine="0" w:firstLineChars="0"/>
        <w:jc w:val="center"/>
        <w:rPr>
          <w:rFonts w:hint="eastAsia" w:ascii="方正小标宋简体" w:eastAsia="方正小标宋简体"/>
          <w:bCs/>
          <w:color w:val="000000"/>
          <w:sz w:val="36"/>
          <w:szCs w:val="36"/>
        </w:rPr>
      </w:pPr>
      <w:r>
        <w:rPr>
          <w:rFonts w:hint="eastAsia" w:ascii="方正小标宋简体" w:eastAsia="方正小标宋简体"/>
          <w:bCs/>
          <w:color w:val="000000"/>
          <w:sz w:val="36"/>
          <w:szCs w:val="36"/>
        </w:rPr>
        <w:t>投标文件澄清函</w:t>
      </w:r>
    </w:p>
    <w:p>
      <w:pPr>
        <w:pStyle w:val="32"/>
        <w:spacing w:line="490" w:lineRule="exact"/>
        <w:ind w:left="0" w:firstLine="0" w:firstLineChars="0"/>
        <w:jc w:val="center"/>
        <w:rPr>
          <w:rFonts w:eastAsia="方正小标宋_GBK"/>
          <w:b/>
          <w:bCs/>
          <w:color w:val="000000"/>
          <w:sz w:val="36"/>
          <w:szCs w:val="36"/>
        </w:rPr>
      </w:pPr>
    </w:p>
    <w:p>
      <w:pPr>
        <w:pStyle w:val="32"/>
        <w:spacing w:line="490" w:lineRule="exact"/>
        <w:ind w:left="420" w:hanging="420"/>
        <w:jc w:val="center"/>
        <w:rPr>
          <w:rFonts w:hint="eastAsia" w:ascii="仿宋" w:hAnsi="仿宋" w:eastAsia="仿宋" w:cs="仿宋"/>
          <w:color w:val="000000"/>
          <w:sz w:val="24"/>
          <w:u w:val="single"/>
        </w:rPr>
      </w:pPr>
      <w:r>
        <w:rPr>
          <w:rFonts w:hint="eastAsia" w:ascii="宋体" w:hAnsi="宋体" w:cs="宋体"/>
          <w:color w:val="000000"/>
          <w:szCs w:val="21"/>
        </w:rPr>
        <w:t xml:space="preserve">                  </w:t>
      </w:r>
      <w:r>
        <w:rPr>
          <w:rFonts w:hint="eastAsia" w:ascii="仿宋" w:hAnsi="仿宋" w:eastAsia="仿宋" w:cs="仿宋"/>
          <w:color w:val="000000"/>
          <w:szCs w:val="21"/>
        </w:rPr>
        <w:t xml:space="preserve">       </w:t>
      </w:r>
      <w:r>
        <w:rPr>
          <w:rFonts w:hint="eastAsia" w:ascii="仿宋" w:hAnsi="仿宋" w:eastAsia="仿宋" w:cs="仿宋"/>
          <w:color w:val="000000"/>
          <w:sz w:val="24"/>
        </w:rPr>
        <w:t xml:space="preserve">  编号：</w:t>
      </w:r>
      <w:r>
        <w:rPr>
          <w:rFonts w:hint="eastAsia" w:ascii="仿宋" w:hAnsi="仿宋" w:eastAsia="仿宋" w:cs="仿宋"/>
          <w:color w:val="000000"/>
          <w:sz w:val="24"/>
          <w:u w:val="single"/>
        </w:rPr>
        <w:t xml:space="preserve">              </w:t>
      </w:r>
    </w:p>
    <w:p>
      <w:pPr>
        <w:spacing w:line="490" w:lineRule="exact"/>
        <w:rPr>
          <w:rFonts w:hint="eastAsia" w:ascii="仿宋" w:hAnsi="仿宋" w:eastAsia="仿宋" w:cs="仿宋"/>
          <w:color w:val="000000"/>
          <w:sz w:val="24"/>
        </w:rPr>
      </w:pPr>
    </w:p>
    <w:p>
      <w:pPr>
        <w:spacing w:after="120" w:afterLines="50" w:line="490" w:lineRule="exact"/>
        <w:rPr>
          <w:rFonts w:hint="eastAsia" w:ascii="仿宋" w:hAnsi="仿宋" w:eastAsia="仿宋" w:cs="仿宋"/>
          <w:color w:val="000000"/>
          <w:sz w:val="24"/>
        </w:rPr>
      </w:pP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（项目名称） </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（标段名称）评标委员会：</w:t>
      </w:r>
    </w:p>
    <w:p>
      <w:pPr>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投标文件澄清通知（编号：</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）已收悉，现就有关问题澄清如下：</w:t>
      </w:r>
    </w:p>
    <w:p>
      <w:pPr>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1.……</w:t>
      </w:r>
    </w:p>
    <w:p>
      <w:pPr>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2.……</w:t>
      </w:r>
    </w:p>
    <w:p>
      <w:pPr>
        <w:spacing w:line="49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w:t>
      </w:r>
    </w:p>
    <w:p>
      <w:pPr>
        <w:spacing w:line="490" w:lineRule="exact"/>
        <w:ind w:right="420"/>
        <w:rPr>
          <w:rFonts w:hint="eastAsia" w:ascii="仿宋" w:hAnsi="仿宋" w:eastAsia="仿宋" w:cs="仿宋"/>
          <w:color w:val="000000"/>
          <w:sz w:val="24"/>
        </w:rPr>
      </w:pPr>
    </w:p>
    <w:p>
      <w:pPr>
        <w:spacing w:line="490" w:lineRule="exact"/>
        <w:ind w:right="420"/>
        <w:jc w:val="right"/>
        <w:rPr>
          <w:rFonts w:hint="eastAsia" w:ascii="仿宋" w:hAnsi="仿宋" w:eastAsia="仿宋" w:cs="仿宋"/>
          <w:color w:val="000000"/>
          <w:sz w:val="24"/>
        </w:rPr>
      </w:pPr>
      <w:r>
        <w:rPr>
          <w:rFonts w:hint="eastAsia" w:ascii="仿宋" w:hAnsi="仿宋" w:eastAsia="仿宋" w:cs="仿宋"/>
          <w:color w:val="000000"/>
          <w:sz w:val="24"/>
        </w:rPr>
        <w:t>投 标 人：</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（盖单位公章）</w:t>
      </w:r>
    </w:p>
    <w:p>
      <w:pPr>
        <w:spacing w:line="490" w:lineRule="exact"/>
        <w:ind w:firstLine="480" w:firstLineChars="200"/>
        <w:jc w:val="right"/>
        <w:rPr>
          <w:rFonts w:hint="eastAsia" w:ascii="仿宋" w:hAnsi="仿宋" w:eastAsia="仿宋" w:cs="仿宋"/>
          <w:color w:val="000000"/>
          <w:sz w:val="24"/>
        </w:rPr>
      </w:pPr>
    </w:p>
    <w:p>
      <w:pPr>
        <w:spacing w:line="490" w:lineRule="exact"/>
        <w:ind w:right="420"/>
        <w:jc w:val="right"/>
        <w:rPr>
          <w:rFonts w:hint="eastAsia" w:ascii="仿宋" w:hAnsi="仿宋" w:eastAsia="仿宋" w:cs="仿宋"/>
          <w:color w:val="000000"/>
          <w:sz w:val="24"/>
        </w:rPr>
      </w:pPr>
      <w:r>
        <w:rPr>
          <w:rFonts w:hint="eastAsia" w:ascii="仿宋" w:hAnsi="仿宋" w:eastAsia="仿宋" w:cs="仿宋"/>
          <w:color w:val="000000"/>
          <w:sz w:val="24"/>
        </w:rPr>
        <w:t>法定代表人或其委托代理人：</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（签字）</w:t>
      </w:r>
    </w:p>
    <w:p>
      <w:pPr>
        <w:spacing w:line="490" w:lineRule="exact"/>
        <w:jc w:val="right"/>
        <w:rPr>
          <w:rFonts w:hint="eastAsia" w:ascii="仿宋" w:hAnsi="仿宋" w:eastAsia="仿宋" w:cs="仿宋"/>
          <w:color w:val="000000"/>
          <w:sz w:val="24"/>
        </w:rPr>
      </w:pPr>
    </w:p>
    <w:p>
      <w:pPr>
        <w:spacing w:line="490" w:lineRule="exact"/>
        <w:ind w:right="420"/>
        <w:jc w:val="right"/>
        <w:rPr>
          <w:rFonts w:hint="eastAsia" w:ascii="仿宋" w:hAnsi="仿宋" w:eastAsia="仿宋" w:cs="仿宋"/>
          <w:color w:val="000000"/>
          <w:sz w:val="24"/>
        </w:rPr>
      </w:pPr>
      <w:r>
        <w:rPr>
          <w:rFonts w:hint="eastAsia" w:ascii="仿宋" w:hAnsi="仿宋" w:eastAsia="仿宋" w:cs="仿宋"/>
          <w:color w:val="000000"/>
          <w:sz w:val="24"/>
          <w:u w:val="single"/>
        </w:rPr>
        <w:t xml:space="preserve">        </w:t>
      </w:r>
      <w:r>
        <w:rPr>
          <w:rFonts w:hint="eastAsia" w:ascii="仿宋" w:hAnsi="仿宋" w:eastAsia="仿宋" w:cs="仿宋"/>
          <w:color w:val="000000"/>
          <w:sz w:val="24"/>
        </w:rPr>
        <w:t>年</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月</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日</w:t>
      </w:r>
    </w:p>
    <w:p>
      <w:pPr>
        <w:spacing w:line="490" w:lineRule="exact"/>
        <w:ind w:right="420"/>
        <w:outlineLvl w:val="3"/>
        <w:rPr>
          <w:rFonts w:eastAsia="黑体"/>
          <w:bCs/>
          <w:color w:val="000000"/>
          <w:sz w:val="28"/>
          <w:szCs w:val="20"/>
        </w:rPr>
      </w:pPr>
      <w:r>
        <w:rPr>
          <w:rFonts w:hint="eastAsia" w:ascii="仿宋" w:hAnsi="仿宋" w:eastAsia="仿宋" w:cs="仿宋"/>
          <w:color w:val="000000"/>
          <w:szCs w:val="21"/>
        </w:rPr>
        <w:br w:type="page"/>
      </w:r>
      <w:bookmarkStart w:id="865" w:name="_Toc511317255"/>
      <w:bookmarkStart w:id="866" w:name="_Toc511318004"/>
      <w:r>
        <w:rPr>
          <w:rFonts w:eastAsia="黑体"/>
          <w:bCs/>
          <w:color w:val="000000"/>
          <w:sz w:val="28"/>
          <w:szCs w:val="20"/>
        </w:rPr>
        <w:t>附件3：评标表格</w:t>
      </w:r>
      <w:bookmarkEnd w:id="865"/>
      <w:bookmarkEnd w:id="866"/>
    </w:p>
    <w:p>
      <w:pPr>
        <w:spacing w:line="490" w:lineRule="exact"/>
        <w:ind w:right="420"/>
        <w:outlineLvl w:val="4"/>
        <w:rPr>
          <w:rFonts w:eastAsia="黑体"/>
          <w:bCs/>
          <w:color w:val="000000"/>
          <w:sz w:val="28"/>
          <w:szCs w:val="20"/>
        </w:rPr>
      </w:pPr>
      <w:bookmarkStart w:id="867" w:name="_Toc511318005"/>
      <w:bookmarkStart w:id="868" w:name="_Toc511317256"/>
      <w:r>
        <w:rPr>
          <w:rFonts w:eastAsia="黑体"/>
          <w:bCs/>
          <w:color w:val="000000"/>
          <w:sz w:val="28"/>
          <w:szCs w:val="20"/>
        </w:rPr>
        <w:t>附表3-1：基本情况和数据表</w:t>
      </w:r>
      <w:bookmarkEnd w:id="867"/>
      <w:bookmarkEnd w:id="868"/>
    </w:p>
    <w:p>
      <w:pPr>
        <w:pStyle w:val="32"/>
        <w:spacing w:line="490" w:lineRule="exact"/>
        <w:ind w:left="0" w:firstLine="0" w:firstLineChars="0"/>
        <w:jc w:val="center"/>
        <w:rPr>
          <w:rFonts w:eastAsia="方正小标宋_GBK"/>
          <w:b/>
          <w:bCs/>
          <w:color w:val="000000"/>
          <w:sz w:val="36"/>
          <w:szCs w:val="36"/>
        </w:rPr>
      </w:pPr>
    </w:p>
    <w:p>
      <w:pPr>
        <w:pStyle w:val="32"/>
        <w:spacing w:line="490" w:lineRule="exact"/>
        <w:ind w:left="0" w:firstLine="0" w:firstLineChars="0"/>
        <w:jc w:val="center"/>
        <w:rPr>
          <w:rFonts w:hint="eastAsia" w:ascii="方正小标宋简体" w:eastAsia="方正小标宋简体"/>
          <w:bCs/>
          <w:color w:val="000000"/>
          <w:sz w:val="36"/>
          <w:szCs w:val="36"/>
        </w:rPr>
      </w:pPr>
      <w:r>
        <w:rPr>
          <w:rFonts w:hint="eastAsia" w:ascii="方正小标宋简体" w:eastAsia="方正小标宋简体"/>
          <w:bCs/>
          <w:color w:val="000000"/>
          <w:sz w:val="36"/>
          <w:szCs w:val="36"/>
        </w:rPr>
        <w:t>基本情况和数据表</w:t>
      </w:r>
    </w:p>
    <w:p>
      <w:pPr>
        <w:pStyle w:val="32"/>
        <w:spacing w:line="490" w:lineRule="exact"/>
        <w:ind w:left="0" w:firstLine="0" w:firstLineChars="0"/>
        <w:jc w:val="center"/>
        <w:rPr>
          <w:rFonts w:eastAsia="方正小标宋_GBK"/>
          <w:b/>
          <w:bCs/>
          <w:color w:val="000000"/>
          <w:sz w:val="36"/>
          <w:szCs w:val="36"/>
        </w:rPr>
      </w:pPr>
    </w:p>
    <w:p>
      <w:pPr>
        <w:snapToGrid w:val="0"/>
        <w:spacing w:line="360" w:lineRule="auto"/>
        <w:rPr>
          <w:rFonts w:hint="eastAsia" w:ascii="仿宋" w:hAnsi="仿宋" w:eastAsia="仿宋" w:cs="仿宋"/>
          <w:color w:val="000000"/>
          <w:sz w:val="24"/>
          <w:u w:val="single"/>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（标段）</w:t>
      </w:r>
      <w:r>
        <w:rPr>
          <w:rFonts w:hint="eastAsia" w:ascii="仿宋" w:hAnsi="仿宋" w:eastAsia="仿宋" w:cs="仿宋"/>
          <w:color w:val="000000"/>
          <w:sz w:val="24"/>
          <w:u w:val="single"/>
        </w:rPr>
        <w:t xml:space="preserve">                      </w:t>
      </w:r>
    </w:p>
    <w:tbl>
      <w:tblPr>
        <w:tblStyle w:val="4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64"/>
        <w:gridCol w:w="2546"/>
        <w:gridCol w:w="523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1" w:hRule="atLeast"/>
          <w:jc w:val="center"/>
        </w:trPr>
        <w:tc>
          <w:tcPr>
            <w:tcW w:w="1264"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序号</w:t>
            </w:r>
          </w:p>
        </w:tc>
        <w:tc>
          <w:tcPr>
            <w:tcW w:w="2546"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名  称</w:t>
            </w:r>
          </w:p>
        </w:tc>
        <w:tc>
          <w:tcPr>
            <w:tcW w:w="5236"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内    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3" w:hRule="atLeast"/>
          <w:jc w:val="center"/>
        </w:trPr>
        <w:tc>
          <w:tcPr>
            <w:tcW w:w="1264"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2546" w:type="dxa"/>
            <w:noWrap w:val="0"/>
            <w:vAlign w:val="center"/>
          </w:tcPr>
          <w:p>
            <w:pPr>
              <w:adjustRightInd w:val="0"/>
              <w:snapToGrid w:val="0"/>
              <w:jc w:val="center"/>
              <w:rPr>
                <w:rFonts w:hint="eastAsia" w:ascii="仿宋" w:hAnsi="仿宋" w:eastAsia="仿宋" w:cs="仿宋"/>
                <w:color w:val="000000"/>
                <w:szCs w:val="21"/>
              </w:rPr>
            </w:pPr>
            <w:r>
              <w:rPr>
                <w:rFonts w:hint="eastAsia" w:ascii="仿宋" w:hAnsi="仿宋" w:eastAsia="仿宋" w:cs="仿宋"/>
                <w:color w:val="000000"/>
                <w:szCs w:val="21"/>
              </w:rPr>
              <w:t>项目名称</w:t>
            </w:r>
          </w:p>
        </w:tc>
        <w:tc>
          <w:tcPr>
            <w:tcW w:w="5236" w:type="dxa"/>
            <w:noWrap w:val="0"/>
            <w:vAlign w:val="center"/>
          </w:tcPr>
          <w:p>
            <w:pPr>
              <w:snapToGrid w:val="0"/>
              <w:jc w:val="left"/>
              <w:rPr>
                <w:rFonts w:hint="eastAsia" w:ascii="仿宋" w:hAnsi="仿宋" w:eastAsia="仿宋" w:cs="仿宋"/>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3" w:hRule="atLeast"/>
          <w:jc w:val="center"/>
        </w:trPr>
        <w:tc>
          <w:tcPr>
            <w:tcW w:w="1264"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2</w:t>
            </w:r>
          </w:p>
        </w:tc>
        <w:tc>
          <w:tcPr>
            <w:tcW w:w="2546" w:type="dxa"/>
            <w:noWrap w:val="0"/>
            <w:vAlign w:val="center"/>
          </w:tcPr>
          <w:p>
            <w:pPr>
              <w:adjustRightInd w:val="0"/>
              <w:snapToGrid w:val="0"/>
              <w:jc w:val="center"/>
              <w:rPr>
                <w:rFonts w:hint="eastAsia" w:ascii="仿宋" w:hAnsi="仿宋" w:eastAsia="仿宋" w:cs="仿宋"/>
                <w:color w:val="000000"/>
                <w:szCs w:val="21"/>
              </w:rPr>
            </w:pPr>
            <w:r>
              <w:rPr>
                <w:rFonts w:hint="eastAsia" w:ascii="仿宋" w:hAnsi="仿宋" w:eastAsia="仿宋" w:cs="仿宋"/>
                <w:color w:val="000000"/>
                <w:szCs w:val="21"/>
              </w:rPr>
              <w:t>建设地点</w:t>
            </w:r>
          </w:p>
        </w:tc>
        <w:tc>
          <w:tcPr>
            <w:tcW w:w="5236" w:type="dxa"/>
            <w:noWrap w:val="0"/>
            <w:vAlign w:val="center"/>
          </w:tcPr>
          <w:p>
            <w:pPr>
              <w:snapToGrid w:val="0"/>
              <w:rPr>
                <w:rFonts w:hint="eastAsia" w:ascii="仿宋" w:hAnsi="仿宋" w:eastAsia="仿宋" w:cs="仿宋"/>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3" w:hRule="atLeast"/>
          <w:jc w:val="center"/>
        </w:trPr>
        <w:tc>
          <w:tcPr>
            <w:tcW w:w="1264"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3</w:t>
            </w:r>
          </w:p>
        </w:tc>
        <w:tc>
          <w:tcPr>
            <w:tcW w:w="2546" w:type="dxa"/>
            <w:noWrap w:val="0"/>
            <w:vAlign w:val="center"/>
          </w:tcPr>
          <w:p>
            <w:pPr>
              <w:adjustRightInd w:val="0"/>
              <w:snapToGrid w:val="0"/>
              <w:jc w:val="center"/>
              <w:rPr>
                <w:rFonts w:hint="eastAsia" w:ascii="仿宋" w:hAnsi="仿宋" w:eastAsia="仿宋" w:cs="仿宋"/>
                <w:color w:val="000000"/>
                <w:szCs w:val="21"/>
              </w:rPr>
            </w:pPr>
            <w:r>
              <w:rPr>
                <w:rFonts w:hint="eastAsia" w:ascii="仿宋" w:hAnsi="仿宋" w:eastAsia="仿宋" w:cs="仿宋"/>
                <w:color w:val="000000"/>
                <w:szCs w:val="21"/>
              </w:rPr>
              <w:t>招标范围</w:t>
            </w:r>
          </w:p>
        </w:tc>
        <w:tc>
          <w:tcPr>
            <w:tcW w:w="5236" w:type="dxa"/>
            <w:noWrap w:val="0"/>
            <w:vAlign w:val="center"/>
          </w:tcPr>
          <w:p>
            <w:pPr>
              <w:snapToGrid w:val="0"/>
              <w:rPr>
                <w:rFonts w:hint="eastAsia" w:ascii="仿宋" w:hAnsi="仿宋" w:eastAsia="仿宋" w:cs="仿宋"/>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3" w:hRule="atLeast"/>
          <w:jc w:val="center"/>
        </w:trPr>
        <w:tc>
          <w:tcPr>
            <w:tcW w:w="1264"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4</w:t>
            </w:r>
          </w:p>
        </w:tc>
        <w:tc>
          <w:tcPr>
            <w:tcW w:w="2546" w:type="dxa"/>
            <w:noWrap w:val="0"/>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资金来源</w:t>
            </w:r>
          </w:p>
        </w:tc>
        <w:tc>
          <w:tcPr>
            <w:tcW w:w="5236" w:type="dxa"/>
            <w:noWrap w:val="0"/>
            <w:vAlign w:val="center"/>
          </w:tcPr>
          <w:p>
            <w:pPr>
              <w:snapToGrid w:val="0"/>
              <w:rPr>
                <w:rFonts w:hint="eastAsia" w:ascii="仿宋" w:hAnsi="仿宋" w:eastAsia="仿宋" w:cs="仿宋"/>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3" w:hRule="atLeast"/>
          <w:jc w:val="center"/>
        </w:trPr>
        <w:tc>
          <w:tcPr>
            <w:tcW w:w="1264"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5</w:t>
            </w:r>
          </w:p>
        </w:tc>
        <w:tc>
          <w:tcPr>
            <w:tcW w:w="2546" w:type="dxa"/>
            <w:noWrap w:val="0"/>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计划工期</w:t>
            </w:r>
          </w:p>
        </w:tc>
        <w:tc>
          <w:tcPr>
            <w:tcW w:w="5236" w:type="dxa"/>
            <w:noWrap w:val="0"/>
            <w:vAlign w:val="center"/>
          </w:tcPr>
          <w:p>
            <w:pPr>
              <w:snapToGrid w:val="0"/>
              <w:rPr>
                <w:rFonts w:hint="eastAsia" w:ascii="仿宋" w:hAnsi="仿宋" w:eastAsia="仿宋" w:cs="仿宋"/>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3" w:hRule="atLeast"/>
          <w:jc w:val="center"/>
        </w:trPr>
        <w:tc>
          <w:tcPr>
            <w:tcW w:w="1264"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6</w:t>
            </w:r>
          </w:p>
        </w:tc>
        <w:tc>
          <w:tcPr>
            <w:tcW w:w="2546" w:type="dxa"/>
            <w:noWrap w:val="0"/>
            <w:vAlign w:val="center"/>
          </w:tcPr>
          <w:p>
            <w:pPr>
              <w:adjustRightInd w:val="0"/>
              <w:snapToGrid w:val="0"/>
              <w:jc w:val="center"/>
              <w:rPr>
                <w:rFonts w:hint="eastAsia" w:ascii="仿宋" w:hAnsi="仿宋" w:eastAsia="仿宋" w:cs="仿宋"/>
                <w:color w:val="000000"/>
                <w:szCs w:val="21"/>
              </w:rPr>
            </w:pPr>
            <w:r>
              <w:rPr>
                <w:rFonts w:hint="eastAsia" w:ascii="仿宋" w:hAnsi="仿宋" w:eastAsia="仿宋" w:cs="仿宋"/>
                <w:color w:val="000000"/>
                <w:szCs w:val="21"/>
              </w:rPr>
              <w:t>要求工程质量</w:t>
            </w:r>
          </w:p>
        </w:tc>
        <w:tc>
          <w:tcPr>
            <w:tcW w:w="5236" w:type="dxa"/>
            <w:noWrap w:val="0"/>
            <w:vAlign w:val="center"/>
          </w:tcPr>
          <w:p>
            <w:pPr>
              <w:snapToGrid w:val="0"/>
              <w:rPr>
                <w:rFonts w:hint="eastAsia" w:ascii="仿宋" w:hAnsi="仿宋" w:eastAsia="仿宋" w:cs="仿宋"/>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3" w:hRule="atLeast"/>
          <w:jc w:val="center"/>
        </w:trPr>
        <w:tc>
          <w:tcPr>
            <w:tcW w:w="1264"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7</w:t>
            </w:r>
          </w:p>
        </w:tc>
        <w:tc>
          <w:tcPr>
            <w:tcW w:w="2546" w:type="dxa"/>
            <w:noWrap w:val="0"/>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招标方式</w:t>
            </w:r>
          </w:p>
        </w:tc>
        <w:tc>
          <w:tcPr>
            <w:tcW w:w="5236" w:type="dxa"/>
            <w:noWrap w:val="0"/>
            <w:vAlign w:val="center"/>
          </w:tcPr>
          <w:p>
            <w:pPr>
              <w:snapToGrid w:val="0"/>
              <w:rPr>
                <w:rFonts w:hint="eastAsia" w:ascii="仿宋" w:hAnsi="仿宋" w:eastAsia="仿宋" w:cs="仿宋"/>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3" w:hRule="atLeast"/>
          <w:jc w:val="center"/>
        </w:trPr>
        <w:tc>
          <w:tcPr>
            <w:tcW w:w="1264"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8</w:t>
            </w:r>
          </w:p>
        </w:tc>
        <w:tc>
          <w:tcPr>
            <w:tcW w:w="2546" w:type="dxa"/>
            <w:noWrap w:val="0"/>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投标文件递交地点</w:t>
            </w:r>
          </w:p>
        </w:tc>
        <w:tc>
          <w:tcPr>
            <w:tcW w:w="5236" w:type="dxa"/>
            <w:noWrap w:val="0"/>
            <w:vAlign w:val="center"/>
          </w:tcPr>
          <w:p>
            <w:pPr>
              <w:snapToGrid w:val="0"/>
              <w:rPr>
                <w:rFonts w:hint="eastAsia" w:ascii="仿宋" w:hAnsi="仿宋" w:eastAsia="仿宋" w:cs="仿宋"/>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3" w:hRule="atLeast"/>
          <w:jc w:val="center"/>
        </w:trPr>
        <w:tc>
          <w:tcPr>
            <w:tcW w:w="1264"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9</w:t>
            </w:r>
          </w:p>
        </w:tc>
        <w:tc>
          <w:tcPr>
            <w:tcW w:w="2546" w:type="dxa"/>
            <w:noWrap w:val="0"/>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投标截止时间</w:t>
            </w:r>
          </w:p>
        </w:tc>
        <w:tc>
          <w:tcPr>
            <w:tcW w:w="5236" w:type="dxa"/>
            <w:noWrap w:val="0"/>
            <w:vAlign w:val="center"/>
          </w:tcPr>
          <w:p>
            <w:pPr>
              <w:snapToGrid w:val="0"/>
              <w:jc w:val="left"/>
              <w:rPr>
                <w:rFonts w:hint="eastAsia" w:ascii="仿宋" w:hAnsi="仿宋" w:eastAsia="仿宋" w:cs="仿宋"/>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3" w:hRule="atLeast"/>
          <w:jc w:val="center"/>
        </w:trPr>
        <w:tc>
          <w:tcPr>
            <w:tcW w:w="1264"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10</w:t>
            </w:r>
          </w:p>
        </w:tc>
        <w:tc>
          <w:tcPr>
            <w:tcW w:w="2546" w:type="dxa"/>
            <w:noWrap w:val="0"/>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收到投标文件数量</w:t>
            </w:r>
          </w:p>
        </w:tc>
        <w:tc>
          <w:tcPr>
            <w:tcW w:w="5236" w:type="dxa"/>
            <w:noWrap w:val="0"/>
            <w:vAlign w:val="center"/>
          </w:tcPr>
          <w:p>
            <w:pPr>
              <w:snapToGrid w:val="0"/>
              <w:jc w:val="left"/>
              <w:rPr>
                <w:rFonts w:hint="eastAsia" w:ascii="仿宋" w:hAnsi="仿宋" w:eastAsia="仿宋" w:cs="仿宋"/>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3" w:hRule="atLeast"/>
          <w:jc w:val="center"/>
        </w:trPr>
        <w:tc>
          <w:tcPr>
            <w:tcW w:w="1264"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11</w:t>
            </w:r>
          </w:p>
        </w:tc>
        <w:tc>
          <w:tcPr>
            <w:tcW w:w="2546" w:type="dxa"/>
            <w:noWrap w:val="0"/>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开标时间</w:t>
            </w:r>
          </w:p>
          <w:p>
            <w:pPr>
              <w:adjustRightInd w:val="0"/>
              <w:snapToGrid w:val="0"/>
              <w:jc w:val="center"/>
              <w:rPr>
                <w:rFonts w:hint="eastAsia" w:ascii="仿宋" w:hAnsi="仿宋" w:eastAsia="仿宋" w:cs="仿宋"/>
                <w:color w:val="000000"/>
                <w:szCs w:val="21"/>
              </w:rPr>
            </w:pPr>
            <w:r>
              <w:rPr>
                <w:rFonts w:hint="eastAsia" w:ascii="仿宋" w:hAnsi="仿宋" w:eastAsia="仿宋" w:cs="仿宋"/>
                <w:color w:val="000000"/>
                <w:szCs w:val="21"/>
              </w:rPr>
              <w:t>开标地址</w:t>
            </w:r>
          </w:p>
        </w:tc>
        <w:tc>
          <w:tcPr>
            <w:tcW w:w="5236" w:type="dxa"/>
            <w:noWrap w:val="0"/>
            <w:vAlign w:val="center"/>
          </w:tcPr>
          <w:p>
            <w:pPr>
              <w:snapToGrid w:val="0"/>
              <w:jc w:val="left"/>
              <w:rPr>
                <w:rFonts w:hint="eastAsia" w:ascii="仿宋" w:hAnsi="仿宋" w:eastAsia="仿宋" w:cs="仿宋"/>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3" w:hRule="atLeast"/>
          <w:jc w:val="center"/>
        </w:trPr>
        <w:tc>
          <w:tcPr>
            <w:tcW w:w="1264"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12</w:t>
            </w:r>
          </w:p>
        </w:tc>
        <w:tc>
          <w:tcPr>
            <w:tcW w:w="2546" w:type="dxa"/>
            <w:noWrap w:val="0"/>
            <w:vAlign w:val="center"/>
          </w:tcPr>
          <w:p>
            <w:pPr>
              <w:adjustRightInd w:val="0"/>
              <w:snapToGrid w:val="0"/>
              <w:jc w:val="center"/>
              <w:rPr>
                <w:rFonts w:hint="eastAsia" w:ascii="仿宋" w:hAnsi="仿宋" w:eastAsia="仿宋" w:cs="仿宋"/>
                <w:color w:val="000000"/>
                <w:szCs w:val="21"/>
              </w:rPr>
            </w:pPr>
            <w:r>
              <w:rPr>
                <w:rFonts w:hint="eastAsia" w:ascii="仿宋" w:hAnsi="仿宋" w:eastAsia="仿宋" w:cs="仿宋"/>
                <w:color w:val="000000"/>
                <w:szCs w:val="21"/>
              </w:rPr>
              <w:t>投标担保</w:t>
            </w:r>
          </w:p>
        </w:tc>
        <w:tc>
          <w:tcPr>
            <w:tcW w:w="5236" w:type="dxa"/>
            <w:noWrap w:val="0"/>
            <w:vAlign w:val="center"/>
          </w:tcPr>
          <w:p>
            <w:pPr>
              <w:snapToGrid w:val="0"/>
              <w:rPr>
                <w:rFonts w:hint="eastAsia" w:ascii="仿宋" w:hAnsi="仿宋" w:eastAsia="仿宋" w:cs="仿宋"/>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3" w:hRule="atLeast"/>
          <w:jc w:val="center"/>
        </w:trPr>
        <w:tc>
          <w:tcPr>
            <w:tcW w:w="1264"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13</w:t>
            </w:r>
          </w:p>
        </w:tc>
        <w:tc>
          <w:tcPr>
            <w:tcW w:w="2546" w:type="dxa"/>
            <w:noWrap w:val="0"/>
            <w:vAlign w:val="center"/>
          </w:tcPr>
          <w:p>
            <w:pPr>
              <w:adjustRightInd w:val="0"/>
              <w:snapToGrid w:val="0"/>
              <w:jc w:val="center"/>
              <w:rPr>
                <w:rFonts w:hint="eastAsia" w:ascii="仿宋" w:hAnsi="仿宋" w:eastAsia="仿宋" w:cs="仿宋"/>
                <w:color w:val="000000"/>
                <w:szCs w:val="21"/>
              </w:rPr>
            </w:pPr>
            <w:r>
              <w:rPr>
                <w:rFonts w:hint="eastAsia" w:ascii="仿宋" w:hAnsi="仿宋" w:eastAsia="仿宋" w:cs="仿宋"/>
                <w:color w:val="000000"/>
                <w:szCs w:val="21"/>
              </w:rPr>
              <w:t>投标有效期</w:t>
            </w:r>
          </w:p>
        </w:tc>
        <w:tc>
          <w:tcPr>
            <w:tcW w:w="5236" w:type="dxa"/>
            <w:noWrap w:val="0"/>
            <w:vAlign w:val="center"/>
          </w:tcPr>
          <w:p>
            <w:pPr>
              <w:snapToGrid w:val="0"/>
              <w:rPr>
                <w:rFonts w:hint="eastAsia" w:ascii="仿宋" w:hAnsi="仿宋" w:eastAsia="仿宋" w:cs="仿宋"/>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3" w:hRule="atLeast"/>
          <w:jc w:val="center"/>
        </w:trPr>
        <w:tc>
          <w:tcPr>
            <w:tcW w:w="1264"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14</w:t>
            </w:r>
          </w:p>
        </w:tc>
        <w:tc>
          <w:tcPr>
            <w:tcW w:w="2546" w:type="dxa"/>
            <w:noWrap w:val="0"/>
            <w:vAlign w:val="center"/>
          </w:tcPr>
          <w:p>
            <w:pPr>
              <w:adjustRightInd w:val="0"/>
              <w:snapToGrid w:val="0"/>
              <w:ind w:left="2520" w:hanging="2520"/>
              <w:jc w:val="center"/>
              <w:rPr>
                <w:rFonts w:hint="eastAsia" w:ascii="仿宋" w:hAnsi="仿宋" w:eastAsia="仿宋" w:cs="仿宋"/>
                <w:color w:val="000000"/>
                <w:szCs w:val="21"/>
              </w:rPr>
            </w:pPr>
            <w:r>
              <w:rPr>
                <w:rFonts w:hint="eastAsia" w:ascii="仿宋" w:hAnsi="仿宋" w:eastAsia="仿宋" w:cs="仿宋"/>
                <w:color w:val="000000"/>
                <w:szCs w:val="21"/>
              </w:rPr>
              <w:t>评标办法</w:t>
            </w:r>
          </w:p>
        </w:tc>
        <w:tc>
          <w:tcPr>
            <w:tcW w:w="5236" w:type="dxa"/>
            <w:noWrap w:val="0"/>
            <w:vAlign w:val="center"/>
          </w:tcPr>
          <w:p>
            <w:pPr>
              <w:snapToGrid w:val="0"/>
              <w:rPr>
                <w:rFonts w:hint="eastAsia" w:ascii="仿宋" w:hAnsi="仿宋" w:eastAsia="仿宋" w:cs="仿宋"/>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3" w:hRule="atLeast"/>
          <w:jc w:val="center"/>
        </w:trPr>
        <w:tc>
          <w:tcPr>
            <w:tcW w:w="1264"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15</w:t>
            </w:r>
          </w:p>
        </w:tc>
        <w:tc>
          <w:tcPr>
            <w:tcW w:w="2546" w:type="dxa"/>
            <w:noWrap w:val="0"/>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支付方式</w:t>
            </w:r>
          </w:p>
        </w:tc>
        <w:tc>
          <w:tcPr>
            <w:tcW w:w="5236" w:type="dxa"/>
            <w:noWrap w:val="0"/>
            <w:vAlign w:val="center"/>
          </w:tcPr>
          <w:p>
            <w:pPr>
              <w:snapToGrid w:val="0"/>
              <w:rPr>
                <w:rFonts w:hint="eastAsia" w:ascii="仿宋" w:hAnsi="仿宋" w:eastAsia="仿宋" w:cs="仿宋"/>
                <w:color w:val="000000"/>
                <w:szCs w:val="21"/>
              </w:rPr>
            </w:pPr>
          </w:p>
        </w:tc>
      </w:tr>
    </w:tbl>
    <w:p>
      <w:pPr>
        <w:snapToGrid w:val="0"/>
        <w:spacing w:line="360" w:lineRule="auto"/>
        <w:rPr>
          <w:rFonts w:hint="eastAsia" w:ascii="宋体" w:hAnsi="宋体" w:cs="宋体"/>
          <w:color w:val="000000"/>
          <w:kern w:val="0"/>
          <w:szCs w:val="21"/>
        </w:rPr>
      </w:pPr>
    </w:p>
    <w:p>
      <w:pPr>
        <w:spacing w:line="490" w:lineRule="exact"/>
        <w:ind w:right="420"/>
        <w:outlineLvl w:val="4"/>
        <w:rPr>
          <w:rFonts w:eastAsia="黑体"/>
          <w:bCs/>
          <w:color w:val="000000"/>
          <w:sz w:val="28"/>
          <w:szCs w:val="20"/>
        </w:rPr>
      </w:pPr>
      <w:r>
        <w:rPr>
          <w:color w:val="000000"/>
          <w:kern w:val="0"/>
        </w:rPr>
        <w:br w:type="page"/>
      </w:r>
      <w:bookmarkStart w:id="869" w:name="_Toc511318006"/>
      <w:bookmarkStart w:id="870" w:name="_Toc300678179"/>
      <w:bookmarkStart w:id="871" w:name="_Toc511317257"/>
      <w:r>
        <w:rPr>
          <w:rFonts w:eastAsia="黑体"/>
          <w:bCs/>
          <w:color w:val="000000"/>
          <w:sz w:val="28"/>
          <w:szCs w:val="20"/>
        </w:rPr>
        <w:t>附表3-2：评标委员会签到表</w:t>
      </w:r>
      <w:bookmarkEnd w:id="869"/>
      <w:bookmarkEnd w:id="870"/>
      <w:bookmarkEnd w:id="871"/>
    </w:p>
    <w:p>
      <w:pPr>
        <w:pStyle w:val="32"/>
        <w:spacing w:line="490" w:lineRule="exact"/>
        <w:ind w:left="0" w:firstLine="0" w:firstLineChars="0"/>
        <w:jc w:val="center"/>
        <w:rPr>
          <w:rFonts w:eastAsia="方正小标宋_GBK"/>
          <w:b/>
          <w:bCs/>
          <w:color w:val="000000"/>
          <w:sz w:val="36"/>
          <w:szCs w:val="36"/>
        </w:rPr>
      </w:pPr>
    </w:p>
    <w:p>
      <w:pPr>
        <w:pStyle w:val="32"/>
        <w:spacing w:line="490" w:lineRule="exact"/>
        <w:ind w:left="0" w:firstLine="0" w:firstLineChars="0"/>
        <w:jc w:val="center"/>
        <w:rPr>
          <w:rFonts w:hint="eastAsia" w:ascii="方正小标宋简体" w:eastAsia="方正小标宋简体"/>
          <w:bCs/>
          <w:color w:val="000000"/>
          <w:sz w:val="36"/>
          <w:szCs w:val="36"/>
        </w:rPr>
      </w:pPr>
      <w:r>
        <w:rPr>
          <w:rFonts w:hint="eastAsia" w:ascii="方正小标宋简体" w:eastAsia="方正小标宋简体"/>
          <w:bCs/>
          <w:color w:val="000000"/>
          <w:sz w:val="36"/>
          <w:szCs w:val="36"/>
        </w:rPr>
        <w:t>评标委员会签到表</w:t>
      </w:r>
    </w:p>
    <w:p>
      <w:pPr>
        <w:pStyle w:val="32"/>
        <w:spacing w:line="490" w:lineRule="exact"/>
        <w:ind w:left="0" w:firstLine="0" w:firstLineChars="0"/>
        <w:jc w:val="center"/>
        <w:rPr>
          <w:rFonts w:eastAsia="方正小标宋_GBK"/>
          <w:b/>
          <w:bCs/>
          <w:color w:val="000000"/>
          <w:sz w:val="36"/>
          <w:szCs w:val="36"/>
        </w:rPr>
      </w:pPr>
    </w:p>
    <w:p>
      <w:pPr>
        <w:snapToGrid w:val="0"/>
        <w:spacing w:line="600" w:lineRule="exact"/>
        <w:rPr>
          <w:rFonts w:hint="eastAsia" w:ascii="仿宋" w:hAnsi="仿宋" w:eastAsia="仿宋" w:cs="仿宋"/>
          <w:color w:val="000000"/>
          <w:sz w:val="24"/>
          <w:u w:val="single"/>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（标段）</w:t>
      </w:r>
      <w:r>
        <w:rPr>
          <w:rFonts w:hint="eastAsia" w:ascii="仿宋" w:hAnsi="仿宋" w:eastAsia="仿宋" w:cs="仿宋"/>
          <w:color w:val="000000"/>
          <w:sz w:val="24"/>
          <w:u w:val="single"/>
        </w:rPr>
        <w:t xml:space="preserve">                    </w:t>
      </w:r>
    </w:p>
    <w:p>
      <w:pPr>
        <w:snapToGrid w:val="0"/>
        <w:spacing w:line="600" w:lineRule="exact"/>
        <w:rPr>
          <w:rFonts w:hint="eastAsia" w:ascii="仿宋" w:hAnsi="仿宋" w:eastAsia="仿宋" w:cs="仿宋"/>
          <w:color w:val="000000"/>
          <w:sz w:val="24"/>
        </w:rPr>
      </w:pPr>
      <w:r>
        <w:rPr>
          <w:rFonts w:hint="eastAsia" w:ascii="仿宋" w:hAnsi="仿宋" w:eastAsia="仿宋" w:cs="仿宋"/>
          <w:color w:val="000000"/>
          <w:sz w:val="24"/>
        </w:rPr>
        <w:t>评标时间：</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年</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月</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日</w:t>
      </w:r>
    </w:p>
    <w:tbl>
      <w:tblPr>
        <w:tblStyle w:val="47"/>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27"/>
        <w:gridCol w:w="900"/>
        <w:gridCol w:w="2251"/>
        <w:gridCol w:w="1327"/>
        <w:gridCol w:w="1327"/>
        <w:gridCol w:w="1327"/>
        <w:gridCol w:w="13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4" w:hRule="atLeast"/>
        </w:trPr>
        <w:tc>
          <w:tcPr>
            <w:tcW w:w="827" w:type="dxa"/>
            <w:noWrap w:val="0"/>
            <w:vAlign w:val="center"/>
          </w:tcPr>
          <w:p>
            <w:pPr>
              <w:snapToGrid w:val="0"/>
              <w:jc w:val="center"/>
              <w:rPr>
                <w:rFonts w:hint="eastAsia" w:ascii="仿宋" w:hAnsi="仿宋" w:eastAsia="仿宋" w:cs="仿宋"/>
                <w:color w:val="000000"/>
                <w:sz w:val="24"/>
              </w:rPr>
            </w:pPr>
            <w:r>
              <w:rPr>
                <w:rFonts w:hint="eastAsia" w:ascii="仿宋" w:hAnsi="仿宋" w:eastAsia="仿宋" w:cs="仿宋"/>
                <w:color w:val="000000"/>
                <w:sz w:val="24"/>
              </w:rPr>
              <w:t>序号</w:t>
            </w:r>
          </w:p>
        </w:tc>
        <w:tc>
          <w:tcPr>
            <w:tcW w:w="900" w:type="dxa"/>
            <w:noWrap w:val="0"/>
            <w:vAlign w:val="center"/>
          </w:tcPr>
          <w:p>
            <w:pPr>
              <w:jc w:val="center"/>
              <w:rPr>
                <w:rFonts w:hint="eastAsia" w:ascii="仿宋" w:hAnsi="仿宋" w:eastAsia="仿宋" w:cs="仿宋"/>
                <w:color w:val="000000"/>
                <w:sz w:val="24"/>
              </w:rPr>
            </w:pPr>
            <w:r>
              <w:rPr>
                <w:rFonts w:hint="eastAsia" w:ascii="仿宋" w:hAnsi="仿宋" w:eastAsia="仿宋" w:cs="仿宋"/>
                <w:color w:val="000000"/>
                <w:sz w:val="24"/>
              </w:rPr>
              <w:t>姓名</w:t>
            </w:r>
          </w:p>
        </w:tc>
        <w:tc>
          <w:tcPr>
            <w:tcW w:w="2251" w:type="dxa"/>
            <w:noWrap w:val="0"/>
            <w:vAlign w:val="center"/>
          </w:tcPr>
          <w:p>
            <w:pPr>
              <w:jc w:val="center"/>
              <w:rPr>
                <w:rFonts w:hint="eastAsia" w:ascii="仿宋" w:hAnsi="仿宋" w:eastAsia="仿宋" w:cs="仿宋"/>
                <w:color w:val="000000"/>
                <w:sz w:val="24"/>
              </w:rPr>
            </w:pPr>
            <w:r>
              <w:rPr>
                <w:rFonts w:hint="eastAsia" w:ascii="仿宋" w:hAnsi="仿宋" w:eastAsia="仿宋" w:cs="仿宋"/>
                <w:color w:val="000000"/>
                <w:sz w:val="24"/>
              </w:rPr>
              <w:t>工作单位</w:t>
            </w:r>
          </w:p>
        </w:tc>
        <w:tc>
          <w:tcPr>
            <w:tcW w:w="1327" w:type="dxa"/>
            <w:noWrap w:val="0"/>
            <w:vAlign w:val="center"/>
          </w:tcPr>
          <w:p>
            <w:pPr>
              <w:jc w:val="center"/>
              <w:rPr>
                <w:rFonts w:hint="eastAsia" w:ascii="仿宋" w:hAnsi="仿宋" w:eastAsia="仿宋" w:cs="仿宋"/>
                <w:color w:val="000000"/>
                <w:sz w:val="24"/>
              </w:rPr>
            </w:pPr>
            <w:r>
              <w:rPr>
                <w:rFonts w:hint="eastAsia" w:ascii="仿宋" w:hAnsi="仿宋" w:eastAsia="仿宋" w:cs="仿宋"/>
                <w:color w:val="000000"/>
                <w:sz w:val="24"/>
              </w:rPr>
              <w:t>职称</w:t>
            </w:r>
          </w:p>
        </w:tc>
        <w:tc>
          <w:tcPr>
            <w:tcW w:w="1327" w:type="dxa"/>
            <w:noWrap w:val="0"/>
            <w:vAlign w:val="center"/>
          </w:tcPr>
          <w:p>
            <w:pPr>
              <w:jc w:val="center"/>
              <w:rPr>
                <w:rFonts w:hint="eastAsia" w:ascii="仿宋" w:hAnsi="仿宋" w:eastAsia="仿宋" w:cs="仿宋"/>
                <w:color w:val="000000"/>
                <w:sz w:val="24"/>
              </w:rPr>
            </w:pPr>
            <w:r>
              <w:rPr>
                <w:rFonts w:hint="eastAsia" w:ascii="仿宋" w:hAnsi="仿宋" w:eastAsia="仿宋" w:cs="仿宋"/>
                <w:color w:val="000000"/>
                <w:sz w:val="24"/>
              </w:rPr>
              <w:t>专业类别</w:t>
            </w:r>
          </w:p>
        </w:tc>
        <w:tc>
          <w:tcPr>
            <w:tcW w:w="1327" w:type="dxa"/>
            <w:noWrap w:val="0"/>
            <w:vAlign w:val="center"/>
          </w:tcPr>
          <w:p>
            <w:pPr>
              <w:jc w:val="center"/>
              <w:rPr>
                <w:rFonts w:hint="eastAsia" w:ascii="仿宋" w:hAnsi="仿宋" w:eastAsia="仿宋" w:cs="仿宋"/>
                <w:color w:val="000000"/>
                <w:sz w:val="24"/>
              </w:rPr>
            </w:pPr>
            <w:r>
              <w:rPr>
                <w:rFonts w:hint="eastAsia" w:ascii="仿宋" w:hAnsi="仿宋" w:eastAsia="仿宋" w:cs="仿宋"/>
                <w:color w:val="000000"/>
                <w:sz w:val="24"/>
              </w:rPr>
              <w:t>签到时间</w:t>
            </w:r>
          </w:p>
        </w:tc>
        <w:tc>
          <w:tcPr>
            <w:tcW w:w="1327" w:type="dxa"/>
            <w:noWrap w:val="0"/>
            <w:vAlign w:val="center"/>
          </w:tcPr>
          <w:p>
            <w:pPr>
              <w:snapToGrid w:val="0"/>
              <w:jc w:val="center"/>
              <w:rPr>
                <w:rFonts w:hint="eastAsia" w:ascii="仿宋" w:hAnsi="仿宋" w:eastAsia="仿宋" w:cs="仿宋"/>
                <w:color w:val="000000"/>
                <w:sz w:val="24"/>
              </w:rPr>
            </w:pPr>
            <w:r>
              <w:rPr>
                <w:rFonts w:hint="eastAsia" w:ascii="仿宋" w:hAnsi="仿宋" w:eastAsia="仿宋" w:cs="仿宋"/>
                <w:color w:val="000000"/>
                <w:sz w:val="24"/>
              </w:rPr>
              <w:t>联系电话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4" w:hRule="atLeast"/>
        </w:trPr>
        <w:tc>
          <w:tcPr>
            <w:tcW w:w="827" w:type="dxa"/>
            <w:noWrap w:val="0"/>
            <w:vAlign w:val="center"/>
          </w:tcPr>
          <w:p>
            <w:pPr>
              <w:snapToGrid w:val="0"/>
              <w:ind w:left="1260" w:hanging="420"/>
              <w:jc w:val="center"/>
              <w:rPr>
                <w:rFonts w:hint="eastAsia" w:ascii="仿宋" w:hAnsi="仿宋" w:eastAsia="仿宋" w:cs="仿宋"/>
                <w:color w:val="000000"/>
              </w:rPr>
            </w:pPr>
          </w:p>
        </w:tc>
        <w:tc>
          <w:tcPr>
            <w:tcW w:w="900" w:type="dxa"/>
            <w:noWrap w:val="0"/>
            <w:vAlign w:val="center"/>
          </w:tcPr>
          <w:p>
            <w:pPr>
              <w:snapToGrid w:val="0"/>
              <w:ind w:left="1260" w:hanging="420"/>
              <w:jc w:val="center"/>
              <w:rPr>
                <w:rFonts w:hint="eastAsia" w:ascii="仿宋" w:hAnsi="仿宋" w:eastAsia="仿宋" w:cs="仿宋"/>
                <w:color w:val="000000"/>
              </w:rPr>
            </w:pPr>
          </w:p>
        </w:tc>
        <w:tc>
          <w:tcPr>
            <w:tcW w:w="2251"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4" w:hRule="atLeast"/>
        </w:trPr>
        <w:tc>
          <w:tcPr>
            <w:tcW w:w="827" w:type="dxa"/>
            <w:noWrap w:val="0"/>
            <w:vAlign w:val="center"/>
          </w:tcPr>
          <w:p>
            <w:pPr>
              <w:snapToGrid w:val="0"/>
              <w:ind w:left="1260" w:hanging="420"/>
              <w:jc w:val="center"/>
              <w:rPr>
                <w:rFonts w:hint="eastAsia" w:ascii="仿宋" w:hAnsi="仿宋" w:eastAsia="仿宋" w:cs="仿宋"/>
                <w:color w:val="000000"/>
              </w:rPr>
            </w:pPr>
          </w:p>
        </w:tc>
        <w:tc>
          <w:tcPr>
            <w:tcW w:w="900" w:type="dxa"/>
            <w:noWrap w:val="0"/>
            <w:vAlign w:val="center"/>
          </w:tcPr>
          <w:p>
            <w:pPr>
              <w:snapToGrid w:val="0"/>
              <w:ind w:left="1260" w:hanging="420"/>
              <w:jc w:val="center"/>
              <w:rPr>
                <w:rFonts w:hint="eastAsia" w:ascii="仿宋" w:hAnsi="仿宋" w:eastAsia="仿宋" w:cs="仿宋"/>
                <w:color w:val="000000"/>
              </w:rPr>
            </w:pPr>
          </w:p>
        </w:tc>
        <w:tc>
          <w:tcPr>
            <w:tcW w:w="2251"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4" w:hRule="atLeast"/>
        </w:trPr>
        <w:tc>
          <w:tcPr>
            <w:tcW w:w="827" w:type="dxa"/>
            <w:noWrap w:val="0"/>
            <w:vAlign w:val="center"/>
          </w:tcPr>
          <w:p>
            <w:pPr>
              <w:snapToGrid w:val="0"/>
              <w:ind w:left="1260" w:hanging="420"/>
              <w:jc w:val="center"/>
              <w:rPr>
                <w:rFonts w:hint="eastAsia" w:ascii="仿宋" w:hAnsi="仿宋" w:eastAsia="仿宋" w:cs="仿宋"/>
                <w:color w:val="000000"/>
              </w:rPr>
            </w:pPr>
          </w:p>
        </w:tc>
        <w:tc>
          <w:tcPr>
            <w:tcW w:w="900" w:type="dxa"/>
            <w:noWrap w:val="0"/>
            <w:vAlign w:val="center"/>
          </w:tcPr>
          <w:p>
            <w:pPr>
              <w:snapToGrid w:val="0"/>
              <w:ind w:left="1260" w:hanging="420"/>
              <w:jc w:val="center"/>
              <w:rPr>
                <w:rFonts w:hint="eastAsia" w:ascii="仿宋" w:hAnsi="仿宋" w:eastAsia="仿宋" w:cs="仿宋"/>
                <w:color w:val="000000"/>
              </w:rPr>
            </w:pPr>
          </w:p>
        </w:tc>
        <w:tc>
          <w:tcPr>
            <w:tcW w:w="2251"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4" w:hRule="atLeast"/>
        </w:trPr>
        <w:tc>
          <w:tcPr>
            <w:tcW w:w="827" w:type="dxa"/>
            <w:noWrap w:val="0"/>
            <w:vAlign w:val="center"/>
          </w:tcPr>
          <w:p>
            <w:pPr>
              <w:snapToGrid w:val="0"/>
              <w:ind w:left="1260" w:hanging="420"/>
              <w:jc w:val="center"/>
              <w:rPr>
                <w:rFonts w:hint="eastAsia" w:ascii="仿宋" w:hAnsi="仿宋" w:eastAsia="仿宋" w:cs="仿宋"/>
                <w:color w:val="000000"/>
              </w:rPr>
            </w:pPr>
          </w:p>
        </w:tc>
        <w:tc>
          <w:tcPr>
            <w:tcW w:w="900" w:type="dxa"/>
            <w:noWrap w:val="0"/>
            <w:vAlign w:val="center"/>
          </w:tcPr>
          <w:p>
            <w:pPr>
              <w:snapToGrid w:val="0"/>
              <w:ind w:left="1260" w:hanging="420"/>
              <w:jc w:val="center"/>
              <w:rPr>
                <w:rFonts w:hint="eastAsia" w:ascii="仿宋" w:hAnsi="仿宋" w:eastAsia="仿宋" w:cs="仿宋"/>
                <w:color w:val="000000"/>
              </w:rPr>
            </w:pPr>
          </w:p>
        </w:tc>
        <w:tc>
          <w:tcPr>
            <w:tcW w:w="2251"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4" w:hRule="atLeast"/>
        </w:trPr>
        <w:tc>
          <w:tcPr>
            <w:tcW w:w="827" w:type="dxa"/>
            <w:noWrap w:val="0"/>
            <w:vAlign w:val="center"/>
          </w:tcPr>
          <w:p>
            <w:pPr>
              <w:snapToGrid w:val="0"/>
              <w:ind w:left="1260" w:hanging="420"/>
              <w:jc w:val="center"/>
              <w:rPr>
                <w:rFonts w:hint="eastAsia" w:ascii="仿宋" w:hAnsi="仿宋" w:eastAsia="仿宋" w:cs="仿宋"/>
                <w:color w:val="000000"/>
              </w:rPr>
            </w:pPr>
          </w:p>
        </w:tc>
        <w:tc>
          <w:tcPr>
            <w:tcW w:w="900" w:type="dxa"/>
            <w:noWrap w:val="0"/>
            <w:vAlign w:val="center"/>
          </w:tcPr>
          <w:p>
            <w:pPr>
              <w:snapToGrid w:val="0"/>
              <w:ind w:left="1260" w:hanging="420"/>
              <w:jc w:val="center"/>
              <w:rPr>
                <w:rFonts w:hint="eastAsia" w:ascii="仿宋" w:hAnsi="仿宋" w:eastAsia="仿宋" w:cs="仿宋"/>
                <w:color w:val="000000"/>
              </w:rPr>
            </w:pPr>
          </w:p>
        </w:tc>
        <w:tc>
          <w:tcPr>
            <w:tcW w:w="2251"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4" w:hRule="atLeast"/>
        </w:trPr>
        <w:tc>
          <w:tcPr>
            <w:tcW w:w="827" w:type="dxa"/>
            <w:noWrap w:val="0"/>
            <w:vAlign w:val="center"/>
          </w:tcPr>
          <w:p>
            <w:pPr>
              <w:snapToGrid w:val="0"/>
              <w:ind w:left="1260" w:hanging="420"/>
              <w:jc w:val="center"/>
              <w:rPr>
                <w:rFonts w:hint="eastAsia" w:ascii="仿宋" w:hAnsi="仿宋" w:eastAsia="仿宋" w:cs="仿宋"/>
                <w:color w:val="000000"/>
              </w:rPr>
            </w:pPr>
          </w:p>
        </w:tc>
        <w:tc>
          <w:tcPr>
            <w:tcW w:w="900" w:type="dxa"/>
            <w:noWrap w:val="0"/>
            <w:vAlign w:val="center"/>
          </w:tcPr>
          <w:p>
            <w:pPr>
              <w:snapToGrid w:val="0"/>
              <w:ind w:left="1260" w:hanging="420"/>
              <w:jc w:val="center"/>
              <w:rPr>
                <w:rFonts w:hint="eastAsia" w:ascii="仿宋" w:hAnsi="仿宋" w:eastAsia="仿宋" w:cs="仿宋"/>
                <w:color w:val="000000"/>
              </w:rPr>
            </w:pPr>
          </w:p>
        </w:tc>
        <w:tc>
          <w:tcPr>
            <w:tcW w:w="2251"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c>
          <w:tcPr>
            <w:tcW w:w="1327" w:type="dxa"/>
            <w:noWrap w:val="0"/>
            <w:vAlign w:val="center"/>
          </w:tcPr>
          <w:p>
            <w:pPr>
              <w:snapToGrid w:val="0"/>
              <w:ind w:left="1260" w:hanging="420"/>
              <w:jc w:val="center"/>
              <w:rPr>
                <w:rFonts w:hint="eastAsia" w:ascii="仿宋" w:hAnsi="仿宋" w:eastAsia="仿宋" w:cs="仿宋"/>
                <w:color w:val="000000"/>
              </w:rPr>
            </w:pPr>
          </w:p>
        </w:tc>
      </w:tr>
    </w:tbl>
    <w:p>
      <w:pPr>
        <w:snapToGrid w:val="0"/>
        <w:spacing w:line="360" w:lineRule="auto"/>
        <w:rPr>
          <w:rFonts w:hint="eastAsia" w:ascii="仿宋" w:hAnsi="仿宋" w:eastAsia="仿宋" w:cs="仿宋"/>
          <w:color w:val="000000"/>
        </w:rPr>
      </w:pPr>
    </w:p>
    <w:p>
      <w:pPr>
        <w:snapToGrid w:val="0"/>
        <w:spacing w:line="360" w:lineRule="auto"/>
        <w:rPr>
          <w:color w:val="000000"/>
        </w:rPr>
      </w:pPr>
    </w:p>
    <w:p>
      <w:pPr>
        <w:spacing w:line="490" w:lineRule="exact"/>
        <w:ind w:right="420"/>
        <w:outlineLvl w:val="4"/>
        <w:rPr>
          <w:rFonts w:hint="eastAsia" w:eastAsia="黑体"/>
          <w:bCs/>
          <w:color w:val="000000"/>
          <w:sz w:val="28"/>
          <w:szCs w:val="20"/>
        </w:rPr>
      </w:pPr>
      <w:r>
        <w:rPr>
          <w:color w:val="000000"/>
        </w:rPr>
        <w:br w:type="page"/>
      </w:r>
      <w:bookmarkStart w:id="872" w:name="_Toc300678180"/>
      <w:bookmarkStart w:id="873" w:name="_Toc511318007"/>
      <w:bookmarkStart w:id="874" w:name="_Toc511317258"/>
      <w:r>
        <w:rPr>
          <w:rFonts w:eastAsia="黑体"/>
          <w:bCs/>
          <w:color w:val="000000"/>
          <w:sz w:val="28"/>
          <w:szCs w:val="20"/>
        </w:rPr>
        <w:t>附表3-3（1）：形式评审表</w:t>
      </w:r>
      <w:bookmarkEnd w:id="872"/>
      <w:bookmarkEnd w:id="873"/>
      <w:bookmarkEnd w:id="874"/>
    </w:p>
    <w:p>
      <w:pPr>
        <w:pStyle w:val="2"/>
        <w:rPr>
          <w:lang w:val="en-US" w:eastAsia="zh-CN"/>
        </w:rPr>
      </w:pPr>
    </w:p>
    <w:p>
      <w:pPr>
        <w:pStyle w:val="32"/>
        <w:spacing w:before="240" w:beforeLines="100" w:after="240" w:afterLines="100" w:line="490" w:lineRule="exact"/>
        <w:ind w:left="0" w:firstLine="0" w:firstLineChars="0"/>
        <w:jc w:val="center"/>
        <w:rPr>
          <w:rFonts w:hint="eastAsia" w:ascii="方正小标宋简体" w:eastAsia="方正小标宋简体"/>
          <w:bCs/>
          <w:color w:val="000000"/>
          <w:sz w:val="40"/>
          <w:szCs w:val="20"/>
        </w:rPr>
      </w:pPr>
      <w:r>
        <w:rPr>
          <w:rFonts w:hint="eastAsia" w:ascii="方正小标宋简体" w:eastAsia="方正小标宋简体"/>
          <w:bCs/>
          <w:color w:val="000000"/>
          <w:sz w:val="40"/>
          <w:szCs w:val="20"/>
        </w:rPr>
        <w:t>形式评审表</w:t>
      </w:r>
    </w:p>
    <w:p>
      <w:pPr>
        <w:snapToGrid w:val="0"/>
        <w:spacing w:line="600" w:lineRule="exact"/>
        <w:rPr>
          <w:rFonts w:hint="eastAsia" w:ascii="仿宋" w:hAnsi="仿宋" w:eastAsia="仿宋" w:cs="仿宋"/>
          <w:color w:val="000000"/>
          <w:sz w:val="24"/>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（标段名称）</w:t>
      </w:r>
      <w:r>
        <w:rPr>
          <w:rFonts w:hint="eastAsia" w:ascii="仿宋" w:hAnsi="仿宋" w:eastAsia="仿宋" w:cs="仿宋"/>
          <w:color w:val="000000"/>
          <w:sz w:val="24"/>
          <w:u w:val="single"/>
        </w:rPr>
        <w:t xml:space="preserve">                      </w:t>
      </w:r>
    </w:p>
    <w:p>
      <w:pPr>
        <w:snapToGrid w:val="0"/>
        <w:spacing w:line="600" w:lineRule="exact"/>
        <w:rPr>
          <w:rFonts w:hint="eastAsia" w:ascii="仿宋" w:hAnsi="仿宋" w:eastAsia="仿宋" w:cs="仿宋"/>
          <w:color w:val="000000"/>
          <w:sz w:val="24"/>
        </w:rPr>
      </w:pPr>
      <w:r>
        <w:rPr>
          <w:rFonts w:hint="eastAsia" w:ascii="仿宋" w:hAnsi="仿宋" w:eastAsia="仿宋" w:cs="仿宋"/>
          <w:color w:val="000000"/>
          <w:sz w:val="24"/>
        </w:rPr>
        <w:t>项目管理编号：</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tbl>
      <w:tblPr>
        <w:tblStyle w:val="47"/>
        <w:tblW w:w="0" w:type="auto"/>
        <w:tblInd w:w="93"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7"/>
        <w:gridCol w:w="1078"/>
        <w:gridCol w:w="1253"/>
        <w:gridCol w:w="2707"/>
        <w:gridCol w:w="1139"/>
        <w:gridCol w:w="1140"/>
        <w:gridCol w:w="11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37" w:type="dxa"/>
            <w:vMerge w:val="restart"/>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序号</w:t>
            </w:r>
          </w:p>
        </w:tc>
        <w:tc>
          <w:tcPr>
            <w:tcW w:w="1078" w:type="dxa"/>
            <w:vMerge w:val="restart"/>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条款号</w:t>
            </w:r>
          </w:p>
        </w:tc>
        <w:tc>
          <w:tcPr>
            <w:tcW w:w="1253" w:type="dxa"/>
            <w:vMerge w:val="restart"/>
            <w:noWrap w:val="0"/>
            <w:vAlign w:val="center"/>
          </w:tcPr>
          <w:p>
            <w:pPr>
              <w:snapToGrid w:val="0"/>
              <w:rPr>
                <w:rFonts w:hint="eastAsia" w:ascii="仿宋" w:hAnsi="仿宋" w:eastAsia="仿宋" w:cs="仿宋"/>
                <w:color w:val="000000"/>
              </w:rPr>
            </w:pPr>
            <w:r>
              <w:rPr>
                <w:rFonts w:hint="eastAsia" w:ascii="仿宋" w:hAnsi="仿宋" w:eastAsia="仿宋" w:cs="仿宋"/>
                <w:color w:val="000000"/>
              </w:rPr>
              <w:t>评审因素</w:t>
            </w:r>
          </w:p>
        </w:tc>
        <w:tc>
          <w:tcPr>
            <w:tcW w:w="2707" w:type="dxa"/>
            <w:vMerge w:val="restart"/>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评审标准</w:t>
            </w:r>
          </w:p>
        </w:tc>
        <w:tc>
          <w:tcPr>
            <w:tcW w:w="3419" w:type="dxa"/>
            <w:gridSpan w:val="3"/>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投标人名称及评审意见</w:t>
            </w:r>
          </w:p>
          <w:p>
            <w:pPr>
              <w:jc w:val="center"/>
              <w:rPr>
                <w:rFonts w:hint="eastAsia" w:ascii="仿宋" w:hAnsi="仿宋" w:eastAsia="仿宋" w:cs="仿宋"/>
                <w:color w:val="000000"/>
                <w:kern w:val="0"/>
              </w:rPr>
            </w:pPr>
            <w:r>
              <w:rPr>
                <w:rFonts w:hint="eastAsia" w:ascii="仿宋" w:hAnsi="仿宋" w:eastAsia="仿宋" w:cs="仿宋"/>
                <w:bCs/>
                <w:color w:val="000000"/>
                <w:kern w:val="0"/>
              </w:rPr>
              <w:t>（合格√/不合格×）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2" w:hRule="atLeast"/>
        </w:trPr>
        <w:tc>
          <w:tcPr>
            <w:tcW w:w="737" w:type="dxa"/>
            <w:vMerge w:val="continue"/>
            <w:noWrap w:val="0"/>
            <w:vAlign w:val="center"/>
          </w:tcPr>
          <w:p>
            <w:pPr>
              <w:jc w:val="center"/>
              <w:rPr>
                <w:rFonts w:hint="eastAsia" w:ascii="仿宋" w:hAnsi="仿宋" w:eastAsia="仿宋" w:cs="仿宋"/>
                <w:color w:val="000000"/>
                <w:kern w:val="0"/>
              </w:rPr>
            </w:pPr>
          </w:p>
        </w:tc>
        <w:tc>
          <w:tcPr>
            <w:tcW w:w="1078" w:type="dxa"/>
            <w:vMerge w:val="continue"/>
            <w:noWrap w:val="0"/>
            <w:vAlign w:val="center"/>
          </w:tcPr>
          <w:p>
            <w:pPr>
              <w:snapToGrid w:val="0"/>
              <w:jc w:val="center"/>
              <w:rPr>
                <w:rFonts w:hint="eastAsia" w:ascii="仿宋" w:hAnsi="仿宋" w:eastAsia="仿宋" w:cs="仿宋"/>
                <w:color w:val="000000"/>
              </w:rPr>
            </w:pPr>
          </w:p>
        </w:tc>
        <w:tc>
          <w:tcPr>
            <w:tcW w:w="1253" w:type="dxa"/>
            <w:vMerge w:val="continue"/>
            <w:noWrap w:val="0"/>
            <w:vAlign w:val="center"/>
          </w:tcPr>
          <w:p>
            <w:pPr>
              <w:snapToGrid w:val="0"/>
              <w:rPr>
                <w:rFonts w:hint="eastAsia" w:ascii="仿宋" w:hAnsi="仿宋" w:eastAsia="仿宋" w:cs="仿宋"/>
                <w:color w:val="000000"/>
              </w:rPr>
            </w:pPr>
          </w:p>
        </w:tc>
        <w:tc>
          <w:tcPr>
            <w:tcW w:w="2707" w:type="dxa"/>
            <w:vMerge w:val="continue"/>
            <w:noWrap w:val="0"/>
            <w:vAlign w:val="center"/>
          </w:tcPr>
          <w:p>
            <w:pPr>
              <w:snapToGrid w:val="0"/>
              <w:jc w:val="center"/>
              <w:rPr>
                <w:rFonts w:hint="eastAsia" w:ascii="仿宋" w:hAnsi="仿宋" w:eastAsia="仿宋" w:cs="仿宋"/>
                <w:color w:val="000000"/>
              </w:rPr>
            </w:pPr>
          </w:p>
        </w:tc>
        <w:tc>
          <w:tcPr>
            <w:tcW w:w="1139"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1</w:t>
            </w:r>
          </w:p>
        </w:tc>
        <w:tc>
          <w:tcPr>
            <w:tcW w:w="1140"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2</w:t>
            </w:r>
          </w:p>
        </w:tc>
        <w:tc>
          <w:tcPr>
            <w:tcW w:w="1140"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trPr>
        <w:tc>
          <w:tcPr>
            <w:tcW w:w="737" w:type="dxa"/>
            <w:vMerge w:val="continue"/>
            <w:noWrap w:val="0"/>
            <w:vAlign w:val="center"/>
          </w:tcPr>
          <w:p>
            <w:pPr>
              <w:jc w:val="center"/>
              <w:rPr>
                <w:rFonts w:hint="eastAsia" w:ascii="仿宋" w:hAnsi="仿宋" w:eastAsia="仿宋" w:cs="仿宋"/>
                <w:color w:val="000000"/>
                <w:kern w:val="0"/>
              </w:rPr>
            </w:pPr>
          </w:p>
        </w:tc>
        <w:tc>
          <w:tcPr>
            <w:tcW w:w="1078" w:type="dxa"/>
            <w:vMerge w:val="continue"/>
            <w:noWrap w:val="0"/>
            <w:vAlign w:val="center"/>
          </w:tcPr>
          <w:p>
            <w:pPr>
              <w:snapToGrid w:val="0"/>
              <w:jc w:val="center"/>
              <w:rPr>
                <w:rFonts w:hint="eastAsia" w:ascii="仿宋" w:hAnsi="仿宋" w:eastAsia="仿宋" w:cs="仿宋"/>
                <w:color w:val="000000"/>
              </w:rPr>
            </w:pPr>
          </w:p>
        </w:tc>
        <w:tc>
          <w:tcPr>
            <w:tcW w:w="1253" w:type="dxa"/>
            <w:vMerge w:val="continue"/>
            <w:noWrap w:val="0"/>
            <w:vAlign w:val="center"/>
          </w:tcPr>
          <w:p>
            <w:pPr>
              <w:snapToGrid w:val="0"/>
              <w:rPr>
                <w:rFonts w:hint="eastAsia" w:ascii="仿宋" w:hAnsi="仿宋" w:eastAsia="仿宋" w:cs="仿宋"/>
                <w:color w:val="000000"/>
              </w:rPr>
            </w:pPr>
          </w:p>
        </w:tc>
        <w:tc>
          <w:tcPr>
            <w:tcW w:w="2707" w:type="dxa"/>
            <w:vMerge w:val="continue"/>
            <w:noWrap w:val="0"/>
            <w:vAlign w:val="center"/>
          </w:tcPr>
          <w:p>
            <w:pPr>
              <w:snapToGrid w:val="0"/>
              <w:jc w:val="center"/>
              <w:rPr>
                <w:rFonts w:hint="eastAsia" w:ascii="仿宋" w:hAnsi="仿宋" w:eastAsia="仿宋" w:cs="仿宋"/>
                <w:color w:val="000000"/>
              </w:rPr>
            </w:pP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2" w:hRule="atLeast"/>
        </w:trPr>
        <w:tc>
          <w:tcPr>
            <w:tcW w:w="737"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w:t>
            </w:r>
          </w:p>
        </w:tc>
        <w:tc>
          <w:tcPr>
            <w:tcW w:w="1078"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2.1.1（1）</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投标人名称</w:t>
            </w:r>
          </w:p>
        </w:tc>
        <w:tc>
          <w:tcPr>
            <w:tcW w:w="2707"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投标人名称应与营业执照、资质证书、安全生产许可证一致</w:t>
            </w: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2" w:hRule="atLeast"/>
        </w:trPr>
        <w:tc>
          <w:tcPr>
            <w:tcW w:w="737"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2</w:t>
            </w:r>
          </w:p>
        </w:tc>
        <w:tc>
          <w:tcPr>
            <w:tcW w:w="1078" w:type="dxa"/>
            <w:noWrap w:val="0"/>
            <w:vAlign w:val="center"/>
          </w:tcPr>
          <w:p>
            <w:pPr>
              <w:snapToGrid w:val="0"/>
              <w:ind w:left="-92" w:leftChars="-44"/>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2.1.1（2）</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投标文件的签字盖章</w:t>
            </w:r>
          </w:p>
        </w:tc>
        <w:tc>
          <w:tcPr>
            <w:tcW w:w="2707"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投标文件的签字盖章符合第二章投标人须知第3.7.3项规定</w:t>
            </w: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2" w:hRule="atLeast"/>
        </w:trPr>
        <w:tc>
          <w:tcPr>
            <w:tcW w:w="737"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3</w:t>
            </w:r>
          </w:p>
        </w:tc>
        <w:tc>
          <w:tcPr>
            <w:tcW w:w="1078"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2.1.1（3）</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投标文件完整性</w:t>
            </w:r>
          </w:p>
        </w:tc>
        <w:tc>
          <w:tcPr>
            <w:tcW w:w="2707"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符合第八章投标文件格式的要求</w:t>
            </w: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2" w:hRule="atLeast"/>
        </w:trPr>
        <w:tc>
          <w:tcPr>
            <w:tcW w:w="737"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4</w:t>
            </w:r>
          </w:p>
        </w:tc>
        <w:tc>
          <w:tcPr>
            <w:tcW w:w="1078"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2.1.1（4）</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投标报价</w:t>
            </w:r>
          </w:p>
        </w:tc>
        <w:tc>
          <w:tcPr>
            <w:tcW w:w="2707"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只能有一个报价</w:t>
            </w: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2" w:hRule="atLeast"/>
        </w:trPr>
        <w:tc>
          <w:tcPr>
            <w:tcW w:w="737"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5</w:t>
            </w:r>
          </w:p>
        </w:tc>
        <w:tc>
          <w:tcPr>
            <w:tcW w:w="1078" w:type="dxa"/>
            <w:noWrap w:val="0"/>
            <w:vAlign w:val="center"/>
          </w:tcPr>
          <w:p>
            <w:pPr>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2.1.1（5）</w:t>
            </w:r>
          </w:p>
        </w:tc>
        <w:tc>
          <w:tcPr>
            <w:tcW w:w="1253" w:type="dxa"/>
            <w:noWrap w:val="0"/>
            <w:vAlign w:val="center"/>
          </w:tcPr>
          <w:p>
            <w:pPr>
              <w:pStyle w:val="106"/>
              <w:jc w:val="center"/>
              <w:rPr>
                <w:rFonts w:hint="eastAsia" w:ascii="仿宋" w:hAnsi="仿宋" w:eastAsia="仿宋" w:cs="仿宋"/>
                <w:kern w:val="2"/>
                <w:sz w:val="18"/>
                <w:szCs w:val="18"/>
              </w:rPr>
            </w:pPr>
            <w:r>
              <w:rPr>
                <w:rFonts w:hint="eastAsia" w:ascii="仿宋" w:hAnsi="仿宋" w:eastAsia="仿宋" w:cs="仿宋"/>
                <w:kern w:val="2"/>
                <w:sz w:val="18"/>
                <w:szCs w:val="18"/>
              </w:rPr>
              <w:t>联合体协议书（如有）</w:t>
            </w:r>
          </w:p>
        </w:tc>
        <w:tc>
          <w:tcPr>
            <w:tcW w:w="2707" w:type="dxa"/>
            <w:noWrap w:val="0"/>
            <w:vAlign w:val="center"/>
          </w:tcPr>
          <w:p>
            <w:pPr>
              <w:pStyle w:val="106"/>
              <w:jc w:val="center"/>
              <w:rPr>
                <w:rFonts w:hint="eastAsia" w:ascii="仿宋" w:hAnsi="仿宋" w:eastAsia="仿宋" w:cs="仿宋"/>
                <w:kern w:val="2"/>
                <w:sz w:val="18"/>
                <w:szCs w:val="18"/>
              </w:rPr>
            </w:pPr>
            <w:r>
              <w:rPr>
                <w:rFonts w:hint="eastAsia" w:ascii="仿宋" w:hAnsi="仿宋" w:eastAsia="仿宋" w:cs="仿宋"/>
                <w:kern w:val="2"/>
                <w:sz w:val="18"/>
                <w:szCs w:val="18"/>
              </w:rPr>
              <w:t>联合体投标人应提交联合体协议书，并明确联合体牵头人</w:t>
            </w: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2" w:hRule="atLeast"/>
        </w:trPr>
        <w:tc>
          <w:tcPr>
            <w:tcW w:w="737"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6</w:t>
            </w:r>
          </w:p>
        </w:tc>
        <w:tc>
          <w:tcPr>
            <w:tcW w:w="1078"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2.1.1（6）</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技术投标文件暗标的制作要求</w:t>
            </w:r>
          </w:p>
        </w:tc>
        <w:tc>
          <w:tcPr>
            <w:tcW w:w="2707" w:type="dxa"/>
            <w:noWrap w:val="0"/>
            <w:vAlign w:val="center"/>
          </w:tcPr>
          <w:p>
            <w:pPr>
              <w:pStyle w:val="106"/>
              <w:rPr>
                <w:rFonts w:hint="eastAsia" w:ascii="仿宋" w:hAnsi="仿宋" w:eastAsia="仿宋" w:cs="仿宋"/>
                <w:sz w:val="18"/>
                <w:szCs w:val="18"/>
              </w:rPr>
            </w:pPr>
            <w:r>
              <w:rPr>
                <w:rFonts w:hint="eastAsia" w:ascii="仿宋" w:hAnsi="仿宋" w:eastAsia="仿宋" w:cs="仿宋"/>
                <w:sz w:val="18"/>
                <w:szCs w:val="18"/>
              </w:rPr>
              <w:t>符合第二章投标人须知第3.7.5项规定</w:t>
            </w: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2" w:hRule="atLeast"/>
        </w:trPr>
        <w:tc>
          <w:tcPr>
            <w:tcW w:w="737"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7</w:t>
            </w:r>
          </w:p>
        </w:tc>
        <w:tc>
          <w:tcPr>
            <w:tcW w:w="1078"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w:t>
            </w:r>
          </w:p>
        </w:tc>
        <w:tc>
          <w:tcPr>
            <w:tcW w:w="2707" w:type="dxa"/>
            <w:noWrap w:val="0"/>
            <w:vAlign w:val="center"/>
          </w:tcPr>
          <w:p>
            <w:pPr>
              <w:pStyle w:val="106"/>
              <w:rPr>
                <w:rFonts w:hint="eastAsia" w:ascii="仿宋" w:hAnsi="仿宋" w:eastAsia="仿宋" w:cs="仿宋"/>
                <w:sz w:val="18"/>
                <w:szCs w:val="18"/>
              </w:rPr>
            </w:pPr>
            <w:r>
              <w:rPr>
                <w:rFonts w:hint="eastAsia" w:ascii="仿宋" w:hAnsi="仿宋" w:eastAsia="仿宋" w:cs="仿宋"/>
                <w:sz w:val="18"/>
                <w:szCs w:val="18"/>
              </w:rPr>
              <w:t>……</w:t>
            </w: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2" w:hRule="atLeast"/>
        </w:trPr>
        <w:tc>
          <w:tcPr>
            <w:tcW w:w="737" w:type="dxa"/>
            <w:noWrap w:val="0"/>
            <w:vAlign w:val="center"/>
          </w:tcPr>
          <w:p>
            <w:pPr>
              <w:jc w:val="center"/>
              <w:rPr>
                <w:rFonts w:hint="eastAsia" w:ascii="仿宋" w:hAnsi="仿宋" w:eastAsia="仿宋" w:cs="仿宋"/>
                <w:color w:val="000000"/>
                <w:kern w:val="0"/>
              </w:rPr>
            </w:pPr>
          </w:p>
        </w:tc>
        <w:tc>
          <w:tcPr>
            <w:tcW w:w="5038" w:type="dxa"/>
            <w:gridSpan w:val="3"/>
            <w:noWrap w:val="0"/>
            <w:vAlign w:val="center"/>
          </w:tcPr>
          <w:p>
            <w:pPr>
              <w:jc w:val="center"/>
              <w:rPr>
                <w:rFonts w:hint="eastAsia" w:ascii="仿宋" w:hAnsi="仿宋" w:eastAsia="仿宋" w:cs="仿宋"/>
                <w:b/>
                <w:bCs/>
                <w:color w:val="000000"/>
                <w:kern w:val="0"/>
              </w:rPr>
            </w:pPr>
            <w:r>
              <w:rPr>
                <w:rFonts w:hint="eastAsia" w:ascii="仿宋" w:hAnsi="仿宋" w:eastAsia="仿宋" w:cs="仿宋"/>
                <w:b/>
                <w:bCs/>
                <w:color w:val="000000"/>
                <w:kern w:val="0"/>
              </w:rPr>
              <w:t>评审结论（合格/不合格）</w:t>
            </w: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r>
    </w:tbl>
    <w:p>
      <w:pPr>
        <w:rPr>
          <w:rFonts w:hint="eastAsia" w:ascii="仿宋" w:hAnsi="仿宋" w:eastAsia="仿宋" w:cs="仿宋"/>
          <w:color w:val="000000"/>
          <w:sz w:val="18"/>
          <w:szCs w:val="18"/>
        </w:rPr>
      </w:pPr>
      <w:r>
        <w:rPr>
          <w:rFonts w:hint="eastAsia" w:ascii="仿宋" w:hAnsi="仿宋" w:eastAsia="仿宋" w:cs="仿宋"/>
          <w:b/>
          <w:color w:val="000000"/>
        </w:rPr>
        <w:t>备注：</w:t>
      </w:r>
      <w:r>
        <w:rPr>
          <w:rFonts w:hint="eastAsia" w:ascii="仿宋" w:hAnsi="仿宋" w:eastAsia="仿宋" w:cs="仿宋"/>
          <w:color w:val="000000"/>
          <w:sz w:val="18"/>
          <w:szCs w:val="18"/>
        </w:rPr>
        <w:t>1.评审项目合格的打“√”，不合格的打“×”。上表中有一项不符合评审标准的，其评审结论为不合格，则不进入投标文件下一轮的评审。</w:t>
      </w:r>
    </w:p>
    <w:p>
      <w:pPr>
        <w:snapToGrid w:val="0"/>
        <w:ind w:firstLine="540" w:firstLineChars="300"/>
        <w:rPr>
          <w:rFonts w:hint="eastAsia" w:ascii="仿宋" w:hAnsi="仿宋" w:eastAsia="仿宋" w:cs="仿宋"/>
          <w:color w:val="000000"/>
        </w:rPr>
      </w:pPr>
      <w:r>
        <w:rPr>
          <w:rFonts w:hint="eastAsia" w:ascii="仿宋" w:hAnsi="仿宋" w:eastAsia="仿宋" w:cs="仿宋"/>
          <w:color w:val="000000"/>
          <w:sz w:val="18"/>
          <w:szCs w:val="18"/>
        </w:rPr>
        <w:t>2.本表由评标委员会集体评议，评标委员会成员中对评审结论有不同意见时，按少数服从多数的原则，确定评审结论。</w:t>
      </w:r>
    </w:p>
    <w:p>
      <w:pPr>
        <w:snapToGrid w:val="0"/>
        <w:spacing w:line="360" w:lineRule="auto"/>
        <w:ind w:firstLine="420" w:firstLineChars="200"/>
        <w:rPr>
          <w:rFonts w:hint="eastAsia" w:ascii="仿宋" w:hAnsi="仿宋" w:eastAsia="仿宋" w:cs="仿宋"/>
          <w:color w:val="000000"/>
        </w:rPr>
      </w:pPr>
    </w:p>
    <w:p>
      <w:pPr>
        <w:snapToGrid w:val="0"/>
        <w:spacing w:line="400" w:lineRule="exact"/>
        <w:rPr>
          <w:rFonts w:hint="eastAsia" w:ascii="仿宋" w:hAnsi="仿宋" w:eastAsia="仿宋" w:cs="仿宋"/>
          <w:color w:val="000000"/>
          <w:kern w:val="0"/>
        </w:rPr>
      </w:pPr>
      <w:r>
        <w:rPr>
          <w:rFonts w:hint="eastAsia" w:ascii="仿宋" w:hAnsi="仿宋" w:eastAsia="仿宋" w:cs="仿宋"/>
          <w:color w:val="000000"/>
          <w:sz w:val="24"/>
        </w:rPr>
        <w:t>评标委员会全体成员签字：</w:t>
      </w:r>
    </w:p>
    <w:p>
      <w:pPr>
        <w:snapToGrid w:val="0"/>
        <w:spacing w:line="360" w:lineRule="auto"/>
        <w:rPr>
          <w:rFonts w:hint="eastAsia" w:ascii="仿宋" w:hAnsi="仿宋" w:eastAsia="仿宋" w:cs="仿宋"/>
          <w:color w:val="000000"/>
          <w:kern w:val="0"/>
        </w:rPr>
      </w:pPr>
    </w:p>
    <w:p>
      <w:pPr>
        <w:spacing w:line="490" w:lineRule="exact"/>
        <w:ind w:right="420"/>
        <w:outlineLvl w:val="4"/>
        <w:rPr>
          <w:rFonts w:hint="eastAsia" w:eastAsia="黑体"/>
          <w:bCs/>
          <w:color w:val="000000"/>
          <w:sz w:val="28"/>
          <w:szCs w:val="20"/>
        </w:rPr>
      </w:pPr>
      <w:r>
        <w:rPr>
          <w:rFonts w:hint="eastAsia" w:ascii="仿宋" w:hAnsi="仿宋" w:eastAsia="仿宋" w:cs="仿宋"/>
          <w:color w:val="000000"/>
        </w:rPr>
        <w:br w:type="page"/>
      </w:r>
      <w:bookmarkStart w:id="875" w:name="_Toc511318008"/>
      <w:bookmarkStart w:id="876" w:name="_Toc511317259"/>
      <w:r>
        <w:rPr>
          <w:rFonts w:eastAsia="黑体"/>
          <w:bCs/>
          <w:color w:val="000000"/>
          <w:sz w:val="28"/>
          <w:szCs w:val="20"/>
        </w:rPr>
        <w:t>附表3-3（2）：资格评审表</w:t>
      </w:r>
      <w:bookmarkEnd w:id="875"/>
      <w:bookmarkEnd w:id="876"/>
    </w:p>
    <w:p>
      <w:pPr>
        <w:pStyle w:val="2"/>
        <w:rPr>
          <w:lang w:val="en-US" w:eastAsia="zh-CN"/>
        </w:rPr>
      </w:pPr>
    </w:p>
    <w:p>
      <w:pPr>
        <w:pStyle w:val="32"/>
        <w:spacing w:before="240" w:beforeLines="100" w:after="240" w:afterLines="100" w:line="490" w:lineRule="exact"/>
        <w:ind w:left="0" w:firstLine="0" w:firstLineChars="0"/>
        <w:jc w:val="center"/>
        <w:rPr>
          <w:rFonts w:hint="eastAsia" w:ascii="方正小标宋简体" w:eastAsia="方正小标宋简体"/>
          <w:bCs/>
          <w:color w:val="000000"/>
          <w:sz w:val="40"/>
          <w:szCs w:val="20"/>
        </w:rPr>
      </w:pPr>
      <w:r>
        <w:rPr>
          <w:rFonts w:hint="eastAsia" w:ascii="方正小标宋简体" w:eastAsia="方正小标宋简体"/>
          <w:bCs/>
          <w:color w:val="000000"/>
          <w:sz w:val="40"/>
          <w:szCs w:val="20"/>
        </w:rPr>
        <w:t>资格评审表</w:t>
      </w:r>
    </w:p>
    <w:p>
      <w:pPr>
        <w:snapToGrid w:val="0"/>
        <w:spacing w:line="600" w:lineRule="exact"/>
        <w:rPr>
          <w:rFonts w:hint="eastAsia" w:ascii="仿宋" w:hAnsi="仿宋" w:eastAsia="仿宋" w:cs="仿宋"/>
          <w:color w:val="000000"/>
          <w:sz w:val="24"/>
          <w:u w:val="single"/>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（标段名称）</w:t>
      </w:r>
      <w:r>
        <w:rPr>
          <w:rFonts w:hint="eastAsia" w:ascii="仿宋" w:hAnsi="仿宋" w:eastAsia="仿宋" w:cs="仿宋"/>
          <w:color w:val="000000"/>
          <w:sz w:val="24"/>
          <w:u w:val="single"/>
        </w:rPr>
        <w:t xml:space="preserve">                      </w:t>
      </w:r>
    </w:p>
    <w:p>
      <w:pPr>
        <w:snapToGrid w:val="0"/>
        <w:spacing w:line="600" w:lineRule="exact"/>
        <w:rPr>
          <w:rFonts w:hint="eastAsia" w:ascii="仿宋" w:hAnsi="仿宋" w:eastAsia="仿宋" w:cs="仿宋"/>
          <w:color w:val="000000"/>
          <w:sz w:val="24"/>
        </w:rPr>
      </w:pPr>
      <w:r>
        <w:rPr>
          <w:rFonts w:hint="eastAsia" w:ascii="仿宋" w:hAnsi="仿宋" w:eastAsia="仿宋" w:cs="仿宋"/>
          <w:color w:val="000000"/>
          <w:sz w:val="24"/>
        </w:rPr>
        <w:t>项目管理编号：</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tbl>
      <w:tblPr>
        <w:tblStyle w:val="47"/>
        <w:tblW w:w="937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55"/>
        <w:gridCol w:w="1260"/>
        <w:gridCol w:w="1171"/>
        <w:gridCol w:w="3975"/>
        <w:gridCol w:w="851"/>
        <w:gridCol w:w="708"/>
        <w:gridCol w:w="8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5" w:type="dxa"/>
            <w:vMerge w:val="restart"/>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序号</w:t>
            </w:r>
          </w:p>
        </w:tc>
        <w:tc>
          <w:tcPr>
            <w:tcW w:w="1260" w:type="dxa"/>
            <w:vMerge w:val="restart"/>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条款号</w:t>
            </w:r>
          </w:p>
        </w:tc>
        <w:tc>
          <w:tcPr>
            <w:tcW w:w="1171" w:type="dxa"/>
            <w:vMerge w:val="restart"/>
            <w:noWrap w:val="0"/>
            <w:vAlign w:val="center"/>
          </w:tcPr>
          <w:p>
            <w:pPr>
              <w:snapToGrid w:val="0"/>
              <w:rPr>
                <w:rFonts w:hint="eastAsia" w:ascii="仿宋" w:hAnsi="仿宋" w:eastAsia="仿宋" w:cs="仿宋"/>
                <w:color w:val="000000"/>
              </w:rPr>
            </w:pPr>
            <w:r>
              <w:rPr>
                <w:rFonts w:hint="eastAsia" w:ascii="仿宋" w:hAnsi="仿宋" w:eastAsia="仿宋" w:cs="仿宋"/>
                <w:color w:val="000000"/>
              </w:rPr>
              <w:t>评审因素</w:t>
            </w:r>
          </w:p>
        </w:tc>
        <w:tc>
          <w:tcPr>
            <w:tcW w:w="3975" w:type="dxa"/>
            <w:vMerge w:val="restart"/>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评审标准</w:t>
            </w:r>
          </w:p>
        </w:tc>
        <w:tc>
          <w:tcPr>
            <w:tcW w:w="2410" w:type="dxa"/>
            <w:gridSpan w:val="3"/>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投标人名称及评审意见</w:t>
            </w:r>
          </w:p>
          <w:p>
            <w:pPr>
              <w:jc w:val="center"/>
              <w:rPr>
                <w:rFonts w:hint="eastAsia" w:ascii="仿宋" w:hAnsi="仿宋" w:eastAsia="仿宋" w:cs="仿宋"/>
                <w:color w:val="000000"/>
                <w:kern w:val="0"/>
              </w:rPr>
            </w:pPr>
            <w:r>
              <w:rPr>
                <w:rFonts w:hint="eastAsia" w:ascii="仿宋" w:hAnsi="仿宋" w:eastAsia="仿宋" w:cs="仿宋"/>
                <w:bCs/>
                <w:color w:val="000000"/>
                <w:kern w:val="0"/>
              </w:rPr>
              <w:t>（合格√/不合格×）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dxa"/>
            <w:vMerge w:val="continue"/>
            <w:noWrap w:val="0"/>
            <w:vAlign w:val="center"/>
          </w:tcPr>
          <w:p>
            <w:pPr>
              <w:jc w:val="center"/>
              <w:rPr>
                <w:rFonts w:hint="eastAsia" w:ascii="仿宋" w:hAnsi="仿宋" w:eastAsia="仿宋" w:cs="仿宋"/>
                <w:color w:val="000000"/>
                <w:kern w:val="0"/>
              </w:rPr>
            </w:pPr>
          </w:p>
        </w:tc>
        <w:tc>
          <w:tcPr>
            <w:tcW w:w="1260" w:type="dxa"/>
            <w:vMerge w:val="continue"/>
            <w:noWrap w:val="0"/>
            <w:vAlign w:val="center"/>
          </w:tcPr>
          <w:p>
            <w:pPr>
              <w:snapToGrid w:val="0"/>
              <w:jc w:val="center"/>
              <w:rPr>
                <w:rFonts w:hint="eastAsia" w:ascii="仿宋" w:hAnsi="仿宋" w:eastAsia="仿宋" w:cs="仿宋"/>
                <w:color w:val="000000"/>
              </w:rPr>
            </w:pPr>
          </w:p>
        </w:tc>
        <w:tc>
          <w:tcPr>
            <w:tcW w:w="1171" w:type="dxa"/>
            <w:vMerge w:val="continue"/>
            <w:noWrap w:val="0"/>
            <w:vAlign w:val="center"/>
          </w:tcPr>
          <w:p>
            <w:pPr>
              <w:snapToGrid w:val="0"/>
              <w:rPr>
                <w:rFonts w:hint="eastAsia" w:ascii="仿宋" w:hAnsi="仿宋" w:eastAsia="仿宋" w:cs="仿宋"/>
                <w:color w:val="000000"/>
              </w:rPr>
            </w:pPr>
          </w:p>
        </w:tc>
        <w:tc>
          <w:tcPr>
            <w:tcW w:w="3975" w:type="dxa"/>
            <w:vMerge w:val="continue"/>
            <w:noWrap w:val="0"/>
            <w:vAlign w:val="center"/>
          </w:tcPr>
          <w:p>
            <w:pPr>
              <w:snapToGrid w:val="0"/>
              <w:jc w:val="center"/>
              <w:rPr>
                <w:rFonts w:hint="eastAsia" w:ascii="仿宋" w:hAnsi="仿宋" w:eastAsia="仿宋" w:cs="仿宋"/>
                <w:color w:val="000000"/>
              </w:rPr>
            </w:pPr>
          </w:p>
        </w:tc>
        <w:tc>
          <w:tcPr>
            <w:tcW w:w="851"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1</w:t>
            </w:r>
          </w:p>
        </w:tc>
        <w:tc>
          <w:tcPr>
            <w:tcW w:w="708"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2</w:t>
            </w:r>
          </w:p>
        </w:tc>
        <w:tc>
          <w:tcPr>
            <w:tcW w:w="851"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dxa"/>
            <w:vMerge w:val="continue"/>
            <w:noWrap w:val="0"/>
            <w:vAlign w:val="center"/>
          </w:tcPr>
          <w:p>
            <w:pPr>
              <w:jc w:val="center"/>
              <w:rPr>
                <w:rFonts w:hint="eastAsia" w:ascii="仿宋" w:hAnsi="仿宋" w:eastAsia="仿宋" w:cs="仿宋"/>
                <w:color w:val="000000"/>
                <w:kern w:val="0"/>
              </w:rPr>
            </w:pPr>
          </w:p>
        </w:tc>
        <w:tc>
          <w:tcPr>
            <w:tcW w:w="1260" w:type="dxa"/>
            <w:vMerge w:val="continue"/>
            <w:noWrap w:val="0"/>
            <w:vAlign w:val="center"/>
          </w:tcPr>
          <w:p>
            <w:pPr>
              <w:snapToGrid w:val="0"/>
              <w:jc w:val="center"/>
              <w:rPr>
                <w:rFonts w:hint="eastAsia" w:ascii="仿宋" w:hAnsi="仿宋" w:eastAsia="仿宋" w:cs="仿宋"/>
                <w:color w:val="000000"/>
              </w:rPr>
            </w:pPr>
          </w:p>
        </w:tc>
        <w:tc>
          <w:tcPr>
            <w:tcW w:w="1171" w:type="dxa"/>
            <w:vMerge w:val="continue"/>
            <w:noWrap w:val="0"/>
            <w:vAlign w:val="center"/>
          </w:tcPr>
          <w:p>
            <w:pPr>
              <w:snapToGrid w:val="0"/>
              <w:rPr>
                <w:rFonts w:hint="eastAsia" w:ascii="仿宋" w:hAnsi="仿宋" w:eastAsia="仿宋" w:cs="仿宋"/>
                <w:color w:val="000000"/>
              </w:rPr>
            </w:pPr>
          </w:p>
        </w:tc>
        <w:tc>
          <w:tcPr>
            <w:tcW w:w="3975" w:type="dxa"/>
            <w:vMerge w:val="continue"/>
            <w:noWrap w:val="0"/>
            <w:vAlign w:val="center"/>
          </w:tcPr>
          <w:p>
            <w:pPr>
              <w:snapToGrid w:val="0"/>
              <w:jc w:val="center"/>
              <w:rPr>
                <w:rFonts w:hint="eastAsia" w:ascii="仿宋" w:hAnsi="仿宋" w:eastAsia="仿宋" w:cs="仿宋"/>
                <w:color w:val="000000"/>
              </w:rPr>
            </w:pPr>
          </w:p>
        </w:tc>
        <w:tc>
          <w:tcPr>
            <w:tcW w:w="851" w:type="dxa"/>
            <w:noWrap w:val="0"/>
            <w:vAlign w:val="center"/>
          </w:tcPr>
          <w:p>
            <w:pPr>
              <w:jc w:val="center"/>
              <w:rPr>
                <w:rFonts w:hint="eastAsia" w:ascii="仿宋" w:hAnsi="仿宋" w:eastAsia="仿宋" w:cs="仿宋"/>
                <w:color w:val="000000"/>
                <w:kern w:val="0"/>
              </w:rPr>
            </w:pPr>
          </w:p>
        </w:tc>
        <w:tc>
          <w:tcPr>
            <w:tcW w:w="708" w:type="dxa"/>
            <w:noWrap w:val="0"/>
            <w:vAlign w:val="center"/>
          </w:tcPr>
          <w:p>
            <w:pPr>
              <w:jc w:val="center"/>
              <w:rPr>
                <w:rFonts w:hint="eastAsia" w:ascii="仿宋" w:hAnsi="仿宋" w:eastAsia="仿宋" w:cs="仿宋"/>
                <w:color w:val="000000"/>
                <w:kern w:val="0"/>
              </w:rPr>
            </w:pPr>
          </w:p>
        </w:tc>
        <w:tc>
          <w:tcPr>
            <w:tcW w:w="851"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w:t>
            </w:r>
          </w:p>
        </w:tc>
        <w:tc>
          <w:tcPr>
            <w:tcW w:w="1260"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2.1.2（1）</w:t>
            </w:r>
          </w:p>
        </w:tc>
        <w:tc>
          <w:tcPr>
            <w:tcW w:w="1171"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营业执照</w:t>
            </w:r>
          </w:p>
        </w:tc>
        <w:tc>
          <w:tcPr>
            <w:tcW w:w="3975" w:type="dxa"/>
            <w:noWrap w:val="0"/>
            <w:vAlign w:val="center"/>
          </w:tcPr>
          <w:p>
            <w:pPr>
              <w:snapToGrid w:val="0"/>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具备有效的营业执照</w:t>
            </w:r>
          </w:p>
        </w:tc>
        <w:tc>
          <w:tcPr>
            <w:tcW w:w="851" w:type="dxa"/>
            <w:noWrap w:val="0"/>
            <w:vAlign w:val="center"/>
          </w:tcPr>
          <w:p>
            <w:pPr>
              <w:jc w:val="center"/>
              <w:rPr>
                <w:rFonts w:hint="eastAsia" w:ascii="仿宋" w:hAnsi="仿宋" w:eastAsia="仿宋" w:cs="仿宋"/>
                <w:color w:val="000000"/>
                <w:kern w:val="0"/>
              </w:rPr>
            </w:pPr>
          </w:p>
        </w:tc>
        <w:tc>
          <w:tcPr>
            <w:tcW w:w="708" w:type="dxa"/>
            <w:noWrap w:val="0"/>
            <w:vAlign w:val="center"/>
          </w:tcPr>
          <w:p>
            <w:pPr>
              <w:jc w:val="center"/>
              <w:rPr>
                <w:rFonts w:hint="eastAsia" w:ascii="仿宋" w:hAnsi="仿宋" w:eastAsia="仿宋" w:cs="仿宋"/>
                <w:color w:val="000000"/>
                <w:kern w:val="0"/>
              </w:rPr>
            </w:pPr>
          </w:p>
        </w:tc>
        <w:tc>
          <w:tcPr>
            <w:tcW w:w="851" w:type="dxa"/>
            <w:noWrap w:val="0"/>
            <w:vAlign w:val="center"/>
          </w:tcPr>
          <w:p>
            <w:pPr>
              <w:jc w:val="center"/>
              <w:rPr>
                <w:rFonts w:hint="eastAsia" w:ascii="仿宋" w:hAnsi="仿宋" w:eastAsia="仿宋" w:cs="仿宋"/>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2</w:t>
            </w:r>
          </w:p>
        </w:tc>
        <w:tc>
          <w:tcPr>
            <w:tcW w:w="1260"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2.1.2（2）</w:t>
            </w:r>
          </w:p>
        </w:tc>
        <w:tc>
          <w:tcPr>
            <w:tcW w:w="1171"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安全生产许可证</w:t>
            </w:r>
          </w:p>
        </w:tc>
        <w:tc>
          <w:tcPr>
            <w:tcW w:w="3975" w:type="dxa"/>
            <w:noWrap w:val="0"/>
            <w:vAlign w:val="center"/>
          </w:tcPr>
          <w:p>
            <w:pPr>
              <w:pStyle w:val="106"/>
              <w:rPr>
                <w:rFonts w:hint="eastAsia" w:ascii="仿宋" w:hAnsi="仿宋" w:eastAsia="仿宋" w:cs="仿宋"/>
                <w:sz w:val="18"/>
                <w:szCs w:val="18"/>
              </w:rPr>
            </w:pPr>
            <w:r>
              <w:rPr>
                <w:rFonts w:hint="eastAsia" w:ascii="仿宋" w:hAnsi="仿宋" w:eastAsia="仿宋" w:cs="仿宋"/>
                <w:sz w:val="18"/>
                <w:szCs w:val="18"/>
              </w:rPr>
              <w:t>具备有效的安全生产许可证</w:t>
            </w:r>
          </w:p>
        </w:tc>
        <w:tc>
          <w:tcPr>
            <w:tcW w:w="851" w:type="dxa"/>
            <w:noWrap w:val="0"/>
            <w:vAlign w:val="center"/>
          </w:tcPr>
          <w:p>
            <w:pPr>
              <w:jc w:val="center"/>
              <w:rPr>
                <w:rFonts w:hint="eastAsia" w:ascii="仿宋" w:hAnsi="仿宋" w:eastAsia="仿宋" w:cs="仿宋"/>
                <w:color w:val="000000"/>
                <w:kern w:val="0"/>
              </w:rPr>
            </w:pPr>
          </w:p>
        </w:tc>
        <w:tc>
          <w:tcPr>
            <w:tcW w:w="708" w:type="dxa"/>
            <w:noWrap w:val="0"/>
            <w:vAlign w:val="center"/>
          </w:tcPr>
          <w:p>
            <w:pPr>
              <w:jc w:val="center"/>
              <w:rPr>
                <w:rFonts w:hint="eastAsia" w:ascii="仿宋" w:hAnsi="仿宋" w:eastAsia="仿宋" w:cs="仿宋"/>
                <w:color w:val="000000"/>
                <w:kern w:val="0"/>
              </w:rPr>
            </w:pPr>
          </w:p>
        </w:tc>
        <w:tc>
          <w:tcPr>
            <w:tcW w:w="851" w:type="dxa"/>
            <w:noWrap w:val="0"/>
            <w:vAlign w:val="center"/>
          </w:tcPr>
          <w:p>
            <w:pPr>
              <w:jc w:val="center"/>
              <w:rPr>
                <w:rFonts w:hint="eastAsia" w:ascii="仿宋" w:hAnsi="仿宋" w:eastAsia="仿宋" w:cs="仿宋"/>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3</w:t>
            </w:r>
          </w:p>
        </w:tc>
        <w:tc>
          <w:tcPr>
            <w:tcW w:w="1260"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2.1.2（3）</w:t>
            </w:r>
          </w:p>
        </w:tc>
        <w:tc>
          <w:tcPr>
            <w:tcW w:w="1171"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资质证书</w:t>
            </w:r>
          </w:p>
        </w:tc>
        <w:tc>
          <w:tcPr>
            <w:tcW w:w="3975" w:type="dxa"/>
            <w:noWrap w:val="0"/>
            <w:vAlign w:val="center"/>
          </w:tcPr>
          <w:p>
            <w:pPr>
              <w:pStyle w:val="106"/>
              <w:rPr>
                <w:rFonts w:hint="eastAsia" w:ascii="仿宋" w:hAnsi="仿宋" w:eastAsia="仿宋" w:cs="仿宋"/>
                <w:sz w:val="18"/>
                <w:szCs w:val="18"/>
              </w:rPr>
            </w:pPr>
            <w:r>
              <w:rPr>
                <w:rFonts w:hint="eastAsia" w:ascii="仿宋" w:hAnsi="仿宋" w:eastAsia="仿宋" w:cs="仿宋"/>
                <w:sz w:val="18"/>
                <w:szCs w:val="18"/>
              </w:rPr>
              <w:t>具备有效的资质证书且资质等级符合第二章投标人须知第1.4.1项规定</w:t>
            </w:r>
          </w:p>
        </w:tc>
        <w:tc>
          <w:tcPr>
            <w:tcW w:w="851" w:type="dxa"/>
            <w:noWrap w:val="0"/>
            <w:vAlign w:val="center"/>
          </w:tcPr>
          <w:p>
            <w:pPr>
              <w:jc w:val="center"/>
              <w:rPr>
                <w:rFonts w:hint="eastAsia" w:ascii="仿宋" w:hAnsi="仿宋" w:eastAsia="仿宋" w:cs="仿宋"/>
                <w:color w:val="000000"/>
                <w:kern w:val="0"/>
              </w:rPr>
            </w:pPr>
          </w:p>
        </w:tc>
        <w:tc>
          <w:tcPr>
            <w:tcW w:w="708" w:type="dxa"/>
            <w:noWrap w:val="0"/>
            <w:vAlign w:val="center"/>
          </w:tcPr>
          <w:p>
            <w:pPr>
              <w:jc w:val="center"/>
              <w:rPr>
                <w:rFonts w:hint="eastAsia" w:ascii="仿宋" w:hAnsi="仿宋" w:eastAsia="仿宋" w:cs="仿宋"/>
                <w:color w:val="000000"/>
                <w:kern w:val="0"/>
              </w:rPr>
            </w:pPr>
          </w:p>
        </w:tc>
        <w:tc>
          <w:tcPr>
            <w:tcW w:w="851" w:type="dxa"/>
            <w:noWrap w:val="0"/>
            <w:vAlign w:val="center"/>
          </w:tcPr>
          <w:p>
            <w:pPr>
              <w:jc w:val="center"/>
              <w:rPr>
                <w:rFonts w:hint="eastAsia" w:ascii="仿宋" w:hAnsi="仿宋" w:eastAsia="仿宋" w:cs="仿宋"/>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4</w:t>
            </w:r>
          </w:p>
        </w:tc>
        <w:tc>
          <w:tcPr>
            <w:tcW w:w="1260"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2.1.2（4）</w:t>
            </w:r>
          </w:p>
        </w:tc>
        <w:tc>
          <w:tcPr>
            <w:tcW w:w="1171" w:type="dxa"/>
            <w:noWrap w:val="0"/>
            <w:vAlign w:val="center"/>
          </w:tcPr>
          <w:p>
            <w:pPr>
              <w:pStyle w:val="118"/>
              <w:widowControl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业绩</w:t>
            </w:r>
          </w:p>
        </w:tc>
        <w:tc>
          <w:tcPr>
            <w:tcW w:w="3975" w:type="dxa"/>
            <w:noWrap w:val="0"/>
            <w:vAlign w:val="center"/>
          </w:tcPr>
          <w:p>
            <w:pPr>
              <w:pStyle w:val="118"/>
              <w:widowControl w:val="0"/>
              <w:rPr>
                <w:rFonts w:hint="eastAsia" w:ascii="仿宋" w:hAnsi="仿宋" w:eastAsia="仿宋" w:cs="仿宋"/>
                <w:color w:val="000000"/>
                <w:sz w:val="18"/>
                <w:szCs w:val="18"/>
              </w:rPr>
            </w:pPr>
            <w:r>
              <w:rPr>
                <w:rFonts w:hint="eastAsia" w:ascii="仿宋" w:hAnsi="仿宋" w:eastAsia="仿宋" w:cs="仿宋"/>
                <w:color w:val="000000"/>
                <w:sz w:val="18"/>
                <w:szCs w:val="18"/>
              </w:rPr>
              <w:t>业绩符合第二章投标人须知第1.4.1项规定</w:t>
            </w:r>
          </w:p>
        </w:tc>
        <w:tc>
          <w:tcPr>
            <w:tcW w:w="851" w:type="dxa"/>
            <w:noWrap w:val="0"/>
            <w:vAlign w:val="center"/>
          </w:tcPr>
          <w:p>
            <w:pPr>
              <w:jc w:val="center"/>
              <w:rPr>
                <w:rFonts w:hint="eastAsia" w:ascii="仿宋" w:hAnsi="仿宋" w:eastAsia="仿宋" w:cs="仿宋"/>
                <w:color w:val="000000"/>
                <w:kern w:val="0"/>
              </w:rPr>
            </w:pPr>
          </w:p>
        </w:tc>
        <w:tc>
          <w:tcPr>
            <w:tcW w:w="708" w:type="dxa"/>
            <w:noWrap w:val="0"/>
            <w:vAlign w:val="center"/>
          </w:tcPr>
          <w:p>
            <w:pPr>
              <w:jc w:val="center"/>
              <w:rPr>
                <w:rFonts w:hint="eastAsia" w:ascii="仿宋" w:hAnsi="仿宋" w:eastAsia="仿宋" w:cs="仿宋"/>
                <w:color w:val="000000"/>
                <w:kern w:val="0"/>
              </w:rPr>
            </w:pPr>
          </w:p>
        </w:tc>
        <w:tc>
          <w:tcPr>
            <w:tcW w:w="851" w:type="dxa"/>
            <w:noWrap w:val="0"/>
            <w:vAlign w:val="center"/>
          </w:tcPr>
          <w:p>
            <w:pPr>
              <w:jc w:val="center"/>
              <w:rPr>
                <w:rFonts w:hint="eastAsia" w:ascii="仿宋" w:hAnsi="仿宋" w:eastAsia="仿宋" w:cs="仿宋"/>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5</w:t>
            </w:r>
          </w:p>
        </w:tc>
        <w:tc>
          <w:tcPr>
            <w:tcW w:w="1260"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2.1.2（5）</w:t>
            </w:r>
          </w:p>
        </w:tc>
        <w:tc>
          <w:tcPr>
            <w:tcW w:w="1171"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信誉</w:t>
            </w:r>
          </w:p>
        </w:tc>
        <w:tc>
          <w:tcPr>
            <w:tcW w:w="3975" w:type="dxa"/>
            <w:noWrap w:val="0"/>
            <w:vAlign w:val="center"/>
          </w:tcPr>
          <w:p>
            <w:pPr>
              <w:pStyle w:val="106"/>
              <w:rPr>
                <w:rFonts w:hint="eastAsia" w:ascii="仿宋" w:hAnsi="仿宋" w:eastAsia="仿宋" w:cs="仿宋"/>
                <w:kern w:val="2"/>
                <w:sz w:val="18"/>
                <w:szCs w:val="18"/>
              </w:rPr>
            </w:pPr>
            <w:r>
              <w:rPr>
                <w:rFonts w:hint="eastAsia" w:ascii="仿宋" w:hAnsi="仿宋" w:eastAsia="仿宋" w:cs="仿宋"/>
                <w:sz w:val="18"/>
                <w:szCs w:val="18"/>
              </w:rPr>
              <w:t>信誉</w:t>
            </w:r>
            <w:r>
              <w:rPr>
                <w:rFonts w:hint="eastAsia" w:ascii="仿宋" w:hAnsi="仿宋" w:eastAsia="仿宋" w:cs="仿宋"/>
                <w:kern w:val="2"/>
                <w:sz w:val="18"/>
                <w:szCs w:val="18"/>
              </w:rPr>
              <w:t>符合第二章投标人须知第1.4.1项定</w:t>
            </w:r>
          </w:p>
        </w:tc>
        <w:tc>
          <w:tcPr>
            <w:tcW w:w="851" w:type="dxa"/>
            <w:noWrap w:val="0"/>
            <w:vAlign w:val="center"/>
          </w:tcPr>
          <w:p>
            <w:pPr>
              <w:jc w:val="center"/>
              <w:rPr>
                <w:rFonts w:hint="eastAsia" w:ascii="仿宋" w:hAnsi="仿宋" w:eastAsia="仿宋" w:cs="仿宋"/>
                <w:color w:val="000000"/>
                <w:kern w:val="0"/>
              </w:rPr>
            </w:pPr>
          </w:p>
        </w:tc>
        <w:tc>
          <w:tcPr>
            <w:tcW w:w="708" w:type="dxa"/>
            <w:noWrap w:val="0"/>
            <w:vAlign w:val="center"/>
          </w:tcPr>
          <w:p>
            <w:pPr>
              <w:jc w:val="center"/>
              <w:rPr>
                <w:rFonts w:hint="eastAsia" w:ascii="仿宋" w:hAnsi="仿宋" w:eastAsia="仿宋" w:cs="仿宋"/>
                <w:color w:val="000000"/>
                <w:kern w:val="0"/>
              </w:rPr>
            </w:pPr>
          </w:p>
        </w:tc>
        <w:tc>
          <w:tcPr>
            <w:tcW w:w="851" w:type="dxa"/>
            <w:noWrap w:val="0"/>
            <w:vAlign w:val="center"/>
          </w:tcPr>
          <w:p>
            <w:pPr>
              <w:jc w:val="center"/>
              <w:rPr>
                <w:rFonts w:hint="eastAsia" w:ascii="仿宋" w:hAnsi="仿宋" w:eastAsia="仿宋" w:cs="仿宋"/>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6</w:t>
            </w:r>
          </w:p>
        </w:tc>
        <w:tc>
          <w:tcPr>
            <w:tcW w:w="1260"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2.1.2（6）</w:t>
            </w:r>
          </w:p>
        </w:tc>
        <w:tc>
          <w:tcPr>
            <w:tcW w:w="1171"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项目负责人</w:t>
            </w:r>
          </w:p>
        </w:tc>
        <w:tc>
          <w:tcPr>
            <w:tcW w:w="3975" w:type="dxa"/>
            <w:noWrap w:val="0"/>
            <w:vAlign w:val="center"/>
          </w:tcPr>
          <w:p>
            <w:pPr>
              <w:pStyle w:val="106"/>
              <w:rPr>
                <w:rFonts w:hint="eastAsia" w:ascii="仿宋" w:hAnsi="仿宋" w:eastAsia="仿宋" w:cs="仿宋"/>
                <w:sz w:val="18"/>
                <w:szCs w:val="18"/>
              </w:rPr>
            </w:pPr>
            <w:r>
              <w:rPr>
                <w:rFonts w:hint="eastAsia" w:ascii="仿宋" w:hAnsi="仿宋" w:eastAsia="仿宋" w:cs="仿宋"/>
                <w:sz w:val="18"/>
                <w:szCs w:val="18"/>
              </w:rPr>
              <w:t>项目负责人资格符合第二章投标人须知第1.4.1项规定</w:t>
            </w:r>
          </w:p>
        </w:tc>
        <w:tc>
          <w:tcPr>
            <w:tcW w:w="851" w:type="dxa"/>
            <w:noWrap w:val="0"/>
            <w:vAlign w:val="center"/>
          </w:tcPr>
          <w:p>
            <w:pPr>
              <w:jc w:val="center"/>
              <w:rPr>
                <w:rFonts w:hint="eastAsia" w:ascii="仿宋" w:hAnsi="仿宋" w:eastAsia="仿宋" w:cs="仿宋"/>
                <w:color w:val="000000"/>
                <w:kern w:val="0"/>
              </w:rPr>
            </w:pPr>
          </w:p>
        </w:tc>
        <w:tc>
          <w:tcPr>
            <w:tcW w:w="708" w:type="dxa"/>
            <w:noWrap w:val="0"/>
            <w:vAlign w:val="center"/>
          </w:tcPr>
          <w:p>
            <w:pPr>
              <w:jc w:val="center"/>
              <w:rPr>
                <w:rFonts w:hint="eastAsia" w:ascii="仿宋" w:hAnsi="仿宋" w:eastAsia="仿宋" w:cs="仿宋"/>
                <w:color w:val="000000"/>
                <w:kern w:val="0"/>
              </w:rPr>
            </w:pPr>
          </w:p>
        </w:tc>
        <w:tc>
          <w:tcPr>
            <w:tcW w:w="851" w:type="dxa"/>
            <w:noWrap w:val="0"/>
            <w:vAlign w:val="center"/>
          </w:tcPr>
          <w:p>
            <w:pPr>
              <w:jc w:val="center"/>
              <w:rPr>
                <w:rFonts w:hint="eastAsia" w:ascii="仿宋" w:hAnsi="仿宋" w:eastAsia="仿宋" w:cs="仿宋"/>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7</w:t>
            </w:r>
          </w:p>
        </w:tc>
        <w:tc>
          <w:tcPr>
            <w:tcW w:w="1260"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2.1.2（7）</w:t>
            </w:r>
          </w:p>
        </w:tc>
        <w:tc>
          <w:tcPr>
            <w:tcW w:w="1171"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企业负责人</w:t>
            </w:r>
          </w:p>
        </w:tc>
        <w:tc>
          <w:tcPr>
            <w:tcW w:w="3975" w:type="dxa"/>
            <w:noWrap w:val="0"/>
            <w:vAlign w:val="center"/>
          </w:tcPr>
          <w:p>
            <w:pPr>
              <w:pStyle w:val="106"/>
              <w:rPr>
                <w:rFonts w:hint="eastAsia" w:ascii="仿宋" w:hAnsi="仿宋" w:eastAsia="仿宋" w:cs="仿宋"/>
                <w:sz w:val="18"/>
                <w:szCs w:val="18"/>
              </w:rPr>
            </w:pPr>
            <w:r>
              <w:rPr>
                <w:rFonts w:hint="eastAsia" w:ascii="仿宋" w:hAnsi="仿宋" w:eastAsia="仿宋" w:cs="仿宋"/>
                <w:sz w:val="18"/>
                <w:szCs w:val="18"/>
              </w:rPr>
              <w:t>企业负责人具备有效的建设或水行政主管部门颁发的安全生产考核合格证书</w:t>
            </w:r>
          </w:p>
        </w:tc>
        <w:tc>
          <w:tcPr>
            <w:tcW w:w="851" w:type="dxa"/>
            <w:noWrap w:val="0"/>
            <w:vAlign w:val="center"/>
          </w:tcPr>
          <w:p>
            <w:pPr>
              <w:jc w:val="center"/>
              <w:rPr>
                <w:rFonts w:hint="eastAsia" w:ascii="仿宋" w:hAnsi="仿宋" w:eastAsia="仿宋" w:cs="仿宋"/>
                <w:color w:val="000000"/>
                <w:kern w:val="0"/>
              </w:rPr>
            </w:pPr>
          </w:p>
        </w:tc>
        <w:tc>
          <w:tcPr>
            <w:tcW w:w="708" w:type="dxa"/>
            <w:noWrap w:val="0"/>
            <w:vAlign w:val="center"/>
          </w:tcPr>
          <w:p>
            <w:pPr>
              <w:jc w:val="center"/>
              <w:rPr>
                <w:rFonts w:hint="eastAsia" w:ascii="仿宋" w:hAnsi="仿宋" w:eastAsia="仿宋" w:cs="仿宋"/>
                <w:color w:val="000000"/>
                <w:kern w:val="0"/>
              </w:rPr>
            </w:pPr>
          </w:p>
        </w:tc>
        <w:tc>
          <w:tcPr>
            <w:tcW w:w="851" w:type="dxa"/>
            <w:noWrap w:val="0"/>
            <w:vAlign w:val="center"/>
          </w:tcPr>
          <w:p>
            <w:pPr>
              <w:jc w:val="center"/>
              <w:rPr>
                <w:rFonts w:hint="eastAsia" w:ascii="仿宋" w:hAnsi="仿宋" w:eastAsia="仿宋" w:cs="仿宋"/>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8</w:t>
            </w:r>
          </w:p>
        </w:tc>
        <w:tc>
          <w:tcPr>
            <w:tcW w:w="1260"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2.1.2（8）</w:t>
            </w:r>
          </w:p>
        </w:tc>
        <w:tc>
          <w:tcPr>
            <w:tcW w:w="1171"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技术负责人</w:t>
            </w:r>
          </w:p>
        </w:tc>
        <w:tc>
          <w:tcPr>
            <w:tcW w:w="3975" w:type="dxa"/>
            <w:noWrap w:val="0"/>
            <w:vAlign w:val="center"/>
          </w:tcPr>
          <w:p>
            <w:pPr>
              <w:rPr>
                <w:rFonts w:hint="eastAsia" w:ascii="仿宋" w:hAnsi="仿宋" w:eastAsia="仿宋" w:cs="仿宋"/>
                <w:color w:val="000000"/>
                <w:sz w:val="18"/>
                <w:szCs w:val="18"/>
              </w:rPr>
            </w:pPr>
            <w:r>
              <w:rPr>
                <w:rFonts w:hint="eastAsia" w:ascii="仿宋" w:hAnsi="仿宋" w:eastAsia="仿宋" w:cs="仿宋"/>
                <w:color w:val="000000"/>
                <w:sz w:val="18"/>
                <w:szCs w:val="18"/>
              </w:rPr>
              <w:t>技术负责人资格符合第二章投标人须知第1.4.1项规定</w:t>
            </w:r>
          </w:p>
        </w:tc>
        <w:tc>
          <w:tcPr>
            <w:tcW w:w="851" w:type="dxa"/>
            <w:noWrap w:val="0"/>
            <w:vAlign w:val="center"/>
          </w:tcPr>
          <w:p>
            <w:pPr>
              <w:jc w:val="center"/>
              <w:rPr>
                <w:rFonts w:hint="eastAsia" w:ascii="仿宋" w:hAnsi="仿宋" w:eastAsia="仿宋" w:cs="仿宋"/>
                <w:color w:val="000000"/>
                <w:kern w:val="0"/>
              </w:rPr>
            </w:pPr>
          </w:p>
        </w:tc>
        <w:tc>
          <w:tcPr>
            <w:tcW w:w="708" w:type="dxa"/>
            <w:noWrap w:val="0"/>
            <w:vAlign w:val="center"/>
          </w:tcPr>
          <w:p>
            <w:pPr>
              <w:jc w:val="center"/>
              <w:rPr>
                <w:rFonts w:hint="eastAsia" w:ascii="仿宋" w:hAnsi="仿宋" w:eastAsia="仿宋" w:cs="仿宋"/>
                <w:color w:val="000000"/>
                <w:kern w:val="0"/>
              </w:rPr>
            </w:pPr>
          </w:p>
        </w:tc>
        <w:tc>
          <w:tcPr>
            <w:tcW w:w="851" w:type="dxa"/>
            <w:noWrap w:val="0"/>
            <w:vAlign w:val="center"/>
          </w:tcPr>
          <w:p>
            <w:pPr>
              <w:jc w:val="center"/>
              <w:rPr>
                <w:rFonts w:hint="eastAsia" w:ascii="仿宋" w:hAnsi="仿宋" w:eastAsia="仿宋" w:cs="仿宋"/>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9</w:t>
            </w:r>
          </w:p>
        </w:tc>
        <w:tc>
          <w:tcPr>
            <w:tcW w:w="1260"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2.1.2（9）</w:t>
            </w:r>
          </w:p>
        </w:tc>
        <w:tc>
          <w:tcPr>
            <w:tcW w:w="1171" w:type="dxa"/>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专职安全员</w:t>
            </w:r>
          </w:p>
        </w:tc>
        <w:tc>
          <w:tcPr>
            <w:tcW w:w="3975" w:type="dxa"/>
            <w:noWrap w:val="0"/>
            <w:vAlign w:val="center"/>
          </w:tcPr>
          <w:p>
            <w:pPr>
              <w:rPr>
                <w:rFonts w:hint="eastAsia" w:ascii="仿宋" w:hAnsi="仿宋" w:eastAsia="仿宋" w:cs="仿宋"/>
                <w:color w:val="000000"/>
                <w:sz w:val="18"/>
                <w:szCs w:val="18"/>
              </w:rPr>
            </w:pPr>
            <w:r>
              <w:rPr>
                <w:rFonts w:hint="eastAsia" w:ascii="仿宋" w:hAnsi="仿宋" w:eastAsia="仿宋" w:cs="仿宋"/>
                <w:color w:val="000000"/>
                <w:sz w:val="18"/>
                <w:szCs w:val="18"/>
              </w:rPr>
              <w:t>专职安全员资格符合第二章投标人须知第1.4.1项规定</w:t>
            </w:r>
          </w:p>
        </w:tc>
        <w:tc>
          <w:tcPr>
            <w:tcW w:w="851" w:type="dxa"/>
            <w:noWrap w:val="0"/>
            <w:vAlign w:val="center"/>
          </w:tcPr>
          <w:p>
            <w:pPr>
              <w:jc w:val="center"/>
              <w:rPr>
                <w:rFonts w:hint="eastAsia" w:ascii="仿宋" w:hAnsi="仿宋" w:eastAsia="仿宋" w:cs="仿宋"/>
                <w:color w:val="000000"/>
                <w:kern w:val="0"/>
              </w:rPr>
            </w:pPr>
          </w:p>
        </w:tc>
        <w:tc>
          <w:tcPr>
            <w:tcW w:w="708" w:type="dxa"/>
            <w:noWrap w:val="0"/>
            <w:vAlign w:val="center"/>
          </w:tcPr>
          <w:p>
            <w:pPr>
              <w:jc w:val="center"/>
              <w:rPr>
                <w:rFonts w:hint="eastAsia" w:ascii="仿宋" w:hAnsi="仿宋" w:eastAsia="仿宋" w:cs="仿宋"/>
                <w:color w:val="000000"/>
                <w:kern w:val="0"/>
              </w:rPr>
            </w:pPr>
          </w:p>
        </w:tc>
        <w:tc>
          <w:tcPr>
            <w:tcW w:w="851" w:type="dxa"/>
            <w:noWrap w:val="0"/>
            <w:vAlign w:val="center"/>
          </w:tcPr>
          <w:p>
            <w:pPr>
              <w:jc w:val="center"/>
              <w:rPr>
                <w:rFonts w:hint="eastAsia" w:ascii="仿宋" w:hAnsi="仿宋" w:eastAsia="仿宋" w:cs="仿宋"/>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10</w:t>
            </w:r>
          </w:p>
        </w:tc>
        <w:tc>
          <w:tcPr>
            <w:tcW w:w="1260"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2.1.2（10）</w:t>
            </w:r>
          </w:p>
        </w:tc>
        <w:tc>
          <w:tcPr>
            <w:tcW w:w="1171" w:type="dxa"/>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其他要求</w:t>
            </w:r>
          </w:p>
        </w:tc>
        <w:tc>
          <w:tcPr>
            <w:tcW w:w="3975" w:type="dxa"/>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其他要求符合第二章投标人须知第1.4.1项规定</w:t>
            </w:r>
          </w:p>
        </w:tc>
        <w:tc>
          <w:tcPr>
            <w:tcW w:w="851" w:type="dxa"/>
            <w:noWrap w:val="0"/>
            <w:vAlign w:val="center"/>
          </w:tcPr>
          <w:p>
            <w:pPr>
              <w:jc w:val="center"/>
              <w:rPr>
                <w:rFonts w:hint="eastAsia" w:ascii="仿宋" w:hAnsi="仿宋" w:eastAsia="仿宋" w:cs="仿宋"/>
                <w:color w:val="000000"/>
                <w:kern w:val="0"/>
              </w:rPr>
            </w:pPr>
          </w:p>
        </w:tc>
        <w:tc>
          <w:tcPr>
            <w:tcW w:w="708" w:type="dxa"/>
            <w:noWrap w:val="0"/>
            <w:vAlign w:val="center"/>
          </w:tcPr>
          <w:p>
            <w:pPr>
              <w:jc w:val="center"/>
              <w:rPr>
                <w:rFonts w:hint="eastAsia" w:ascii="仿宋" w:hAnsi="仿宋" w:eastAsia="仿宋" w:cs="仿宋"/>
                <w:color w:val="000000"/>
                <w:kern w:val="0"/>
              </w:rPr>
            </w:pPr>
          </w:p>
        </w:tc>
        <w:tc>
          <w:tcPr>
            <w:tcW w:w="851" w:type="dxa"/>
            <w:noWrap w:val="0"/>
            <w:vAlign w:val="center"/>
          </w:tcPr>
          <w:p>
            <w:pPr>
              <w:jc w:val="center"/>
              <w:rPr>
                <w:rFonts w:hint="eastAsia" w:ascii="仿宋" w:hAnsi="仿宋" w:eastAsia="仿宋" w:cs="仿宋"/>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11</w:t>
            </w:r>
          </w:p>
        </w:tc>
        <w:tc>
          <w:tcPr>
            <w:tcW w:w="1260"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2.1.2（11）</w:t>
            </w:r>
          </w:p>
        </w:tc>
        <w:tc>
          <w:tcPr>
            <w:tcW w:w="1171" w:type="dxa"/>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联合体投标人（如有）</w:t>
            </w:r>
          </w:p>
        </w:tc>
        <w:tc>
          <w:tcPr>
            <w:tcW w:w="3975" w:type="dxa"/>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符合第二章投标人须知第1.4.2项规定</w:t>
            </w:r>
          </w:p>
        </w:tc>
        <w:tc>
          <w:tcPr>
            <w:tcW w:w="851" w:type="dxa"/>
            <w:noWrap w:val="0"/>
            <w:vAlign w:val="center"/>
          </w:tcPr>
          <w:p>
            <w:pPr>
              <w:jc w:val="center"/>
              <w:rPr>
                <w:rFonts w:hint="eastAsia" w:ascii="仿宋" w:hAnsi="仿宋" w:eastAsia="仿宋" w:cs="仿宋"/>
                <w:color w:val="000000"/>
                <w:kern w:val="0"/>
              </w:rPr>
            </w:pPr>
          </w:p>
        </w:tc>
        <w:tc>
          <w:tcPr>
            <w:tcW w:w="708" w:type="dxa"/>
            <w:noWrap w:val="0"/>
            <w:vAlign w:val="center"/>
          </w:tcPr>
          <w:p>
            <w:pPr>
              <w:jc w:val="center"/>
              <w:rPr>
                <w:rFonts w:hint="eastAsia" w:ascii="仿宋" w:hAnsi="仿宋" w:eastAsia="仿宋" w:cs="仿宋"/>
                <w:color w:val="000000"/>
                <w:kern w:val="0"/>
              </w:rPr>
            </w:pPr>
          </w:p>
        </w:tc>
        <w:tc>
          <w:tcPr>
            <w:tcW w:w="851" w:type="dxa"/>
            <w:noWrap w:val="0"/>
            <w:vAlign w:val="center"/>
          </w:tcPr>
          <w:p>
            <w:pPr>
              <w:jc w:val="center"/>
              <w:rPr>
                <w:rFonts w:hint="eastAsia" w:ascii="仿宋" w:hAnsi="仿宋" w:eastAsia="仿宋" w:cs="仿宋"/>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12</w:t>
            </w:r>
          </w:p>
        </w:tc>
        <w:tc>
          <w:tcPr>
            <w:tcW w:w="1260"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2.1.2（12）</w:t>
            </w:r>
          </w:p>
        </w:tc>
        <w:tc>
          <w:tcPr>
            <w:tcW w:w="1171" w:type="dxa"/>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其它标准</w:t>
            </w:r>
          </w:p>
        </w:tc>
        <w:tc>
          <w:tcPr>
            <w:tcW w:w="3975" w:type="dxa"/>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不存在第二章“投标人须知”第1.4.3 项规定的任何一种情形</w:t>
            </w:r>
          </w:p>
        </w:tc>
        <w:tc>
          <w:tcPr>
            <w:tcW w:w="851" w:type="dxa"/>
            <w:noWrap w:val="0"/>
            <w:vAlign w:val="center"/>
          </w:tcPr>
          <w:p>
            <w:pPr>
              <w:jc w:val="center"/>
              <w:rPr>
                <w:rFonts w:hint="eastAsia" w:ascii="仿宋" w:hAnsi="仿宋" w:eastAsia="仿宋" w:cs="仿宋"/>
                <w:color w:val="000000"/>
                <w:kern w:val="0"/>
              </w:rPr>
            </w:pPr>
          </w:p>
        </w:tc>
        <w:tc>
          <w:tcPr>
            <w:tcW w:w="708" w:type="dxa"/>
            <w:noWrap w:val="0"/>
            <w:vAlign w:val="center"/>
          </w:tcPr>
          <w:p>
            <w:pPr>
              <w:jc w:val="center"/>
              <w:rPr>
                <w:rFonts w:hint="eastAsia" w:ascii="仿宋" w:hAnsi="仿宋" w:eastAsia="仿宋" w:cs="仿宋"/>
                <w:color w:val="000000"/>
                <w:kern w:val="0"/>
              </w:rPr>
            </w:pPr>
          </w:p>
        </w:tc>
        <w:tc>
          <w:tcPr>
            <w:tcW w:w="851" w:type="dxa"/>
            <w:noWrap w:val="0"/>
            <w:vAlign w:val="center"/>
          </w:tcPr>
          <w:p>
            <w:pPr>
              <w:jc w:val="center"/>
              <w:rPr>
                <w:rFonts w:hint="eastAsia" w:ascii="仿宋" w:hAnsi="仿宋" w:eastAsia="仿宋" w:cs="仿宋"/>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13</w:t>
            </w:r>
          </w:p>
        </w:tc>
        <w:tc>
          <w:tcPr>
            <w:tcW w:w="1260"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2.1.2（13）</w:t>
            </w:r>
          </w:p>
        </w:tc>
        <w:tc>
          <w:tcPr>
            <w:tcW w:w="1171" w:type="dxa"/>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多标段投标</w:t>
            </w:r>
          </w:p>
        </w:tc>
        <w:tc>
          <w:tcPr>
            <w:tcW w:w="3975" w:type="dxa"/>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符合第二章投标人须知第10.9项规定</w:t>
            </w:r>
          </w:p>
        </w:tc>
        <w:tc>
          <w:tcPr>
            <w:tcW w:w="851" w:type="dxa"/>
            <w:noWrap w:val="0"/>
            <w:vAlign w:val="center"/>
          </w:tcPr>
          <w:p>
            <w:pPr>
              <w:jc w:val="center"/>
              <w:rPr>
                <w:rFonts w:hint="eastAsia" w:ascii="仿宋" w:hAnsi="仿宋" w:eastAsia="仿宋" w:cs="仿宋"/>
                <w:color w:val="000000"/>
                <w:kern w:val="0"/>
              </w:rPr>
            </w:pPr>
          </w:p>
        </w:tc>
        <w:tc>
          <w:tcPr>
            <w:tcW w:w="708" w:type="dxa"/>
            <w:noWrap w:val="0"/>
            <w:vAlign w:val="center"/>
          </w:tcPr>
          <w:p>
            <w:pPr>
              <w:jc w:val="center"/>
              <w:rPr>
                <w:rFonts w:hint="eastAsia" w:ascii="仿宋" w:hAnsi="仿宋" w:eastAsia="仿宋" w:cs="仿宋"/>
                <w:color w:val="000000"/>
                <w:kern w:val="0"/>
              </w:rPr>
            </w:pPr>
          </w:p>
        </w:tc>
        <w:tc>
          <w:tcPr>
            <w:tcW w:w="851" w:type="dxa"/>
            <w:noWrap w:val="0"/>
            <w:vAlign w:val="center"/>
          </w:tcPr>
          <w:p>
            <w:pPr>
              <w:jc w:val="center"/>
              <w:rPr>
                <w:rFonts w:hint="eastAsia" w:ascii="仿宋" w:hAnsi="仿宋" w:eastAsia="仿宋" w:cs="仿宋"/>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14</w:t>
            </w:r>
          </w:p>
        </w:tc>
        <w:tc>
          <w:tcPr>
            <w:tcW w:w="1260"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2.1.2（14）</w:t>
            </w:r>
          </w:p>
        </w:tc>
        <w:tc>
          <w:tcPr>
            <w:tcW w:w="1171" w:type="dxa"/>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其他</w:t>
            </w:r>
          </w:p>
        </w:tc>
        <w:tc>
          <w:tcPr>
            <w:tcW w:w="3975" w:type="dxa"/>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符合第二章投标人须知第10.10项规定</w:t>
            </w:r>
          </w:p>
        </w:tc>
        <w:tc>
          <w:tcPr>
            <w:tcW w:w="851" w:type="dxa"/>
            <w:noWrap w:val="0"/>
            <w:vAlign w:val="center"/>
          </w:tcPr>
          <w:p>
            <w:pPr>
              <w:jc w:val="center"/>
              <w:rPr>
                <w:rFonts w:hint="eastAsia" w:ascii="仿宋" w:hAnsi="仿宋" w:eastAsia="仿宋" w:cs="仿宋"/>
                <w:color w:val="000000"/>
                <w:kern w:val="0"/>
              </w:rPr>
            </w:pPr>
          </w:p>
        </w:tc>
        <w:tc>
          <w:tcPr>
            <w:tcW w:w="708" w:type="dxa"/>
            <w:noWrap w:val="0"/>
            <w:vAlign w:val="center"/>
          </w:tcPr>
          <w:p>
            <w:pPr>
              <w:jc w:val="center"/>
              <w:rPr>
                <w:rFonts w:hint="eastAsia" w:ascii="仿宋" w:hAnsi="仿宋" w:eastAsia="仿宋" w:cs="仿宋"/>
                <w:color w:val="000000"/>
                <w:kern w:val="0"/>
              </w:rPr>
            </w:pPr>
          </w:p>
        </w:tc>
        <w:tc>
          <w:tcPr>
            <w:tcW w:w="851" w:type="dxa"/>
            <w:noWrap w:val="0"/>
            <w:vAlign w:val="center"/>
          </w:tcPr>
          <w:p>
            <w:pPr>
              <w:jc w:val="center"/>
              <w:rPr>
                <w:rFonts w:hint="eastAsia" w:ascii="仿宋" w:hAnsi="仿宋" w:eastAsia="仿宋" w:cs="仿宋"/>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dxa"/>
            <w:noWrap w:val="0"/>
            <w:vAlign w:val="center"/>
          </w:tcPr>
          <w:p>
            <w:pPr>
              <w:jc w:val="center"/>
              <w:rPr>
                <w:rFonts w:hint="eastAsia" w:ascii="仿宋" w:hAnsi="仿宋" w:eastAsia="仿宋" w:cs="仿宋"/>
                <w:color w:val="000000"/>
                <w:kern w:val="0"/>
              </w:rPr>
            </w:pPr>
          </w:p>
        </w:tc>
        <w:tc>
          <w:tcPr>
            <w:tcW w:w="6406" w:type="dxa"/>
            <w:gridSpan w:val="3"/>
            <w:noWrap w:val="0"/>
            <w:vAlign w:val="center"/>
          </w:tcPr>
          <w:p>
            <w:pPr>
              <w:jc w:val="center"/>
              <w:rPr>
                <w:rFonts w:hint="eastAsia" w:ascii="仿宋" w:hAnsi="仿宋" w:eastAsia="仿宋" w:cs="仿宋"/>
                <w:b/>
                <w:bCs/>
                <w:color w:val="000000"/>
                <w:kern w:val="0"/>
              </w:rPr>
            </w:pPr>
            <w:r>
              <w:rPr>
                <w:rFonts w:hint="eastAsia" w:ascii="仿宋" w:hAnsi="仿宋" w:eastAsia="仿宋" w:cs="仿宋"/>
                <w:b/>
                <w:bCs/>
                <w:color w:val="000000"/>
                <w:kern w:val="0"/>
              </w:rPr>
              <w:t>评审结论（合格/不合格）</w:t>
            </w:r>
          </w:p>
        </w:tc>
        <w:tc>
          <w:tcPr>
            <w:tcW w:w="851" w:type="dxa"/>
            <w:noWrap w:val="0"/>
            <w:vAlign w:val="center"/>
          </w:tcPr>
          <w:p>
            <w:pPr>
              <w:jc w:val="center"/>
              <w:rPr>
                <w:rFonts w:hint="eastAsia" w:ascii="仿宋" w:hAnsi="仿宋" w:eastAsia="仿宋" w:cs="仿宋"/>
                <w:color w:val="000000"/>
                <w:kern w:val="0"/>
              </w:rPr>
            </w:pPr>
          </w:p>
        </w:tc>
        <w:tc>
          <w:tcPr>
            <w:tcW w:w="708" w:type="dxa"/>
            <w:noWrap w:val="0"/>
            <w:vAlign w:val="center"/>
          </w:tcPr>
          <w:p>
            <w:pPr>
              <w:jc w:val="center"/>
              <w:rPr>
                <w:rFonts w:hint="eastAsia" w:ascii="仿宋" w:hAnsi="仿宋" w:eastAsia="仿宋" w:cs="仿宋"/>
                <w:color w:val="000000"/>
                <w:kern w:val="0"/>
              </w:rPr>
            </w:pPr>
          </w:p>
        </w:tc>
        <w:tc>
          <w:tcPr>
            <w:tcW w:w="851" w:type="dxa"/>
            <w:noWrap w:val="0"/>
            <w:vAlign w:val="center"/>
          </w:tcPr>
          <w:p>
            <w:pPr>
              <w:jc w:val="center"/>
              <w:rPr>
                <w:rFonts w:hint="eastAsia" w:ascii="仿宋" w:hAnsi="仿宋" w:eastAsia="仿宋" w:cs="仿宋"/>
                <w:color w:val="000000"/>
                <w:kern w:val="0"/>
              </w:rPr>
            </w:pPr>
          </w:p>
        </w:tc>
      </w:tr>
    </w:tbl>
    <w:p>
      <w:pPr>
        <w:rPr>
          <w:rFonts w:hint="eastAsia" w:ascii="仿宋" w:hAnsi="仿宋" w:eastAsia="仿宋" w:cs="仿宋"/>
          <w:color w:val="000000"/>
          <w:sz w:val="18"/>
          <w:szCs w:val="18"/>
        </w:rPr>
      </w:pPr>
      <w:r>
        <w:rPr>
          <w:rFonts w:hint="eastAsia" w:ascii="仿宋" w:hAnsi="仿宋" w:eastAsia="仿宋" w:cs="仿宋"/>
          <w:b/>
          <w:color w:val="000000"/>
        </w:rPr>
        <w:t>备注：</w:t>
      </w:r>
      <w:r>
        <w:rPr>
          <w:rFonts w:hint="eastAsia" w:ascii="仿宋" w:hAnsi="仿宋" w:eastAsia="仿宋" w:cs="仿宋"/>
          <w:color w:val="000000"/>
          <w:sz w:val="18"/>
          <w:szCs w:val="18"/>
        </w:rPr>
        <w:t>1.评审项目合格的打“√”，不合格的打“×”。上表中有一项不符合评审标准的，其评审结论为不合格，则不进入投标文件下一轮的评审。</w:t>
      </w:r>
    </w:p>
    <w:p>
      <w:pPr>
        <w:snapToGrid w:val="0"/>
        <w:ind w:firstLine="540" w:firstLineChars="300"/>
        <w:rPr>
          <w:rFonts w:hint="eastAsia" w:ascii="仿宋" w:hAnsi="仿宋" w:eastAsia="仿宋" w:cs="仿宋"/>
          <w:color w:val="000000"/>
          <w:sz w:val="18"/>
          <w:szCs w:val="18"/>
        </w:rPr>
      </w:pPr>
      <w:r>
        <w:rPr>
          <w:rFonts w:hint="eastAsia" w:ascii="仿宋" w:hAnsi="仿宋" w:eastAsia="仿宋" w:cs="仿宋"/>
          <w:color w:val="000000"/>
          <w:sz w:val="18"/>
          <w:szCs w:val="18"/>
        </w:rPr>
        <w:t>2.本表由评标委员会集体评议，评标委员会成员中对评审结论有不同意见时，按少数服从多数的原则，确定评审结论。</w:t>
      </w:r>
    </w:p>
    <w:p>
      <w:pPr>
        <w:snapToGrid w:val="0"/>
        <w:ind w:firstLine="540" w:firstLineChars="300"/>
        <w:rPr>
          <w:rFonts w:hint="eastAsia" w:ascii="仿宋" w:hAnsi="仿宋" w:eastAsia="仿宋" w:cs="仿宋"/>
          <w:color w:val="000000"/>
          <w:sz w:val="18"/>
          <w:szCs w:val="18"/>
        </w:rPr>
      </w:pPr>
      <w:r>
        <w:rPr>
          <w:rFonts w:hint="eastAsia" w:ascii="仿宋" w:hAnsi="仿宋" w:eastAsia="仿宋" w:cs="仿宋"/>
          <w:color w:val="000000"/>
          <w:sz w:val="18"/>
          <w:szCs w:val="18"/>
        </w:rPr>
        <w:t>3.根据</w:t>
      </w:r>
      <w:r>
        <w:rPr>
          <w:rFonts w:hint="eastAsia" w:ascii="仿宋" w:hAnsi="仿宋" w:eastAsia="仿宋" w:cs="仿宋"/>
          <w:color w:val="000000"/>
          <w:sz w:val="18"/>
          <w:szCs w:val="18"/>
          <w:u w:val="single"/>
        </w:rPr>
        <w:t>住建部建办市函〔2016〕462号</w:t>
      </w:r>
      <w:r>
        <w:rPr>
          <w:rFonts w:hint="eastAsia" w:ascii="仿宋" w:hAnsi="仿宋" w:eastAsia="仿宋" w:cs="仿宋"/>
          <w:color w:val="000000"/>
          <w:sz w:val="18"/>
          <w:szCs w:val="18"/>
        </w:rPr>
        <w:t>“招标活动中，不得要求企业提供建筑业企业资质证书原件，企业资质情况可通过扫描建筑业企业资质证书复印件的二维码查询”要求，企业资质情况通过扫描证书复印件的二维码查询。</w:t>
      </w:r>
    </w:p>
    <w:p>
      <w:pPr>
        <w:snapToGrid w:val="0"/>
        <w:ind w:firstLine="360" w:firstLineChars="200"/>
        <w:rPr>
          <w:rFonts w:hint="eastAsia" w:ascii="仿宋" w:hAnsi="仿宋" w:eastAsia="仿宋" w:cs="仿宋"/>
          <w:color w:val="000000"/>
          <w:sz w:val="18"/>
          <w:szCs w:val="18"/>
        </w:rPr>
      </w:pPr>
    </w:p>
    <w:p>
      <w:pPr>
        <w:snapToGrid w:val="0"/>
        <w:spacing w:line="400" w:lineRule="exact"/>
        <w:rPr>
          <w:rFonts w:hint="eastAsia" w:ascii="仿宋" w:hAnsi="仿宋" w:eastAsia="仿宋" w:cs="仿宋"/>
          <w:color w:val="000000"/>
          <w:sz w:val="24"/>
        </w:rPr>
      </w:pPr>
      <w:r>
        <w:rPr>
          <w:rFonts w:hint="eastAsia" w:ascii="仿宋" w:hAnsi="仿宋" w:eastAsia="仿宋" w:cs="仿宋"/>
          <w:color w:val="000000"/>
          <w:sz w:val="24"/>
        </w:rPr>
        <w:t>评标委员会全体成员签字：</w:t>
      </w:r>
    </w:p>
    <w:p>
      <w:pPr>
        <w:spacing w:line="490" w:lineRule="exact"/>
        <w:ind w:right="420"/>
        <w:outlineLvl w:val="4"/>
        <w:rPr>
          <w:rFonts w:eastAsia="黑体"/>
          <w:bCs/>
          <w:color w:val="000000"/>
          <w:sz w:val="28"/>
          <w:szCs w:val="20"/>
        </w:rPr>
      </w:pPr>
      <w:r>
        <w:rPr>
          <w:rFonts w:hint="eastAsia" w:ascii="仿宋" w:hAnsi="仿宋" w:eastAsia="仿宋" w:cs="仿宋"/>
          <w:color w:val="000000"/>
        </w:rPr>
        <w:br w:type="page"/>
      </w:r>
      <w:bookmarkStart w:id="877" w:name="_Toc511317260"/>
      <w:bookmarkStart w:id="878" w:name="_Toc511318009"/>
      <w:r>
        <w:rPr>
          <w:rFonts w:eastAsia="黑体"/>
          <w:bCs/>
          <w:color w:val="000000"/>
          <w:sz w:val="28"/>
          <w:szCs w:val="20"/>
        </w:rPr>
        <w:t>附表3-3（3）：响应性评审表</w:t>
      </w:r>
      <w:bookmarkEnd w:id="877"/>
      <w:bookmarkEnd w:id="878"/>
    </w:p>
    <w:p>
      <w:pPr>
        <w:pStyle w:val="32"/>
        <w:spacing w:line="490" w:lineRule="exact"/>
        <w:ind w:left="0" w:firstLine="0" w:firstLineChars="0"/>
        <w:jc w:val="center"/>
        <w:rPr>
          <w:rFonts w:eastAsia="方正小标宋_GBK"/>
          <w:b/>
          <w:bCs/>
          <w:color w:val="000000"/>
          <w:sz w:val="36"/>
          <w:szCs w:val="36"/>
        </w:rPr>
      </w:pPr>
    </w:p>
    <w:p>
      <w:pPr>
        <w:pStyle w:val="32"/>
        <w:spacing w:line="490" w:lineRule="exact"/>
        <w:ind w:left="0" w:firstLine="0" w:firstLineChars="0"/>
        <w:jc w:val="center"/>
        <w:rPr>
          <w:rFonts w:hint="eastAsia" w:ascii="方正小标宋简体" w:eastAsia="方正小标宋简体"/>
          <w:bCs/>
          <w:color w:val="000000"/>
          <w:sz w:val="36"/>
          <w:szCs w:val="36"/>
        </w:rPr>
      </w:pPr>
      <w:r>
        <w:rPr>
          <w:rFonts w:hint="eastAsia" w:ascii="方正小标宋简体" w:eastAsia="方正小标宋简体"/>
          <w:bCs/>
          <w:color w:val="000000"/>
          <w:sz w:val="36"/>
          <w:szCs w:val="36"/>
        </w:rPr>
        <w:t>响应性评审表</w:t>
      </w:r>
    </w:p>
    <w:p>
      <w:pPr>
        <w:pStyle w:val="32"/>
        <w:spacing w:line="490" w:lineRule="exact"/>
        <w:ind w:left="0" w:firstLine="0" w:firstLineChars="0"/>
        <w:jc w:val="center"/>
        <w:rPr>
          <w:rFonts w:eastAsia="方正小标宋_GBK"/>
          <w:b/>
          <w:bCs/>
          <w:color w:val="000000"/>
          <w:sz w:val="36"/>
          <w:szCs w:val="36"/>
        </w:rPr>
      </w:pPr>
    </w:p>
    <w:p>
      <w:pPr>
        <w:snapToGrid w:val="0"/>
        <w:spacing w:line="400" w:lineRule="exact"/>
        <w:rPr>
          <w:rFonts w:hint="eastAsia" w:ascii="仿宋" w:hAnsi="仿宋" w:eastAsia="仿宋" w:cs="仿宋"/>
          <w:color w:val="000000"/>
          <w:sz w:val="24"/>
          <w:u w:val="single"/>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（标段名称）</w:t>
      </w:r>
      <w:r>
        <w:rPr>
          <w:rFonts w:hint="eastAsia" w:ascii="仿宋" w:hAnsi="仿宋" w:eastAsia="仿宋" w:cs="仿宋"/>
          <w:color w:val="000000"/>
          <w:sz w:val="24"/>
          <w:u w:val="single"/>
        </w:rPr>
        <w:t xml:space="preserve">                      </w:t>
      </w:r>
    </w:p>
    <w:p>
      <w:pPr>
        <w:snapToGrid w:val="0"/>
        <w:spacing w:line="400" w:lineRule="exact"/>
        <w:rPr>
          <w:rFonts w:hint="eastAsia" w:ascii="仿宋" w:hAnsi="仿宋" w:eastAsia="仿宋" w:cs="仿宋"/>
          <w:color w:val="000000"/>
          <w:sz w:val="24"/>
        </w:rPr>
      </w:pPr>
      <w:r>
        <w:rPr>
          <w:rFonts w:hint="eastAsia" w:ascii="仿宋" w:hAnsi="仿宋" w:eastAsia="仿宋" w:cs="仿宋"/>
          <w:color w:val="000000"/>
          <w:sz w:val="24"/>
        </w:rPr>
        <w:t>项目管理编号：</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tbl>
      <w:tblPr>
        <w:tblStyle w:val="47"/>
        <w:tblW w:w="974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55"/>
        <w:gridCol w:w="1260"/>
        <w:gridCol w:w="1508"/>
        <w:gridCol w:w="4010"/>
        <w:gridCol w:w="709"/>
        <w:gridCol w:w="708"/>
        <w:gridCol w:w="9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2" w:hRule="atLeast"/>
          <w:jc w:val="center"/>
        </w:trPr>
        <w:tc>
          <w:tcPr>
            <w:tcW w:w="555" w:type="dxa"/>
            <w:vMerge w:val="restart"/>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序号</w:t>
            </w:r>
          </w:p>
        </w:tc>
        <w:tc>
          <w:tcPr>
            <w:tcW w:w="1260" w:type="dxa"/>
            <w:vMerge w:val="restart"/>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条款号</w:t>
            </w:r>
          </w:p>
        </w:tc>
        <w:tc>
          <w:tcPr>
            <w:tcW w:w="1508" w:type="dxa"/>
            <w:vMerge w:val="restart"/>
            <w:noWrap w:val="0"/>
            <w:vAlign w:val="center"/>
          </w:tcPr>
          <w:p>
            <w:pPr>
              <w:snapToGrid w:val="0"/>
              <w:rPr>
                <w:rFonts w:hint="eastAsia" w:ascii="仿宋" w:hAnsi="仿宋" w:eastAsia="仿宋" w:cs="仿宋"/>
                <w:color w:val="000000"/>
              </w:rPr>
            </w:pPr>
            <w:r>
              <w:rPr>
                <w:rFonts w:hint="eastAsia" w:ascii="仿宋" w:hAnsi="仿宋" w:eastAsia="仿宋" w:cs="仿宋"/>
                <w:color w:val="000000"/>
              </w:rPr>
              <w:t>评审因素</w:t>
            </w:r>
          </w:p>
        </w:tc>
        <w:tc>
          <w:tcPr>
            <w:tcW w:w="4010" w:type="dxa"/>
            <w:vMerge w:val="restart"/>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评审标准</w:t>
            </w:r>
          </w:p>
        </w:tc>
        <w:tc>
          <w:tcPr>
            <w:tcW w:w="2410" w:type="dxa"/>
            <w:gridSpan w:val="3"/>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投标人名称及评审意见</w:t>
            </w:r>
          </w:p>
          <w:p>
            <w:pPr>
              <w:jc w:val="center"/>
              <w:rPr>
                <w:rFonts w:hint="eastAsia" w:ascii="仿宋" w:hAnsi="仿宋" w:eastAsia="仿宋" w:cs="仿宋"/>
                <w:color w:val="000000"/>
                <w:kern w:val="0"/>
              </w:rPr>
            </w:pPr>
            <w:r>
              <w:rPr>
                <w:rFonts w:hint="eastAsia" w:ascii="仿宋" w:hAnsi="仿宋" w:eastAsia="仿宋" w:cs="仿宋"/>
                <w:bCs/>
                <w:color w:val="000000"/>
                <w:kern w:val="0"/>
              </w:rPr>
              <w:t>（合格√/不合格×）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555" w:type="dxa"/>
            <w:vMerge w:val="continue"/>
            <w:noWrap w:val="0"/>
            <w:vAlign w:val="center"/>
          </w:tcPr>
          <w:p>
            <w:pPr>
              <w:jc w:val="center"/>
              <w:rPr>
                <w:rFonts w:hint="eastAsia" w:ascii="仿宋" w:hAnsi="仿宋" w:eastAsia="仿宋" w:cs="仿宋"/>
                <w:color w:val="000000"/>
                <w:kern w:val="0"/>
              </w:rPr>
            </w:pPr>
          </w:p>
        </w:tc>
        <w:tc>
          <w:tcPr>
            <w:tcW w:w="1260" w:type="dxa"/>
            <w:vMerge w:val="continue"/>
            <w:noWrap w:val="0"/>
            <w:vAlign w:val="center"/>
          </w:tcPr>
          <w:p>
            <w:pPr>
              <w:snapToGrid w:val="0"/>
              <w:jc w:val="center"/>
              <w:rPr>
                <w:rFonts w:hint="eastAsia" w:ascii="仿宋" w:hAnsi="仿宋" w:eastAsia="仿宋" w:cs="仿宋"/>
                <w:color w:val="000000"/>
              </w:rPr>
            </w:pPr>
          </w:p>
        </w:tc>
        <w:tc>
          <w:tcPr>
            <w:tcW w:w="1508" w:type="dxa"/>
            <w:vMerge w:val="continue"/>
            <w:noWrap w:val="0"/>
            <w:vAlign w:val="center"/>
          </w:tcPr>
          <w:p>
            <w:pPr>
              <w:snapToGrid w:val="0"/>
              <w:rPr>
                <w:rFonts w:hint="eastAsia" w:ascii="仿宋" w:hAnsi="仿宋" w:eastAsia="仿宋" w:cs="仿宋"/>
                <w:color w:val="000000"/>
              </w:rPr>
            </w:pPr>
          </w:p>
        </w:tc>
        <w:tc>
          <w:tcPr>
            <w:tcW w:w="4010" w:type="dxa"/>
            <w:vMerge w:val="continue"/>
            <w:noWrap w:val="0"/>
            <w:vAlign w:val="center"/>
          </w:tcPr>
          <w:p>
            <w:pPr>
              <w:snapToGrid w:val="0"/>
              <w:jc w:val="center"/>
              <w:rPr>
                <w:rFonts w:hint="eastAsia" w:ascii="仿宋" w:hAnsi="仿宋" w:eastAsia="仿宋" w:cs="仿宋"/>
                <w:color w:val="000000"/>
              </w:rPr>
            </w:pPr>
          </w:p>
        </w:tc>
        <w:tc>
          <w:tcPr>
            <w:tcW w:w="709"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1</w:t>
            </w:r>
          </w:p>
        </w:tc>
        <w:tc>
          <w:tcPr>
            <w:tcW w:w="708"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2</w:t>
            </w:r>
          </w:p>
        </w:tc>
        <w:tc>
          <w:tcPr>
            <w:tcW w:w="993"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555" w:type="dxa"/>
            <w:vMerge w:val="continue"/>
            <w:noWrap w:val="0"/>
            <w:vAlign w:val="center"/>
          </w:tcPr>
          <w:p>
            <w:pPr>
              <w:jc w:val="center"/>
              <w:rPr>
                <w:rFonts w:hint="eastAsia" w:ascii="仿宋" w:hAnsi="仿宋" w:eastAsia="仿宋" w:cs="仿宋"/>
                <w:color w:val="000000"/>
                <w:kern w:val="0"/>
              </w:rPr>
            </w:pPr>
          </w:p>
        </w:tc>
        <w:tc>
          <w:tcPr>
            <w:tcW w:w="1260" w:type="dxa"/>
            <w:vMerge w:val="continue"/>
            <w:noWrap w:val="0"/>
            <w:vAlign w:val="center"/>
          </w:tcPr>
          <w:p>
            <w:pPr>
              <w:snapToGrid w:val="0"/>
              <w:jc w:val="center"/>
              <w:rPr>
                <w:rFonts w:hint="eastAsia" w:ascii="仿宋" w:hAnsi="仿宋" w:eastAsia="仿宋" w:cs="仿宋"/>
                <w:color w:val="000000"/>
              </w:rPr>
            </w:pPr>
          </w:p>
        </w:tc>
        <w:tc>
          <w:tcPr>
            <w:tcW w:w="1508" w:type="dxa"/>
            <w:vMerge w:val="continue"/>
            <w:noWrap w:val="0"/>
            <w:vAlign w:val="center"/>
          </w:tcPr>
          <w:p>
            <w:pPr>
              <w:snapToGrid w:val="0"/>
              <w:rPr>
                <w:rFonts w:hint="eastAsia" w:ascii="仿宋" w:hAnsi="仿宋" w:eastAsia="仿宋" w:cs="仿宋"/>
                <w:color w:val="000000"/>
              </w:rPr>
            </w:pPr>
          </w:p>
        </w:tc>
        <w:tc>
          <w:tcPr>
            <w:tcW w:w="4010" w:type="dxa"/>
            <w:vMerge w:val="continue"/>
            <w:noWrap w:val="0"/>
            <w:vAlign w:val="center"/>
          </w:tcPr>
          <w:p>
            <w:pPr>
              <w:snapToGrid w:val="0"/>
              <w:jc w:val="center"/>
              <w:rPr>
                <w:rFonts w:hint="eastAsia" w:ascii="仿宋" w:hAnsi="仿宋" w:eastAsia="仿宋" w:cs="仿宋"/>
                <w:color w:val="000000"/>
              </w:rPr>
            </w:pPr>
          </w:p>
        </w:tc>
        <w:tc>
          <w:tcPr>
            <w:tcW w:w="709" w:type="dxa"/>
            <w:noWrap w:val="0"/>
            <w:vAlign w:val="center"/>
          </w:tcPr>
          <w:p>
            <w:pPr>
              <w:jc w:val="center"/>
              <w:rPr>
                <w:rFonts w:hint="eastAsia" w:ascii="仿宋" w:hAnsi="仿宋" w:eastAsia="仿宋" w:cs="仿宋"/>
                <w:color w:val="000000"/>
                <w:kern w:val="0"/>
              </w:rPr>
            </w:pPr>
          </w:p>
        </w:tc>
        <w:tc>
          <w:tcPr>
            <w:tcW w:w="708" w:type="dxa"/>
            <w:noWrap w:val="0"/>
            <w:vAlign w:val="center"/>
          </w:tcPr>
          <w:p>
            <w:pPr>
              <w:jc w:val="center"/>
              <w:rPr>
                <w:rFonts w:hint="eastAsia" w:ascii="仿宋" w:hAnsi="仿宋" w:eastAsia="仿宋" w:cs="仿宋"/>
                <w:color w:val="000000"/>
                <w:kern w:val="0"/>
              </w:rPr>
            </w:pPr>
          </w:p>
        </w:tc>
        <w:tc>
          <w:tcPr>
            <w:tcW w:w="993"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w:t>
            </w:r>
          </w:p>
        </w:tc>
        <w:tc>
          <w:tcPr>
            <w:tcW w:w="1260"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2.1.3（1）</w:t>
            </w:r>
          </w:p>
        </w:tc>
        <w:tc>
          <w:tcPr>
            <w:tcW w:w="1508"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投标范围</w:t>
            </w:r>
          </w:p>
        </w:tc>
        <w:tc>
          <w:tcPr>
            <w:tcW w:w="4010" w:type="dxa"/>
            <w:noWrap w:val="0"/>
            <w:vAlign w:val="center"/>
          </w:tcPr>
          <w:p>
            <w:pPr>
              <w:pStyle w:val="106"/>
              <w:rPr>
                <w:rFonts w:hint="eastAsia" w:ascii="仿宋" w:hAnsi="仿宋" w:eastAsia="仿宋" w:cs="仿宋"/>
                <w:sz w:val="18"/>
                <w:szCs w:val="18"/>
              </w:rPr>
            </w:pPr>
            <w:r>
              <w:rPr>
                <w:rFonts w:hint="eastAsia" w:ascii="仿宋" w:hAnsi="仿宋" w:eastAsia="仿宋" w:cs="仿宋"/>
                <w:sz w:val="18"/>
                <w:szCs w:val="18"/>
              </w:rPr>
              <w:t>投标范围符合第二章投标人须知第1.3.1项规定</w:t>
            </w:r>
          </w:p>
        </w:tc>
        <w:tc>
          <w:tcPr>
            <w:tcW w:w="709" w:type="dxa"/>
            <w:noWrap w:val="0"/>
            <w:vAlign w:val="center"/>
          </w:tcPr>
          <w:p>
            <w:pPr>
              <w:jc w:val="center"/>
              <w:rPr>
                <w:rFonts w:hint="eastAsia" w:ascii="仿宋" w:hAnsi="仿宋" w:eastAsia="仿宋" w:cs="仿宋"/>
                <w:color w:val="000000"/>
                <w:kern w:val="0"/>
              </w:rPr>
            </w:pPr>
          </w:p>
        </w:tc>
        <w:tc>
          <w:tcPr>
            <w:tcW w:w="708" w:type="dxa"/>
            <w:noWrap w:val="0"/>
            <w:vAlign w:val="center"/>
          </w:tcPr>
          <w:p>
            <w:pPr>
              <w:jc w:val="center"/>
              <w:rPr>
                <w:rFonts w:hint="eastAsia" w:ascii="仿宋" w:hAnsi="仿宋" w:eastAsia="仿宋" w:cs="仿宋"/>
                <w:color w:val="000000"/>
                <w:kern w:val="0"/>
              </w:rPr>
            </w:pPr>
          </w:p>
        </w:tc>
        <w:tc>
          <w:tcPr>
            <w:tcW w:w="993" w:type="dxa"/>
            <w:noWrap w:val="0"/>
            <w:vAlign w:val="center"/>
          </w:tcPr>
          <w:p>
            <w:pPr>
              <w:jc w:val="center"/>
              <w:rPr>
                <w:rFonts w:hint="eastAsia" w:ascii="仿宋" w:hAnsi="仿宋" w:eastAsia="仿宋" w:cs="仿宋"/>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2</w:t>
            </w:r>
          </w:p>
        </w:tc>
        <w:tc>
          <w:tcPr>
            <w:tcW w:w="1260"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2.1.3（2）</w:t>
            </w:r>
          </w:p>
        </w:tc>
        <w:tc>
          <w:tcPr>
            <w:tcW w:w="1508"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工期</w:t>
            </w:r>
          </w:p>
        </w:tc>
        <w:tc>
          <w:tcPr>
            <w:tcW w:w="4010" w:type="dxa"/>
            <w:noWrap w:val="0"/>
            <w:vAlign w:val="center"/>
          </w:tcPr>
          <w:p>
            <w:pPr>
              <w:pStyle w:val="106"/>
              <w:rPr>
                <w:rFonts w:hint="eastAsia" w:ascii="仿宋" w:hAnsi="仿宋" w:eastAsia="仿宋" w:cs="仿宋"/>
                <w:sz w:val="18"/>
                <w:szCs w:val="18"/>
              </w:rPr>
            </w:pPr>
            <w:r>
              <w:rPr>
                <w:rFonts w:hint="eastAsia" w:ascii="仿宋" w:hAnsi="仿宋" w:eastAsia="仿宋" w:cs="仿宋"/>
                <w:sz w:val="18"/>
                <w:szCs w:val="18"/>
              </w:rPr>
              <w:t>计划工期符合第二章投标人须知第1.3.2项规定</w:t>
            </w:r>
          </w:p>
        </w:tc>
        <w:tc>
          <w:tcPr>
            <w:tcW w:w="709" w:type="dxa"/>
            <w:noWrap w:val="0"/>
            <w:vAlign w:val="center"/>
          </w:tcPr>
          <w:p>
            <w:pPr>
              <w:jc w:val="center"/>
              <w:rPr>
                <w:rFonts w:hint="eastAsia" w:ascii="仿宋" w:hAnsi="仿宋" w:eastAsia="仿宋" w:cs="仿宋"/>
                <w:color w:val="000000"/>
                <w:kern w:val="0"/>
              </w:rPr>
            </w:pPr>
          </w:p>
        </w:tc>
        <w:tc>
          <w:tcPr>
            <w:tcW w:w="708" w:type="dxa"/>
            <w:noWrap w:val="0"/>
            <w:vAlign w:val="center"/>
          </w:tcPr>
          <w:p>
            <w:pPr>
              <w:jc w:val="center"/>
              <w:rPr>
                <w:rFonts w:hint="eastAsia" w:ascii="仿宋" w:hAnsi="仿宋" w:eastAsia="仿宋" w:cs="仿宋"/>
                <w:color w:val="000000"/>
                <w:kern w:val="0"/>
              </w:rPr>
            </w:pPr>
          </w:p>
        </w:tc>
        <w:tc>
          <w:tcPr>
            <w:tcW w:w="993" w:type="dxa"/>
            <w:noWrap w:val="0"/>
            <w:vAlign w:val="center"/>
          </w:tcPr>
          <w:p>
            <w:pPr>
              <w:jc w:val="center"/>
              <w:rPr>
                <w:rFonts w:hint="eastAsia" w:ascii="仿宋" w:hAnsi="仿宋" w:eastAsia="仿宋" w:cs="仿宋"/>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3</w:t>
            </w:r>
          </w:p>
        </w:tc>
        <w:tc>
          <w:tcPr>
            <w:tcW w:w="1260"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2.1.3（3）</w:t>
            </w:r>
          </w:p>
        </w:tc>
        <w:tc>
          <w:tcPr>
            <w:tcW w:w="1508"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工程质量</w:t>
            </w:r>
          </w:p>
        </w:tc>
        <w:tc>
          <w:tcPr>
            <w:tcW w:w="4010" w:type="dxa"/>
            <w:noWrap w:val="0"/>
            <w:vAlign w:val="center"/>
          </w:tcPr>
          <w:p>
            <w:pPr>
              <w:pStyle w:val="106"/>
              <w:rPr>
                <w:rFonts w:hint="eastAsia" w:ascii="仿宋" w:hAnsi="仿宋" w:eastAsia="仿宋" w:cs="仿宋"/>
                <w:sz w:val="18"/>
                <w:szCs w:val="18"/>
              </w:rPr>
            </w:pPr>
            <w:r>
              <w:rPr>
                <w:rFonts w:hint="eastAsia" w:ascii="仿宋" w:hAnsi="仿宋" w:eastAsia="仿宋" w:cs="仿宋"/>
                <w:sz w:val="18"/>
                <w:szCs w:val="18"/>
              </w:rPr>
              <w:t>工程质量符合第二章投标人须知第1.3.3项规定</w:t>
            </w:r>
          </w:p>
        </w:tc>
        <w:tc>
          <w:tcPr>
            <w:tcW w:w="709" w:type="dxa"/>
            <w:noWrap w:val="0"/>
            <w:vAlign w:val="center"/>
          </w:tcPr>
          <w:p>
            <w:pPr>
              <w:jc w:val="center"/>
              <w:rPr>
                <w:rFonts w:hint="eastAsia" w:ascii="仿宋" w:hAnsi="仿宋" w:eastAsia="仿宋" w:cs="仿宋"/>
                <w:color w:val="000000"/>
                <w:kern w:val="0"/>
              </w:rPr>
            </w:pPr>
          </w:p>
        </w:tc>
        <w:tc>
          <w:tcPr>
            <w:tcW w:w="708" w:type="dxa"/>
            <w:noWrap w:val="0"/>
            <w:vAlign w:val="center"/>
          </w:tcPr>
          <w:p>
            <w:pPr>
              <w:jc w:val="center"/>
              <w:rPr>
                <w:rFonts w:hint="eastAsia" w:ascii="仿宋" w:hAnsi="仿宋" w:eastAsia="仿宋" w:cs="仿宋"/>
                <w:color w:val="000000"/>
                <w:kern w:val="0"/>
              </w:rPr>
            </w:pPr>
          </w:p>
        </w:tc>
        <w:tc>
          <w:tcPr>
            <w:tcW w:w="993" w:type="dxa"/>
            <w:noWrap w:val="0"/>
            <w:vAlign w:val="center"/>
          </w:tcPr>
          <w:p>
            <w:pPr>
              <w:jc w:val="center"/>
              <w:rPr>
                <w:rFonts w:hint="eastAsia" w:ascii="仿宋" w:hAnsi="仿宋" w:eastAsia="仿宋" w:cs="仿宋"/>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4</w:t>
            </w:r>
          </w:p>
        </w:tc>
        <w:tc>
          <w:tcPr>
            <w:tcW w:w="1260"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2.1.3（4）</w:t>
            </w:r>
          </w:p>
        </w:tc>
        <w:tc>
          <w:tcPr>
            <w:tcW w:w="1508"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投标有效期</w:t>
            </w:r>
          </w:p>
        </w:tc>
        <w:tc>
          <w:tcPr>
            <w:tcW w:w="4010" w:type="dxa"/>
            <w:noWrap w:val="0"/>
            <w:vAlign w:val="center"/>
          </w:tcPr>
          <w:p>
            <w:pPr>
              <w:pStyle w:val="106"/>
              <w:rPr>
                <w:rFonts w:hint="eastAsia" w:ascii="仿宋" w:hAnsi="仿宋" w:eastAsia="仿宋" w:cs="仿宋"/>
                <w:sz w:val="18"/>
                <w:szCs w:val="18"/>
              </w:rPr>
            </w:pPr>
            <w:r>
              <w:rPr>
                <w:rFonts w:hint="eastAsia" w:ascii="仿宋" w:hAnsi="仿宋" w:eastAsia="仿宋" w:cs="仿宋"/>
                <w:sz w:val="18"/>
                <w:szCs w:val="18"/>
              </w:rPr>
              <w:t>投标有效期符合第二章投标人须知第3.3.1项规定</w:t>
            </w:r>
          </w:p>
        </w:tc>
        <w:tc>
          <w:tcPr>
            <w:tcW w:w="709" w:type="dxa"/>
            <w:noWrap w:val="0"/>
            <w:vAlign w:val="center"/>
          </w:tcPr>
          <w:p>
            <w:pPr>
              <w:jc w:val="center"/>
              <w:rPr>
                <w:rFonts w:hint="eastAsia" w:ascii="仿宋" w:hAnsi="仿宋" w:eastAsia="仿宋" w:cs="仿宋"/>
                <w:color w:val="000000"/>
                <w:kern w:val="0"/>
              </w:rPr>
            </w:pPr>
          </w:p>
        </w:tc>
        <w:tc>
          <w:tcPr>
            <w:tcW w:w="708" w:type="dxa"/>
            <w:noWrap w:val="0"/>
            <w:vAlign w:val="center"/>
          </w:tcPr>
          <w:p>
            <w:pPr>
              <w:jc w:val="center"/>
              <w:rPr>
                <w:rFonts w:hint="eastAsia" w:ascii="仿宋" w:hAnsi="仿宋" w:eastAsia="仿宋" w:cs="仿宋"/>
                <w:color w:val="000000"/>
                <w:kern w:val="0"/>
              </w:rPr>
            </w:pPr>
          </w:p>
        </w:tc>
        <w:tc>
          <w:tcPr>
            <w:tcW w:w="993" w:type="dxa"/>
            <w:noWrap w:val="0"/>
            <w:vAlign w:val="center"/>
          </w:tcPr>
          <w:p>
            <w:pPr>
              <w:jc w:val="center"/>
              <w:rPr>
                <w:rFonts w:hint="eastAsia" w:ascii="仿宋" w:hAnsi="仿宋" w:eastAsia="仿宋" w:cs="仿宋"/>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5</w:t>
            </w:r>
          </w:p>
        </w:tc>
        <w:tc>
          <w:tcPr>
            <w:tcW w:w="1260"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2.1.3（5）</w:t>
            </w:r>
          </w:p>
        </w:tc>
        <w:tc>
          <w:tcPr>
            <w:tcW w:w="1508"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投标担保</w:t>
            </w:r>
          </w:p>
        </w:tc>
        <w:tc>
          <w:tcPr>
            <w:tcW w:w="4010" w:type="dxa"/>
            <w:noWrap w:val="0"/>
            <w:vAlign w:val="center"/>
          </w:tcPr>
          <w:p>
            <w:pPr>
              <w:pStyle w:val="106"/>
              <w:rPr>
                <w:rFonts w:hint="eastAsia" w:ascii="仿宋" w:hAnsi="仿宋" w:eastAsia="仿宋" w:cs="仿宋"/>
                <w:sz w:val="18"/>
                <w:szCs w:val="18"/>
              </w:rPr>
            </w:pPr>
            <w:r>
              <w:rPr>
                <w:rFonts w:hint="eastAsia" w:ascii="仿宋" w:hAnsi="仿宋" w:eastAsia="仿宋" w:cs="仿宋"/>
                <w:sz w:val="18"/>
                <w:szCs w:val="18"/>
              </w:rPr>
              <w:t>投标担保符合第二章投标人须知第3.4款规定</w:t>
            </w:r>
          </w:p>
        </w:tc>
        <w:tc>
          <w:tcPr>
            <w:tcW w:w="709" w:type="dxa"/>
            <w:noWrap w:val="0"/>
            <w:vAlign w:val="center"/>
          </w:tcPr>
          <w:p>
            <w:pPr>
              <w:jc w:val="center"/>
              <w:rPr>
                <w:rFonts w:hint="eastAsia" w:ascii="仿宋" w:hAnsi="仿宋" w:eastAsia="仿宋" w:cs="仿宋"/>
                <w:color w:val="000000"/>
                <w:kern w:val="0"/>
              </w:rPr>
            </w:pPr>
          </w:p>
        </w:tc>
        <w:tc>
          <w:tcPr>
            <w:tcW w:w="708" w:type="dxa"/>
            <w:noWrap w:val="0"/>
            <w:vAlign w:val="center"/>
          </w:tcPr>
          <w:p>
            <w:pPr>
              <w:jc w:val="center"/>
              <w:rPr>
                <w:rFonts w:hint="eastAsia" w:ascii="仿宋" w:hAnsi="仿宋" w:eastAsia="仿宋" w:cs="仿宋"/>
                <w:color w:val="000000"/>
                <w:kern w:val="0"/>
              </w:rPr>
            </w:pPr>
          </w:p>
        </w:tc>
        <w:tc>
          <w:tcPr>
            <w:tcW w:w="993" w:type="dxa"/>
            <w:noWrap w:val="0"/>
            <w:vAlign w:val="center"/>
          </w:tcPr>
          <w:p>
            <w:pPr>
              <w:jc w:val="center"/>
              <w:rPr>
                <w:rFonts w:hint="eastAsia" w:ascii="仿宋" w:hAnsi="仿宋" w:eastAsia="仿宋" w:cs="仿宋"/>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6</w:t>
            </w:r>
          </w:p>
        </w:tc>
        <w:tc>
          <w:tcPr>
            <w:tcW w:w="1260"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2.1.3（6）</w:t>
            </w:r>
          </w:p>
        </w:tc>
        <w:tc>
          <w:tcPr>
            <w:tcW w:w="1508"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权利义务</w:t>
            </w:r>
          </w:p>
        </w:tc>
        <w:tc>
          <w:tcPr>
            <w:tcW w:w="4010" w:type="dxa"/>
            <w:noWrap w:val="0"/>
            <w:vAlign w:val="center"/>
          </w:tcPr>
          <w:p>
            <w:pPr>
              <w:pStyle w:val="106"/>
              <w:rPr>
                <w:rFonts w:hint="eastAsia" w:ascii="仿宋" w:hAnsi="仿宋" w:eastAsia="仿宋" w:cs="仿宋"/>
                <w:sz w:val="18"/>
                <w:szCs w:val="18"/>
              </w:rPr>
            </w:pPr>
            <w:r>
              <w:rPr>
                <w:rFonts w:hint="eastAsia" w:ascii="仿宋" w:hAnsi="仿宋" w:eastAsia="仿宋" w:cs="仿宋"/>
                <w:sz w:val="18"/>
                <w:szCs w:val="18"/>
              </w:rPr>
              <w:t>权利义务符合第四章合同条款及格式规定的权利义务</w:t>
            </w:r>
          </w:p>
        </w:tc>
        <w:tc>
          <w:tcPr>
            <w:tcW w:w="709" w:type="dxa"/>
            <w:noWrap w:val="0"/>
            <w:vAlign w:val="center"/>
          </w:tcPr>
          <w:p>
            <w:pPr>
              <w:jc w:val="center"/>
              <w:rPr>
                <w:rFonts w:hint="eastAsia" w:ascii="仿宋" w:hAnsi="仿宋" w:eastAsia="仿宋" w:cs="仿宋"/>
                <w:color w:val="000000"/>
                <w:kern w:val="0"/>
              </w:rPr>
            </w:pPr>
          </w:p>
        </w:tc>
        <w:tc>
          <w:tcPr>
            <w:tcW w:w="708" w:type="dxa"/>
            <w:noWrap w:val="0"/>
            <w:vAlign w:val="center"/>
          </w:tcPr>
          <w:p>
            <w:pPr>
              <w:jc w:val="center"/>
              <w:rPr>
                <w:rFonts w:hint="eastAsia" w:ascii="仿宋" w:hAnsi="仿宋" w:eastAsia="仿宋" w:cs="仿宋"/>
                <w:color w:val="000000"/>
                <w:kern w:val="0"/>
              </w:rPr>
            </w:pPr>
          </w:p>
        </w:tc>
        <w:tc>
          <w:tcPr>
            <w:tcW w:w="993" w:type="dxa"/>
            <w:noWrap w:val="0"/>
            <w:vAlign w:val="center"/>
          </w:tcPr>
          <w:p>
            <w:pPr>
              <w:jc w:val="center"/>
              <w:rPr>
                <w:rFonts w:hint="eastAsia" w:ascii="仿宋" w:hAnsi="仿宋" w:eastAsia="仿宋" w:cs="仿宋"/>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0" w:hRule="exact"/>
          <w:jc w:val="center"/>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7</w:t>
            </w:r>
          </w:p>
        </w:tc>
        <w:tc>
          <w:tcPr>
            <w:tcW w:w="1260" w:type="dxa"/>
            <w:noWrap w:val="0"/>
            <w:vAlign w:val="center"/>
          </w:tcPr>
          <w:p>
            <w:pPr>
              <w:snapToGrid w:val="0"/>
              <w:ind w:left="-92" w:leftChars="-44"/>
              <w:jc w:val="center"/>
              <w:rPr>
                <w:rFonts w:hint="eastAsia" w:ascii="仿宋" w:hAnsi="仿宋" w:eastAsia="仿宋" w:cs="仿宋"/>
                <w:color w:val="000000"/>
              </w:rPr>
            </w:pPr>
            <w:r>
              <w:rPr>
                <w:rFonts w:hint="eastAsia" w:ascii="仿宋" w:hAnsi="仿宋" w:eastAsia="仿宋" w:cs="仿宋"/>
                <w:color w:val="000000"/>
              </w:rPr>
              <w:t>2.1.3（7）</w:t>
            </w:r>
          </w:p>
        </w:tc>
        <w:tc>
          <w:tcPr>
            <w:tcW w:w="1508"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工程量清单</w:t>
            </w:r>
          </w:p>
        </w:tc>
        <w:tc>
          <w:tcPr>
            <w:tcW w:w="4010" w:type="dxa"/>
            <w:noWrap w:val="0"/>
            <w:vAlign w:val="center"/>
          </w:tcPr>
          <w:p>
            <w:pPr>
              <w:pStyle w:val="106"/>
              <w:rPr>
                <w:rFonts w:hint="eastAsia" w:ascii="仿宋" w:hAnsi="仿宋" w:eastAsia="仿宋" w:cs="仿宋"/>
                <w:sz w:val="18"/>
                <w:szCs w:val="18"/>
              </w:rPr>
            </w:pPr>
            <w:r>
              <w:rPr>
                <w:rFonts w:hint="eastAsia" w:ascii="仿宋" w:hAnsi="仿宋" w:eastAsia="仿宋" w:cs="仿宋"/>
                <w:sz w:val="18"/>
                <w:szCs w:val="18"/>
              </w:rPr>
              <w:t>已标价工程量清单符合第五章工程量清单的有关要求</w:t>
            </w:r>
          </w:p>
        </w:tc>
        <w:tc>
          <w:tcPr>
            <w:tcW w:w="709" w:type="dxa"/>
            <w:noWrap w:val="0"/>
            <w:vAlign w:val="center"/>
          </w:tcPr>
          <w:p>
            <w:pPr>
              <w:jc w:val="center"/>
              <w:rPr>
                <w:rFonts w:hint="eastAsia" w:ascii="仿宋" w:hAnsi="仿宋" w:eastAsia="仿宋" w:cs="仿宋"/>
                <w:color w:val="000000"/>
                <w:kern w:val="0"/>
              </w:rPr>
            </w:pPr>
          </w:p>
        </w:tc>
        <w:tc>
          <w:tcPr>
            <w:tcW w:w="708" w:type="dxa"/>
            <w:noWrap w:val="0"/>
            <w:vAlign w:val="center"/>
          </w:tcPr>
          <w:p>
            <w:pPr>
              <w:jc w:val="center"/>
              <w:rPr>
                <w:rFonts w:hint="eastAsia" w:ascii="仿宋" w:hAnsi="仿宋" w:eastAsia="仿宋" w:cs="仿宋"/>
                <w:color w:val="000000"/>
                <w:kern w:val="0"/>
              </w:rPr>
            </w:pPr>
          </w:p>
        </w:tc>
        <w:tc>
          <w:tcPr>
            <w:tcW w:w="993" w:type="dxa"/>
            <w:noWrap w:val="0"/>
            <w:vAlign w:val="center"/>
          </w:tcPr>
          <w:p>
            <w:pPr>
              <w:jc w:val="center"/>
              <w:rPr>
                <w:rFonts w:hint="eastAsia" w:ascii="仿宋" w:hAnsi="仿宋" w:eastAsia="仿宋" w:cs="仿宋"/>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8" w:hRule="atLeast"/>
          <w:jc w:val="center"/>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8</w:t>
            </w:r>
          </w:p>
        </w:tc>
        <w:tc>
          <w:tcPr>
            <w:tcW w:w="1260"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2.1.3（8）</w:t>
            </w:r>
          </w:p>
        </w:tc>
        <w:tc>
          <w:tcPr>
            <w:tcW w:w="1508"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技术标准和要求</w:t>
            </w:r>
          </w:p>
        </w:tc>
        <w:tc>
          <w:tcPr>
            <w:tcW w:w="4010" w:type="dxa"/>
            <w:noWrap w:val="0"/>
            <w:vAlign w:val="center"/>
          </w:tcPr>
          <w:p>
            <w:pPr>
              <w:pStyle w:val="106"/>
              <w:rPr>
                <w:rFonts w:hint="eastAsia" w:ascii="仿宋" w:hAnsi="仿宋" w:eastAsia="仿宋" w:cs="仿宋"/>
                <w:sz w:val="18"/>
                <w:szCs w:val="18"/>
              </w:rPr>
            </w:pPr>
            <w:r>
              <w:rPr>
                <w:rFonts w:hint="eastAsia" w:ascii="仿宋" w:hAnsi="仿宋" w:eastAsia="仿宋" w:cs="仿宋"/>
                <w:sz w:val="18"/>
                <w:szCs w:val="18"/>
              </w:rPr>
              <w:t>技术标准和要求符合第七章技术标准和要求（合同技术条款）的规定</w:t>
            </w:r>
          </w:p>
        </w:tc>
        <w:tc>
          <w:tcPr>
            <w:tcW w:w="709" w:type="dxa"/>
            <w:noWrap w:val="0"/>
            <w:vAlign w:val="center"/>
          </w:tcPr>
          <w:p>
            <w:pPr>
              <w:jc w:val="center"/>
              <w:rPr>
                <w:rFonts w:hint="eastAsia" w:ascii="仿宋" w:hAnsi="仿宋" w:eastAsia="仿宋" w:cs="仿宋"/>
                <w:color w:val="000000"/>
                <w:kern w:val="0"/>
              </w:rPr>
            </w:pPr>
          </w:p>
        </w:tc>
        <w:tc>
          <w:tcPr>
            <w:tcW w:w="708" w:type="dxa"/>
            <w:noWrap w:val="0"/>
            <w:vAlign w:val="center"/>
          </w:tcPr>
          <w:p>
            <w:pPr>
              <w:jc w:val="center"/>
              <w:rPr>
                <w:rFonts w:hint="eastAsia" w:ascii="仿宋" w:hAnsi="仿宋" w:eastAsia="仿宋" w:cs="仿宋"/>
                <w:color w:val="000000"/>
                <w:kern w:val="0"/>
              </w:rPr>
            </w:pPr>
          </w:p>
        </w:tc>
        <w:tc>
          <w:tcPr>
            <w:tcW w:w="993" w:type="dxa"/>
            <w:noWrap w:val="0"/>
            <w:vAlign w:val="center"/>
          </w:tcPr>
          <w:p>
            <w:pPr>
              <w:jc w:val="center"/>
              <w:rPr>
                <w:rFonts w:hint="eastAsia" w:ascii="仿宋" w:hAnsi="仿宋" w:eastAsia="仿宋" w:cs="仿宋"/>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9</w:t>
            </w:r>
          </w:p>
        </w:tc>
        <w:tc>
          <w:tcPr>
            <w:tcW w:w="1260"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2.1.3（9）</w:t>
            </w:r>
          </w:p>
        </w:tc>
        <w:tc>
          <w:tcPr>
            <w:tcW w:w="1508"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对投标人的纪律要求</w:t>
            </w:r>
          </w:p>
        </w:tc>
        <w:tc>
          <w:tcPr>
            <w:tcW w:w="4010" w:type="dxa"/>
            <w:noWrap w:val="0"/>
            <w:vAlign w:val="center"/>
          </w:tcPr>
          <w:p>
            <w:pPr>
              <w:pStyle w:val="106"/>
              <w:rPr>
                <w:rFonts w:hint="eastAsia" w:ascii="仿宋" w:hAnsi="仿宋" w:eastAsia="仿宋" w:cs="仿宋"/>
                <w:sz w:val="18"/>
                <w:szCs w:val="18"/>
              </w:rPr>
            </w:pPr>
            <w:r>
              <w:rPr>
                <w:rFonts w:hint="eastAsia" w:ascii="仿宋" w:hAnsi="仿宋" w:eastAsia="仿宋" w:cs="仿宋"/>
                <w:sz w:val="18"/>
                <w:szCs w:val="18"/>
              </w:rPr>
              <w:t>符合第二章“投标人须知”第9.2款规定</w:t>
            </w:r>
          </w:p>
        </w:tc>
        <w:tc>
          <w:tcPr>
            <w:tcW w:w="709" w:type="dxa"/>
            <w:noWrap w:val="0"/>
            <w:vAlign w:val="center"/>
          </w:tcPr>
          <w:p>
            <w:pPr>
              <w:jc w:val="center"/>
              <w:rPr>
                <w:rFonts w:hint="eastAsia" w:ascii="仿宋" w:hAnsi="仿宋" w:eastAsia="仿宋" w:cs="仿宋"/>
                <w:color w:val="000000"/>
                <w:kern w:val="0"/>
              </w:rPr>
            </w:pPr>
          </w:p>
        </w:tc>
        <w:tc>
          <w:tcPr>
            <w:tcW w:w="708" w:type="dxa"/>
            <w:noWrap w:val="0"/>
            <w:vAlign w:val="center"/>
          </w:tcPr>
          <w:p>
            <w:pPr>
              <w:jc w:val="center"/>
              <w:rPr>
                <w:rFonts w:hint="eastAsia" w:ascii="仿宋" w:hAnsi="仿宋" w:eastAsia="仿宋" w:cs="仿宋"/>
                <w:color w:val="000000"/>
                <w:kern w:val="0"/>
              </w:rPr>
            </w:pPr>
          </w:p>
        </w:tc>
        <w:tc>
          <w:tcPr>
            <w:tcW w:w="993" w:type="dxa"/>
            <w:noWrap w:val="0"/>
            <w:vAlign w:val="center"/>
          </w:tcPr>
          <w:p>
            <w:pPr>
              <w:jc w:val="center"/>
              <w:rPr>
                <w:rFonts w:hint="eastAsia" w:ascii="仿宋" w:hAnsi="仿宋" w:eastAsia="仿宋" w:cs="仿宋"/>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10</w:t>
            </w:r>
          </w:p>
        </w:tc>
        <w:tc>
          <w:tcPr>
            <w:tcW w:w="1260"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2.1.3（10）</w:t>
            </w:r>
          </w:p>
        </w:tc>
        <w:tc>
          <w:tcPr>
            <w:tcW w:w="1508"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工程结算款支付账户</w:t>
            </w:r>
          </w:p>
        </w:tc>
        <w:tc>
          <w:tcPr>
            <w:tcW w:w="4010" w:type="dxa"/>
            <w:noWrap w:val="0"/>
            <w:vAlign w:val="center"/>
          </w:tcPr>
          <w:p>
            <w:pPr>
              <w:pStyle w:val="106"/>
              <w:rPr>
                <w:rFonts w:hint="eastAsia" w:ascii="仿宋" w:hAnsi="仿宋" w:eastAsia="仿宋" w:cs="仿宋"/>
                <w:sz w:val="18"/>
                <w:szCs w:val="18"/>
              </w:rPr>
            </w:pPr>
            <w:r>
              <w:rPr>
                <w:rFonts w:hint="eastAsia" w:ascii="仿宋" w:hAnsi="仿宋" w:eastAsia="仿宋" w:cs="仿宋"/>
                <w:sz w:val="18"/>
                <w:szCs w:val="18"/>
              </w:rPr>
              <w:t>符合第二章“投标人须知”第10.3款规定</w:t>
            </w:r>
          </w:p>
        </w:tc>
        <w:tc>
          <w:tcPr>
            <w:tcW w:w="709" w:type="dxa"/>
            <w:noWrap w:val="0"/>
            <w:vAlign w:val="center"/>
          </w:tcPr>
          <w:p>
            <w:pPr>
              <w:jc w:val="center"/>
              <w:rPr>
                <w:rFonts w:hint="eastAsia" w:ascii="仿宋" w:hAnsi="仿宋" w:eastAsia="仿宋" w:cs="仿宋"/>
                <w:color w:val="000000"/>
                <w:kern w:val="0"/>
              </w:rPr>
            </w:pPr>
          </w:p>
        </w:tc>
        <w:tc>
          <w:tcPr>
            <w:tcW w:w="708" w:type="dxa"/>
            <w:noWrap w:val="0"/>
            <w:vAlign w:val="center"/>
          </w:tcPr>
          <w:p>
            <w:pPr>
              <w:jc w:val="center"/>
              <w:rPr>
                <w:rFonts w:hint="eastAsia" w:ascii="仿宋" w:hAnsi="仿宋" w:eastAsia="仿宋" w:cs="仿宋"/>
                <w:color w:val="000000"/>
                <w:kern w:val="0"/>
              </w:rPr>
            </w:pPr>
          </w:p>
        </w:tc>
        <w:tc>
          <w:tcPr>
            <w:tcW w:w="993" w:type="dxa"/>
            <w:noWrap w:val="0"/>
            <w:vAlign w:val="center"/>
          </w:tcPr>
          <w:p>
            <w:pPr>
              <w:jc w:val="center"/>
              <w:rPr>
                <w:rFonts w:hint="eastAsia" w:ascii="仿宋" w:hAnsi="仿宋" w:eastAsia="仿宋" w:cs="仿宋"/>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11</w:t>
            </w:r>
          </w:p>
        </w:tc>
        <w:tc>
          <w:tcPr>
            <w:tcW w:w="1260"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2.1.3（11）</w:t>
            </w:r>
          </w:p>
        </w:tc>
        <w:tc>
          <w:tcPr>
            <w:tcW w:w="1508"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最高投标限价</w:t>
            </w:r>
          </w:p>
        </w:tc>
        <w:tc>
          <w:tcPr>
            <w:tcW w:w="4010" w:type="dxa"/>
            <w:noWrap w:val="0"/>
            <w:vAlign w:val="center"/>
          </w:tcPr>
          <w:p>
            <w:pPr>
              <w:pStyle w:val="106"/>
              <w:rPr>
                <w:rFonts w:hint="eastAsia" w:ascii="仿宋" w:hAnsi="仿宋" w:eastAsia="仿宋" w:cs="仿宋"/>
                <w:sz w:val="18"/>
                <w:szCs w:val="18"/>
              </w:rPr>
            </w:pPr>
            <w:r>
              <w:rPr>
                <w:rFonts w:hint="eastAsia" w:ascii="仿宋" w:hAnsi="仿宋" w:eastAsia="仿宋" w:cs="仿宋"/>
                <w:sz w:val="18"/>
                <w:szCs w:val="18"/>
              </w:rPr>
              <w:t>符合第二章“投标人须知</w:t>
            </w:r>
            <w:r>
              <w:rPr>
                <w:rFonts w:hint="eastAsia" w:ascii="仿宋" w:hAnsi="仿宋" w:eastAsia="仿宋" w:cs="仿宋"/>
                <w:kern w:val="2"/>
                <w:sz w:val="18"/>
                <w:szCs w:val="18"/>
              </w:rPr>
              <w:t>”第10.5款</w:t>
            </w:r>
            <w:r>
              <w:rPr>
                <w:rFonts w:hint="eastAsia" w:ascii="仿宋" w:hAnsi="仿宋" w:eastAsia="仿宋" w:cs="仿宋"/>
                <w:sz w:val="18"/>
                <w:szCs w:val="18"/>
              </w:rPr>
              <w:t>规定</w:t>
            </w:r>
          </w:p>
        </w:tc>
        <w:tc>
          <w:tcPr>
            <w:tcW w:w="709" w:type="dxa"/>
            <w:noWrap w:val="0"/>
            <w:vAlign w:val="center"/>
          </w:tcPr>
          <w:p>
            <w:pPr>
              <w:jc w:val="center"/>
              <w:rPr>
                <w:rFonts w:hint="eastAsia" w:ascii="仿宋" w:hAnsi="仿宋" w:eastAsia="仿宋" w:cs="仿宋"/>
                <w:color w:val="000000"/>
                <w:kern w:val="0"/>
              </w:rPr>
            </w:pPr>
          </w:p>
        </w:tc>
        <w:tc>
          <w:tcPr>
            <w:tcW w:w="708" w:type="dxa"/>
            <w:noWrap w:val="0"/>
            <w:vAlign w:val="center"/>
          </w:tcPr>
          <w:p>
            <w:pPr>
              <w:jc w:val="center"/>
              <w:rPr>
                <w:rFonts w:hint="eastAsia" w:ascii="仿宋" w:hAnsi="仿宋" w:eastAsia="仿宋" w:cs="仿宋"/>
                <w:color w:val="000000"/>
                <w:kern w:val="0"/>
              </w:rPr>
            </w:pPr>
          </w:p>
        </w:tc>
        <w:tc>
          <w:tcPr>
            <w:tcW w:w="993" w:type="dxa"/>
            <w:noWrap w:val="0"/>
            <w:vAlign w:val="center"/>
          </w:tcPr>
          <w:p>
            <w:pPr>
              <w:jc w:val="center"/>
              <w:rPr>
                <w:rFonts w:hint="eastAsia" w:ascii="仿宋" w:hAnsi="仿宋" w:eastAsia="仿宋" w:cs="仿宋"/>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12</w:t>
            </w:r>
          </w:p>
        </w:tc>
        <w:tc>
          <w:tcPr>
            <w:tcW w:w="1260"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sz w:val="18"/>
                <w:szCs w:val="18"/>
              </w:rPr>
              <w:t>……</w:t>
            </w:r>
          </w:p>
        </w:tc>
        <w:tc>
          <w:tcPr>
            <w:tcW w:w="1508"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w:t>
            </w:r>
          </w:p>
        </w:tc>
        <w:tc>
          <w:tcPr>
            <w:tcW w:w="4010"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w:t>
            </w:r>
          </w:p>
        </w:tc>
        <w:tc>
          <w:tcPr>
            <w:tcW w:w="709" w:type="dxa"/>
            <w:noWrap w:val="0"/>
            <w:vAlign w:val="center"/>
          </w:tcPr>
          <w:p>
            <w:pPr>
              <w:jc w:val="center"/>
              <w:rPr>
                <w:rFonts w:hint="eastAsia" w:ascii="仿宋" w:hAnsi="仿宋" w:eastAsia="仿宋" w:cs="仿宋"/>
                <w:color w:val="000000"/>
                <w:kern w:val="0"/>
              </w:rPr>
            </w:pPr>
          </w:p>
        </w:tc>
        <w:tc>
          <w:tcPr>
            <w:tcW w:w="708" w:type="dxa"/>
            <w:noWrap w:val="0"/>
            <w:vAlign w:val="center"/>
          </w:tcPr>
          <w:p>
            <w:pPr>
              <w:jc w:val="center"/>
              <w:rPr>
                <w:rFonts w:hint="eastAsia" w:ascii="仿宋" w:hAnsi="仿宋" w:eastAsia="仿宋" w:cs="仿宋"/>
                <w:color w:val="000000"/>
                <w:kern w:val="0"/>
              </w:rPr>
            </w:pPr>
          </w:p>
        </w:tc>
        <w:tc>
          <w:tcPr>
            <w:tcW w:w="993" w:type="dxa"/>
            <w:noWrap w:val="0"/>
            <w:vAlign w:val="center"/>
          </w:tcPr>
          <w:p>
            <w:pPr>
              <w:jc w:val="center"/>
              <w:rPr>
                <w:rFonts w:hint="eastAsia" w:ascii="仿宋" w:hAnsi="仿宋" w:eastAsia="仿宋" w:cs="仿宋"/>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555" w:type="dxa"/>
            <w:noWrap w:val="0"/>
            <w:vAlign w:val="center"/>
          </w:tcPr>
          <w:p>
            <w:pPr>
              <w:jc w:val="center"/>
              <w:rPr>
                <w:rFonts w:hint="eastAsia" w:ascii="仿宋" w:hAnsi="仿宋" w:eastAsia="仿宋" w:cs="仿宋"/>
                <w:color w:val="000000"/>
                <w:kern w:val="0"/>
              </w:rPr>
            </w:pPr>
          </w:p>
        </w:tc>
        <w:tc>
          <w:tcPr>
            <w:tcW w:w="6778" w:type="dxa"/>
            <w:gridSpan w:val="3"/>
            <w:noWrap w:val="0"/>
            <w:vAlign w:val="center"/>
          </w:tcPr>
          <w:p>
            <w:pPr>
              <w:jc w:val="center"/>
              <w:rPr>
                <w:rFonts w:hint="eastAsia" w:ascii="仿宋" w:hAnsi="仿宋" w:eastAsia="仿宋" w:cs="仿宋"/>
                <w:b/>
                <w:bCs/>
                <w:color w:val="000000"/>
                <w:kern w:val="0"/>
              </w:rPr>
            </w:pPr>
            <w:r>
              <w:rPr>
                <w:rFonts w:hint="eastAsia" w:ascii="仿宋" w:hAnsi="仿宋" w:eastAsia="仿宋" w:cs="仿宋"/>
                <w:b/>
                <w:bCs/>
                <w:color w:val="000000"/>
                <w:kern w:val="0"/>
              </w:rPr>
              <w:t>评审结论（合格/不合格）</w:t>
            </w:r>
          </w:p>
        </w:tc>
        <w:tc>
          <w:tcPr>
            <w:tcW w:w="709" w:type="dxa"/>
            <w:noWrap w:val="0"/>
            <w:vAlign w:val="center"/>
          </w:tcPr>
          <w:p>
            <w:pPr>
              <w:jc w:val="center"/>
              <w:rPr>
                <w:rFonts w:hint="eastAsia" w:ascii="仿宋" w:hAnsi="仿宋" w:eastAsia="仿宋" w:cs="仿宋"/>
                <w:color w:val="000000"/>
                <w:kern w:val="0"/>
              </w:rPr>
            </w:pPr>
          </w:p>
        </w:tc>
        <w:tc>
          <w:tcPr>
            <w:tcW w:w="708" w:type="dxa"/>
            <w:noWrap w:val="0"/>
            <w:vAlign w:val="center"/>
          </w:tcPr>
          <w:p>
            <w:pPr>
              <w:jc w:val="center"/>
              <w:rPr>
                <w:rFonts w:hint="eastAsia" w:ascii="仿宋" w:hAnsi="仿宋" w:eastAsia="仿宋" w:cs="仿宋"/>
                <w:color w:val="000000"/>
                <w:kern w:val="0"/>
              </w:rPr>
            </w:pPr>
          </w:p>
        </w:tc>
        <w:tc>
          <w:tcPr>
            <w:tcW w:w="993" w:type="dxa"/>
            <w:noWrap w:val="0"/>
            <w:vAlign w:val="center"/>
          </w:tcPr>
          <w:p>
            <w:pPr>
              <w:jc w:val="center"/>
              <w:rPr>
                <w:rFonts w:hint="eastAsia" w:ascii="仿宋" w:hAnsi="仿宋" w:eastAsia="仿宋" w:cs="仿宋"/>
                <w:color w:val="000000"/>
                <w:kern w:val="0"/>
              </w:rPr>
            </w:pPr>
          </w:p>
        </w:tc>
      </w:tr>
    </w:tbl>
    <w:p>
      <w:pPr>
        <w:spacing w:line="300" w:lineRule="exact"/>
        <w:rPr>
          <w:rFonts w:hint="eastAsia" w:ascii="仿宋" w:hAnsi="仿宋" w:eastAsia="仿宋" w:cs="仿宋"/>
          <w:color w:val="000000"/>
          <w:sz w:val="18"/>
          <w:szCs w:val="18"/>
        </w:rPr>
      </w:pPr>
      <w:r>
        <w:rPr>
          <w:rFonts w:hint="eastAsia" w:ascii="仿宋" w:hAnsi="仿宋" w:eastAsia="仿宋" w:cs="仿宋"/>
          <w:b/>
          <w:color w:val="000000"/>
        </w:rPr>
        <w:t>备注：</w:t>
      </w:r>
      <w:r>
        <w:rPr>
          <w:rFonts w:hint="eastAsia" w:ascii="仿宋" w:hAnsi="仿宋" w:eastAsia="仿宋" w:cs="仿宋"/>
          <w:color w:val="000000"/>
          <w:sz w:val="18"/>
          <w:szCs w:val="18"/>
        </w:rPr>
        <w:t>1.评审项目合格的打“√”，不合格的打“×”。上表中有一项不符合评审标准的，其评审结论为不合格，则不进入投标文件下一轮的评审。</w:t>
      </w:r>
    </w:p>
    <w:p>
      <w:pPr>
        <w:snapToGrid w:val="0"/>
        <w:spacing w:line="300" w:lineRule="exact"/>
        <w:ind w:firstLine="540" w:firstLineChars="300"/>
        <w:rPr>
          <w:rFonts w:hint="eastAsia" w:ascii="仿宋" w:hAnsi="仿宋" w:eastAsia="仿宋" w:cs="仿宋"/>
          <w:color w:val="000000"/>
          <w:sz w:val="18"/>
          <w:szCs w:val="18"/>
        </w:rPr>
      </w:pPr>
      <w:r>
        <w:rPr>
          <w:rFonts w:hint="eastAsia" w:ascii="仿宋" w:hAnsi="仿宋" w:eastAsia="仿宋" w:cs="仿宋"/>
          <w:color w:val="000000"/>
          <w:sz w:val="18"/>
          <w:szCs w:val="18"/>
        </w:rPr>
        <w:t>2.已标价工程量清单：投标人提供的已标价的工程量清单应符合第五章《工程量清单》的有关要求及给出的范围，给出的范围不得增加和删除，否则视为不符合评审标准。</w:t>
      </w:r>
    </w:p>
    <w:p>
      <w:pPr>
        <w:snapToGrid w:val="0"/>
        <w:spacing w:line="300" w:lineRule="exact"/>
        <w:ind w:firstLine="540" w:firstLineChars="300"/>
        <w:rPr>
          <w:rFonts w:hint="eastAsia" w:ascii="仿宋" w:hAnsi="仿宋" w:eastAsia="仿宋" w:cs="仿宋"/>
          <w:color w:val="000000"/>
          <w:sz w:val="18"/>
          <w:szCs w:val="18"/>
        </w:rPr>
      </w:pPr>
      <w:r>
        <w:rPr>
          <w:rFonts w:hint="eastAsia" w:ascii="仿宋" w:hAnsi="仿宋" w:eastAsia="仿宋" w:cs="仿宋"/>
          <w:color w:val="000000"/>
          <w:sz w:val="18"/>
          <w:szCs w:val="18"/>
        </w:rPr>
        <w:t>3.本表由评标委员会集体评议，评标委员会成员中对评审结论有不同意见时，按少数服从多数的原则，确定评审结论。</w:t>
      </w:r>
    </w:p>
    <w:p>
      <w:pPr>
        <w:snapToGrid w:val="0"/>
        <w:ind w:firstLine="420" w:firstLineChars="200"/>
        <w:rPr>
          <w:rFonts w:hint="eastAsia" w:ascii="仿宋" w:hAnsi="仿宋" w:eastAsia="仿宋" w:cs="仿宋"/>
          <w:color w:val="000000"/>
        </w:rPr>
      </w:pPr>
    </w:p>
    <w:p>
      <w:pPr>
        <w:snapToGrid w:val="0"/>
        <w:spacing w:line="490" w:lineRule="exact"/>
        <w:rPr>
          <w:rFonts w:hint="eastAsia" w:ascii="仿宋" w:hAnsi="仿宋" w:eastAsia="仿宋" w:cs="仿宋"/>
          <w:color w:val="000000"/>
          <w:sz w:val="24"/>
        </w:rPr>
      </w:pPr>
      <w:r>
        <w:rPr>
          <w:rFonts w:hint="eastAsia" w:ascii="仿宋" w:hAnsi="仿宋" w:eastAsia="仿宋" w:cs="仿宋"/>
          <w:color w:val="000000"/>
          <w:sz w:val="24"/>
        </w:rPr>
        <w:t>评标委员会全体成员签字：</w:t>
      </w:r>
      <w:bookmarkStart w:id="879" w:name="_Toc300678147"/>
    </w:p>
    <w:p>
      <w:pPr>
        <w:snapToGrid w:val="0"/>
        <w:spacing w:line="490" w:lineRule="exact"/>
        <w:outlineLvl w:val="4"/>
        <w:rPr>
          <w:rFonts w:eastAsia="黑体"/>
          <w:bCs/>
          <w:color w:val="000000"/>
          <w:sz w:val="28"/>
          <w:szCs w:val="20"/>
        </w:rPr>
      </w:pPr>
      <w:r>
        <w:rPr>
          <w:rFonts w:hint="eastAsia" w:ascii="仿宋" w:hAnsi="仿宋" w:eastAsia="仿宋" w:cs="仿宋"/>
          <w:color w:val="000000"/>
        </w:rPr>
        <w:br w:type="page"/>
      </w:r>
      <w:bookmarkStart w:id="880" w:name="_Toc511318010"/>
      <w:bookmarkStart w:id="881" w:name="_Toc511317261"/>
      <w:r>
        <w:rPr>
          <w:rFonts w:eastAsia="黑体"/>
          <w:bCs/>
          <w:color w:val="000000"/>
          <w:sz w:val="28"/>
          <w:szCs w:val="20"/>
        </w:rPr>
        <w:t>附表3-4：</w:t>
      </w:r>
      <w:bookmarkEnd w:id="879"/>
      <w:r>
        <w:rPr>
          <w:rFonts w:eastAsia="黑体"/>
          <w:bCs/>
          <w:color w:val="000000"/>
          <w:sz w:val="28"/>
          <w:szCs w:val="20"/>
        </w:rPr>
        <w:t>不合格投标人名单表</w:t>
      </w:r>
      <w:bookmarkEnd w:id="880"/>
      <w:bookmarkEnd w:id="881"/>
    </w:p>
    <w:p>
      <w:pPr>
        <w:pStyle w:val="32"/>
        <w:spacing w:line="490" w:lineRule="exact"/>
        <w:ind w:left="0" w:firstLine="0" w:firstLineChars="0"/>
        <w:jc w:val="center"/>
        <w:rPr>
          <w:rFonts w:eastAsia="方正小标宋_GBK"/>
          <w:b/>
          <w:bCs/>
          <w:color w:val="000000"/>
          <w:sz w:val="36"/>
          <w:szCs w:val="36"/>
        </w:rPr>
      </w:pPr>
    </w:p>
    <w:p>
      <w:pPr>
        <w:pStyle w:val="32"/>
        <w:spacing w:line="490" w:lineRule="exact"/>
        <w:ind w:left="0" w:firstLine="0" w:firstLineChars="0"/>
        <w:jc w:val="center"/>
        <w:rPr>
          <w:rFonts w:hint="eastAsia" w:ascii="方正小标宋简体" w:eastAsia="方正小标宋简体"/>
          <w:bCs/>
          <w:color w:val="000000"/>
          <w:sz w:val="36"/>
          <w:szCs w:val="36"/>
        </w:rPr>
      </w:pPr>
      <w:r>
        <w:rPr>
          <w:rFonts w:hint="eastAsia" w:ascii="方正小标宋简体" w:eastAsia="方正小标宋简体"/>
          <w:bCs/>
          <w:color w:val="000000"/>
          <w:sz w:val="36"/>
          <w:szCs w:val="36"/>
        </w:rPr>
        <w:t>不合格投标人名单表</w:t>
      </w:r>
    </w:p>
    <w:p>
      <w:pPr>
        <w:pStyle w:val="32"/>
        <w:spacing w:line="490" w:lineRule="exact"/>
        <w:ind w:left="0" w:firstLine="0" w:firstLineChars="0"/>
        <w:jc w:val="center"/>
        <w:rPr>
          <w:rFonts w:eastAsia="方正小标宋_GBK"/>
          <w:b/>
          <w:bCs/>
          <w:color w:val="000000"/>
          <w:sz w:val="36"/>
          <w:szCs w:val="36"/>
        </w:rPr>
      </w:pPr>
    </w:p>
    <w:p>
      <w:pPr>
        <w:snapToGrid w:val="0"/>
        <w:spacing w:line="400" w:lineRule="exact"/>
        <w:rPr>
          <w:rFonts w:hint="eastAsia" w:ascii="仿宋" w:hAnsi="仿宋" w:eastAsia="仿宋" w:cs="仿宋"/>
          <w:color w:val="000000"/>
          <w:sz w:val="24"/>
          <w:u w:val="single"/>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（标段名称）</w:t>
      </w:r>
      <w:r>
        <w:rPr>
          <w:rFonts w:hint="eastAsia" w:ascii="仿宋" w:hAnsi="仿宋" w:eastAsia="仿宋" w:cs="仿宋"/>
          <w:color w:val="000000"/>
          <w:sz w:val="24"/>
          <w:u w:val="single"/>
        </w:rPr>
        <w:t xml:space="preserve">                      </w:t>
      </w:r>
    </w:p>
    <w:p>
      <w:pPr>
        <w:snapToGrid w:val="0"/>
        <w:spacing w:line="400" w:lineRule="exact"/>
        <w:rPr>
          <w:rFonts w:hint="eastAsia" w:ascii="仿宋" w:hAnsi="仿宋" w:eastAsia="仿宋" w:cs="仿宋"/>
          <w:color w:val="000000"/>
          <w:sz w:val="24"/>
        </w:rPr>
      </w:pPr>
      <w:r>
        <w:rPr>
          <w:rFonts w:hint="eastAsia" w:ascii="仿宋" w:hAnsi="仿宋" w:eastAsia="仿宋" w:cs="仿宋"/>
          <w:color w:val="000000"/>
          <w:sz w:val="24"/>
        </w:rPr>
        <w:t>项目管理编号：</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tbl>
      <w:tblPr>
        <w:tblStyle w:val="4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93"/>
        <w:gridCol w:w="3427"/>
        <w:gridCol w:w="50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13" w:hRule="atLeast"/>
          <w:jc w:val="center"/>
        </w:trPr>
        <w:tc>
          <w:tcPr>
            <w:tcW w:w="793"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序号</w:t>
            </w:r>
          </w:p>
        </w:tc>
        <w:tc>
          <w:tcPr>
            <w:tcW w:w="3427"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投   标    人</w:t>
            </w:r>
          </w:p>
        </w:tc>
        <w:tc>
          <w:tcPr>
            <w:tcW w:w="5066"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不合格情况的原因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9" w:hRule="atLeast"/>
          <w:jc w:val="center"/>
        </w:trPr>
        <w:tc>
          <w:tcPr>
            <w:tcW w:w="793"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3427" w:type="dxa"/>
            <w:noWrap w:val="0"/>
            <w:vAlign w:val="center"/>
          </w:tcPr>
          <w:p>
            <w:pPr>
              <w:snapToGrid w:val="0"/>
              <w:jc w:val="center"/>
              <w:rPr>
                <w:rFonts w:hint="eastAsia" w:ascii="仿宋" w:hAnsi="仿宋" w:eastAsia="仿宋" w:cs="仿宋"/>
                <w:color w:val="000000"/>
                <w:szCs w:val="21"/>
              </w:rPr>
            </w:pPr>
          </w:p>
        </w:tc>
        <w:tc>
          <w:tcPr>
            <w:tcW w:w="5066" w:type="dxa"/>
            <w:noWrap w:val="0"/>
            <w:vAlign w:val="center"/>
          </w:tcPr>
          <w:p>
            <w:pPr>
              <w:snapToGrid w:val="0"/>
              <w:jc w:val="center"/>
              <w:rPr>
                <w:rFonts w:hint="eastAsia" w:ascii="仿宋" w:hAnsi="仿宋" w:eastAsia="仿宋" w:cs="仿宋"/>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9" w:hRule="atLeast"/>
          <w:jc w:val="center"/>
        </w:trPr>
        <w:tc>
          <w:tcPr>
            <w:tcW w:w="793"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2</w:t>
            </w:r>
          </w:p>
        </w:tc>
        <w:tc>
          <w:tcPr>
            <w:tcW w:w="3427" w:type="dxa"/>
            <w:noWrap w:val="0"/>
            <w:vAlign w:val="center"/>
          </w:tcPr>
          <w:p>
            <w:pPr>
              <w:snapToGrid w:val="0"/>
              <w:jc w:val="center"/>
              <w:rPr>
                <w:rFonts w:hint="eastAsia" w:ascii="仿宋" w:hAnsi="仿宋" w:eastAsia="仿宋" w:cs="仿宋"/>
                <w:color w:val="000000"/>
                <w:szCs w:val="21"/>
              </w:rPr>
            </w:pPr>
          </w:p>
        </w:tc>
        <w:tc>
          <w:tcPr>
            <w:tcW w:w="5066" w:type="dxa"/>
            <w:noWrap w:val="0"/>
            <w:vAlign w:val="center"/>
          </w:tcPr>
          <w:p>
            <w:pPr>
              <w:snapToGrid w:val="0"/>
              <w:jc w:val="center"/>
              <w:rPr>
                <w:rFonts w:hint="eastAsia" w:ascii="仿宋" w:hAnsi="仿宋" w:eastAsia="仿宋" w:cs="仿宋"/>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9" w:hRule="atLeast"/>
          <w:jc w:val="center"/>
        </w:trPr>
        <w:tc>
          <w:tcPr>
            <w:tcW w:w="793"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3</w:t>
            </w:r>
          </w:p>
        </w:tc>
        <w:tc>
          <w:tcPr>
            <w:tcW w:w="3427" w:type="dxa"/>
            <w:noWrap w:val="0"/>
            <w:vAlign w:val="center"/>
          </w:tcPr>
          <w:p>
            <w:pPr>
              <w:snapToGrid w:val="0"/>
              <w:jc w:val="center"/>
              <w:rPr>
                <w:rFonts w:hint="eastAsia" w:ascii="仿宋" w:hAnsi="仿宋" w:eastAsia="仿宋" w:cs="仿宋"/>
                <w:color w:val="000000"/>
                <w:szCs w:val="21"/>
              </w:rPr>
            </w:pPr>
          </w:p>
        </w:tc>
        <w:tc>
          <w:tcPr>
            <w:tcW w:w="5066" w:type="dxa"/>
            <w:noWrap w:val="0"/>
            <w:vAlign w:val="center"/>
          </w:tcPr>
          <w:p>
            <w:pPr>
              <w:snapToGrid w:val="0"/>
              <w:jc w:val="center"/>
              <w:rPr>
                <w:rFonts w:hint="eastAsia" w:ascii="仿宋" w:hAnsi="仿宋" w:eastAsia="仿宋" w:cs="仿宋"/>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9" w:hRule="atLeast"/>
          <w:jc w:val="center"/>
        </w:trPr>
        <w:tc>
          <w:tcPr>
            <w:tcW w:w="793"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4</w:t>
            </w:r>
          </w:p>
        </w:tc>
        <w:tc>
          <w:tcPr>
            <w:tcW w:w="3427" w:type="dxa"/>
            <w:noWrap w:val="0"/>
            <w:vAlign w:val="center"/>
          </w:tcPr>
          <w:p>
            <w:pPr>
              <w:snapToGrid w:val="0"/>
              <w:jc w:val="center"/>
              <w:rPr>
                <w:rFonts w:hint="eastAsia" w:ascii="仿宋" w:hAnsi="仿宋" w:eastAsia="仿宋" w:cs="仿宋"/>
                <w:color w:val="000000"/>
                <w:szCs w:val="21"/>
              </w:rPr>
            </w:pPr>
          </w:p>
        </w:tc>
        <w:tc>
          <w:tcPr>
            <w:tcW w:w="5066" w:type="dxa"/>
            <w:noWrap w:val="0"/>
            <w:vAlign w:val="center"/>
          </w:tcPr>
          <w:p>
            <w:pPr>
              <w:snapToGrid w:val="0"/>
              <w:jc w:val="center"/>
              <w:rPr>
                <w:rFonts w:hint="eastAsia" w:ascii="仿宋" w:hAnsi="仿宋" w:eastAsia="仿宋" w:cs="仿宋"/>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9" w:hRule="atLeast"/>
          <w:jc w:val="center"/>
        </w:trPr>
        <w:tc>
          <w:tcPr>
            <w:tcW w:w="793"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w:t>
            </w:r>
          </w:p>
        </w:tc>
        <w:tc>
          <w:tcPr>
            <w:tcW w:w="3427"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w:t>
            </w:r>
          </w:p>
        </w:tc>
        <w:tc>
          <w:tcPr>
            <w:tcW w:w="5066"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w:t>
            </w:r>
          </w:p>
        </w:tc>
      </w:tr>
    </w:tbl>
    <w:p>
      <w:pPr>
        <w:snapToGrid w:val="0"/>
        <w:rPr>
          <w:rFonts w:hint="eastAsia" w:ascii="仿宋" w:hAnsi="仿宋" w:eastAsia="仿宋" w:cs="仿宋"/>
          <w:color w:val="000000"/>
          <w:szCs w:val="44"/>
        </w:rPr>
      </w:pPr>
    </w:p>
    <w:p>
      <w:pPr>
        <w:snapToGrid w:val="0"/>
        <w:spacing w:line="400" w:lineRule="exact"/>
        <w:rPr>
          <w:rFonts w:hint="eastAsia" w:ascii="仿宋" w:hAnsi="仿宋" w:eastAsia="仿宋" w:cs="仿宋"/>
          <w:color w:val="000000"/>
          <w:sz w:val="24"/>
        </w:rPr>
      </w:pPr>
      <w:r>
        <w:rPr>
          <w:rFonts w:hint="eastAsia" w:ascii="仿宋" w:hAnsi="仿宋" w:eastAsia="仿宋" w:cs="仿宋"/>
          <w:color w:val="000000"/>
          <w:sz w:val="24"/>
        </w:rPr>
        <w:t>评标委员会全体成员签字：</w:t>
      </w:r>
    </w:p>
    <w:p>
      <w:pPr>
        <w:snapToGrid w:val="0"/>
        <w:spacing w:line="360" w:lineRule="auto"/>
        <w:rPr>
          <w:rFonts w:hint="eastAsia" w:ascii="宋体" w:hAnsi="宋体" w:cs="宋体"/>
          <w:color w:val="000000"/>
          <w:kern w:val="0"/>
        </w:rPr>
      </w:pPr>
    </w:p>
    <w:p>
      <w:pPr>
        <w:snapToGrid w:val="0"/>
        <w:spacing w:line="490" w:lineRule="exact"/>
        <w:outlineLvl w:val="4"/>
        <w:rPr>
          <w:rFonts w:eastAsia="黑体"/>
          <w:bCs/>
          <w:color w:val="000000"/>
          <w:sz w:val="28"/>
          <w:szCs w:val="20"/>
        </w:rPr>
      </w:pPr>
      <w:r>
        <w:rPr>
          <w:rFonts w:hint="eastAsia" w:ascii="宋体" w:hAnsi="宋体" w:cs="宋体"/>
          <w:color w:val="000000"/>
          <w:kern w:val="0"/>
        </w:rPr>
        <w:br w:type="page"/>
      </w:r>
      <w:bookmarkStart w:id="882" w:name="_Toc300678148"/>
      <w:bookmarkStart w:id="883" w:name="_Toc511318011"/>
      <w:bookmarkStart w:id="884" w:name="_Toc511317262"/>
      <w:r>
        <w:rPr>
          <w:rFonts w:eastAsia="黑体"/>
          <w:bCs/>
          <w:color w:val="000000"/>
          <w:sz w:val="28"/>
          <w:szCs w:val="20"/>
        </w:rPr>
        <w:t>附表3-5：</w:t>
      </w:r>
      <w:bookmarkEnd w:id="882"/>
      <w:r>
        <w:rPr>
          <w:rFonts w:eastAsia="黑体"/>
          <w:bCs/>
          <w:color w:val="000000"/>
          <w:sz w:val="28"/>
          <w:szCs w:val="20"/>
        </w:rPr>
        <w:t>进入详细评审的投标人名单表</w:t>
      </w:r>
      <w:bookmarkEnd w:id="883"/>
      <w:bookmarkEnd w:id="884"/>
    </w:p>
    <w:p>
      <w:pPr>
        <w:pStyle w:val="32"/>
        <w:spacing w:line="490" w:lineRule="exact"/>
        <w:ind w:left="0" w:firstLine="0" w:firstLineChars="0"/>
        <w:jc w:val="center"/>
        <w:rPr>
          <w:rFonts w:eastAsia="方正小标宋_GBK"/>
          <w:b/>
          <w:bCs/>
          <w:color w:val="000000"/>
          <w:sz w:val="36"/>
          <w:szCs w:val="36"/>
        </w:rPr>
      </w:pPr>
    </w:p>
    <w:p>
      <w:pPr>
        <w:pStyle w:val="32"/>
        <w:spacing w:line="490" w:lineRule="exact"/>
        <w:ind w:left="0" w:firstLine="0" w:firstLineChars="0"/>
        <w:jc w:val="center"/>
        <w:rPr>
          <w:rFonts w:hint="eastAsia" w:ascii="方正小标宋简体" w:eastAsia="方正小标宋简体"/>
          <w:bCs/>
          <w:color w:val="000000"/>
          <w:sz w:val="36"/>
          <w:szCs w:val="36"/>
        </w:rPr>
      </w:pPr>
      <w:r>
        <w:rPr>
          <w:rFonts w:hint="eastAsia" w:ascii="方正小标宋简体" w:eastAsia="方正小标宋简体"/>
          <w:bCs/>
          <w:color w:val="000000"/>
          <w:sz w:val="36"/>
          <w:szCs w:val="36"/>
        </w:rPr>
        <w:t>进入详细评审的投标人名单表</w:t>
      </w:r>
    </w:p>
    <w:p>
      <w:pPr>
        <w:pStyle w:val="32"/>
        <w:spacing w:line="490" w:lineRule="exact"/>
        <w:ind w:left="0" w:firstLine="0" w:firstLineChars="0"/>
        <w:jc w:val="center"/>
        <w:rPr>
          <w:rFonts w:eastAsia="方正小标宋_GBK"/>
          <w:b/>
          <w:bCs/>
          <w:color w:val="000000"/>
          <w:sz w:val="36"/>
          <w:szCs w:val="36"/>
        </w:rPr>
      </w:pPr>
    </w:p>
    <w:p>
      <w:pPr>
        <w:snapToGrid w:val="0"/>
        <w:spacing w:line="400" w:lineRule="exact"/>
        <w:rPr>
          <w:rFonts w:hint="eastAsia" w:ascii="仿宋" w:hAnsi="仿宋" w:eastAsia="仿宋" w:cs="仿宋"/>
          <w:color w:val="000000"/>
          <w:sz w:val="24"/>
          <w:u w:val="single"/>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（标段名称）</w:t>
      </w:r>
      <w:r>
        <w:rPr>
          <w:rFonts w:hint="eastAsia" w:ascii="仿宋" w:hAnsi="仿宋" w:eastAsia="仿宋" w:cs="仿宋"/>
          <w:color w:val="000000"/>
          <w:sz w:val="24"/>
          <w:u w:val="single"/>
        </w:rPr>
        <w:t xml:space="preserve">                      </w:t>
      </w:r>
    </w:p>
    <w:p>
      <w:pPr>
        <w:snapToGrid w:val="0"/>
        <w:spacing w:line="400" w:lineRule="exact"/>
        <w:rPr>
          <w:rFonts w:hint="eastAsia" w:ascii="仿宋" w:hAnsi="仿宋" w:eastAsia="仿宋" w:cs="仿宋"/>
          <w:color w:val="000000"/>
          <w:sz w:val="24"/>
        </w:rPr>
      </w:pPr>
      <w:r>
        <w:rPr>
          <w:rFonts w:hint="eastAsia" w:ascii="仿宋" w:hAnsi="仿宋" w:eastAsia="仿宋" w:cs="仿宋"/>
          <w:color w:val="000000"/>
          <w:sz w:val="24"/>
        </w:rPr>
        <w:t>项目管理编号：</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tbl>
      <w:tblPr>
        <w:tblStyle w:val="4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3"/>
        <w:gridCol w:w="5810"/>
        <w:gridCol w:w="216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43"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序号</w:t>
            </w:r>
          </w:p>
        </w:tc>
        <w:tc>
          <w:tcPr>
            <w:tcW w:w="5810"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投标人名称</w:t>
            </w:r>
          </w:p>
        </w:tc>
        <w:tc>
          <w:tcPr>
            <w:tcW w:w="2163"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43" w:type="dxa"/>
            <w:noWrap w:val="0"/>
            <w:vAlign w:val="center"/>
          </w:tcPr>
          <w:p>
            <w:pPr>
              <w:snapToGrid w:val="0"/>
              <w:ind w:firstLine="420" w:firstLineChars="200"/>
              <w:jc w:val="center"/>
              <w:rPr>
                <w:rFonts w:hint="eastAsia" w:ascii="仿宋" w:hAnsi="仿宋" w:eastAsia="仿宋" w:cs="仿宋"/>
                <w:color w:val="000000"/>
                <w:szCs w:val="21"/>
              </w:rPr>
            </w:pPr>
          </w:p>
        </w:tc>
        <w:tc>
          <w:tcPr>
            <w:tcW w:w="5810" w:type="dxa"/>
            <w:noWrap w:val="0"/>
            <w:vAlign w:val="center"/>
          </w:tcPr>
          <w:p>
            <w:pPr>
              <w:snapToGrid w:val="0"/>
              <w:ind w:firstLine="420" w:firstLineChars="200"/>
              <w:jc w:val="center"/>
              <w:rPr>
                <w:rFonts w:hint="eastAsia" w:ascii="仿宋" w:hAnsi="仿宋" w:eastAsia="仿宋" w:cs="仿宋"/>
                <w:color w:val="000000"/>
                <w:szCs w:val="21"/>
              </w:rPr>
            </w:pPr>
          </w:p>
        </w:tc>
        <w:tc>
          <w:tcPr>
            <w:tcW w:w="2163" w:type="dxa"/>
            <w:noWrap w:val="0"/>
            <w:vAlign w:val="center"/>
          </w:tcPr>
          <w:p>
            <w:pPr>
              <w:snapToGrid w:val="0"/>
              <w:ind w:firstLine="420" w:firstLineChars="200"/>
              <w:jc w:val="center"/>
              <w:rPr>
                <w:rFonts w:hint="eastAsia" w:ascii="仿宋" w:hAnsi="仿宋" w:eastAsia="仿宋" w:cs="仿宋"/>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43" w:type="dxa"/>
            <w:noWrap w:val="0"/>
            <w:vAlign w:val="center"/>
          </w:tcPr>
          <w:p>
            <w:pPr>
              <w:snapToGrid w:val="0"/>
              <w:ind w:firstLine="420" w:firstLineChars="200"/>
              <w:jc w:val="center"/>
              <w:rPr>
                <w:rFonts w:hint="eastAsia" w:ascii="仿宋" w:hAnsi="仿宋" w:eastAsia="仿宋" w:cs="仿宋"/>
                <w:color w:val="000000"/>
                <w:szCs w:val="21"/>
              </w:rPr>
            </w:pPr>
          </w:p>
        </w:tc>
        <w:tc>
          <w:tcPr>
            <w:tcW w:w="5810" w:type="dxa"/>
            <w:noWrap w:val="0"/>
            <w:vAlign w:val="center"/>
          </w:tcPr>
          <w:p>
            <w:pPr>
              <w:snapToGrid w:val="0"/>
              <w:ind w:firstLine="420" w:firstLineChars="200"/>
              <w:jc w:val="center"/>
              <w:rPr>
                <w:rFonts w:hint="eastAsia" w:ascii="仿宋" w:hAnsi="仿宋" w:eastAsia="仿宋" w:cs="仿宋"/>
                <w:color w:val="000000"/>
                <w:szCs w:val="21"/>
              </w:rPr>
            </w:pPr>
          </w:p>
        </w:tc>
        <w:tc>
          <w:tcPr>
            <w:tcW w:w="2163" w:type="dxa"/>
            <w:noWrap w:val="0"/>
            <w:vAlign w:val="center"/>
          </w:tcPr>
          <w:p>
            <w:pPr>
              <w:snapToGrid w:val="0"/>
              <w:ind w:firstLine="420" w:firstLineChars="200"/>
              <w:jc w:val="center"/>
              <w:rPr>
                <w:rFonts w:hint="eastAsia" w:ascii="仿宋" w:hAnsi="仿宋" w:eastAsia="仿宋" w:cs="仿宋"/>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43" w:type="dxa"/>
            <w:noWrap w:val="0"/>
            <w:vAlign w:val="center"/>
          </w:tcPr>
          <w:p>
            <w:pPr>
              <w:snapToGrid w:val="0"/>
              <w:ind w:firstLine="420" w:firstLineChars="200"/>
              <w:jc w:val="center"/>
              <w:rPr>
                <w:rFonts w:hint="eastAsia" w:ascii="仿宋" w:hAnsi="仿宋" w:eastAsia="仿宋" w:cs="仿宋"/>
                <w:color w:val="000000"/>
                <w:szCs w:val="21"/>
              </w:rPr>
            </w:pPr>
          </w:p>
        </w:tc>
        <w:tc>
          <w:tcPr>
            <w:tcW w:w="5810" w:type="dxa"/>
            <w:noWrap w:val="0"/>
            <w:vAlign w:val="center"/>
          </w:tcPr>
          <w:p>
            <w:pPr>
              <w:snapToGrid w:val="0"/>
              <w:ind w:firstLine="420" w:firstLineChars="200"/>
              <w:jc w:val="center"/>
              <w:rPr>
                <w:rFonts w:hint="eastAsia" w:ascii="仿宋" w:hAnsi="仿宋" w:eastAsia="仿宋" w:cs="仿宋"/>
                <w:color w:val="000000"/>
                <w:szCs w:val="21"/>
              </w:rPr>
            </w:pPr>
          </w:p>
        </w:tc>
        <w:tc>
          <w:tcPr>
            <w:tcW w:w="2163" w:type="dxa"/>
            <w:noWrap w:val="0"/>
            <w:vAlign w:val="center"/>
          </w:tcPr>
          <w:p>
            <w:pPr>
              <w:snapToGrid w:val="0"/>
              <w:ind w:firstLine="420" w:firstLineChars="200"/>
              <w:jc w:val="center"/>
              <w:rPr>
                <w:rFonts w:hint="eastAsia" w:ascii="仿宋" w:hAnsi="仿宋" w:eastAsia="仿宋" w:cs="仿宋"/>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43" w:type="dxa"/>
            <w:noWrap w:val="0"/>
            <w:vAlign w:val="center"/>
          </w:tcPr>
          <w:p>
            <w:pPr>
              <w:snapToGrid w:val="0"/>
              <w:ind w:firstLine="420" w:firstLineChars="200"/>
              <w:jc w:val="center"/>
              <w:rPr>
                <w:rFonts w:hint="eastAsia" w:ascii="仿宋" w:hAnsi="仿宋" w:eastAsia="仿宋" w:cs="仿宋"/>
                <w:color w:val="000000"/>
                <w:szCs w:val="21"/>
              </w:rPr>
            </w:pPr>
          </w:p>
        </w:tc>
        <w:tc>
          <w:tcPr>
            <w:tcW w:w="5810" w:type="dxa"/>
            <w:noWrap w:val="0"/>
            <w:vAlign w:val="center"/>
          </w:tcPr>
          <w:p>
            <w:pPr>
              <w:snapToGrid w:val="0"/>
              <w:ind w:firstLine="420" w:firstLineChars="200"/>
              <w:jc w:val="center"/>
              <w:rPr>
                <w:rFonts w:hint="eastAsia" w:ascii="仿宋" w:hAnsi="仿宋" w:eastAsia="仿宋" w:cs="仿宋"/>
                <w:color w:val="000000"/>
                <w:szCs w:val="21"/>
              </w:rPr>
            </w:pPr>
          </w:p>
        </w:tc>
        <w:tc>
          <w:tcPr>
            <w:tcW w:w="2163" w:type="dxa"/>
            <w:noWrap w:val="0"/>
            <w:vAlign w:val="center"/>
          </w:tcPr>
          <w:p>
            <w:pPr>
              <w:snapToGrid w:val="0"/>
              <w:ind w:firstLine="420" w:firstLineChars="200"/>
              <w:jc w:val="center"/>
              <w:rPr>
                <w:rFonts w:hint="eastAsia" w:ascii="仿宋" w:hAnsi="仿宋" w:eastAsia="仿宋" w:cs="仿宋"/>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43" w:type="dxa"/>
            <w:noWrap w:val="0"/>
            <w:vAlign w:val="center"/>
          </w:tcPr>
          <w:p>
            <w:pPr>
              <w:snapToGrid w:val="0"/>
              <w:ind w:firstLine="420" w:firstLineChars="200"/>
              <w:jc w:val="center"/>
              <w:rPr>
                <w:rFonts w:hint="eastAsia" w:ascii="仿宋" w:hAnsi="仿宋" w:eastAsia="仿宋" w:cs="仿宋"/>
                <w:color w:val="000000"/>
                <w:szCs w:val="21"/>
              </w:rPr>
            </w:pPr>
          </w:p>
        </w:tc>
        <w:tc>
          <w:tcPr>
            <w:tcW w:w="5810" w:type="dxa"/>
            <w:noWrap w:val="0"/>
            <w:vAlign w:val="center"/>
          </w:tcPr>
          <w:p>
            <w:pPr>
              <w:snapToGrid w:val="0"/>
              <w:ind w:firstLine="420" w:firstLineChars="200"/>
              <w:jc w:val="center"/>
              <w:rPr>
                <w:rFonts w:hint="eastAsia" w:ascii="仿宋" w:hAnsi="仿宋" w:eastAsia="仿宋" w:cs="仿宋"/>
                <w:color w:val="000000"/>
                <w:szCs w:val="21"/>
              </w:rPr>
            </w:pPr>
          </w:p>
        </w:tc>
        <w:tc>
          <w:tcPr>
            <w:tcW w:w="2163" w:type="dxa"/>
            <w:noWrap w:val="0"/>
            <w:vAlign w:val="center"/>
          </w:tcPr>
          <w:p>
            <w:pPr>
              <w:snapToGrid w:val="0"/>
              <w:ind w:firstLine="420" w:firstLineChars="200"/>
              <w:jc w:val="center"/>
              <w:rPr>
                <w:rFonts w:hint="eastAsia" w:ascii="仿宋" w:hAnsi="仿宋" w:eastAsia="仿宋" w:cs="仿宋"/>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43" w:type="dxa"/>
            <w:noWrap w:val="0"/>
            <w:vAlign w:val="center"/>
          </w:tcPr>
          <w:p>
            <w:pPr>
              <w:snapToGrid w:val="0"/>
              <w:ind w:firstLine="420" w:firstLineChars="200"/>
              <w:jc w:val="center"/>
              <w:rPr>
                <w:rFonts w:hint="eastAsia" w:ascii="仿宋" w:hAnsi="仿宋" w:eastAsia="仿宋" w:cs="仿宋"/>
                <w:color w:val="000000"/>
                <w:szCs w:val="21"/>
              </w:rPr>
            </w:pPr>
          </w:p>
        </w:tc>
        <w:tc>
          <w:tcPr>
            <w:tcW w:w="5810" w:type="dxa"/>
            <w:noWrap w:val="0"/>
            <w:vAlign w:val="center"/>
          </w:tcPr>
          <w:p>
            <w:pPr>
              <w:snapToGrid w:val="0"/>
              <w:ind w:firstLine="420" w:firstLineChars="200"/>
              <w:jc w:val="center"/>
              <w:rPr>
                <w:rFonts w:hint="eastAsia" w:ascii="仿宋" w:hAnsi="仿宋" w:eastAsia="仿宋" w:cs="仿宋"/>
                <w:color w:val="000000"/>
                <w:szCs w:val="21"/>
              </w:rPr>
            </w:pPr>
          </w:p>
        </w:tc>
        <w:tc>
          <w:tcPr>
            <w:tcW w:w="2163" w:type="dxa"/>
            <w:noWrap w:val="0"/>
            <w:vAlign w:val="center"/>
          </w:tcPr>
          <w:p>
            <w:pPr>
              <w:snapToGrid w:val="0"/>
              <w:ind w:firstLine="420" w:firstLineChars="200"/>
              <w:jc w:val="center"/>
              <w:rPr>
                <w:rFonts w:hint="eastAsia" w:ascii="仿宋" w:hAnsi="仿宋" w:eastAsia="仿宋" w:cs="仿宋"/>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43" w:type="dxa"/>
            <w:noWrap w:val="0"/>
            <w:vAlign w:val="center"/>
          </w:tcPr>
          <w:p>
            <w:pPr>
              <w:snapToGrid w:val="0"/>
              <w:ind w:firstLine="420" w:firstLineChars="200"/>
              <w:jc w:val="center"/>
              <w:rPr>
                <w:rFonts w:hint="eastAsia" w:ascii="仿宋" w:hAnsi="仿宋" w:eastAsia="仿宋" w:cs="仿宋"/>
                <w:color w:val="000000"/>
                <w:szCs w:val="21"/>
              </w:rPr>
            </w:pPr>
          </w:p>
        </w:tc>
        <w:tc>
          <w:tcPr>
            <w:tcW w:w="5810" w:type="dxa"/>
            <w:noWrap w:val="0"/>
            <w:vAlign w:val="center"/>
          </w:tcPr>
          <w:p>
            <w:pPr>
              <w:snapToGrid w:val="0"/>
              <w:ind w:firstLine="420" w:firstLineChars="200"/>
              <w:jc w:val="center"/>
              <w:rPr>
                <w:rFonts w:hint="eastAsia" w:ascii="仿宋" w:hAnsi="仿宋" w:eastAsia="仿宋" w:cs="仿宋"/>
                <w:color w:val="000000"/>
                <w:szCs w:val="21"/>
              </w:rPr>
            </w:pPr>
          </w:p>
        </w:tc>
        <w:tc>
          <w:tcPr>
            <w:tcW w:w="2163" w:type="dxa"/>
            <w:noWrap w:val="0"/>
            <w:vAlign w:val="center"/>
          </w:tcPr>
          <w:p>
            <w:pPr>
              <w:snapToGrid w:val="0"/>
              <w:ind w:firstLine="420" w:firstLineChars="200"/>
              <w:jc w:val="center"/>
              <w:rPr>
                <w:rFonts w:hint="eastAsia" w:ascii="仿宋" w:hAnsi="仿宋" w:eastAsia="仿宋" w:cs="仿宋"/>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43" w:type="dxa"/>
            <w:noWrap w:val="0"/>
            <w:vAlign w:val="center"/>
          </w:tcPr>
          <w:p>
            <w:pPr>
              <w:snapToGrid w:val="0"/>
              <w:ind w:firstLine="420" w:firstLineChars="200"/>
              <w:jc w:val="center"/>
              <w:rPr>
                <w:rFonts w:hint="eastAsia" w:ascii="仿宋" w:hAnsi="仿宋" w:eastAsia="仿宋" w:cs="仿宋"/>
                <w:color w:val="000000"/>
                <w:szCs w:val="21"/>
              </w:rPr>
            </w:pPr>
          </w:p>
        </w:tc>
        <w:tc>
          <w:tcPr>
            <w:tcW w:w="5810" w:type="dxa"/>
            <w:noWrap w:val="0"/>
            <w:vAlign w:val="center"/>
          </w:tcPr>
          <w:p>
            <w:pPr>
              <w:snapToGrid w:val="0"/>
              <w:ind w:firstLine="420" w:firstLineChars="200"/>
              <w:jc w:val="center"/>
              <w:rPr>
                <w:rFonts w:hint="eastAsia" w:ascii="仿宋" w:hAnsi="仿宋" w:eastAsia="仿宋" w:cs="仿宋"/>
                <w:color w:val="000000"/>
                <w:szCs w:val="21"/>
              </w:rPr>
            </w:pPr>
          </w:p>
        </w:tc>
        <w:tc>
          <w:tcPr>
            <w:tcW w:w="2163" w:type="dxa"/>
            <w:noWrap w:val="0"/>
            <w:vAlign w:val="center"/>
          </w:tcPr>
          <w:p>
            <w:pPr>
              <w:snapToGrid w:val="0"/>
              <w:ind w:firstLine="420" w:firstLineChars="200"/>
              <w:jc w:val="center"/>
              <w:rPr>
                <w:rFonts w:hint="eastAsia" w:ascii="仿宋" w:hAnsi="仿宋" w:eastAsia="仿宋" w:cs="仿宋"/>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43" w:type="dxa"/>
            <w:noWrap w:val="0"/>
            <w:vAlign w:val="center"/>
          </w:tcPr>
          <w:p>
            <w:pPr>
              <w:snapToGrid w:val="0"/>
              <w:ind w:firstLine="420" w:firstLineChars="200"/>
              <w:jc w:val="center"/>
              <w:rPr>
                <w:rFonts w:hint="eastAsia" w:ascii="仿宋" w:hAnsi="仿宋" w:eastAsia="仿宋" w:cs="仿宋"/>
                <w:color w:val="000000"/>
                <w:szCs w:val="21"/>
              </w:rPr>
            </w:pPr>
          </w:p>
        </w:tc>
        <w:tc>
          <w:tcPr>
            <w:tcW w:w="5810" w:type="dxa"/>
            <w:noWrap w:val="0"/>
            <w:vAlign w:val="center"/>
          </w:tcPr>
          <w:p>
            <w:pPr>
              <w:snapToGrid w:val="0"/>
              <w:ind w:firstLine="420" w:firstLineChars="200"/>
              <w:jc w:val="center"/>
              <w:rPr>
                <w:rFonts w:hint="eastAsia" w:ascii="仿宋" w:hAnsi="仿宋" w:eastAsia="仿宋" w:cs="仿宋"/>
                <w:color w:val="000000"/>
                <w:szCs w:val="21"/>
              </w:rPr>
            </w:pPr>
          </w:p>
        </w:tc>
        <w:tc>
          <w:tcPr>
            <w:tcW w:w="2163" w:type="dxa"/>
            <w:noWrap w:val="0"/>
            <w:vAlign w:val="center"/>
          </w:tcPr>
          <w:p>
            <w:pPr>
              <w:snapToGrid w:val="0"/>
              <w:ind w:firstLine="420" w:firstLineChars="200"/>
              <w:jc w:val="center"/>
              <w:rPr>
                <w:rFonts w:hint="eastAsia" w:ascii="仿宋" w:hAnsi="仿宋" w:eastAsia="仿宋" w:cs="仿宋"/>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43" w:type="dxa"/>
            <w:noWrap w:val="0"/>
            <w:vAlign w:val="center"/>
          </w:tcPr>
          <w:p>
            <w:pPr>
              <w:snapToGrid w:val="0"/>
              <w:ind w:firstLine="420" w:firstLineChars="200"/>
              <w:jc w:val="center"/>
              <w:rPr>
                <w:rFonts w:hint="eastAsia" w:ascii="仿宋" w:hAnsi="仿宋" w:eastAsia="仿宋" w:cs="仿宋"/>
                <w:color w:val="000000"/>
                <w:szCs w:val="21"/>
              </w:rPr>
            </w:pPr>
          </w:p>
        </w:tc>
        <w:tc>
          <w:tcPr>
            <w:tcW w:w="5810" w:type="dxa"/>
            <w:noWrap w:val="0"/>
            <w:vAlign w:val="center"/>
          </w:tcPr>
          <w:p>
            <w:pPr>
              <w:snapToGrid w:val="0"/>
              <w:ind w:firstLine="420" w:firstLineChars="200"/>
              <w:jc w:val="center"/>
              <w:rPr>
                <w:rFonts w:hint="eastAsia" w:ascii="仿宋" w:hAnsi="仿宋" w:eastAsia="仿宋" w:cs="仿宋"/>
                <w:color w:val="000000"/>
                <w:szCs w:val="21"/>
              </w:rPr>
            </w:pPr>
          </w:p>
        </w:tc>
        <w:tc>
          <w:tcPr>
            <w:tcW w:w="2163" w:type="dxa"/>
            <w:noWrap w:val="0"/>
            <w:vAlign w:val="center"/>
          </w:tcPr>
          <w:p>
            <w:pPr>
              <w:snapToGrid w:val="0"/>
              <w:ind w:firstLine="420" w:firstLineChars="200"/>
              <w:jc w:val="center"/>
              <w:rPr>
                <w:rFonts w:hint="eastAsia" w:ascii="仿宋" w:hAnsi="仿宋" w:eastAsia="仿宋" w:cs="仿宋"/>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43" w:type="dxa"/>
            <w:noWrap w:val="0"/>
            <w:vAlign w:val="center"/>
          </w:tcPr>
          <w:p>
            <w:pPr>
              <w:snapToGrid w:val="0"/>
              <w:ind w:firstLine="420" w:firstLineChars="200"/>
              <w:jc w:val="center"/>
              <w:rPr>
                <w:rFonts w:hint="eastAsia" w:ascii="仿宋" w:hAnsi="仿宋" w:eastAsia="仿宋" w:cs="仿宋"/>
                <w:color w:val="000000"/>
                <w:szCs w:val="21"/>
              </w:rPr>
            </w:pPr>
          </w:p>
        </w:tc>
        <w:tc>
          <w:tcPr>
            <w:tcW w:w="5810" w:type="dxa"/>
            <w:noWrap w:val="0"/>
            <w:vAlign w:val="center"/>
          </w:tcPr>
          <w:p>
            <w:pPr>
              <w:snapToGrid w:val="0"/>
              <w:ind w:firstLine="420" w:firstLineChars="200"/>
              <w:jc w:val="center"/>
              <w:rPr>
                <w:rFonts w:hint="eastAsia" w:ascii="仿宋" w:hAnsi="仿宋" w:eastAsia="仿宋" w:cs="仿宋"/>
                <w:color w:val="000000"/>
                <w:szCs w:val="21"/>
              </w:rPr>
            </w:pPr>
          </w:p>
        </w:tc>
        <w:tc>
          <w:tcPr>
            <w:tcW w:w="2163" w:type="dxa"/>
            <w:noWrap w:val="0"/>
            <w:vAlign w:val="center"/>
          </w:tcPr>
          <w:p>
            <w:pPr>
              <w:snapToGrid w:val="0"/>
              <w:ind w:firstLine="420" w:firstLineChars="200"/>
              <w:jc w:val="center"/>
              <w:rPr>
                <w:rFonts w:hint="eastAsia" w:ascii="仿宋" w:hAnsi="仿宋" w:eastAsia="仿宋" w:cs="仿宋"/>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43" w:type="dxa"/>
            <w:noWrap w:val="0"/>
            <w:vAlign w:val="center"/>
          </w:tcPr>
          <w:p>
            <w:pPr>
              <w:snapToGrid w:val="0"/>
              <w:ind w:firstLine="420" w:firstLineChars="200"/>
              <w:jc w:val="center"/>
              <w:rPr>
                <w:rFonts w:hint="eastAsia" w:ascii="仿宋" w:hAnsi="仿宋" w:eastAsia="仿宋" w:cs="仿宋"/>
                <w:color w:val="000000"/>
                <w:szCs w:val="21"/>
              </w:rPr>
            </w:pPr>
          </w:p>
        </w:tc>
        <w:tc>
          <w:tcPr>
            <w:tcW w:w="5810" w:type="dxa"/>
            <w:noWrap w:val="0"/>
            <w:vAlign w:val="center"/>
          </w:tcPr>
          <w:p>
            <w:pPr>
              <w:snapToGrid w:val="0"/>
              <w:ind w:firstLine="420" w:firstLineChars="200"/>
              <w:jc w:val="center"/>
              <w:rPr>
                <w:rFonts w:hint="eastAsia" w:ascii="仿宋" w:hAnsi="仿宋" w:eastAsia="仿宋" w:cs="仿宋"/>
                <w:color w:val="000000"/>
                <w:szCs w:val="21"/>
              </w:rPr>
            </w:pPr>
          </w:p>
        </w:tc>
        <w:tc>
          <w:tcPr>
            <w:tcW w:w="2163" w:type="dxa"/>
            <w:noWrap w:val="0"/>
            <w:vAlign w:val="center"/>
          </w:tcPr>
          <w:p>
            <w:pPr>
              <w:snapToGrid w:val="0"/>
              <w:ind w:firstLine="420" w:firstLineChars="200"/>
              <w:jc w:val="center"/>
              <w:rPr>
                <w:rFonts w:hint="eastAsia" w:ascii="仿宋" w:hAnsi="仿宋" w:eastAsia="仿宋" w:cs="仿宋"/>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43" w:type="dxa"/>
            <w:noWrap w:val="0"/>
            <w:vAlign w:val="center"/>
          </w:tcPr>
          <w:p>
            <w:pPr>
              <w:snapToGrid w:val="0"/>
              <w:ind w:firstLine="420" w:firstLineChars="200"/>
              <w:jc w:val="center"/>
              <w:rPr>
                <w:rFonts w:hint="eastAsia" w:ascii="仿宋" w:hAnsi="仿宋" w:eastAsia="仿宋" w:cs="仿宋"/>
                <w:color w:val="000000"/>
                <w:szCs w:val="21"/>
              </w:rPr>
            </w:pPr>
          </w:p>
        </w:tc>
        <w:tc>
          <w:tcPr>
            <w:tcW w:w="5810" w:type="dxa"/>
            <w:noWrap w:val="0"/>
            <w:vAlign w:val="center"/>
          </w:tcPr>
          <w:p>
            <w:pPr>
              <w:snapToGrid w:val="0"/>
              <w:ind w:firstLine="420" w:firstLineChars="200"/>
              <w:jc w:val="center"/>
              <w:rPr>
                <w:rFonts w:hint="eastAsia" w:ascii="仿宋" w:hAnsi="仿宋" w:eastAsia="仿宋" w:cs="仿宋"/>
                <w:color w:val="000000"/>
                <w:szCs w:val="21"/>
              </w:rPr>
            </w:pPr>
          </w:p>
        </w:tc>
        <w:tc>
          <w:tcPr>
            <w:tcW w:w="2163" w:type="dxa"/>
            <w:noWrap w:val="0"/>
            <w:vAlign w:val="center"/>
          </w:tcPr>
          <w:p>
            <w:pPr>
              <w:snapToGrid w:val="0"/>
              <w:ind w:firstLine="420" w:firstLineChars="200"/>
              <w:jc w:val="center"/>
              <w:rPr>
                <w:rFonts w:hint="eastAsia" w:ascii="仿宋" w:hAnsi="仿宋" w:eastAsia="仿宋" w:cs="仿宋"/>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43" w:type="dxa"/>
            <w:noWrap w:val="0"/>
            <w:vAlign w:val="center"/>
          </w:tcPr>
          <w:p>
            <w:pPr>
              <w:snapToGrid w:val="0"/>
              <w:ind w:firstLine="420" w:firstLineChars="200"/>
              <w:jc w:val="center"/>
              <w:rPr>
                <w:rFonts w:hint="eastAsia" w:ascii="仿宋" w:hAnsi="仿宋" w:eastAsia="仿宋" w:cs="仿宋"/>
                <w:color w:val="000000"/>
                <w:szCs w:val="21"/>
              </w:rPr>
            </w:pPr>
          </w:p>
        </w:tc>
        <w:tc>
          <w:tcPr>
            <w:tcW w:w="5810" w:type="dxa"/>
            <w:noWrap w:val="0"/>
            <w:vAlign w:val="center"/>
          </w:tcPr>
          <w:p>
            <w:pPr>
              <w:snapToGrid w:val="0"/>
              <w:ind w:firstLine="420" w:firstLineChars="200"/>
              <w:jc w:val="center"/>
              <w:rPr>
                <w:rFonts w:hint="eastAsia" w:ascii="仿宋" w:hAnsi="仿宋" w:eastAsia="仿宋" w:cs="仿宋"/>
                <w:color w:val="000000"/>
                <w:szCs w:val="21"/>
              </w:rPr>
            </w:pPr>
          </w:p>
        </w:tc>
        <w:tc>
          <w:tcPr>
            <w:tcW w:w="2163" w:type="dxa"/>
            <w:noWrap w:val="0"/>
            <w:vAlign w:val="center"/>
          </w:tcPr>
          <w:p>
            <w:pPr>
              <w:snapToGrid w:val="0"/>
              <w:ind w:firstLine="420" w:firstLineChars="200"/>
              <w:jc w:val="center"/>
              <w:rPr>
                <w:rFonts w:hint="eastAsia" w:ascii="仿宋" w:hAnsi="仿宋" w:eastAsia="仿宋" w:cs="仿宋"/>
                <w:color w:val="000000"/>
                <w:szCs w:val="21"/>
              </w:rPr>
            </w:pPr>
          </w:p>
        </w:tc>
      </w:tr>
    </w:tbl>
    <w:p>
      <w:pPr>
        <w:spacing w:line="440" w:lineRule="exact"/>
        <w:rPr>
          <w:rFonts w:hint="eastAsia" w:ascii="仿宋" w:hAnsi="仿宋" w:eastAsia="仿宋" w:cs="仿宋"/>
          <w:color w:val="000000"/>
          <w:szCs w:val="21"/>
        </w:rPr>
      </w:pPr>
    </w:p>
    <w:p>
      <w:pPr>
        <w:snapToGrid w:val="0"/>
        <w:spacing w:line="400" w:lineRule="exact"/>
        <w:rPr>
          <w:rFonts w:hint="eastAsia" w:ascii="仿宋" w:hAnsi="仿宋" w:eastAsia="仿宋" w:cs="仿宋"/>
          <w:color w:val="000000"/>
          <w:sz w:val="24"/>
        </w:rPr>
      </w:pPr>
      <w:r>
        <w:rPr>
          <w:rFonts w:hint="eastAsia" w:ascii="仿宋" w:hAnsi="仿宋" w:eastAsia="仿宋" w:cs="仿宋"/>
          <w:color w:val="000000"/>
          <w:sz w:val="24"/>
        </w:rPr>
        <w:t>评标委员会全体成员签字：</w:t>
      </w:r>
    </w:p>
    <w:p>
      <w:pPr>
        <w:snapToGrid w:val="0"/>
        <w:spacing w:line="400" w:lineRule="exact"/>
        <w:rPr>
          <w:rFonts w:hint="eastAsia" w:ascii="仿宋" w:hAnsi="仿宋" w:eastAsia="仿宋" w:cs="仿宋"/>
          <w:color w:val="000000"/>
          <w:sz w:val="24"/>
        </w:rPr>
      </w:pPr>
    </w:p>
    <w:p>
      <w:pPr>
        <w:snapToGrid w:val="0"/>
        <w:spacing w:line="400" w:lineRule="exact"/>
        <w:rPr>
          <w:rFonts w:hint="eastAsia" w:ascii="仿宋" w:hAnsi="仿宋" w:eastAsia="仿宋" w:cs="仿宋"/>
          <w:color w:val="000000"/>
          <w:sz w:val="24"/>
        </w:rPr>
      </w:pPr>
    </w:p>
    <w:p>
      <w:pPr>
        <w:snapToGrid w:val="0"/>
        <w:spacing w:line="400" w:lineRule="exact"/>
        <w:rPr>
          <w:rFonts w:hint="eastAsia" w:ascii="仿宋" w:hAnsi="仿宋" w:eastAsia="仿宋" w:cs="仿宋"/>
          <w:color w:val="000000"/>
          <w:sz w:val="24"/>
        </w:rPr>
      </w:pPr>
    </w:p>
    <w:p>
      <w:pPr>
        <w:snapToGrid w:val="0"/>
        <w:spacing w:line="400" w:lineRule="exact"/>
        <w:rPr>
          <w:rFonts w:hint="eastAsia" w:ascii="仿宋" w:hAnsi="仿宋" w:eastAsia="仿宋" w:cs="仿宋"/>
          <w:color w:val="000000"/>
          <w:kern w:val="0"/>
        </w:rPr>
      </w:pPr>
      <w:r>
        <w:rPr>
          <w:rFonts w:hint="eastAsia" w:ascii="仿宋" w:hAnsi="仿宋" w:eastAsia="仿宋" w:cs="仿宋"/>
          <w:color w:val="000000"/>
          <w:sz w:val="24"/>
        </w:rPr>
        <w:t>备注：本表中投标人排名不分先后。</w:t>
      </w:r>
    </w:p>
    <w:p>
      <w:pPr>
        <w:snapToGrid w:val="0"/>
        <w:spacing w:line="490" w:lineRule="exact"/>
        <w:outlineLvl w:val="4"/>
        <w:rPr>
          <w:rFonts w:eastAsia="黑体"/>
          <w:bCs/>
          <w:color w:val="000000"/>
          <w:sz w:val="28"/>
          <w:szCs w:val="20"/>
        </w:rPr>
      </w:pPr>
      <w:r>
        <w:rPr>
          <w:rFonts w:hint="eastAsia" w:ascii="仿宋" w:hAnsi="仿宋" w:eastAsia="仿宋" w:cs="仿宋"/>
          <w:color w:val="000000"/>
        </w:rPr>
        <w:br w:type="page"/>
      </w:r>
      <w:bookmarkStart w:id="885" w:name="_Toc511317263"/>
      <w:bookmarkStart w:id="886" w:name="_Toc511318012"/>
      <w:r>
        <w:rPr>
          <w:rFonts w:eastAsia="黑体"/>
          <w:bCs/>
          <w:color w:val="000000"/>
          <w:sz w:val="28"/>
          <w:szCs w:val="20"/>
        </w:rPr>
        <w:t>附表3-6：算术错误检查表</w:t>
      </w:r>
      <w:bookmarkEnd w:id="885"/>
      <w:bookmarkEnd w:id="886"/>
    </w:p>
    <w:p>
      <w:pPr>
        <w:pStyle w:val="32"/>
        <w:spacing w:line="490" w:lineRule="exact"/>
        <w:ind w:left="0" w:firstLine="0" w:firstLineChars="0"/>
        <w:jc w:val="center"/>
        <w:rPr>
          <w:rFonts w:eastAsia="方正小标宋_GBK"/>
          <w:b/>
          <w:bCs/>
          <w:color w:val="000000"/>
          <w:sz w:val="36"/>
          <w:szCs w:val="36"/>
        </w:rPr>
      </w:pPr>
    </w:p>
    <w:p>
      <w:pPr>
        <w:pStyle w:val="32"/>
        <w:spacing w:line="490" w:lineRule="exact"/>
        <w:ind w:left="0" w:firstLine="0" w:firstLineChars="0"/>
        <w:jc w:val="center"/>
        <w:rPr>
          <w:rFonts w:hint="eastAsia" w:ascii="方正小标宋简体" w:eastAsia="方正小标宋简体"/>
          <w:bCs/>
          <w:color w:val="000000"/>
          <w:sz w:val="36"/>
          <w:szCs w:val="36"/>
        </w:rPr>
      </w:pPr>
      <w:r>
        <w:rPr>
          <w:rFonts w:hint="eastAsia" w:ascii="方正小标宋简体" w:eastAsia="方正小标宋简体"/>
          <w:bCs/>
          <w:color w:val="000000"/>
          <w:sz w:val="36"/>
          <w:szCs w:val="36"/>
        </w:rPr>
        <w:t>算术错误检查表</w:t>
      </w:r>
    </w:p>
    <w:p>
      <w:pPr>
        <w:pStyle w:val="32"/>
        <w:spacing w:line="490" w:lineRule="exact"/>
        <w:ind w:left="0" w:firstLine="0" w:firstLineChars="0"/>
        <w:jc w:val="center"/>
        <w:rPr>
          <w:rFonts w:eastAsia="仿宋"/>
          <w:b/>
          <w:bCs/>
          <w:color w:val="000000"/>
          <w:sz w:val="40"/>
          <w:szCs w:val="20"/>
        </w:rPr>
      </w:pPr>
    </w:p>
    <w:p>
      <w:pPr>
        <w:snapToGrid w:val="0"/>
        <w:rPr>
          <w:rFonts w:hint="eastAsia" w:ascii="仿宋" w:hAnsi="仿宋" w:eastAsia="仿宋" w:cs="仿宋"/>
          <w:color w:val="000000"/>
          <w:sz w:val="24"/>
          <w:u w:val="single"/>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（标段名称）</w:t>
      </w:r>
      <w:r>
        <w:rPr>
          <w:rFonts w:hint="eastAsia" w:ascii="仿宋" w:hAnsi="仿宋" w:eastAsia="仿宋" w:cs="仿宋"/>
          <w:color w:val="000000"/>
          <w:sz w:val="24"/>
          <w:u w:val="single"/>
        </w:rPr>
        <w:t xml:space="preserve">                      </w:t>
      </w:r>
    </w:p>
    <w:p>
      <w:pPr>
        <w:snapToGrid w:val="0"/>
        <w:spacing w:line="360" w:lineRule="auto"/>
        <w:rPr>
          <w:rFonts w:hint="eastAsia" w:ascii="仿宋" w:hAnsi="仿宋" w:eastAsia="仿宋" w:cs="仿宋"/>
          <w:color w:val="000000"/>
          <w:sz w:val="24"/>
        </w:rPr>
      </w:pPr>
      <w:r>
        <w:rPr>
          <w:rFonts w:hint="eastAsia" w:ascii="仿宋" w:hAnsi="仿宋" w:eastAsia="仿宋" w:cs="仿宋"/>
          <w:color w:val="000000"/>
          <w:sz w:val="24"/>
        </w:rPr>
        <w:t>项目管理编号：</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tbl>
      <w:tblPr>
        <w:tblStyle w:val="47"/>
        <w:tblW w:w="0" w:type="auto"/>
        <w:tblInd w:w="93"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82"/>
        <w:gridCol w:w="1010"/>
        <w:gridCol w:w="1217"/>
        <w:gridCol w:w="1217"/>
        <w:gridCol w:w="1217"/>
        <w:gridCol w:w="1217"/>
        <w:gridCol w:w="1217"/>
        <w:gridCol w:w="12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2" w:hRule="atLeast"/>
        </w:trPr>
        <w:tc>
          <w:tcPr>
            <w:tcW w:w="582"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序号</w:t>
            </w:r>
          </w:p>
        </w:tc>
        <w:tc>
          <w:tcPr>
            <w:tcW w:w="1010"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投标人名称</w:t>
            </w:r>
          </w:p>
        </w:tc>
        <w:tc>
          <w:tcPr>
            <w:tcW w:w="1217" w:type="dxa"/>
            <w:noWrap w:val="0"/>
            <w:vAlign w:val="center"/>
          </w:tcPr>
          <w:p>
            <w:pPr>
              <w:jc w:val="center"/>
              <w:rPr>
                <w:rFonts w:hint="eastAsia" w:ascii="仿宋" w:hAnsi="仿宋" w:eastAsia="仿宋" w:cs="仿宋"/>
                <w:color w:val="000000"/>
              </w:rPr>
            </w:pPr>
            <w:r>
              <w:rPr>
                <w:rFonts w:hint="eastAsia" w:ascii="仿宋" w:hAnsi="仿宋" w:eastAsia="仿宋" w:cs="仿宋"/>
                <w:color w:val="000000"/>
              </w:rPr>
              <w:t>投标报价</w:t>
            </w:r>
          </w:p>
        </w:tc>
        <w:tc>
          <w:tcPr>
            <w:tcW w:w="1217" w:type="dxa"/>
            <w:noWrap w:val="0"/>
            <w:vAlign w:val="center"/>
          </w:tcPr>
          <w:p>
            <w:pPr>
              <w:jc w:val="center"/>
              <w:rPr>
                <w:rFonts w:hint="eastAsia" w:ascii="仿宋" w:hAnsi="仿宋" w:eastAsia="仿宋" w:cs="仿宋"/>
                <w:color w:val="000000"/>
              </w:rPr>
            </w:pPr>
            <w:r>
              <w:rPr>
                <w:rFonts w:hint="eastAsia" w:ascii="仿宋" w:hAnsi="仿宋" w:eastAsia="仿宋" w:cs="仿宋"/>
                <w:color w:val="000000"/>
              </w:rPr>
              <w:t>是否有算术错误</w:t>
            </w:r>
          </w:p>
        </w:tc>
        <w:tc>
          <w:tcPr>
            <w:tcW w:w="1217" w:type="dxa"/>
            <w:noWrap w:val="0"/>
            <w:vAlign w:val="center"/>
          </w:tcPr>
          <w:p>
            <w:pPr>
              <w:jc w:val="center"/>
              <w:rPr>
                <w:rFonts w:hint="eastAsia" w:ascii="仿宋" w:hAnsi="仿宋" w:eastAsia="仿宋" w:cs="仿宋"/>
                <w:color w:val="000000"/>
              </w:rPr>
            </w:pPr>
            <w:r>
              <w:rPr>
                <w:rFonts w:hint="eastAsia" w:ascii="仿宋" w:hAnsi="仿宋" w:eastAsia="仿宋" w:cs="仿宋"/>
                <w:color w:val="000000"/>
              </w:rPr>
              <w:t>修正后的投标报价</w:t>
            </w:r>
          </w:p>
        </w:tc>
        <w:tc>
          <w:tcPr>
            <w:tcW w:w="1217" w:type="dxa"/>
            <w:noWrap w:val="0"/>
            <w:vAlign w:val="center"/>
          </w:tcPr>
          <w:p>
            <w:pPr>
              <w:jc w:val="center"/>
              <w:rPr>
                <w:rFonts w:hint="eastAsia" w:ascii="仿宋" w:hAnsi="仿宋" w:eastAsia="仿宋" w:cs="仿宋"/>
                <w:color w:val="000000"/>
              </w:rPr>
            </w:pPr>
            <w:r>
              <w:rPr>
                <w:rFonts w:hint="eastAsia" w:ascii="仿宋" w:hAnsi="仿宋" w:eastAsia="仿宋" w:cs="仿宋"/>
                <w:color w:val="000000"/>
              </w:rPr>
              <w:t>算术错误调整值</w:t>
            </w:r>
          </w:p>
        </w:tc>
        <w:tc>
          <w:tcPr>
            <w:tcW w:w="1217" w:type="dxa"/>
            <w:noWrap w:val="0"/>
            <w:vAlign w:val="center"/>
          </w:tcPr>
          <w:p>
            <w:pPr>
              <w:jc w:val="center"/>
              <w:rPr>
                <w:rFonts w:hint="eastAsia" w:ascii="仿宋" w:hAnsi="仿宋" w:eastAsia="仿宋" w:cs="仿宋"/>
                <w:color w:val="000000"/>
              </w:rPr>
            </w:pPr>
            <w:r>
              <w:rPr>
                <w:rFonts w:hint="eastAsia" w:ascii="仿宋" w:hAnsi="仿宋" w:eastAsia="仿宋" w:cs="仿宋"/>
                <w:color w:val="000000"/>
              </w:rPr>
              <w:t>与投标总价的正负偏差率</w:t>
            </w:r>
          </w:p>
        </w:tc>
        <w:tc>
          <w:tcPr>
            <w:tcW w:w="1217"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算术错误的原因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2" w:hRule="atLeast"/>
        </w:trPr>
        <w:tc>
          <w:tcPr>
            <w:tcW w:w="582" w:type="dxa"/>
            <w:noWrap w:val="0"/>
            <w:vAlign w:val="center"/>
          </w:tcPr>
          <w:p>
            <w:pPr>
              <w:jc w:val="center"/>
              <w:rPr>
                <w:rFonts w:hint="eastAsia" w:ascii="仿宋" w:hAnsi="仿宋" w:eastAsia="仿宋" w:cs="仿宋"/>
                <w:color w:val="000000"/>
                <w:kern w:val="0"/>
              </w:rPr>
            </w:pPr>
          </w:p>
        </w:tc>
        <w:tc>
          <w:tcPr>
            <w:tcW w:w="1010" w:type="dxa"/>
            <w:noWrap w:val="0"/>
            <w:vAlign w:val="center"/>
          </w:tcPr>
          <w:p>
            <w:pPr>
              <w:snapToGrid w:val="0"/>
              <w:jc w:val="center"/>
              <w:rPr>
                <w:rFonts w:hint="eastAsia" w:ascii="仿宋" w:hAnsi="仿宋" w:eastAsia="仿宋" w:cs="仿宋"/>
                <w:color w:val="000000"/>
              </w:rPr>
            </w:pPr>
          </w:p>
        </w:tc>
        <w:tc>
          <w:tcPr>
            <w:tcW w:w="1217" w:type="dxa"/>
            <w:noWrap w:val="0"/>
            <w:vAlign w:val="center"/>
          </w:tcPr>
          <w:p>
            <w:pPr>
              <w:snapToGrid w:val="0"/>
              <w:jc w:val="center"/>
              <w:rPr>
                <w:rFonts w:hint="eastAsia" w:ascii="仿宋" w:hAnsi="仿宋" w:eastAsia="仿宋" w:cs="仿宋"/>
                <w:color w:val="00000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2" w:hRule="atLeast"/>
        </w:trPr>
        <w:tc>
          <w:tcPr>
            <w:tcW w:w="582" w:type="dxa"/>
            <w:noWrap w:val="0"/>
            <w:vAlign w:val="center"/>
          </w:tcPr>
          <w:p>
            <w:pPr>
              <w:jc w:val="center"/>
              <w:rPr>
                <w:rFonts w:hint="eastAsia" w:ascii="仿宋" w:hAnsi="仿宋" w:eastAsia="仿宋" w:cs="仿宋"/>
                <w:color w:val="000000"/>
                <w:kern w:val="0"/>
              </w:rPr>
            </w:pPr>
          </w:p>
        </w:tc>
        <w:tc>
          <w:tcPr>
            <w:tcW w:w="1010" w:type="dxa"/>
            <w:noWrap w:val="0"/>
            <w:vAlign w:val="center"/>
          </w:tcPr>
          <w:p>
            <w:pPr>
              <w:snapToGrid w:val="0"/>
              <w:jc w:val="center"/>
              <w:rPr>
                <w:rFonts w:hint="eastAsia" w:ascii="仿宋" w:hAnsi="仿宋" w:eastAsia="仿宋" w:cs="仿宋"/>
                <w:color w:val="000000"/>
              </w:rPr>
            </w:pPr>
          </w:p>
        </w:tc>
        <w:tc>
          <w:tcPr>
            <w:tcW w:w="1217" w:type="dxa"/>
            <w:noWrap w:val="0"/>
            <w:vAlign w:val="center"/>
          </w:tcPr>
          <w:p>
            <w:pPr>
              <w:snapToGrid w:val="0"/>
              <w:jc w:val="center"/>
              <w:rPr>
                <w:rFonts w:hint="eastAsia" w:ascii="仿宋" w:hAnsi="仿宋" w:eastAsia="仿宋" w:cs="仿宋"/>
                <w:color w:val="00000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2" w:hRule="atLeast"/>
        </w:trPr>
        <w:tc>
          <w:tcPr>
            <w:tcW w:w="582" w:type="dxa"/>
            <w:noWrap w:val="0"/>
            <w:vAlign w:val="center"/>
          </w:tcPr>
          <w:p>
            <w:pPr>
              <w:jc w:val="center"/>
              <w:rPr>
                <w:rFonts w:hint="eastAsia" w:ascii="仿宋" w:hAnsi="仿宋" w:eastAsia="仿宋" w:cs="仿宋"/>
                <w:color w:val="000000"/>
                <w:kern w:val="0"/>
              </w:rPr>
            </w:pPr>
          </w:p>
        </w:tc>
        <w:tc>
          <w:tcPr>
            <w:tcW w:w="1010" w:type="dxa"/>
            <w:noWrap w:val="0"/>
            <w:vAlign w:val="center"/>
          </w:tcPr>
          <w:p>
            <w:pPr>
              <w:snapToGrid w:val="0"/>
              <w:jc w:val="center"/>
              <w:rPr>
                <w:rFonts w:hint="eastAsia" w:ascii="仿宋" w:hAnsi="仿宋" w:eastAsia="仿宋" w:cs="仿宋"/>
                <w:color w:val="000000"/>
              </w:rPr>
            </w:pPr>
          </w:p>
        </w:tc>
        <w:tc>
          <w:tcPr>
            <w:tcW w:w="1217" w:type="dxa"/>
            <w:noWrap w:val="0"/>
            <w:vAlign w:val="center"/>
          </w:tcPr>
          <w:p>
            <w:pPr>
              <w:jc w:val="center"/>
              <w:rPr>
                <w:rFonts w:hint="eastAsia" w:ascii="仿宋" w:hAnsi="仿宋" w:eastAsia="仿宋" w:cs="仿宋"/>
                <w:color w:val="00000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2" w:hRule="atLeast"/>
        </w:trPr>
        <w:tc>
          <w:tcPr>
            <w:tcW w:w="582" w:type="dxa"/>
            <w:noWrap w:val="0"/>
            <w:vAlign w:val="center"/>
          </w:tcPr>
          <w:p>
            <w:pPr>
              <w:jc w:val="center"/>
              <w:rPr>
                <w:rFonts w:hint="eastAsia" w:ascii="仿宋" w:hAnsi="仿宋" w:eastAsia="仿宋" w:cs="仿宋"/>
                <w:color w:val="000000"/>
                <w:kern w:val="0"/>
              </w:rPr>
            </w:pPr>
          </w:p>
        </w:tc>
        <w:tc>
          <w:tcPr>
            <w:tcW w:w="1010" w:type="dxa"/>
            <w:noWrap w:val="0"/>
            <w:vAlign w:val="center"/>
          </w:tcPr>
          <w:p>
            <w:pPr>
              <w:snapToGrid w:val="0"/>
              <w:jc w:val="center"/>
              <w:rPr>
                <w:rFonts w:hint="eastAsia" w:ascii="仿宋" w:hAnsi="仿宋" w:eastAsia="仿宋" w:cs="仿宋"/>
                <w:color w:val="000000"/>
              </w:rPr>
            </w:pPr>
          </w:p>
        </w:tc>
        <w:tc>
          <w:tcPr>
            <w:tcW w:w="1217" w:type="dxa"/>
            <w:noWrap w:val="0"/>
            <w:vAlign w:val="center"/>
          </w:tcPr>
          <w:p>
            <w:pPr>
              <w:snapToGrid w:val="0"/>
              <w:jc w:val="center"/>
              <w:rPr>
                <w:rFonts w:hint="eastAsia" w:ascii="仿宋" w:hAnsi="仿宋" w:eastAsia="仿宋" w:cs="仿宋"/>
                <w:color w:val="00000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2" w:hRule="atLeast"/>
        </w:trPr>
        <w:tc>
          <w:tcPr>
            <w:tcW w:w="582" w:type="dxa"/>
            <w:noWrap w:val="0"/>
            <w:vAlign w:val="center"/>
          </w:tcPr>
          <w:p>
            <w:pPr>
              <w:jc w:val="center"/>
              <w:rPr>
                <w:rFonts w:hint="eastAsia" w:ascii="仿宋" w:hAnsi="仿宋" w:eastAsia="仿宋" w:cs="仿宋"/>
                <w:color w:val="000000"/>
                <w:kern w:val="0"/>
              </w:rPr>
            </w:pPr>
          </w:p>
        </w:tc>
        <w:tc>
          <w:tcPr>
            <w:tcW w:w="1010" w:type="dxa"/>
            <w:noWrap w:val="0"/>
            <w:vAlign w:val="center"/>
          </w:tcPr>
          <w:p>
            <w:pPr>
              <w:snapToGrid w:val="0"/>
              <w:jc w:val="center"/>
              <w:rPr>
                <w:rFonts w:hint="eastAsia" w:ascii="仿宋" w:hAnsi="仿宋" w:eastAsia="仿宋" w:cs="仿宋"/>
                <w:color w:val="000000"/>
              </w:rPr>
            </w:pPr>
          </w:p>
        </w:tc>
        <w:tc>
          <w:tcPr>
            <w:tcW w:w="1217" w:type="dxa"/>
            <w:noWrap w:val="0"/>
            <w:vAlign w:val="center"/>
          </w:tcPr>
          <w:p>
            <w:pPr>
              <w:snapToGrid w:val="0"/>
              <w:jc w:val="center"/>
              <w:rPr>
                <w:rFonts w:hint="eastAsia" w:ascii="仿宋" w:hAnsi="仿宋" w:eastAsia="仿宋" w:cs="仿宋"/>
                <w:color w:val="00000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2" w:hRule="atLeast"/>
        </w:trPr>
        <w:tc>
          <w:tcPr>
            <w:tcW w:w="582" w:type="dxa"/>
            <w:noWrap w:val="0"/>
            <w:vAlign w:val="center"/>
          </w:tcPr>
          <w:p>
            <w:pPr>
              <w:jc w:val="center"/>
              <w:rPr>
                <w:rFonts w:hint="eastAsia" w:ascii="仿宋" w:hAnsi="仿宋" w:eastAsia="仿宋" w:cs="仿宋"/>
                <w:color w:val="000000"/>
                <w:kern w:val="0"/>
              </w:rPr>
            </w:pPr>
          </w:p>
        </w:tc>
        <w:tc>
          <w:tcPr>
            <w:tcW w:w="1010" w:type="dxa"/>
            <w:noWrap w:val="0"/>
            <w:vAlign w:val="center"/>
          </w:tcPr>
          <w:p>
            <w:pPr>
              <w:snapToGrid w:val="0"/>
              <w:jc w:val="center"/>
              <w:rPr>
                <w:rFonts w:hint="eastAsia" w:ascii="仿宋" w:hAnsi="仿宋" w:eastAsia="仿宋" w:cs="仿宋"/>
                <w:color w:val="000000"/>
              </w:rPr>
            </w:pPr>
          </w:p>
        </w:tc>
        <w:tc>
          <w:tcPr>
            <w:tcW w:w="1217" w:type="dxa"/>
            <w:noWrap w:val="0"/>
            <w:vAlign w:val="center"/>
          </w:tcPr>
          <w:p>
            <w:pPr>
              <w:snapToGrid w:val="0"/>
              <w:jc w:val="center"/>
              <w:rPr>
                <w:rFonts w:hint="eastAsia" w:ascii="仿宋" w:hAnsi="仿宋" w:eastAsia="仿宋" w:cs="仿宋"/>
                <w:color w:val="00000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2" w:hRule="atLeast"/>
        </w:trPr>
        <w:tc>
          <w:tcPr>
            <w:tcW w:w="582" w:type="dxa"/>
            <w:noWrap w:val="0"/>
            <w:vAlign w:val="center"/>
          </w:tcPr>
          <w:p>
            <w:pPr>
              <w:jc w:val="center"/>
              <w:rPr>
                <w:rFonts w:hint="eastAsia" w:ascii="仿宋" w:hAnsi="仿宋" w:eastAsia="仿宋" w:cs="仿宋"/>
                <w:color w:val="000000"/>
                <w:kern w:val="0"/>
              </w:rPr>
            </w:pPr>
          </w:p>
        </w:tc>
        <w:tc>
          <w:tcPr>
            <w:tcW w:w="1010" w:type="dxa"/>
            <w:noWrap w:val="0"/>
            <w:vAlign w:val="center"/>
          </w:tcPr>
          <w:p>
            <w:pPr>
              <w:snapToGrid w:val="0"/>
              <w:jc w:val="center"/>
              <w:rPr>
                <w:rFonts w:hint="eastAsia" w:ascii="仿宋" w:hAnsi="仿宋" w:eastAsia="仿宋" w:cs="仿宋"/>
                <w:color w:val="000000"/>
              </w:rPr>
            </w:pPr>
          </w:p>
        </w:tc>
        <w:tc>
          <w:tcPr>
            <w:tcW w:w="1217" w:type="dxa"/>
            <w:noWrap w:val="0"/>
            <w:vAlign w:val="center"/>
          </w:tcPr>
          <w:p>
            <w:pPr>
              <w:snapToGrid w:val="0"/>
              <w:jc w:val="center"/>
              <w:rPr>
                <w:rFonts w:hint="eastAsia" w:ascii="仿宋" w:hAnsi="仿宋" w:eastAsia="仿宋" w:cs="仿宋"/>
                <w:color w:val="00000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r>
    </w:tbl>
    <w:p>
      <w:pPr>
        <w:snapToGrid w:val="0"/>
        <w:spacing w:line="360" w:lineRule="auto"/>
        <w:rPr>
          <w:rFonts w:hint="eastAsia" w:ascii="仿宋" w:hAnsi="仿宋" w:eastAsia="仿宋" w:cs="仿宋"/>
          <w:color w:val="000000"/>
        </w:rPr>
      </w:pPr>
    </w:p>
    <w:p>
      <w:pPr>
        <w:snapToGrid w:val="0"/>
        <w:spacing w:line="400" w:lineRule="exact"/>
        <w:rPr>
          <w:rFonts w:hint="eastAsia" w:ascii="仿宋" w:hAnsi="仿宋" w:eastAsia="仿宋" w:cs="仿宋"/>
          <w:color w:val="000000"/>
          <w:sz w:val="24"/>
        </w:rPr>
      </w:pPr>
      <w:r>
        <w:rPr>
          <w:rFonts w:hint="eastAsia" w:ascii="仿宋" w:hAnsi="仿宋" w:eastAsia="仿宋" w:cs="仿宋"/>
          <w:color w:val="000000"/>
          <w:sz w:val="24"/>
        </w:rPr>
        <w:t>评标委员会全体成员签字：</w:t>
      </w:r>
    </w:p>
    <w:p>
      <w:pPr>
        <w:snapToGrid w:val="0"/>
        <w:spacing w:line="360" w:lineRule="auto"/>
        <w:rPr>
          <w:rFonts w:hint="eastAsia" w:ascii="仿宋" w:hAnsi="仿宋" w:eastAsia="仿宋" w:cs="仿宋"/>
          <w:color w:val="000000"/>
          <w:kern w:val="0"/>
        </w:rPr>
      </w:pPr>
    </w:p>
    <w:p>
      <w:pPr>
        <w:snapToGrid w:val="0"/>
        <w:spacing w:line="360" w:lineRule="auto"/>
        <w:rPr>
          <w:color w:val="000000"/>
        </w:rPr>
      </w:pPr>
    </w:p>
    <w:p>
      <w:pPr>
        <w:snapToGrid w:val="0"/>
        <w:spacing w:line="360" w:lineRule="auto"/>
        <w:rPr>
          <w:color w:val="000000"/>
        </w:rPr>
      </w:pPr>
    </w:p>
    <w:p>
      <w:pPr>
        <w:snapToGrid w:val="0"/>
        <w:spacing w:line="490" w:lineRule="exact"/>
        <w:outlineLvl w:val="4"/>
        <w:rPr>
          <w:rFonts w:hint="eastAsia" w:eastAsia="黑体"/>
          <w:bCs/>
          <w:color w:val="000000"/>
          <w:sz w:val="28"/>
          <w:szCs w:val="20"/>
        </w:rPr>
      </w:pPr>
      <w:r>
        <w:rPr>
          <w:color w:val="000000"/>
        </w:rPr>
        <w:br w:type="page"/>
      </w:r>
      <w:bookmarkStart w:id="887" w:name="_Toc511317264"/>
      <w:bookmarkStart w:id="888" w:name="_Toc511318013"/>
      <w:r>
        <w:rPr>
          <w:rFonts w:eastAsia="黑体"/>
          <w:bCs/>
          <w:color w:val="000000"/>
          <w:sz w:val="28"/>
          <w:szCs w:val="20"/>
        </w:rPr>
        <w:t>附表3-7（1）：详细评审</w:t>
      </w:r>
      <w:r>
        <w:rPr>
          <w:rFonts w:hint="eastAsia" w:eastAsia="黑体"/>
          <w:bCs/>
          <w:color w:val="000000"/>
          <w:sz w:val="28"/>
          <w:szCs w:val="20"/>
        </w:rPr>
        <w:t>－</w:t>
      </w:r>
      <w:r>
        <w:rPr>
          <w:rFonts w:eastAsia="黑体"/>
          <w:bCs/>
          <w:color w:val="000000"/>
          <w:sz w:val="28"/>
          <w:szCs w:val="20"/>
        </w:rPr>
        <w:t>技术投标文件评分标准表</w:t>
      </w:r>
      <w:bookmarkEnd w:id="887"/>
      <w:bookmarkEnd w:id="888"/>
    </w:p>
    <w:p>
      <w:pPr>
        <w:pStyle w:val="2"/>
        <w:rPr>
          <w:lang w:val="en-US" w:eastAsia="zh-CN"/>
        </w:rPr>
      </w:pPr>
    </w:p>
    <w:p>
      <w:pPr>
        <w:pStyle w:val="32"/>
        <w:spacing w:before="240" w:beforeLines="100" w:after="240" w:afterLines="100" w:line="600" w:lineRule="exact"/>
        <w:ind w:left="0" w:firstLine="0" w:firstLineChars="0"/>
        <w:jc w:val="center"/>
        <w:rPr>
          <w:rFonts w:hint="eastAsia" w:ascii="方正小标宋简体" w:eastAsia="方正小标宋简体"/>
          <w:bCs/>
          <w:color w:val="000000"/>
          <w:sz w:val="36"/>
          <w:szCs w:val="36"/>
        </w:rPr>
      </w:pPr>
      <w:r>
        <w:rPr>
          <w:rFonts w:hint="eastAsia" w:ascii="方正小标宋简体" w:eastAsia="方正小标宋简体"/>
          <w:bCs/>
          <w:color w:val="000000"/>
          <w:sz w:val="36"/>
          <w:szCs w:val="36"/>
        </w:rPr>
        <w:t>技术投标文件评分标准表</w:t>
      </w:r>
    </w:p>
    <w:p>
      <w:pPr>
        <w:snapToGrid w:val="0"/>
        <w:spacing w:line="460" w:lineRule="exact"/>
        <w:rPr>
          <w:rFonts w:hint="eastAsia" w:ascii="仿宋" w:hAnsi="仿宋" w:eastAsia="仿宋" w:cs="仿宋"/>
          <w:color w:val="000000"/>
          <w:sz w:val="24"/>
          <w:u w:val="single"/>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（标段名称）</w:t>
      </w:r>
      <w:r>
        <w:rPr>
          <w:rFonts w:hint="eastAsia" w:ascii="仿宋" w:hAnsi="仿宋" w:eastAsia="仿宋" w:cs="仿宋"/>
          <w:color w:val="000000"/>
          <w:sz w:val="24"/>
          <w:u w:val="single"/>
        </w:rPr>
        <w:t xml:space="preserve">                      </w:t>
      </w:r>
    </w:p>
    <w:p>
      <w:pPr>
        <w:snapToGrid w:val="0"/>
        <w:spacing w:line="460" w:lineRule="exact"/>
        <w:rPr>
          <w:rFonts w:hint="eastAsia" w:ascii="仿宋" w:hAnsi="仿宋" w:eastAsia="仿宋" w:cs="仿宋"/>
          <w:color w:val="000000"/>
          <w:sz w:val="24"/>
        </w:rPr>
      </w:pPr>
      <w:r>
        <w:rPr>
          <w:rFonts w:hint="eastAsia" w:ascii="仿宋" w:hAnsi="仿宋" w:eastAsia="仿宋" w:cs="仿宋"/>
          <w:color w:val="000000"/>
          <w:sz w:val="24"/>
        </w:rPr>
        <w:t>项目管理编号：</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tbl>
      <w:tblPr>
        <w:tblStyle w:val="47"/>
        <w:tblW w:w="9229" w:type="dxa"/>
        <w:tblInd w:w="93" w:type="dxa"/>
        <w:tblLayout w:type="fixed"/>
        <w:tblCellMar>
          <w:top w:w="0" w:type="dxa"/>
          <w:left w:w="108" w:type="dxa"/>
          <w:bottom w:w="0" w:type="dxa"/>
          <w:right w:w="108" w:type="dxa"/>
        </w:tblCellMar>
      </w:tblPr>
      <w:tblGrid>
        <w:gridCol w:w="600"/>
        <w:gridCol w:w="900"/>
        <w:gridCol w:w="2260"/>
        <w:gridCol w:w="3059"/>
        <w:gridCol w:w="851"/>
        <w:gridCol w:w="709"/>
        <w:gridCol w:w="850"/>
      </w:tblGrid>
      <w:tr>
        <w:tblPrEx>
          <w:tblCellMar>
            <w:top w:w="0" w:type="dxa"/>
            <w:left w:w="108" w:type="dxa"/>
            <w:bottom w:w="0" w:type="dxa"/>
            <w:right w:w="108" w:type="dxa"/>
          </w:tblCellMar>
        </w:tblPrEx>
        <w:trPr>
          <w:trHeight w:val="397" w:hRule="atLeast"/>
          <w:tblHeader/>
        </w:trPr>
        <w:tc>
          <w:tcPr>
            <w:tcW w:w="600"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序号</w:t>
            </w:r>
          </w:p>
        </w:tc>
        <w:tc>
          <w:tcPr>
            <w:tcW w:w="900"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条款号</w:t>
            </w:r>
          </w:p>
        </w:tc>
        <w:tc>
          <w:tcPr>
            <w:tcW w:w="2260"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评分因素</w:t>
            </w:r>
          </w:p>
        </w:tc>
        <w:tc>
          <w:tcPr>
            <w:tcW w:w="3059"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评分标准/分值</w:t>
            </w:r>
          </w:p>
        </w:tc>
        <w:tc>
          <w:tcPr>
            <w:tcW w:w="2410" w:type="dxa"/>
            <w:gridSpan w:val="3"/>
            <w:tcBorders>
              <w:top w:val="single" w:color="auto" w:sz="4" w:space="0"/>
              <w:left w:val="nil"/>
              <w:bottom w:val="single" w:color="auto" w:sz="4" w:space="0"/>
              <w:right w:val="single" w:color="auto" w:sz="4" w:space="0"/>
            </w:tcBorders>
            <w:noWrap w:val="0"/>
            <w:vAlign w:val="center"/>
          </w:tcPr>
          <w:p>
            <w:pPr>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投标人名称及评审计分</w:t>
            </w:r>
          </w:p>
        </w:tc>
      </w:tr>
      <w:tr>
        <w:tblPrEx>
          <w:tblCellMar>
            <w:top w:w="0" w:type="dxa"/>
            <w:left w:w="108" w:type="dxa"/>
            <w:bottom w:w="0" w:type="dxa"/>
            <w:right w:w="108" w:type="dxa"/>
          </w:tblCellMar>
        </w:tblPrEx>
        <w:trPr>
          <w:trHeight w:val="397" w:hRule="atLeast"/>
          <w:tblHeader/>
        </w:trPr>
        <w:tc>
          <w:tcPr>
            <w:tcW w:w="600"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000000"/>
                <w:kern w:val="0"/>
                <w:szCs w:val="21"/>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000000"/>
                <w:kern w:val="0"/>
                <w:szCs w:val="21"/>
              </w:rPr>
            </w:pPr>
          </w:p>
        </w:tc>
        <w:tc>
          <w:tcPr>
            <w:tcW w:w="2260"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000000"/>
                <w:kern w:val="0"/>
                <w:szCs w:val="21"/>
              </w:rPr>
            </w:pPr>
          </w:p>
        </w:tc>
        <w:tc>
          <w:tcPr>
            <w:tcW w:w="3059"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000000"/>
                <w:kern w:val="0"/>
                <w:szCs w:val="21"/>
              </w:rPr>
            </w:pPr>
          </w:p>
        </w:tc>
        <w:tc>
          <w:tcPr>
            <w:tcW w:w="851" w:type="dxa"/>
            <w:tcBorders>
              <w:top w:val="nil"/>
              <w:left w:val="nil"/>
              <w:bottom w:val="single" w:color="auto" w:sz="4" w:space="0"/>
              <w:right w:val="single" w:color="auto" w:sz="4" w:space="0"/>
            </w:tcBorders>
            <w:noWrap w:val="0"/>
            <w:vAlign w:val="center"/>
          </w:tcPr>
          <w:p>
            <w:pPr>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1</w:t>
            </w:r>
          </w:p>
        </w:tc>
        <w:tc>
          <w:tcPr>
            <w:tcW w:w="709" w:type="dxa"/>
            <w:tcBorders>
              <w:top w:val="nil"/>
              <w:left w:val="nil"/>
              <w:bottom w:val="single" w:color="auto" w:sz="4" w:space="0"/>
              <w:right w:val="single" w:color="auto" w:sz="4" w:space="0"/>
            </w:tcBorders>
            <w:noWrap w:val="0"/>
            <w:vAlign w:val="center"/>
          </w:tcPr>
          <w:p>
            <w:pPr>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2</w:t>
            </w:r>
          </w:p>
        </w:tc>
        <w:tc>
          <w:tcPr>
            <w:tcW w:w="850" w:type="dxa"/>
            <w:tcBorders>
              <w:top w:val="nil"/>
              <w:left w:val="nil"/>
              <w:bottom w:val="single" w:color="auto" w:sz="4" w:space="0"/>
              <w:right w:val="single" w:color="auto" w:sz="4" w:space="0"/>
            </w:tcBorders>
            <w:noWrap w:val="0"/>
            <w:vAlign w:val="center"/>
          </w:tcPr>
          <w:p>
            <w:pPr>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w:t>
            </w:r>
          </w:p>
        </w:tc>
      </w:tr>
      <w:tr>
        <w:tblPrEx>
          <w:tblCellMar>
            <w:top w:w="0" w:type="dxa"/>
            <w:left w:w="108" w:type="dxa"/>
            <w:bottom w:w="0" w:type="dxa"/>
            <w:right w:w="108" w:type="dxa"/>
          </w:tblCellMar>
        </w:tblPrEx>
        <w:trPr>
          <w:trHeight w:val="397" w:hRule="atLeast"/>
          <w:tblHeader/>
        </w:trPr>
        <w:tc>
          <w:tcPr>
            <w:tcW w:w="600"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000000"/>
                <w:kern w:val="0"/>
                <w:szCs w:val="21"/>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000000"/>
                <w:kern w:val="0"/>
                <w:szCs w:val="21"/>
              </w:rPr>
            </w:pPr>
          </w:p>
        </w:tc>
        <w:tc>
          <w:tcPr>
            <w:tcW w:w="2260"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000000"/>
                <w:kern w:val="0"/>
                <w:szCs w:val="21"/>
              </w:rPr>
            </w:pPr>
          </w:p>
        </w:tc>
        <w:tc>
          <w:tcPr>
            <w:tcW w:w="3059"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000000"/>
                <w:kern w:val="0"/>
                <w:szCs w:val="21"/>
              </w:rPr>
            </w:pPr>
          </w:p>
        </w:tc>
        <w:tc>
          <w:tcPr>
            <w:tcW w:w="851" w:type="dxa"/>
            <w:tcBorders>
              <w:top w:val="nil"/>
              <w:left w:val="nil"/>
              <w:bottom w:val="single" w:color="auto" w:sz="4" w:space="0"/>
              <w:right w:val="single" w:color="auto" w:sz="4" w:space="0"/>
            </w:tcBorders>
            <w:noWrap w:val="0"/>
            <w:vAlign w:val="center"/>
          </w:tcPr>
          <w:p>
            <w:pPr>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　</w:t>
            </w:r>
          </w:p>
        </w:tc>
        <w:tc>
          <w:tcPr>
            <w:tcW w:w="709" w:type="dxa"/>
            <w:tcBorders>
              <w:top w:val="nil"/>
              <w:left w:val="nil"/>
              <w:bottom w:val="single" w:color="auto" w:sz="4" w:space="0"/>
              <w:right w:val="single" w:color="auto" w:sz="4" w:space="0"/>
            </w:tcBorders>
            <w:noWrap w:val="0"/>
            <w:vAlign w:val="center"/>
          </w:tcPr>
          <w:p>
            <w:pPr>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　</w:t>
            </w:r>
          </w:p>
        </w:tc>
        <w:tc>
          <w:tcPr>
            <w:tcW w:w="850" w:type="dxa"/>
            <w:tcBorders>
              <w:top w:val="nil"/>
              <w:left w:val="nil"/>
              <w:bottom w:val="single" w:color="auto" w:sz="4" w:space="0"/>
              <w:right w:val="single" w:color="auto" w:sz="4" w:space="0"/>
            </w:tcBorders>
            <w:noWrap w:val="0"/>
            <w:vAlign w:val="center"/>
          </w:tcPr>
          <w:p>
            <w:pPr>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　</w:t>
            </w:r>
          </w:p>
        </w:tc>
      </w:tr>
      <w:tr>
        <w:tblPrEx>
          <w:tblCellMar>
            <w:top w:w="0" w:type="dxa"/>
            <w:left w:w="108" w:type="dxa"/>
            <w:bottom w:w="0" w:type="dxa"/>
            <w:right w:w="108" w:type="dxa"/>
          </w:tblCellMar>
        </w:tblPrEx>
        <w:trPr>
          <w:trHeight w:val="90" w:hRule="atLeast"/>
        </w:trPr>
        <w:tc>
          <w:tcPr>
            <w:tcW w:w="600" w:type="dxa"/>
            <w:vMerge w:val="restart"/>
            <w:tcBorders>
              <w:top w:val="nil"/>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w:t>
            </w:r>
          </w:p>
        </w:tc>
        <w:tc>
          <w:tcPr>
            <w:tcW w:w="900" w:type="dxa"/>
            <w:vMerge w:val="restart"/>
            <w:tcBorders>
              <w:top w:val="nil"/>
              <w:left w:val="single" w:color="auto" w:sz="4" w:space="0"/>
              <w:bottom w:val="single" w:color="000000" w:sz="4" w:space="0"/>
              <w:right w:val="single" w:color="auto"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2.2.4（1）</w:t>
            </w:r>
          </w:p>
        </w:tc>
        <w:tc>
          <w:tcPr>
            <w:tcW w:w="2260" w:type="dxa"/>
            <w:vMerge w:val="restart"/>
            <w:tcBorders>
              <w:top w:val="single" w:color="auto" w:sz="4" w:space="0"/>
              <w:left w:val="single" w:color="auto" w:sz="4" w:space="0"/>
              <w:bottom w:val="single" w:color="000000" w:sz="4" w:space="0"/>
              <w:right w:val="single" w:color="000000"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内容完整性和编制水平</w:t>
            </w:r>
          </w:p>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（0～5分）</w:t>
            </w:r>
          </w:p>
          <w:p>
            <w:pPr>
              <w:jc w:val="center"/>
              <w:rPr>
                <w:rFonts w:ascii="仿宋" w:hAnsi="仿宋" w:eastAsia="仿宋" w:cs="仿宋"/>
                <w:color w:val="000000"/>
                <w:kern w:val="0"/>
                <w:sz w:val="18"/>
                <w:szCs w:val="18"/>
                <w:u w:val="single"/>
              </w:rPr>
            </w:pPr>
            <w:r>
              <w:rPr>
                <w:rFonts w:hint="eastAsia" w:ascii="仿宋" w:hAnsi="仿宋" w:eastAsia="仿宋" w:cs="仿宋"/>
                <w:color w:val="000000"/>
                <w:kern w:val="0"/>
                <w:sz w:val="18"/>
                <w:szCs w:val="18"/>
              </w:rPr>
              <w:t>本项目分值为</w:t>
            </w:r>
            <w:r>
              <w:rPr>
                <w:rFonts w:hint="eastAsia" w:ascii="仿宋" w:hAnsi="仿宋" w:eastAsia="仿宋" w:cs="仿宋"/>
                <w:color w:val="000000"/>
                <w:kern w:val="0"/>
                <w:sz w:val="18"/>
                <w:szCs w:val="18"/>
                <w:u w:val="single"/>
              </w:rPr>
              <w:t xml:space="preserve">   </w:t>
            </w:r>
          </w:p>
        </w:tc>
        <w:tc>
          <w:tcPr>
            <w:tcW w:w="3059" w:type="dxa"/>
            <w:tcBorders>
              <w:top w:val="nil"/>
              <w:left w:val="nil"/>
              <w:bottom w:val="single" w:color="auto" w:sz="4" w:space="0"/>
              <w:right w:val="single" w:color="auto" w:sz="4" w:space="0"/>
            </w:tcBorders>
            <w:noWrap w:val="0"/>
            <w:vAlign w:val="center"/>
          </w:tcPr>
          <w:p>
            <w:pPr>
              <w:jc w:val="center"/>
              <w:rPr>
                <w:rFonts w:ascii="仿宋" w:hAnsi="仿宋" w:eastAsia="仿宋" w:cs="仿宋"/>
                <w:color w:val="000000"/>
                <w:kern w:val="0"/>
                <w:sz w:val="18"/>
                <w:szCs w:val="18"/>
              </w:rPr>
            </w:pPr>
            <w:r>
              <w:rPr>
                <w:rFonts w:hint="eastAsia" w:ascii="仿宋" w:hAnsi="仿宋" w:eastAsia="仿宋" w:cs="仿宋"/>
                <w:color w:val="000000"/>
                <w:kern w:val="0"/>
                <w:sz w:val="18"/>
                <w:szCs w:val="18"/>
              </w:rPr>
              <w:t>版面是否整齐，表述是否清晰，内容是否全面、准确，是否图文并茂，格式是否正确，是否超过招标人规定的页数。</w:t>
            </w:r>
          </w:p>
        </w:tc>
        <w:tc>
          <w:tcPr>
            <w:tcW w:w="851" w:type="dxa"/>
            <w:vMerge w:val="restart"/>
            <w:tcBorders>
              <w:top w:val="nil"/>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709" w:type="dxa"/>
            <w:vMerge w:val="restart"/>
            <w:tcBorders>
              <w:top w:val="nil"/>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850" w:type="dxa"/>
            <w:vMerge w:val="restart"/>
            <w:tcBorders>
              <w:top w:val="nil"/>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r>
      <w:tr>
        <w:tblPrEx>
          <w:tblCellMar>
            <w:top w:w="0" w:type="dxa"/>
            <w:left w:w="108" w:type="dxa"/>
            <w:bottom w:w="0" w:type="dxa"/>
            <w:right w:w="108" w:type="dxa"/>
          </w:tblCellMar>
        </w:tblPrEx>
        <w:trPr>
          <w:trHeight w:val="1461" w:hRule="atLeast"/>
        </w:trPr>
        <w:tc>
          <w:tcPr>
            <w:tcW w:w="600" w:type="dxa"/>
            <w:vMerge w:val="restart"/>
            <w:tcBorders>
              <w:top w:val="nil"/>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2</w:t>
            </w:r>
          </w:p>
        </w:tc>
        <w:tc>
          <w:tcPr>
            <w:tcW w:w="900" w:type="dxa"/>
            <w:vMerge w:val="continue"/>
            <w:tcBorders>
              <w:top w:val="nil"/>
              <w:left w:val="single" w:color="auto" w:sz="4" w:space="0"/>
              <w:bottom w:val="single" w:color="000000" w:sz="4" w:space="0"/>
              <w:right w:val="single" w:color="auto" w:sz="4" w:space="0"/>
            </w:tcBorders>
            <w:noWrap w:val="0"/>
            <w:vAlign w:val="center"/>
          </w:tcPr>
          <w:p>
            <w:pPr>
              <w:jc w:val="left"/>
              <w:rPr>
                <w:rFonts w:hint="eastAsia" w:ascii="仿宋" w:hAnsi="仿宋" w:eastAsia="仿宋" w:cs="仿宋"/>
                <w:color w:val="000000"/>
                <w:kern w:val="0"/>
                <w:sz w:val="18"/>
                <w:szCs w:val="18"/>
              </w:rPr>
            </w:pPr>
          </w:p>
        </w:tc>
        <w:tc>
          <w:tcPr>
            <w:tcW w:w="2260" w:type="dxa"/>
            <w:vMerge w:val="restart"/>
            <w:tcBorders>
              <w:top w:val="nil"/>
              <w:left w:val="single" w:color="auto" w:sz="4" w:space="0"/>
              <w:right w:val="single" w:color="auto" w:sz="4" w:space="0"/>
            </w:tcBorders>
            <w:noWrap w:val="0"/>
            <w:vAlign w:val="center"/>
          </w:tcPr>
          <w:p>
            <w:pPr>
              <w:jc w:val="center"/>
              <w:rPr>
                <w:rFonts w:hint="eastAsia" w:ascii="仿宋" w:hAnsi="仿宋" w:eastAsia="仿宋" w:cs="仿宋"/>
                <w:b/>
                <w:bCs/>
                <w:color w:val="000000"/>
                <w:kern w:val="0"/>
                <w:sz w:val="18"/>
                <w:szCs w:val="18"/>
              </w:rPr>
            </w:pPr>
            <w:r>
              <w:rPr>
                <w:rFonts w:hint="eastAsia" w:ascii="仿宋" w:hAnsi="仿宋" w:eastAsia="仿宋" w:cs="仿宋"/>
                <w:b/>
                <w:bCs/>
                <w:color w:val="000000"/>
                <w:kern w:val="0"/>
                <w:sz w:val="18"/>
                <w:szCs w:val="18"/>
              </w:rPr>
              <w:t>施工方案与技术措施（35～45分）</w:t>
            </w:r>
          </w:p>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本项目分值为</w:t>
            </w:r>
            <w:r>
              <w:rPr>
                <w:rFonts w:hint="eastAsia" w:ascii="仿宋" w:hAnsi="仿宋" w:eastAsia="仿宋" w:cs="仿宋"/>
                <w:color w:val="000000"/>
                <w:kern w:val="0"/>
                <w:sz w:val="18"/>
                <w:szCs w:val="18"/>
                <w:u w:val="single"/>
              </w:rPr>
              <w:t xml:space="preserve">   </w:t>
            </w:r>
          </w:p>
        </w:tc>
        <w:tc>
          <w:tcPr>
            <w:tcW w:w="3059"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仿宋"/>
                <w:color w:val="000000"/>
                <w:kern w:val="0"/>
                <w:sz w:val="18"/>
                <w:szCs w:val="18"/>
              </w:rPr>
            </w:pPr>
            <w:r>
              <w:rPr>
                <w:rFonts w:hint="eastAsia" w:ascii="仿宋" w:hAnsi="仿宋" w:eastAsia="仿宋" w:cs="仿宋"/>
                <w:color w:val="000000"/>
                <w:kern w:val="0"/>
                <w:sz w:val="18"/>
                <w:szCs w:val="18"/>
              </w:rPr>
              <w:t>对项目总体概况表述是否清晰、完整；部署及措施是否先进、可靠；针对项目的重点、难点分析是否透彻，解决方案是否切实可行；施工平面布置是否有针对性、合理，较好满足施工需要，是否符合安全、文明生产要求。</w:t>
            </w:r>
          </w:p>
        </w:tc>
        <w:tc>
          <w:tcPr>
            <w:tcW w:w="851"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18"/>
                <w:szCs w:val="18"/>
              </w:rPr>
            </w:pPr>
            <w:r>
              <w:rPr>
                <w:rFonts w:hint="eastAsia" w:ascii="仿宋" w:hAnsi="仿宋" w:eastAsia="仿宋" w:cs="仿宋"/>
                <w:b/>
                <w:bCs/>
                <w:color w:val="000000"/>
                <w:kern w:val="0"/>
                <w:sz w:val="18"/>
                <w:szCs w:val="18"/>
              </w:rPr>
              <w:t>　</w:t>
            </w:r>
          </w:p>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709"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850"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r>
      <w:tr>
        <w:tblPrEx>
          <w:tblCellMar>
            <w:top w:w="0" w:type="dxa"/>
            <w:left w:w="108" w:type="dxa"/>
            <w:bottom w:w="0" w:type="dxa"/>
            <w:right w:w="108" w:type="dxa"/>
          </w:tblCellMar>
        </w:tblPrEx>
        <w:trPr>
          <w:trHeight w:val="1049" w:hRule="atLeast"/>
        </w:trPr>
        <w:tc>
          <w:tcPr>
            <w:tcW w:w="600" w:type="dxa"/>
            <w:vMerge w:val="restart"/>
            <w:tcBorders>
              <w:top w:val="nil"/>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3</w:t>
            </w:r>
          </w:p>
        </w:tc>
        <w:tc>
          <w:tcPr>
            <w:tcW w:w="900" w:type="dxa"/>
            <w:vMerge w:val="continue"/>
            <w:tcBorders>
              <w:top w:val="nil"/>
              <w:left w:val="single" w:color="auto" w:sz="4" w:space="0"/>
              <w:bottom w:val="single" w:color="000000" w:sz="4" w:space="0"/>
              <w:right w:val="single" w:color="auto" w:sz="4" w:space="0"/>
            </w:tcBorders>
            <w:noWrap w:val="0"/>
            <w:vAlign w:val="center"/>
          </w:tcPr>
          <w:p>
            <w:pPr>
              <w:jc w:val="left"/>
              <w:rPr>
                <w:rFonts w:hint="eastAsia" w:ascii="仿宋" w:hAnsi="仿宋" w:eastAsia="仿宋" w:cs="仿宋"/>
                <w:color w:val="000000"/>
                <w:kern w:val="0"/>
                <w:sz w:val="18"/>
                <w:szCs w:val="18"/>
              </w:rPr>
            </w:pPr>
          </w:p>
        </w:tc>
        <w:tc>
          <w:tcPr>
            <w:tcW w:w="2260" w:type="dxa"/>
            <w:vMerge w:val="restart"/>
            <w:tcBorders>
              <w:top w:val="single" w:color="auto" w:sz="4" w:space="0"/>
              <w:left w:val="single" w:color="auto" w:sz="4" w:space="0"/>
              <w:bottom w:val="single" w:color="000000" w:sz="4" w:space="0"/>
              <w:right w:val="single" w:color="000000"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质量管理体系与措施</w:t>
            </w:r>
          </w:p>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（5～8分）</w:t>
            </w:r>
          </w:p>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本项目分值为</w:t>
            </w:r>
            <w:r>
              <w:rPr>
                <w:rFonts w:hint="eastAsia" w:ascii="仿宋" w:hAnsi="仿宋" w:eastAsia="仿宋" w:cs="仿宋"/>
                <w:color w:val="000000"/>
                <w:kern w:val="0"/>
                <w:sz w:val="18"/>
                <w:szCs w:val="18"/>
                <w:u w:val="single"/>
              </w:rPr>
              <w:t xml:space="preserve">   </w:t>
            </w:r>
          </w:p>
        </w:tc>
        <w:tc>
          <w:tcPr>
            <w:tcW w:w="3059" w:type="dxa"/>
            <w:tcBorders>
              <w:top w:val="single" w:color="auto" w:sz="4" w:space="0"/>
              <w:left w:val="nil"/>
              <w:bottom w:val="single" w:color="auto" w:sz="4" w:space="0"/>
              <w:right w:val="single" w:color="auto" w:sz="4" w:space="0"/>
            </w:tcBorders>
            <w:noWrap w:val="0"/>
            <w:vAlign w:val="center"/>
          </w:tcPr>
          <w:p>
            <w:pPr>
              <w:jc w:val="center"/>
              <w:rPr>
                <w:rFonts w:ascii="仿宋" w:hAnsi="仿宋" w:eastAsia="仿宋" w:cs="仿宋"/>
                <w:color w:val="000000"/>
                <w:kern w:val="0"/>
                <w:sz w:val="18"/>
                <w:szCs w:val="18"/>
              </w:rPr>
            </w:pPr>
            <w:r>
              <w:rPr>
                <w:rFonts w:hint="eastAsia" w:ascii="仿宋" w:hAnsi="仿宋" w:eastAsia="仿宋" w:cs="仿宋"/>
                <w:color w:val="000000"/>
                <w:kern w:val="0"/>
                <w:sz w:val="18"/>
                <w:szCs w:val="18"/>
              </w:rPr>
              <w:t>质量目标是否明确，是否优于招标文件的要求；管理机构是否健全，职责分工是否明确；管理制度是否齐全；实施与监控措施是否全面、有效。</w:t>
            </w:r>
          </w:p>
        </w:tc>
        <w:tc>
          <w:tcPr>
            <w:tcW w:w="851"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709"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850"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r>
      <w:tr>
        <w:tblPrEx>
          <w:tblCellMar>
            <w:top w:w="0" w:type="dxa"/>
            <w:left w:w="108" w:type="dxa"/>
            <w:bottom w:w="0" w:type="dxa"/>
            <w:right w:w="108" w:type="dxa"/>
          </w:tblCellMar>
        </w:tblPrEx>
        <w:trPr>
          <w:trHeight w:val="1048" w:hRule="atLeast"/>
        </w:trPr>
        <w:tc>
          <w:tcPr>
            <w:tcW w:w="600" w:type="dxa"/>
            <w:vMerge w:val="restart"/>
            <w:tcBorders>
              <w:top w:val="nil"/>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4</w:t>
            </w:r>
          </w:p>
        </w:tc>
        <w:tc>
          <w:tcPr>
            <w:tcW w:w="900" w:type="dxa"/>
            <w:vMerge w:val="continue"/>
            <w:tcBorders>
              <w:top w:val="nil"/>
              <w:left w:val="single" w:color="auto" w:sz="4" w:space="0"/>
              <w:bottom w:val="single" w:color="000000" w:sz="4" w:space="0"/>
              <w:right w:val="single" w:color="auto" w:sz="4" w:space="0"/>
            </w:tcBorders>
            <w:noWrap w:val="0"/>
            <w:vAlign w:val="center"/>
          </w:tcPr>
          <w:p>
            <w:pPr>
              <w:jc w:val="left"/>
              <w:rPr>
                <w:rFonts w:hint="eastAsia" w:ascii="仿宋" w:hAnsi="仿宋" w:eastAsia="仿宋" w:cs="仿宋"/>
                <w:color w:val="000000"/>
                <w:kern w:val="0"/>
                <w:sz w:val="18"/>
                <w:szCs w:val="18"/>
              </w:rPr>
            </w:pPr>
          </w:p>
        </w:tc>
        <w:tc>
          <w:tcPr>
            <w:tcW w:w="2260" w:type="dxa"/>
            <w:vMerge w:val="restart"/>
            <w:tcBorders>
              <w:top w:val="single" w:color="auto" w:sz="4" w:space="0"/>
              <w:left w:val="single" w:color="auto" w:sz="4" w:space="0"/>
              <w:bottom w:val="single" w:color="000000" w:sz="4" w:space="0"/>
              <w:right w:val="single" w:color="000000"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安全管理体系与措施</w:t>
            </w:r>
          </w:p>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（5～8分）</w:t>
            </w:r>
          </w:p>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本项目分值为</w:t>
            </w:r>
            <w:r>
              <w:rPr>
                <w:rFonts w:hint="eastAsia" w:ascii="仿宋" w:hAnsi="仿宋" w:eastAsia="仿宋" w:cs="仿宋"/>
                <w:color w:val="000000"/>
                <w:kern w:val="0"/>
                <w:sz w:val="18"/>
                <w:szCs w:val="18"/>
                <w:u w:val="single"/>
              </w:rPr>
              <w:t xml:space="preserve">   </w:t>
            </w:r>
          </w:p>
        </w:tc>
        <w:tc>
          <w:tcPr>
            <w:tcW w:w="3059" w:type="dxa"/>
            <w:tcBorders>
              <w:top w:val="nil"/>
              <w:left w:val="nil"/>
              <w:bottom w:val="single" w:color="auto" w:sz="4" w:space="0"/>
              <w:right w:val="single" w:color="auto"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安全目标是否明确，是否优于招标文件的要求；管理机构是否健全，职责分工是否明确；管理制度是否齐全；实施与监控措施是否全面、有效。</w:t>
            </w:r>
          </w:p>
        </w:tc>
        <w:tc>
          <w:tcPr>
            <w:tcW w:w="851" w:type="dxa"/>
            <w:vMerge w:val="restart"/>
            <w:tcBorders>
              <w:top w:val="nil"/>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709" w:type="dxa"/>
            <w:vMerge w:val="restart"/>
            <w:tcBorders>
              <w:top w:val="nil"/>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850" w:type="dxa"/>
            <w:vMerge w:val="restart"/>
            <w:tcBorders>
              <w:top w:val="nil"/>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r>
      <w:tr>
        <w:tblPrEx>
          <w:tblCellMar>
            <w:top w:w="0" w:type="dxa"/>
            <w:left w:w="108" w:type="dxa"/>
            <w:bottom w:w="0" w:type="dxa"/>
            <w:right w:w="108" w:type="dxa"/>
          </w:tblCellMar>
        </w:tblPrEx>
        <w:trPr>
          <w:trHeight w:val="1036" w:hRule="atLeast"/>
        </w:trPr>
        <w:tc>
          <w:tcPr>
            <w:tcW w:w="600" w:type="dxa"/>
            <w:vMerge w:val="restart"/>
            <w:tcBorders>
              <w:top w:val="nil"/>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5</w:t>
            </w:r>
          </w:p>
        </w:tc>
        <w:tc>
          <w:tcPr>
            <w:tcW w:w="900" w:type="dxa"/>
            <w:vMerge w:val="continue"/>
            <w:tcBorders>
              <w:top w:val="nil"/>
              <w:left w:val="single" w:color="auto" w:sz="4" w:space="0"/>
              <w:bottom w:val="single" w:color="000000" w:sz="4" w:space="0"/>
              <w:right w:val="single" w:color="auto" w:sz="4" w:space="0"/>
            </w:tcBorders>
            <w:noWrap w:val="0"/>
            <w:vAlign w:val="center"/>
          </w:tcPr>
          <w:p>
            <w:pPr>
              <w:jc w:val="left"/>
              <w:rPr>
                <w:rFonts w:hint="eastAsia" w:ascii="仿宋" w:hAnsi="仿宋" w:eastAsia="仿宋" w:cs="仿宋"/>
                <w:color w:val="000000"/>
                <w:kern w:val="0"/>
                <w:sz w:val="18"/>
                <w:szCs w:val="18"/>
              </w:rPr>
            </w:pPr>
          </w:p>
        </w:tc>
        <w:tc>
          <w:tcPr>
            <w:tcW w:w="2260" w:type="dxa"/>
            <w:vMerge w:val="restart"/>
            <w:tcBorders>
              <w:top w:val="single" w:color="auto" w:sz="4" w:space="0"/>
              <w:left w:val="single" w:color="auto" w:sz="4" w:space="0"/>
              <w:bottom w:val="single" w:color="000000" w:sz="4" w:space="0"/>
              <w:right w:val="single" w:color="000000"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环境保护管理体系与措施</w:t>
            </w:r>
          </w:p>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（5～8分）</w:t>
            </w:r>
          </w:p>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本项目分值为</w:t>
            </w:r>
            <w:r>
              <w:rPr>
                <w:rFonts w:hint="eastAsia" w:ascii="仿宋" w:hAnsi="仿宋" w:eastAsia="仿宋" w:cs="仿宋"/>
                <w:color w:val="000000"/>
                <w:kern w:val="0"/>
                <w:sz w:val="18"/>
                <w:szCs w:val="18"/>
                <w:u w:val="single"/>
              </w:rPr>
              <w:t xml:space="preserve">   </w:t>
            </w:r>
          </w:p>
        </w:tc>
        <w:tc>
          <w:tcPr>
            <w:tcW w:w="3059" w:type="dxa"/>
            <w:tcBorders>
              <w:top w:val="nil"/>
              <w:left w:val="nil"/>
              <w:bottom w:val="single" w:color="auto" w:sz="4" w:space="0"/>
              <w:right w:val="single" w:color="auto"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环境管理目标是否明确，是否优于招标文件的要求；是否管理机构健全，职责分工是否明确；管理制度是否齐全；实施与监控措施是否全面、有效。</w:t>
            </w:r>
          </w:p>
        </w:tc>
        <w:tc>
          <w:tcPr>
            <w:tcW w:w="851" w:type="dxa"/>
            <w:vMerge w:val="restart"/>
            <w:tcBorders>
              <w:top w:val="nil"/>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709" w:type="dxa"/>
            <w:vMerge w:val="restart"/>
            <w:tcBorders>
              <w:top w:val="nil"/>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850" w:type="dxa"/>
            <w:vMerge w:val="restart"/>
            <w:tcBorders>
              <w:top w:val="nil"/>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r>
      <w:tr>
        <w:tblPrEx>
          <w:tblCellMar>
            <w:top w:w="0" w:type="dxa"/>
            <w:left w:w="108" w:type="dxa"/>
            <w:bottom w:w="0" w:type="dxa"/>
            <w:right w:w="108" w:type="dxa"/>
          </w:tblCellMar>
        </w:tblPrEx>
        <w:trPr>
          <w:trHeight w:val="1153" w:hRule="atLeast"/>
        </w:trPr>
        <w:tc>
          <w:tcPr>
            <w:tcW w:w="600" w:type="dxa"/>
            <w:vMerge w:val="restart"/>
            <w:tcBorders>
              <w:top w:val="nil"/>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6</w:t>
            </w:r>
          </w:p>
        </w:tc>
        <w:tc>
          <w:tcPr>
            <w:tcW w:w="900" w:type="dxa"/>
            <w:vMerge w:val="continue"/>
            <w:tcBorders>
              <w:top w:val="nil"/>
              <w:left w:val="single" w:color="auto" w:sz="4" w:space="0"/>
              <w:bottom w:val="single" w:color="000000" w:sz="4" w:space="0"/>
              <w:right w:val="single" w:color="auto" w:sz="4" w:space="0"/>
            </w:tcBorders>
            <w:noWrap w:val="0"/>
            <w:vAlign w:val="center"/>
          </w:tcPr>
          <w:p>
            <w:pPr>
              <w:jc w:val="left"/>
              <w:rPr>
                <w:rFonts w:hint="eastAsia" w:ascii="仿宋" w:hAnsi="仿宋" w:eastAsia="仿宋" w:cs="仿宋"/>
                <w:color w:val="000000"/>
                <w:kern w:val="0"/>
                <w:sz w:val="18"/>
                <w:szCs w:val="18"/>
              </w:rPr>
            </w:pPr>
          </w:p>
        </w:tc>
        <w:tc>
          <w:tcPr>
            <w:tcW w:w="2260" w:type="dxa"/>
            <w:vMerge w:val="restart"/>
            <w:tcBorders>
              <w:top w:val="single" w:color="auto" w:sz="4" w:space="0"/>
              <w:left w:val="single" w:color="auto" w:sz="4" w:space="0"/>
              <w:bottom w:val="single" w:color="000000" w:sz="4" w:space="0"/>
              <w:right w:val="single" w:color="000000"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工程进度计划与措施</w:t>
            </w:r>
          </w:p>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（10～12分）</w:t>
            </w:r>
          </w:p>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本项目分值为</w:t>
            </w:r>
            <w:r>
              <w:rPr>
                <w:rFonts w:hint="eastAsia" w:ascii="仿宋" w:hAnsi="仿宋" w:eastAsia="仿宋" w:cs="仿宋"/>
                <w:color w:val="000000"/>
                <w:kern w:val="0"/>
                <w:sz w:val="18"/>
                <w:szCs w:val="18"/>
                <w:u w:val="single"/>
              </w:rPr>
              <w:t xml:space="preserve">   </w:t>
            </w:r>
          </w:p>
        </w:tc>
        <w:tc>
          <w:tcPr>
            <w:tcW w:w="3059" w:type="dxa"/>
            <w:tcBorders>
              <w:top w:val="nil"/>
              <w:left w:val="nil"/>
              <w:bottom w:val="single" w:color="auto" w:sz="4" w:space="0"/>
              <w:right w:val="single" w:color="auto" w:sz="4" w:space="0"/>
            </w:tcBorders>
            <w:noWrap w:val="0"/>
            <w:vAlign w:val="center"/>
          </w:tcPr>
          <w:p>
            <w:pPr>
              <w:jc w:val="center"/>
              <w:rPr>
                <w:rFonts w:ascii="仿宋" w:hAnsi="仿宋" w:eastAsia="仿宋" w:cs="仿宋"/>
                <w:color w:val="000000"/>
                <w:kern w:val="0"/>
                <w:sz w:val="18"/>
                <w:szCs w:val="18"/>
              </w:rPr>
            </w:pPr>
            <w:r>
              <w:rPr>
                <w:rFonts w:hint="eastAsia" w:ascii="仿宋" w:hAnsi="仿宋" w:eastAsia="仿宋" w:cs="仿宋"/>
                <w:color w:val="000000"/>
                <w:kern w:val="0"/>
                <w:sz w:val="18"/>
                <w:szCs w:val="18"/>
              </w:rPr>
              <w:t>总工期及节点工期是否满足招标文件要求；施工进度计划内容是否全面，线路是否清晰、准确、完整，计划编制是否合理、可行；措施是否有力、合理、可行。</w:t>
            </w:r>
          </w:p>
        </w:tc>
        <w:tc>
          <w:tcPr>
            <w:tcW w:w="851" w:type="dxa"/>
            <w:vMerge w:val="restart"/>
            <w:tcBorders>
              <w:top w:val="nil"/>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709" w:type="dxa"/>
            <w:vMerge w:val="restart"/>
            <w:tcBorders>
              <w:top w:val="nil"/>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850" w:type="dxa"/>
            <w:vMerge w:val="restart"/>
            <w:tcBorders>
              <w:top w:val="nil"/>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r>
      <w:tr>
        <w:tblPrEx>
          <w:tblCellMar>
            <w:top w:w="0" w:type="dxa"/>
            <w:left w:w="108" w:type="dxa"/>
            <w:bottom w:w="0" w:type="dxa"/>
            <w:right w:w="108" w:type="dxa"/>
          </w:tblCellMar>
        </w:tblPrEx>
        <w:trPr>
          <w:trHeight w:val="1055" w:hRule="atLeast"/>
        </w:trPr>
        <w:tc>
          <w:tcPr>
            <w:tcW w:w="600" w:type="dxa"/>
            <w:vMerge w:val="restart"/>
            <w:tcBorders>
              <w:top w:val="nil"/>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7</w:t>
            </w:r>
          </w:p>
        </w:tc>
        <w:tc>
          <w:tcPr>
            <w:tcW w:w="900" w:type="dxa"/>
            <w:vMerge w:val="continue"/>
            <w:tcBorders>
              <w:top w:val="nil"/>
              <w:left w:val="single" w:color="auto" w:sz="4" w:space="0"/>
              <w:bottom w:val="single" w:color="000000" w:sz="4" w:space="0"/>
              <w:right w:val="single" w:color="auto" w:sz="4" w:space="0"/>
            </w:tcBorders>
            <w:noWrap w:val="0"/>
            <w:vAlign w:val="center"/>
          </w:tcPr>
          <w:p>
            <w:pPr>
              <w:jc w:val="left"/>
              <w:rPr>
                <w:rFonts w:hint="eastAsia" w:ascii="仿宋" w:hAnsi="仿宋" w:eastAsia="仿宋" w:cs="仿宋"/>
                <w:color w:val="000000"/>
                <w:kern w:val="0"/>
                <w:sz w:val="18"/>
                <w:szCs w:val="18"/>
              </w:rPr>
            </w:pPr>
          </w:p>
        </w:tc>
        <w:tc>
          <w:tcPr>
            <w:tcW w:w="2260"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施工总布置</w:t>
            </w:r>
          </w:p>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（10～12分）</w:t>
            </w:r>
          </w:p>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本项目分值为</w:t>
            </w:r>
            <w:r>
              <w:rPr>
                <w:rFonts w:hint="eastAsia" w:ascii="仿宋" w:hAnsi="仿宋" w:eastAsia="仿宋" w:cs="仿宋"/>
                <w:color w:val="000000"/>
                <w:kern w:val="0"/>
                <w:sz w:val="18"/>
                <w:szCs w:val="18"/>
                <w:u w:val="single"/>
              </w:rPr>
              <w:t xml:space="preserve">   </w:t>
            </w:r>
          </w:p>
        </w:tc>
        <w:tc>
          <w:tcPr>
            <w:tcW w:w="3059" w:type="dxa"/>
            <w:tcBorders>
              <w:top w:val="nil"/>
              <w:left w:val="nil"/>
              <w:bottom w:val="single" w:color="auto" w:sz="4" w:space="0"/>
              <w:right w:val="single" w:color="auto"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平面布置是否科学合理；是否合理组织运输；施工区域的划分和场地的临时占用是否符合总体施工部署和施工流程的要求；是否充分利用既有建（构）筑物和既有设施为项目施工服务；临时设施是否方便生产和生活；是否符合节能、环保、安全和消防等要求；是否遵守当地主管部门和建设单位关于施工现场安全文明施工的相关规定。</w:t>
            </w:r>
          </w:p>
        </w:tc>
        <w:tc>
          <w:tcPr>
            <w:tcW w:w="851" w:type="dxa"/>
            <w:vMerge w:val="restart"/>
            <w:tcBorders>
              <w:top w:val="nil"/>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709" w:type="dxa"/>
            <w:vMerge w:val="restart"/>
            <w:tcBorders>
              <w:top w:val="nil"/>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850" w:type="dxa"/>
            <w:vMerge w:val="restart"/>
            <w:tcBorders>
              <w:top w:val="nil"/>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r>
      <w:tr>
        <w:tblPrEx>
          <w:tblCellMar>
            <w:top w:w="0" w:type="dxa"/>
            <w:left w:w="108" w:type="dxa"/>
            <w:bottom w:w="0" w:type="dxa"/>
            <w:right w:w="108" w:type="dxa"/>
          </w:tblCellMar>
        </w:tblPrEx>
        <w:trPr>
          <w:trHeight w:val="840" w:hRule="atLeast"/>
        </w:trPr>
        <w:tc>
          <w:tcPr>
            <w:tcW w:w="600" w:type="dxa"/>
            <w:vMerge w:val="restart"/>
            <w:tcBorders>
              <w:top w:val="nil"/>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8</w:t>
            </w:r>
          </w:p>
        </w:tc>
        <w:tc>
          <w:tcPr>
            <w:tcW w:w="900" w:type="dxa"/>
            <w:vMerge w:val="continue"/>
            <w:tcBorders>
              <w:top w:val="nil"/>
              <w:left w:val="single" w:color="auto" w:sz="4" w:space="0"/>
              <w:bottom w:val="single" w:color="000000" w:sz="4" w:space="0"/>
              <w:right w:val="single" w:color="auto" w:sz="4" w:space="0"/>
            </w:tcBorders>
            <w:noWrap w:val="0"/>
            <w:vAlign w:val="center"/>
          </w:tcPr>
          <w:p>
            <w:pPr>
              <w:jc w:val="left"/>
              <w:rPr>
                <w:rFonts w:hint="eastAsia" w:ascii="仿宋" w:hAnsi="仿宋" w:eastAsia="仿宋" w:cs="仿宋"/>
                <w:color w:val="000000"/>
                <w:kern w:val="0"/>
                <w:sz w:val="18"/>
                <w:szCs w:val="18"/>
              </w:rPr>
            </w:pPr>
          </w:p>
        </w:tc>
        <w:tc>
          <w:tcPr>
            <w:tcW w:w="2260"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资源配备计划</w:t>
            </w:r>
          </w:p>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（10～12分）</w:t>
            </w:r>
          </w:p>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本项目分值为</w:t>
            </w:r>
            <w:r>
              <w:rPr>
                <w:rFonts w:hint="eastAsia" w:ascii="仿宋" w:hAnsi="仿宋" w:eastAsia="仿宋" w:cs="仿宋"/>
                <w:color w:val="000000"/>
                <w:kern w:val="0"/>
                <w:sz w:val="18"/>
                <w:szCs w:val="18"/>
                <w:u w:val="single"/>
              </w:rPr>
              <w:t xml:space="preserve">   </w:t>
            </w:r>
          </w:p>
        </w:tc>
        <w:tc>
          <w:tcPr>
            <w:tcW w:w="3059" w:type="dxa"/>
            <w:tcBorders>
              <w:top w:val="nil"/>
              <w:left w:val="nil"/>
              <w:bottom w:val="single" w:color="auto" w:sz="4" w:space="0"/>
              <w:right w:val="single" w:color="auto" w:sz="4" w:space="0"/>
            </w:tcBorders>
            <w:noWrap w:val="0"/>
            <w:vAlign w:val="center"/>
          </w:tcPr>
          <w:p>
            <w:pPr>
              <w:jc w:val="center"/>
              <w:rPr>
                <w:rFonts w:ascii="仿宋" w:hAnsi="仿宋" w:eastAsia="仿宋" w:cs="仿宋"/>
                <w:color w:val="000000"/>
                <w:kern w:val="0"/>
                <w:sz w:val="18"/>
                <w:szCs w:val="18"/>
              </w:rPr>
            </w:pPr>
            <w:r>
              <w:rPr>
                <w:rFonts w:hint="eastAsia" w:ascii="仿宋" w:hAnsi="仿宋" w:eastAsia="仿宋" w:cs="仿宋"/>
                <w:color w:val="000000"/>
                <w:kern w:val="0"/>
                <w:sz w:val="18"/>
                <w:szCs w:val="18"/>
              </w:rPr>
              <w:t>资源投入计划与施工部署、施工方法及进度计划是否能够相互呼应并较好满足施工需要，调配投入计划是否合理、准确。</w:t>
            </w:r>
          </w:p>
        </w:tc>
        <w:tc>
          <w:tcPr>
            <w:tcW w:w="851" w:type="dxa"/>
            <w:vMerge w:val="restart"/>
            <w:tcBorders>
              <w:top w:val="nil"/>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709" w:type="dxa"/>
            <w:vMerge w:val="restart"/>
            <w:tcBorders>
              <w:top w:val="nil"/>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850" w:type="dxa"/>
            <w:vMerge w:val="restart"/>
            <w:tcBorders>
              <w:top w:val="nil"/>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r>
      <w:tr>
        <w:tblPrEx>
          <w:tblCellMar>
            <w:top w:w="0" w:type="dxa"/>
            <w:left w:w="108" w:type="dxa"/>
            <w:bottom w:w="0" w:type="dxa"/>
            <w:right w:w="108" w:type="dxa"/>
          </w:tblCellMar>
        </w:tblPrEx>
        <w:trPr>
          <w:trHeight w:val="940" w:hRule="atLeast"/>
        </w:trPr>
        <w:tc>
          <w:tcPr>
            <w:tcW w:w="600" w:type="dxa"/>
            <w:tcBorders>
              <w:top w:val="nil"/>
              <w:left w:val="single" w:color="auto" w:sz="4" w:space="0"/>
              <w:bottom w:val="single" w:color="000000" w:sz="4" w:space="0"/>
              <w:right w:val="single" w:color="auto"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w:t>
            </w:r>
          </w:p>
        </w:tc>
        <w:tc>
          <w:tcPr>
            <w:tcW w:w="900" w:type="dxa"/>
            <w:vMerge w:val="continue"/>
            <w:tcBorders>
              <w:top w:val="nil"/>
              <w:left w:val="single" w:color="auto" w:sz="4" w:space="0"/>
              <w:bottom w:val="single" w:color="000000" w:sz="4" w:space="0"/>
              <w:right w:val="single" w:color="auto" w:sz="4" w:space="0"/>
            </w:tcBorders>
            <w:noWrap w:val="0"/>
            <w:vAlign w:val="center"/>
          </w:tcPr>
          <w:p>
            <w:pPr>
              <w:jc w:val="left"/>
              <w:rPr>
                <w:rFonts w:hint="eastAsia" w:ascii="仿宋" w:hAnsi="仿宋" w:eastAsia="仿宋" w:cs="仿宋"/>
                <w:color w:val="000000"/>
                <w:kern w:val="0"/>
                <w:sz w:val="18"/>
                <w:szCs w:val="18"/>
              </w:rPr>
            </w:pPr>
          </w:p>
        </w:tc>
        <w:tc>
          <w:tcPr>
            <w:tcW w:w="2260" w:type="dxa"/>
            <w:tcBorders>
              <w:top w:val="single" w:color="auto" w:sz="4" w:space="0"/>
              <w:left w:val="single" w:color="auto" w:sz="4" w:space="0"/>
              <w:bottom w:val="single" w:color="000000" w:sz="4" w:space="0"/>
              <w:right w:val="single" w:color="000000"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w:t>
            </w:r>
          </w:p>
        </w:tc>
        <w:tc>
          <w:tcPr>
            <w:tcW w:w="3059" w:type="dxa"/>
            <w:tcBorders>
              <w:top w:val="nil"/>
              <w:left w:val="nil"/>
              <w:bottom w:val="single" w:color="auto" w:sz="4" w:space="0"/>
              <w:right w:val="single" w:color="auto" w:sz="4" w:space="0"/>
            </w:tcBorders>
            <w:noWrap w:val="0"/>
            <w:vAlign w:val="center"/>
          </w:tcPr>
          <w:p>
            <w:pP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851" w:type="dxa"/>
            <w:tcBorders>
              <w:top w:val="nil"/>
              <w:left w:val="nil"/>
              <w:bottom w:val="single" w:color="auto" w:sz="4" w:space="0"/>
              <w:right w:val="single" w:color="auto"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709" w:type="dxa"/>
            <w:tcBorders>
              <w:top w:val="nil"/>
              <w:left w:val="nil"/>
              <w:bottom w:val="single" w:color="auto" w:sz="4" w:space="0"/>
              <w:right w:val="single" w:color="auto"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850" w:type="dxa"/>
            <w:tcBorders>
              <w:top w:val="nil"/>
              <w:left w:val="nil"/>
              <w:bottom w:val="single" w:color="auto" w:sz="4" w:space="0"/>
              <w:right w:val="single" w:color="auto" w:sz="4" w:space="0"/>
            </w:tcBorders>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r>
      <w:tr>
        <w:tblPrEx>
          <w:tblCellMar>
            <w:top w:w="0" w:type="dxa"/>
            <w:left w:w="108" w:type="dxa"/>
            <w:bottom w:w="0" w:type="dxa"/>
            <w:right w:w="108" w:type="dxa"/>
          </w:tblCellMar>
        </w:tblPrEx>
        <w:trPr>
          <w:trHeight w:val="397" w:hRule="atLeast"/>
        </w:trPr>
        <w:tc>
          <w:tcPr>
            <w:tcW w:w="600" w:type="dxa"/>
            <w:tcBorders>
              <w:top w:val="nil"/>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　</w:t>
            </w:r>
          </w:p>
        </w:tc>
        <w:tc>
          <w:tcPr>
            <w:tcW w:w="6219" w:type="dxa"/>
            <w:gridSpan w:val="3"/>
            <w:tcBorders>
              <w:top w:val="single" w:color="auto" w:sz="4" w:space="0"/>
              <w:left w:val="nil"/>
              <w:bottom w:val="single" w:color="auto" w:sz="4" w:space="0"/>
              <w:right w:val="single" w:color="auto" w:sz="4" w:space="0"/>
            </w:tcBorders>
            <w:noWrap w:val="0"/>
            <w:vAlign w:val="center"/>
          </w:tcPr>
          <w:p>
            <w:pPr>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合计</w:t>
            </w:r>
          </w:p>
        </w:tc>
        <w:tc>
          <w:tcPr>
            <w:tcW w:w="85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　</w:t>
            </w:r>
          </w:p>
        </w:tc>
        <w:tc>
          <w:tcPr>
            <w:tcW w:w="7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　</w:t>
            </w:r>
          </w:p>
        </w:tc>
        <w:tc>
          <w:tcPr>
            <w:tcW w:w="85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　</w:t>
            </w:r>
          </w:p>
        </w:tc>
      </w:tr>
    </w:tbl>
    <w:p>
      <w:pPr>
        <w:pStyle w:val="164"/>
        <w:widowControl w:val="0"/>
        <w:spacing w:before="0" w:beforeAutospacing="0" w:after="0" w:afterAutospacing="0"/>
        <w:rPr>
          <w:rFonts w:hint="eastAsia" w:ascii="仿宋" w:hAnsi="仿宋" w:eastAsia="仿宋" w:cs="仿宋"/>
          <w:color w:val="000000"/>
          <w:sz w:val="18"/>
          <w:szCs w:val="18"/>
        </w:rPr>
      </w:pPr>
      <w:r>
        <w:rPr>
          <w:rFonts w:hint="eastAsia" w:ascii="仿宋" w:hAnsi="仿宋" w:eastAsia="仿宋" w:cs="仿宋"/>
          <w:b/>
          <w:color w:val="000000"/>
        </w:rPr>
        <w:t>备注：</w:t>
      </w:r>
      <w:r>
        <w:rPr>
          <w:rFonts w:hint="eastAsia" w:ascii="仿宋" w:hAnsi="仿宋" w:eastAsia="仿宋" w:cs="仿宋"/>
          <w:color w:val="000000"/>
          <w:sz w:val="18"/>
          <w:szCs w:val="18"/>
        </w:rPr>
        <w:t>1.本表小计总分为100分。投标文件不符合招标文件规定格式等错误的，由评标委员会集体评议，按照一项错误扣1分，最多扣5分。</w:t>
      </w:r>
    </w:p>
    <w:p>
      <w:pPr>
        <w:pStyle w:val="164"/>
        <w:widowControl w:val="0"/>
        <w:spacing w:before="0" w:beforeAutospacing="0" w:after="0" w:afterAutospacing="0"/>
        <w:ind w:firstLine="360" w:firstLineChars="200"/>
        <w:rPr>
          <w:rFonts w:hint="eastAsia" w:ascii="仿宋" w:hAnsi="仿宋" w:eastAsia="仿宋" w:cs="仿宋"/>
          <w:color w:val="000000"/>
          <w:sz w:val="18"/>
          <w:szCs w:val="18"/>
        </w:rPr>
      </w:pPr>
      <w:r>
        <w:rPr>
          <w:rFonts w:hint="eastAsia" w:ascii="仿宋" w:hAnsi="仿宋" w:eastAsia="仿宋" w:cs="仿宋"/>
          <w:color w:val="000000"/>
          <w:sz w:val="18"/>
          <w:szCs w:val="18"/>
        </w:rPr>
        <w:t xml:space="preserve">    2. 技术投标文件中缺失某项评分因素的，该项评分因素计0分。</w:t>
      </w:r>
    </w:p>
    <w:p>
      <w:pPr>
        <w:pStyle w:val="164"/>
        <w:widowControl w:val="0"/>
        <w:spacing w:before="0" w:beforeAutospacing="0" w:after="0" w:afterAutospacing="0"/>
        <w:ind w:firstLine="360" w:firstLineChars="200"/>
        <w:rPr>
          <w:rFonts w:hint="eastAsia" w:ascii="仿宋" w:hAnsi="仿宋" w:eastAsia="仿宋" w:cs="仿宋"/>
          <w:color w:val="000000"/>
          <w:sz w:val="18"/>
          <w:szCs w:val="18"/>
        </w:rPr>
      </w:pPr>
      <w:r>
        <w:rPr>
          <w:rFonts w:hint="eastAsia" w:ascii="仿宋" w:hAnsi="仿宋" w:eastAsia="仿宋" w:cs="仿宋"/>
          <w:color w:val="000000"/>
          <w:sz w:val="18"/>
          <w:szCs w:val="18"/>
        </w:rPr>
        <w:t xml:space="preserve">    3.招标人应根据项目的具体特点和需要设置合理的评分因素，项目没有具体需要的不得设置为评分因素内容。</w:t>
      </w:r>
    </w:p>
    <w:p>
      <w:pPr>
        <w:pStyle w:val="164"/>
        <w:widowControl w:val="0"/>
        <w:spacing w:before="0" w:beforeAutospacing="0" w:after="0" w:afterAutospacing="0"/>
        <w:ind w:firstLine="360" w:firstLineChars="200"/>
        <w:rPr>
          <w:rFonts w:hint="eastAsia" w:ascii="仿宋" w:hAnsi="仿宋" w:eastAsia="仿宋" w:cs="仿宋"/>
          <w:b/>
          <w:color w:val="000000"/>
          <w:sz w:val="18"/>
          <w:szCs w:val="18"/>
        </w:rPr>
      </w:pPr>
      <w:r>
        <w:rPr>
          <w:rFonts w:hint="eastAsia" w:ascii="仿宋" w:hAnsi="仿宋" w:eastAsia="仿宋" w:cs="仿宋"/>
          <w:color w:val="000000"/>
          <w:sz w:val="18"/>
          <w:szCs w:val="18"/>
        </w:rPr>
        <w:t xml:space="preserve">    4. </w:t>
      </w:r>
      <w:r>
        <w:rPr>
          <w:rFonts w:hint="eastAsia" w:ascii="仿宋" w:hAnsi="仿宋" w:eastAsia="仿宋" w:cs="仿宋"/>
          <w:b/>
          <w:color w:val="000000"/>
          <w:sz w:val="18"/>
          <w:szCs w:val="18"/>
        </w:rPr>
        <w:t>除示范文本已经固定分值的评分因素和评分标准外，招标人应根据项目具体情况确定其余评分因素和评分标准的分值，如对评分因素和评分标准进行细分的，其基本合理项的最低分值不得低于该评分因素和评分标准最高分值的80% 。</w:t>
      </w:r>
    </w:p>
    <w:p>
      <w:pPr>
        <w:pStyle w:val="164"/>
        <w:widowControl w:val="0"/>
        <w:spacing w:before="0" w:beforeAutospacing="0" w:after="0" w:afterAutospacing="0"/>
        <w:ind w:firstLine="720" w:firstLineChars="400"/>
        <w:rPr>
          <w:rFonts w:hint="eastAsia" w:ascii="仿宋" w:hAnsi="仿宋" w:eastAsia="仿宋" w:cs="仿宋"/>
          <w:b/>
          <w:color w:val="000000"/>
          <w:sz w:val="18"/>
          <w:szCs w:val="18"/>
        </w:rPr>
      </w:pPr>
      <w:r>
        <w:rPr>
          <w:rFonts w:hint="eastAsia" w:ascii="仿宋" w:hAnsi="仿宋" w:eastAsia="仿宋" w:cs="仿宋"/>
          <w:color w:val="000000"/>
          <w:sz w:val="18"/>
          <w:szCs w:val="18"/>
        </w:rPr>
        <w:t>5. 评标委员会对投标人的技术投标文件进行集体评议，评委根据集体评议意见，自主评分。</w:t>
      </w:r>
      <w:r>
        <w:rPr>
          <w:rFonts w:hint="eastAsia" w:ascii="仿宋" w:hAnsi="仿宋" w:eastAsia="仿宋" w:cs="仿宋"/>
          <w:b/>
          <w:color w:val="000000"/>
          <w:sz w:val="18"/>
          <w:szCs w:val="18"/>
        </w:rPr>
        <w:t>技术投标文件得分为评委个人评审计分去掉最高分和最低分后的算术平均值。</w:t>
      </w:r>
    </w:p>
    <w:p>
      <w:pPr>
        <w:ind w:firstLine="720" w:firstLineChars="400"/>
        <w:rPr>
          <w:rFonts w:hint="eastAsia" w:ascii="仿宋" w:hAnsi="仿宋" w:eastAsia="仿宋" w:cs="仿宋"/>
          <w:color w:val="000000"/>
          <w:sz w:val="18"/>
          <w:szCs w:val="18"/>
        </w:rPr>
      </w:pPr>
      <w:r>
        <w:rPr>
          <w:rFonts w:hint="eastAsia" w:ascii="仿宋" w:hAnsi="仿宋" w:eastAsia="仿宋" w:cs="仿宋"/>
          <w:color w:val="000000"/>
          <w:sz w:val="18"/>
          <w:szCs w:val="18"/>
        </w:rPr>
        <w:t>6.</w:t>
      </w:r>
      <w:r>
        <w:rPr>
          <w:rFonts w:hint="eastAsia" w:ascii="仿宋" w:hAnsi="仿宋" w:eastAsia="仿宋" w:cs="仿宋"/>
          <w:b/>
          <w:color w:val="000000"/>
          <w:kern w:val="0"/>
          <w:sz w:val="18"/>
          <w:szCs w:val="18"/>
        </w:rPr>
        <w:t>评标委员会对某评分因素评审计分低于该评分因素和评分标准最高分值的80%的，评委应说明原因。</w:t>
      </w:r>
    </w:p>
    <w:p>
      <w:pPr>
        <w:pStyle w:val="164"/>
        <w:widowControl w:val="0"/>
        <w:spacing w:before="0" w:beforeAutospacing="0" w:after="0" w:afterAutospacing="0"/>
        <w:ind w:firstLine="360" w:firstLineChars="200"/>
        <w:rPr>
          <w:rFonts w:hint="eastAsia" w:ascii="仿宋" w:hAnsi="仿宋" w:eastAsia="仿宋" w:cs="仿宋"/>
          <w:color w:val="000000"/>
          <w:sz w:val="18"/>
          <w:szCs w:val="18"/>
        </w:rPr>
      </w:pPr>
      <w:r>
        <w:rPr>
          <w:rFonts w:hint="eastAsia" w:ascii="仿宋" w:hAnsi="仿宋" w:eastAsia="仿宋" w:cs="仿宋"/>
          <w:color w:val="000000"/>
          <w:sz w:val="18"/>
          <w:szCs w:val="18"/>
        </w:rPr>
        <w:t xml:space="preserve">    7.</w:t>
      </w:r>
      <w:r>
        <w:rPr>
          <w:rFonts w:hint="eastAsia" w:ascii="仿宋" w:hAnsi="仿宋" w:eastAsia="仿宋" w:cs="仿宋"/>
          <w:b/>
          <w:color w:val="000000"/>
          <w:sz w:val="18"/>
          <w:szCs w:val="18"/>
        </w:rPr>
        <w:t>技术投标文件内不得出现投标人名称或者出现任何能直接判断出投标人和其相关人员信息的内容；图纸按规范要求绘制，不设图签，不得注明投标人和其相关人员信息或设计单位及设计人信息。否则，将否决其投标。</w:t>
      </w:r>
    </w:p>
    <w:p>
      <w:pPr>
        <w:pStyle w:val="164"/>
        <w:widowControl w:val="0"/>
        <w:ind w:left="88" w:hanging="88" w:hangingChars="49"/>
        <w:rPr>
          <w:rFonts w:hint="eastAsia" w:ascii="仿宋" w:hAnsi="仿宋" w:eastAsia="仿宋" w:cs="仿宋"/>
          <w:color w:val="000000"/>
          <w:sz w:val="18"/>
          <w:szCs w:val="18"/>
        </w:rPr>
      </w:pPr>
    </w:p>
    <w:p>
      <w:pPr>
        <w:snapToGrid w:val="0"/>
        <w:spacing w:line="400" w:lineRule="exact"/>
        <w:rPr>
          <w:rFonts w:hint="eastAsia" w:ascii="仿宋" w:hAnsi="仿宋" w:eastAsia="仿宋" w:cs="仿宋"/>
          <w:color w:val="000000"/>
          <w:sz w:val="24"/>
        </w:rPr>
      </w:pPr>
      <w:r>
        <w:rPr>
          <w:rFonts w:hint="eastAsia" w:ascii="仿宋" w:hAnsi="仿宋" w:eastAsia="仿宋" w:cs="仿宋"/>
          <w:color w:val="000000"/>
          <w:sz w:val="24"/>
        </w:rPr>
        <w:t>评委签字：</w:t>
      </w:r>
    </w:p>
    <w:p>
      <w:pPr>
        <w:snapToGrid w:val="0"/>
        <w:spacing w:line="400" w:lineRule="exact"/>
        <w:outlineLvl w:val="4"/>
        <w:rPr>
          <w:rFonts w:hint="eastAsia" w:eastAsia="黑体"/>
          <w:bCs/>
          <w:color w:val="000000"/>
          <w:sz w:val="28"/>
          <w:szCs w:val="20"/>
        </w:rPr>
      </w:pPr>
      <w:r>
        <w:rPr>
          <w:rFonts w:hint="eastAsia" w:ascii="仿宋" w:hAnsi="仿宋" w:eastAsia="仿宋" w:cs="仿宋"/>
          <w:color w:val="000000"/>
        </w:rPr>
        <w:br w:type="page"/>
      </w:r>
      <w:bookmarkStart w:id="889" w:name="_Toc511317265"/>
      <w:bookmarkStart w:id="890" w:name="_Toc511318014"/>
      <w:r>
        <w:rPr>
          <w:rFonts w:eastAsia="黑体"/>
          <w:bCs/>
          <w:color w:val="000000"/>
          <w:sz w:val="28"/>
          <w:szCs w:val="20"/>
        </w:rPr>
        <w:t>附表3-7（2）：详细评审</w:t>
      </w:r>
      <w:r>
        <w:rPr>
          <w:rFonts w:hint="eastAsia" w:eastAsia="黑体"/>
          <w:bCs/>
          <w:color w:val="000000"/>
          <w:sz w:val="28"/>
          <w:szCs w:val="20"/>
        </w:rPr>
        <w:t>－</w:t>
      </w:r>
      <w:r>
        <w:rPr>
          <w:rFonts w:eastAsia="黑体"/>
          <w:bCs/>
          <w:color w:val="000000"/>
          <w:sz w:val="28"/>
          <w:szCs w:val="20"/>
        </w:rPr>
        <w:t>项目管理机构评分标准表</w:t>
      </w:r>
      <w:bookmarkEnd w:id="889"/>
      <w:bookmarkEnd w:id="890"/>
    </w:p>
    <w:p>
      <w:pPr>
        <w:pStyle w:val="2"/>
        <w:rPr>
          <w:lang w:val="en-US" w:eastAsia="zh-CN"/>
        </w:rPr>
      </w:pPr>
    </w:p>
    <w:p>
      <w:pPr>
        <w:pStyle w:val="32"/>
        <w:spacing w:before="120" w:beforeLines="50" w:after="120" w:afterLines="50" w:line="600" w:lineRule="exact"/>
        <w:ind w:left="0" w:firstLine="0" w:firstLineChars="0"/>
        <w:jc w:val="center"/>
        <w:rPr>
          <w:rFonts w:hint="eastAsia" w:ascii="方正小标宋简体" w:eastAsia="方正小标宋简体"/>
          <w:bCs/>
          <w:color w:val="000000"/>
          <w:sz w:val="40"/>
          <w:szCs w:val="20"/>
        </w:rPr>
      </w:pPr>
      <w:r>
        <w:rPr>
          <w:rFonts w:hint="eastAsia" w:ascii="方正小标宋简体" w:eastAsia="方正小标宋简体"/>
          <w:bCs/>
          <w:color w:val="000000"/>
          <w:sz w:val="40"/>
          <w:szCs w:val="20"/>
        </w:rPr>
        <w:t>项目管理机构评分标准表</w:t>
      </w:r>
    </w:p>
    <w:p>
      <w:pPr>
        <w:snapToGrid w:val="0"/>
        <w:spacing w:line="400" w:lineRule="exact"/>
        <w:rPr>
          <w:rFonts w:hint="eastAsia" w:ascii="仿宋" w:hAnsi="仿宋" w:eastAsia="仿宋" w:cs="仿宋"/>
          <w:color w:val="000000"/>
          <w:sz w:val="24"/>
          <w:u w:val="single"/>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（标段名称）</w:t>
      </w:r>
      <w:r>
        <w:rPr>
          <w:rFonts w:hint="eastAsia" w:ascii="仿宋" w:hAnsi="仿宋" w:eastAsia="仿宋" w:cs="仿宋"/>
          <w:color w:val="000000"/>
          <w:sz w:val="24"/>
          <w:u w:val="single"/>
        </w:rPr>
        <w:t xml:space="preserve">                      </w:t>
      </w:r>
    </w:p>
    <w:p>
      <w:pPr>
        <w:snapToGrid w:val="0"/>
        <w:spacing w:line="400" w:lineRule="exact"/>
        <w:rPr>
          <w:rFonts w:hint="eastAsia" w:ascii="仿宋" w:hAnsi="仿宋" w:eastAsia="仿宋" w:cs="仿宋"/>
          <w:color w:val="000000"/>
          <w:sz w:val="24"/>
        </w:rPr>
      </w:pPr>
      <w:r>
        <w:rPr>
          <w:rFonts w:hint="eastAsia" w:ascii="仿宋" w:hAnsi="仿宋" w:eastAsia="仿宋" w:cs="仿宋"/>
          <w:color w:val="000000"/>
          <w:sz w:val="24"/>
        </w:rPr>
        <w:t>项目管理编号：</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tbl>
      <w:tblPr>
        <w:tblStyle w:val="47"/>
        <w:tblW w:w="9513"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3"/>
        <w:gridCol w:w="517"/>
        <w:gridCol w:w="964"/>
        <w:gridCol w:w="1076"/>
        <w:gridCol w:w="1470"/>
        <w:gridCol w:w="1731"/>
        <w:gridCol w:w="1020"/>
        <w:gridCol w:w="729"/>
        <w:gridCol w:w="729"/>
        <w:gridCol w:w="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dxa"/>
            <w:vMerge w:val="restart"/>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序号</w:t>
            </w:r>
          </w:p>
        </w:tc>
        <w:tc>
          <w:tcPr>
            <w:tcW w:w="517" w:type="dxa"/>
            <w:vMerge w:val="restart"/>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条款号</w:t>
            </w:r>
          </w:p>
        </w:tc>
        <w:tc>
          <w:tcPr>
            <w:tcW w:w="2040" w:type="dxa"/>
            <w:gridSpan w:val="2"/>
            <w:vMerge w:val="restart"/>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评分因素</w:t>
            </w:r>
          </w:p>
        </w:tc>
        <w:tc>
          <w:tcPr>
            <w:tcW w:w="4221" w:type="dxa"/>
            <w:gridSpan w:val="3"/>
            <w:vMerge w:val="restart"/>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评分标准</w:t>
            </w:r>
          </w:p>
        </w:tc>
        <w:tc>
          <w:tcPr>
            <w:tcW w:w="2352" w:type="dxa"/>
            <w:gridSpan w:val="3"/>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投标人名称及评审计分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dxa"/>
            <w:vMerge w:val="continue"/>
            <w:noWrap w:val="0"/>
            <w:vAlign w:val="center"/>
          </w:tcPr>
          <w:p>
            <w:pPr>
              <w:jc w:val="center"/>
              <w:rPr>
                <w:rFonts w:hint="eastAsia" w:ascii="仿宋" w:hAnsi="仿宋" w:eastAsia="仿宋" w:cs="仿宋"/>
                <w:color w:val="000000"/>
                <w:kern w:val="0"/>
              </w:rPr>
            </w:pPr>
          </w:p>
        </w:tc>
        <w:tc>
          <w:tcPr>
            <w:tcW w:w="517" w:type="dxa"/>
            <w:vMerge w:val="continue"/>
            <w:noWrap w:val="0"/>
            <w:vAlign w:val="center"/>
          </w:tcPr>
          <w:p>
            <w:pPr>
              <w:snapToGrid w:val="0"/>
              <w:jc w:val="center"/>
              <w:rPr>
                <w:rFonts w:hint="eastAsia" w:ascii="仿宋" w:hAnsi="仿宋" w:eastAsia="仿宋" w:cs="仿宋"/>
                <w:color w:val="000000"/>
              </w:rPr>
            </w:pPr>
          </w:p>
        </w:tc>
        <w:tc>
          <w:tcPr>
            <w:tcW w:w="2040" w:type="dxa"/>
            <w:gridSpan w:val="2"/>
            <w:vMerge w:val="continue"/>
            <w:noWrap w:val="0"/>
            <w:vAlign w:val="center"/>
          </w:tcPr>
          <w:p>
            <w:pPr>
              <w:snapToGrid w:val="0"/>
              <w:jc w:val="center"/>
              <w:rPr>
                <w:rFonts w:hint="eastAsia" w:ascii="仿宋" w:hAnsi="仿宋" w:eastAsia="仿宋" w:cs="仿宋"/>
                <w:color w:val="000000"/>
              </w:rPr>
            </w:pPr>
          </w:p>
        </w:tc>
        <w:tc>
          <w:tcPr>
            <w:tcW w:w="4221" w:type="dxa"/>
            <w:gridSpan w:val="3"/>
            <w:vMerge w:val="continue"/>
            <w:noWrap w:val="0"/>
            <w:vAlign w:val="center"/>
          </w:tcPr>
          <w:p>
            <w:pPr>
              <w:snapToGrid w:val="0"/>
              <w:jc w:val="center"/>
              <w:rPr>
                <w:rFonts w:hint="eastAsia" w:ascii="仿宋" w:hAnsi="仿宋" w:eastAsia="仿宋" w:cs="仿宋"/>
                <w:color w:val="000000"/>
              </w:rPr>
            </w:pPr>
          </w:p>
        </w:tc>
        <w:tc>
          <w:tcPr>
            <w:tcW w:w="729"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1</w:t>
            </w:r>
          </w:p>
        </w:tc>
        <w:tc>
          <w:tcPr>
            <w:tcW w:w="729"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2</w:t>
            </w:r>
          </w:p>
        </w:tc>
        <w:tc>
          <w:tcPr>
            <w:tcW w:w="894"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dxa"/>
            <w:vMerge w:val="continue"/>
            <w:noWrap w:val="0"/>
            <w:vAlign w:val="center"/>
          </w:tcPr>
          <w:p>
            <w:pPr>
              <w:jc w:val="center"/>
              <w:rPr>
                <w:rFonts w:hint="eastAsia" w:ascii="仿宋" w:hAnsi="仿宋" w:eastAsia="仿宋" w:cs="仿宋"/>
                <w:color w:val="000000"/>
                <w:kern w:val="0"/>
              </w:rPr>
            </w:pPr>
          </w:p>
        </w:tc>
        <w:tc>
          <w:tcPr>
            <w:tcW w:w="517" w:type="dxa"/>
            <w:vMerge w:val="continue"/>
            <w:noWrap w:val="0"/>
            <w:vAlign w:val="center"/>
          </w:tcPr>
          <w:p>
            <w:pPr>
              <w:snapToGrid w:val="0"/>
              <w:jc w:val="center"/>
              <w:rPr>
                <w:rFonts w:hint="eastAsia" w:ascii="仿宋" w:hAnsi="仿宋" w:eastAsia="仿宋" w:cs="仿宋"/>
                <w:color w:val="000000"/>
              </w:rPr>
            </w:pPr>
          </w:p>
        </w:tc>
        <w:tc>
          <w:tcPr>
            <w:tcW w:w="2040" w:type="dxa"/>
            <w:gridSpan w:val="2"/>
            <w:vMerge w:val="continue"/>
            <w:noWrap w:val="0"/>
            <w:vAlign w:val="center"/>
          </w:tcPr>
          <w:p>
            <w:pPr>
              <w:snapToGrid w:val="0"/>
              <w:rPr>
                <w:rFonts w:hint="eastAsia" w:ascii="仿宋" w:hAnsi="仿宋" w:eastAsia="仿宋" w:cs="仿宋"/>
                <w:color w:val="000000"/>
              </w:rPr>
            </w:pPr>
          </w:p>
        </w:tc>
        <w:tc>
          <w:tcPr>
            <w:tcW w:w="4221" w:type="dxa"/>
            <w:gridSpan w:val="3"/>
            <w:vMerge w:val="continue"/>
            <w:noWrap w:val="0"/>
            <w:vAlign w:val="center"/>
          </w:tcPr>
          <w:p>
            <w:pPr>
              <w:snapToGrid w:val="0"/>
              <w:jc w:val="center"/>
              <w:rPr>
                <w:rFonts w:hint="eastAsia" w:ascii="仿宋" w:hAnsi="仿宋" w:eastAsia="仿宋" w:cs="仿宋"/>
                <w:color w:val="000000"/>
              </w:rPr>
            </w:pPr>
          </w:p>
        </w:tc>
        <w:tc>
          <w:tcPr>
            <w:tcW w:w="729" w:type="dxa"/>
            <w:noWrap w:val="0"/>
            <w:vAlign w:val="center"/>
          </w:tcPr>
          <w:p>
            <w:pPr>
              <w:jc w:val="center"/>
              <w:rPr>
                <w:rFonts w:hint="eastAsia" w:ascii="仿宋" w:hAnsi="仿宋" w:eastAsia="仿宋" w:cs="仿宋"/>
                <w:color w:val="000000"/>
                <w:kern w:val="0"/>
              </w:rPr>
            </w:pPr>
          </w:p>
        </w:tc>
        <w:tc>
          <w:tcPr>
            <w:tcW w:w="729" w:type="dxa"/>
            <w:noWrap w:val="0"/>
            <w:vAlign w:val="center"/>
          </w:tcPr>
          <w:p>
            <w:pPr>
              <w:jc w:val="center"/>
              <w:rPr>
                <w:rFonts w:hint="eastAsia" w:ascii="仿宋" w:hAnsi="仿宋" w:eastAsia="仿宋" w:cs="仿宋"/>
                <w:color w:val="000000"/>
                <w:kern w:val="0"/>
              </w:rPr>
            </w:pPr>
          </w:p>
        </w:tc>
        <w:tc>
          <w:tcPr>
            <w:tcW w:w="894"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dxa"/>
            <w:vMerge w:val="restart"/>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w:t>
            </w:r>
          </w:p>
        </w:tc>
        <w:tc>
          <w:tcPr>
            <w:tcW w:w="517" w:type="dxa"/>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2.2.4（2）</w:t>
            </w:r>
          </w:p>
        </w:tc>
        <w:tc>
          <w:tcPr>
            <w:tcW w:w="2040" w:type="dxa"/>
            <w:gridSpan w:val="2"/>
            <w:vMerge w:val="restart"/>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机构设置（15分）</w:t>
            </w:r>
          </w:p>
        </w:tc>
        <w:tc>
          <w:tcPr>
            <w:tcW w:w="3201" w:type="dxa"/>
            <w:gridSpan w:val="2"/>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合理科学</w:t>
            </w:r>
          </w:p>
        </w:tc>
        <w:tc>
          <w:tcPr>
            <w:tcW w:w="1020"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15</w:t>
            </w:r>
          </w:p>
        </w:tc>
        <w:tc>
          <w:tcPr>
            <w:tcW w:w="729" w:type="dxa"/>
            <w:noWrap w:val="0"/>
            <w:vAlign w:val="center"/>
          </w:tcPr>
          <w:p>
            <w:pPr>
              <w:pStyle w:val="106"/>
              <w:rPr>
                <w:rFonts w:hint="eastAsia" w:ascii="仿宋" w:hAnsi="仿宋" w:eastAsia="仿宋" w:cs="仿宋"/>
                <w:sz w:val="18"/>
                <w:szCs w:val="18"/>
              </w:rPr>
            </w:pPr>
          </w:p>
        </w:tc>
        <w:tc>
          <w:tcPr>
            <w:tcW w:w="729" w:type="dxa"/>
            <w:noWrap w:val="0"/>
            <w:vAlign w:val="center"/>
          </w:tcPr>
          <w:p>
            <w:pPr>
              <w:jc w:val="center"/>
              <w:rPr>
                <w:rFonts w:hint="eastAsia" w:ascii="仿宋" w:hAnsi="仿宋" w:eastAsia="仿宋" w:cs="仿宋"/>
                <w:color w:val="000000"/>
                <w:kern w:val="0"/>
                <w:sz w:val="18"/>
                <w:szCs w:val="18"/>
              </w:rPr>
            </w:pPr>
          </w:p>
        </w:tc>
        <w:tc>
          <w:tcPr>
            <w:tcW w:w="894" w:type="dxa"/>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dxa"/>
            <w:vMerge w:val="continue"/>
            <w:noWrap w:val="0"/>
            <w:vAlign w:val="center"/>
          </w:tcPr>
          <w:p>
            <w:pPr>
              <w:jc w:val="center"/>
              <w:rPr>
                <w:rFonts w:hint="eastAsia" w:ascii="仿宋" w:hAnsi="仿宋" w:eastAsia="仿宋" w:cs="仿宋"/>
                <w:color w:val="000000"/>
                <w:kern w:val="0"/>
                <w:sz w:val="18"/>
                <w:szCs w:val="18"/>
              </w:rPr>
            </w:pPr>
          </w:p>
        </w:tc>
        <w:tc>
          <w:tcPr>
            <w:tcW w:w="517" w:type="dxa"/>
            <w:vMerge w:val="continue"/>
            <w:noWrap w:val="0"/>
            <w:vAlign w:val="center"/>
          </w:tcPr>
          <w:p>
            <w:pPr>
              <w:snapToGrid w:val="0"/>
              <w:jc w:val="center"/>
              <w:rPr>
                <w:rFonts w:hint="eastAsia" w:ascii="仿宋" w:hAnsi="仿宋" w:eastAsia="仿宋" w:cs="仿宋"/>
                <w:color w:val="000000"/>
                <w:sz w:val="18"/>
                <w:szCs w:val="18"/>
              </w:rPr>
            </w:pPr>
          </w:p>
        </w:tc>
        <w:tc>
          <w:tcPr>
            <w:tcW w:w="2040" w:type="dxa"/>
            <w:gridSpan w:val="2"/>
            <w:vMerge w:val="continue"/>
            <w:noWrap w:val="0"/>
            <w:vAlign w:val="center"/>
          </w:tcPr>
          <w:p>
            <w:pPr>
              <w:jc w:val="center"/>
              <w:rPr>
                <w:rFonts w:hint="eastAsia" w:ascii="仿宋" w:hAnsi="仿宋" w:eastAsia="仿宋" w:cs="仿宋"/>
                <w:color w:val="000000"/>
                <w:sz w:val="18"/>
                <w:szCs w:val="18"/>
              </w:rPr>
            </w:pPr>
          </w:p>
        </w:tc>
        <w:tc>
          <w:tcPr>
            <w:tcW w:w="3201" w:type="dxa"/>
            <w:gridSpan w:val="2"/>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基本合理</w:t>
            </w:r>
          </w:p>
        </w:tc>
        <w:tc>
          <w:tcPr>
            <w:tcW w:w="1020"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13</w:t>
            </w:r>
          </w:p>
        </w:tc>
        <w:tc>
          <w:tcPr>
            <w:tcW w:w="729" w:type="dxa"/>
            <w:noWrap w:val="0"/>
            <w:vAlign w:val="center"/>
          </w:tcPr>
          <w:p>
            <w:pPr>
              <w:pStyle w:val="106"/>
              <w:rPr>
                <w:rFonts w:hint="eastAsia" w:ascii="仿宋" w:hAnsi="仿宋" w:eastAsia="仿宋" w:cs="仿宋"/>
                <w:sz w:val="18"/>
                <w:szCs w:val="18"/>
              </w:rPr>
            </w:pPr>
          </w:p>
        </w:tc>
        <w:tc>
          <w:tcPr>
            <w:tcW w:w="729" w:type="dxa"/>
            <w:noWrap w:val="0"/>
            <w:vAlign w:val="center"/>
          </w:tcPr>
          <w:p>
            <w:pPr>
              <w:jc w:val="center"/>
              <w:rPr>
                <w:rFonts w:hint="eastAsia" w:ascii="仿宋" w:hAnsi="仿宋" w:eastAsia="仿宋" w:cs="仿宋"/>
                <w:color w:val="000000"/>
                <w:kern w:val="0"/>
                <w:sz w:val="18"/>
                <w:szCs w:val="18"/>
              </w:rPr>
            </w:pPr>
          </w:p>
        </w:tc>
        <w:tc>
          <w:tcPr>
            <w:tcW w:w="894" w:type="dxa"/>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dxa"/>
            <w:vMerge w:val="continue"/>
            <w:noWrap w:val="0"/>
            <w:vAlign w:val="center"/>
          </w:tcPr>
          <w:p>
            <w:pPr>
              <w:jc w:val="center"/>
              <w:rPr>
                <w:rFonts w:hint="eastAsia" w:ascii="仿宋" w:hAnsi="仿宋" w:eastAsia="仿宋" w:cs="仿宋"/>
                <w:color w:val="000000"/>
                <w:kern w:val="0"/>
                <w:sz w:val="18"/>
                <w:szCs w:val="18"/>
              </w:rPr>
            </w:pPr>
          </w:p>
        </w:tc>
        <w:tc>
          <w:tcPr>
            <w:tcW w:w="517" w:type="dxa"/>
            <w:vMerge w:val="continue"/>
            <w:noWrap w:val="0"/>
            <w:vAlign w:val="center"/>
          </w:tcPr>
          <w:p>
            <w:pPr>
              <w:snapToGrid w:val="0"/>
              <w:jc w:val="center"/>
              <w:rPr>
                <w:rFonts w:hint="eastAsia" w:ascii="仿宋" w:hAnsi="仿宋" w:eastAsia="仿宋" w:cs="仿宋"/>
                <w:color w:val="000000"/>
                <w:sz w:val="18"/>
                <w:szCs w:val="18"/>
              </w:rPr>
            </w:pPr>
          </w:p>
        </w:tc>
        <w:tc>
          <w:tcPr>
            <w:tcW w:w="2040" w:type="dxa"/>
            <w:gridSpan w:val="2"/>
            <w:vMerge w:val="continue"/>
            <w:noWrap w:val="0"/>
            <w:vAlign w:val="center"/>
          </w:tcPr>
          <w:p>
            <w:pPr>
              <w:jc w:val="center"/>
              <w:rPr>
                <w:rFonts w:hint="eastAsia" w:ascii="仿宋" w:hAnsi="仿宋" w:eastAsia="仿宋" w:cs="仿宋"/>
                <w:color w:val="000000"/>
                <w:sz w:val="18"/>
                <w:szCs w:val="18"/>
              </w:rPr>
            </w:pPr>
          </w:p>
        </w:tc>
        <w:tc>
          <w:tcPr>
            <w:tcW w:w="3201" w:type="dxa"/>
            <w:gridSpan w:val="2"/>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欠合理</w:t>
            </w:r>
          </w:p>
        </w:tc>
        <w:tc>
          <w:tcPr>
            <w:tcW w:w="1020"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0</w:t>
            </w:r>
          </w:p>
        </w:tc>
        <w:tc>
          <w:tcPr>
            <w:tcW w:w="729" w:type="dxa"/>
            <w:noWrap w:val="0"/>
            <w:vAlign w:val="center"/>
          </w:tcPr>
          <w:p>
            <w:pPr>
              <w:pStyle w:val="106"/>
              <w:rPr>
                <w:rFonts w:hint="eastAsia" w:ascii="仿宋" w:hAnsi="仿宋" w:eastAsia="仿宋" w:cs="仿宋"/>
                <w:sz w:val="18"/>
                <w:szCs w:val="18"/>
              </w:rPr>
            </w:pPr>
          </w:p>
        </w:tc>
        <w:tc>
          <w:tcPr>
            <w:tcW w:w="729" w:type="dxa"/>
            <w:noWrap w:val="0"/>
            <w:vAlign w:val="center"/>
          </w:tcPr>
          <w:p>
            <w:pPr>
              <w:jc w:val="center"/>
              <w:rPr>
                <w:rFonts w:hint="eastAsia" w:ascii="仿宋" w:hAnsi="仿宋" w:eastAsia="仿宋" w:cs="仿宋"/>
                <w:color w:val="000000"/>
                <w:kern w:val="0"/>
                <w:sz w:val="18"/>
                <w:szCs w:val="18"/>
              </w:rPr>
            </w:pPr>
          </w:p>
        </w:tc>
        <w:tc>
          <w:tcPr>
            <w:tcW w:w="894" w:type="dxa"/>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dxa"/>
            <w:vMerge w:val="restart"/>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2</w:t>
            </w:r>
          </w:p>
        </w:tc>
        <w:tc>
          <w:tcPr>
            <w:tcW w:w="517" w:type="dxa"/>
            <w:vMerge w:val="continue"/>
            <w:noWrap w:val="0"/>
            <w:vAlign w:val="center"/>
          </w:tcPr>
          <w:p>
            <w:pPr>
              <w:snapToGrid w:val="0"/>
              <w:jc w:val="center"/>
              <w:rPr>
                <w:rFonts w:hint="eastAsia" w:ascii="仿宋" w:hAnsi="仿宋" w:eastAsia="仿宋" w:cs="仿宋"/>
                <w:color w:val="000000"/>
                <w:sz w:val="18"/>
                <w:szCs w:val="18"/>
              </w:rPr>
            </w:pPr>
          </w:p>
        </w:tc>
        <w:tc>
          <w:tcPr>
            <w:tcW w:w="964" w:type="dxa"/>
            <w:vMerge w:val="restart"/>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人员配备（85分）</w:t>
            </w:r>
          </w:p>
        </w:tc>
        <w:tc>
          <w:tcPr>
            <w:tcW w:w="1076" w:type="dxa"/>
            <w:vMerge w:val="restart"/>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项目</w:t>
            </w:r>
          </w:p>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负责人</w:t>
            </w:r>
          </w:p>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（30分）</w:t>
            </w:r>
          </w:p>
        </w:tc>
        <w:tc>
          <w:tcPr>
            <w:tcW w:w="3201" w:type="dxa"/>
            <w:gridSpan w:val="2"/>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满足资格条件（15分）</w:t>
            </w:r>
          </w:p>
        </w:tc>
        <w:tc>
          <w:tcPr>
            <w:tcW w:w="1020"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15</w:t>
            </w:r>
          </w:p>
        </w:tc>
        <w:tc>
          <w:tcPr>
            <w:tcW w:w="729" w:type="dxa"/>
            <w:noWrap w:val="0"/>
            <w:vAlign w:val="center"/>
          </w:tcPr>
          <w:p>
            <w:pPr>
              <w:pStyle w:val="106"/>
              <w:rPr>
                <w:rFonts w:hint="eastAsia" w:ascii="仿宋" w:hAnsi="仿宋" w:eastAsia="仿宋" w:cs="仿宋"/>
                <w:sz w:val="18"/>
                <w:szCs w:val="18"/>
              </w:rPr>
            </w:pPr>
          </w:p>
        </w:tc>
        <w:tc>
          <w:tcPr>
            <w:tcW w:w="729" w:type="dxa"/>
            <w:noWrap w:val="0"/>
            <w:vAlign w:val="center"/>
          </w:tcPr>
          <w:p>
            <w:pPr>
              <w:jc w:val="center"/>
              <w:rPr>
                <w:rFonts w:hint="eastAsia" w:ascii="仿宋" w:hAnsi="仿宋" w:eastAsia="仿宋" w:cs="仿宋"/>
                <w:color w:val="000000"/>
                <w:kern w:val="0"/>
                <w:sz w:val="18"/>
                <w:szCs w:val="18"/>
              </w:rPr>
            </w:pPr>
          </w:p>
        </w:tc>
        <w:tc>
          <w:tcPr>
            <w:tcW w:w="894" w:type="dxa"/>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dxa"/>
            <w:vMerge w:val="continue"/>
            <w:noWrap w:val="0"/>
            <w:vAlign w:val="center"/>
          </w:tcPr>
          <w:p>
            <w:pPr>
              <w:jc w:val="center"/>
              <w:rPr>
                <w:rFonts w:hint="eastAsia" w:ascii="仿宋" w:hAnsi="仿宋" w:eastAsia="仿宋" w:cs="仿宋"/>
                <w:color w:val="000000"/>
                <w:kern w:val="0"/>
                <w:sz w:val="18"/>
                <w:szCs w:val="18"/>
              </w:rPr>
            </w:pPr>
          </w:p>
        </w:tc>
        <w:tc>
          <w:tcPr>
            <w:tcW w:w="517" w:type="dxa"/>
            <w:vMerge w:val="continue"/>
            <w:noWrap w:val="0"/>
            <w:vAlign w:val="center"/>
          </w:tcPr>
          <w:p>
            <w:pPr>
              <w:snapToGrid w:val="0"/>
              <w:jc w:val="center"/>
              <w:rPr>
                <w:rFonts w:hint="eastAsia" w:ascii="仿宋" w:hAnsi="仿宋" w:eastAsia="仿宋" w:cs="仿宋"/>
                <w:color w:val="000000"/>
                <w:sz w:val="18"/>
                <w:szCs w:val="18"/>
              </w:rPr>
            </w:pPr>
          </w:p>
        </w:tc>
        <w:tc>
          <w:tcPr>
            <w:tcW w:w="964" w:type="dxa"/>
            <w:vMerge w:val="continue"/>
            <w:noWrap w:val="0"/>
            <w:vAlign w:val="center"/>
          </w:tcPr>
          <w:p>
            <w:pPr>
              <w:jc w:val="center"/>
              <w:rPr>
                <w:rFonts w:hint="eastAsia" w:ascii="仿宋" w:hAnsi="仿宋" w:eastAsia="仿宋" w:cs="仿宋"/>
                <w:color w:val="000000"/>
                <w:sz w:val="18"/>
                <w:szCs w:val="18"/>
              </w:rPr>
            </w:pPr>
          </w:p>
        </w:tc>
        <w:tc>
          <w:tcPr>
            <w:tcW w:w="1076" w:type="dxa"/>
            <w:vMerge w:val="continue"/>
            <w:noWrap w:val="0"/>
            <w:vAlign w:val="center"/>
          </w:tcPr>
          <w:p>
            <w:pPr>
              <w:jc w:val="center"/>
              <w:rPr>
                <w:rFonts w:hint="eastAsia" w:ascii="仿宋" w:hAnsi="仿宋" w:eastAsia="仿宋" w:cs="仿宋"/>
                <w:color w:val="000000"/>
                <w:sz w:val="18"/>
                <w:szCs w:val="18"/>
              </w:rPr>
            </w:pPr>
          </w:p>
        </w:tc>
        <w:tc>
          <w:tcPr>
            <w:tcW w:w="1470" w:type="dxa"/>
            <w:vMerge w:val="restart"/>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经验</w:t>
            </w:r>
          </w:p>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（15分）</w:t>
            </w:r>
          </w:p>
        </w:tc>
        <w:tc>
          <w:tcPr>
            <w:tcW w:w="1731" w:type="dxa"/>
            <w:noWrap w:val="0"/>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有项目负责人经</w:t>
            </w:r>
          </w:p>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验：根据本文件第二章投标须知前附表第10.1款第3项确定。</w:t>
            </w:r>
          </w:p>
        </w:tc>
        <w:tc>
          <w:tcPr>
            <w:tcW w:w="1020" w:type="dxa"/>
            <w:noWrap w:val="0"/>
            <w:vAlign w:val="center"/>
          </w:tcPr>
          <w:p>
            <w:pPr>
              <w:pStyle w:val="106"/>
              <w:jc w:val="center"/>
              <w:rPr>
                <w:rFonts w:ascii="仿宋" w:hAnsi="仿宋" w:eastAsia="仿宋" w:cs="仿宋"/>
                <w:sz w:val="18"/>
                <w:szCs w:val="18"/>
              </w:rPr>
            </w:pPr>
            <w:r>
              <w:rPr>
                <w:rFonts w:hint="eastAsia" w:ascii="仿宋" w:hAnsi="仿宋" w:eastAsia="仿宋" w:cs="仿宋"/>
                <w:sz w:val="18"/>
                <w:szCs w:val="18"/>
              </w:rPr>
              <w:t>15</w:t>
            </w:r>
          </w:p>
        </w:tc>
        <w:tc>
          <w:tcPr>
            <w:tcW w:w="729" w:type="dxa"/>
            <w:vMerge w:val="restart"/>
            <w:noWrap w:val="0"/>
            <w:vAlign w:val="center"/>
          </w:tcPr>
          <w:p>
            <w:pPr>
              <w:pStyle w:val="106"/>
              <w:rPr>
                <w:rFonts w:hint="eastAsia" w:ascii="仿宋" w:hAnsi="仿宋" w:eastAsia="仿宋" w:cs="仿宋"/>
                <w:sz w:val="18"/>
                <w:szCs w:val="18"/>
              </w:rPr>
            </w:pPr>
          </w:p>
        </w:tc>
        <w:tc>
          <w:tcPr>
            <w:tcW w:w="729" w:type="dxa"/>
            <w:vMerge w:val="restart"/>
            <w:noWrap w:val="0"/>
            <w:vAlign w:val="center"/>
          </w:tcPr>
          <w:p>
            <w:pPr>
              <w:jc w:val="center"/>
              <w:rPr>
                <w:rFonts w:hint="eastAsia" w:ascii="仿宋" w:hAnsi="仿宋" w:eastAsia="仿宋" w:cs="仿宋"/>
                <w:color w:val="000000"/>
                <w:kern w:val="0"/>
                <w:sz w:val="18"/>
                <w:szCs w:val="18"/>
              </w:rPr>
            </w:pPr>
          </w:p>
        </w:tc>
        <w:tc>
          <w:tcPr>
            <w:tcW w:w="894" w:type="dxa"/>
            <w:vMerge w:val="restart"/>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dxa"/>
            <w:vMerge w:val="continue"/>
            <w:noWrap w:val="0"/>
            <w:vAlign w:val="center"/>
          </w:tcPr>
          <w:p>
            <w:pPr>
              <w:jc w:val="center"/>
              <w:rPr>
                <w:color w:val="000000"/>
              </w:rPr>
            </w:pPr>
          </w:p>
        </w:tc>
        <w:tc>
          <w:tcPr>
            <w:tcW w:w="517" w:type="dxa"/>
            <w:vMerge w:val="continue"/>
            <w:noWrap w:val="0"/>
            <w:vAlign w:val="center"/>
          </w:tcPr>
          <w:p>
            <w:pPr>
              <w:jc w:val="center"/>
              <w:rPr>
                <w:color w:val="000000"/>
              </w:rPr>
            </w:pPr>
          </w:p>
        </w:tc>
        <w:tc>
          <w:tcPr>
            <w:tcW w:w="964" w:type="dxa"/>
            <w:vMerge w:val="continue"/>
            <w:noWrap w:val="0"/>
            <w:vAlign w:val="center"/>
          </w:tcPr>
          <w:p>
            <w:pPr>
              <w:jc w:val="center"/>
              <w:rPr>
                <w:color w:val="000000"/>
              </w:rPr>
            </w:pPr>
          </w:p>
        </w:tc>
        <w:tc>
          <w:tcPr>
            <w:tcW w:w="1076" w:type="dxa"/>
            <w:vMerge w:val="continue"/>
            <w:noWrap w:val="0"/>
            <w:vAlign w:val="center"/>
          </w:tcPr>
          <w:p>
            <w:pPr>
              <w:jc w:val="center"/>
              <w:rPr>
                <w:color w:val="000000"/>
              </w:rPr>
            </w:pPr>
          </w:p>
        </w:tc>
        <w:tc>
          <w:tcPr>
            <w:tcW w:w="1470" w:type="dxa"/>
            <w:vMerge w:val="continue"/>
            <w:noWrap w:val="0"/>
            <w:vAlign w:val="center"/>
          </w:tcPr>
          <w:p>
            <w:pPr>
              <w:jc w:val="center"/>
              <w:rPr>
                <w:color w:val="000000"/>
              </w:rPr>
            </w:pPr>
          </w:p>
        </w:tc>
        <w:tc>
          <w:tcPr>
            <w:tcW w:w="1731" w:type="dxa"/>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无项目负责</w:t>
            </w:r>
          </w:p>
          <w:p>
            <w:pPr>
              <w:jc w:val="center"/>
              <w:rPr>
                <w:color w:val="000000"/>
              </w:rPr>
            </w:pPr>
            <w:r>
              <w:rPr>
                <w:rFonts w:hint="eastAsia" w:ascii="仿宋" w:hAnsi="仿宋" w:eastAsia="仿宋" w:cs="仿宋"/>
                <w:color w:val="000000"/>
                <w:sz w:val="18"/>
                <w:szCs w:val="18"/>
              </w:rPr>
              <w:t>人经验</w:t>
            </w:r>
          </w:p>
        </w:tc>
        <w:tc>
          <w:tcPr>
            <w:tcW w:w="1020" w:type="dxa"/>
            <w:noWrap w:val="0"/>
            <w:vAlign w:val="center"/>
          </w:tcPr>
          <w:p>
            <w:pPr>
              <w:jc w:val="center"/>
              <w:rPr>
                <w:color w:val="000000"/>
              </w:rPr>
            </w:pPr>
            <w:r>
              <w:rPr>
                <w:rFonts w:hint="eastAsia" w:ascii="仿宋" w:hAnsi="仿宋" w:eastAsia="仿宋" w:cs="仿宋"/>
                <w:color w:val="000000"/>
                <w:sz w:val="18"/>
                <w:szCs w:val="18"/>
              </w:rPr>
              <w:t>0</w:t>
            </w:r>
          </w:p>
        </w:tc>
        <w:tc>
          <w:tcPr>
            <w:tcW w:w="729" w:type="dxa"/>
            <w:vMerge w:val="continue"/>
            <w:noWrap w:val="0"/>
            <w:vAlign w:val="center"/>
          </w:tcPr>
          <w:p>
            <w:pPr>
              <w:jc w:val="center"/>
              <w:rPr>
                <w:color w:val="000000"/>
              </w:rPr>
            </w:pPr>
          </w:p>
        </w:tc>
        <w:tc>
          <w:tcPr>
            <w:tcW w:w="729" w:type="dxa"/>
            <w:vMerge w:val="continue"/>
            <w:noWrap w:val="0"/>
            <w:vAlign w:val="center"/>
          </w:tcPr>
          <w:p>
            <w:pPr>
              <w:jc w:val="center"/>
              <w:rPr>
                <w:color w:val="000000"/>
              </w:rPr>
            </w:pPr>
          </w:p>
        </w:tc>
        <w:tc>
          <w:tcPr>
            <w:tcW w:w="894" w:type="dxa"/>
            <w:vMerge w:val="continue"/>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dxa"/>
            <w:vMerge w:val="continue"/>
            <w:noWrap w:val="0"/>
            <w:vAlign w:val="center"/>
          </w:tcPr>
          <w:p>
            <w:pPr>
              <w:jc w:val="center"/>
              <w:rPr>
                <w:rFonts w:hint="eastAsia" w:ascii="仿宋" w:hAnsi="仿宋" w:eastAsia="仿宋" w:cs="仿宋"/>
                <w:color w:val="000000"/>
                <w:kern w:val="0"/>
                <w:sz w:val="18"/>
                <w:szCs w:val="18"/>
              </w:rPr>
            </w:pPr>
          </w:p>
        </w:tc>
        <w:tc>
          <w:tcPr>
            <w:tcW w:w="517" w:type="dxa"/>
            <w:vMerge w:val="continue"/>
            <w:noWrap w:val="0"/>
            <w:vAlign w:val="center"/>
          </w:tcPr>
          <w:p>
            <w:pPr>
              <w:snapToGrid w:val="0"/>
              <w:jc w:val="center"/>
              <w:rPr>
                <w:rFonts w:hint="eastAsia" w:ascii="仿宋" w:hAnsi="仿宋" w:eastAsia="仿宋" w:cs="仿宋"/>
                <w:color w:val="000000"/>
                <w:sz w:val="18"/>
                <w:szCs w:val="18"/>
              </w:rPr>
            </w:pPr>
          </w:p>
        </w:tc>
        <w:tc>
          <w:tcPr>
            <w:tcW w:w="964" w:type="dxa"/>
            <w:vMerge w:val="continue"/>
            <w:noWrap w:val="0"/>
            <w:vAlign w:val="center"/>
          </w:tcPr>
          <w:p>
            <w:pPr>
              <w:jc w:val="center"/>
              <w:rPr>
                <w:rFonts w:hint="eastAsia" w:ascii="仿宋" w:hAnsi="仿宋" w:eastAsia="仿宋" w:cs="仿宋"/>
                <w:color w:val="000000"/>
                <w:sz w:val="18"/>
                <w:szCs w:val="18"/>
              </w:rPr>
            </w:pPr>
          </w:p>
        </w:tc>
        <w:tc>
          <w:tcPr>
            <w:tcW w:w="1076" w:type="dxa"/>
            <w:vMerge w:val="continue"/>
            <w:noWrap w:val="0"/>
            <w:vAlign w:val="center"/>
          </w:tcPr>
          <w:p>
            <w:pPr>
              <w:jc w:val="center"/>
              <w:rPr>
                <w:rFonts w:hint="eastAsia" w:ascii="仿宋" w:hAnsi="仿宋" w:eastAsia="仿宋" w:cs="仿宋"/>
                <w:color w:val="000000"/>
                <w:sz w:val="18"/>
                <w:szCs w:val="18"/>
              </w:rPr>
            </w:pPr>
          </w:p>
        </w:tc>
        <w:tc>
          <w:tcPr>
            <w:tcW w:w="1470"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处罚记录</w:t>
            </w:r>
          </w:p>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（近</w:t>
            </w:r>
            <w:r>
              <w:rPr>
                <w:rFonts w:hint="eastAsia" w:ascii="仿宋" w:hAnsi="仿宋" w:eastAsia="仿宋" w:cs="仿宋"/>
                <w:color w:val="000000"/>
                <w:sz w:val="18"/>
                <w:szCs w:val="18"/>
                <w:u w:val="single"/>
              </w:rPr>
              <w:t xml:space="preserve">   </w:t>
            </w:r>
            <w:r>
              <w:rPr>
                <w:rFonts w:hint="eastAsia" w:ascii="仿宋" w:hAnsi="仿宋" w:eastAsia="仿宋" w:cs="仿宋"/>
                <w:color w:val="000000"/>
                <w:sz w:val="18"/>
                <w:szCs w:val="18"/>
              </w:rPr>
              <w:t>年）</w:t>
            </w:r>
          </w:p>
        </w:tc>
        <w:tc>
          <w:tcPr>
            <w:tcW w:w="2751" w:type="dxa"/>
            <w:gridSpan w:val="2"/>
            <w:noWrap w:val="0"/>
            <w:vAlign w:val="center"/>
          </w:tcPr>
          <w:p>
            <w:pPr>
              <w:ind w:firstLine="180" w:firstLineChars="100"/>
              <w:jc w:val="left"/>
              <w:rPr>
                <w:rFonts w:hint="eastAsia" w:ascii="仿宋" w:hAnsi="仿宋" w:eastAsia="仿宋" w:cs="仿宋"/>
                <w:color w:val="000000"/>
                <w:sz w:val="18"/>
                <w:szCs w:val="18"/>
              </w:rPr>
            </w:pPr>
            <w:r>
              <w:rPr>
                <w:rFonts w:hint="eastAsia" w:ascii="仿宋" w:hAnsi="仿宋" w:eastAsia="仿宋" w:cs="仿宋"/>
                <w:color w:val="000000"/>
                <w:sz w:val="18"/>
                <w:szCs w:val="18"/>
              </w:rPr>
              <w:t>每项省级及以上处罚扣</w:t>
            </w:r>
            <w:r>
              <w:rPr>
                <w:rFonts w:hint="eastAsia" w:ascii="仿宋" w:hAnsi="仿宋" w:eastAsia="仿宋" w:cs="仿宋"/>
                <w:color w:val="000000"/>
                <w:sz w:val="18"/>
                <w:szCs w:val="18"/>
                <w:u w:val="single"/>
              </w:rPr>
              <w:t xml:space="preserve">   </w:t>
            </w:r>
            <w:r>
              <w:rPr>
                <w:rFonts w:hint="eastAsia" w:ascii="仿宋" w:hAnsi="仿宋" w:eastAsia="仿宋" w:cs="仿宋"/>
                <w:color w:val="000000"/>
                <w:sz w:val="18"/>
                <w:szCs w:val="18"/>
              </w:rPr>
              <w:t>分，每项市级处罚扣</w:t>
            </w:r>
            <w:r>
              <w:rPr>
                <w:rFonts w:hint="eastAsia" w:ascii="仿宋" w:hAnsi="仿宋" w:eastAsia="仿宋" w:cs="仿宋"/>
                <w:color w:val="000000"/>
                <w:sz w:val="18"/>
                <w:szCs w:val="18"/>
                <w:u w:val="single"/>
              </w:rPr>
              <w:t xml:space="preserve">   </w:t>
            </w:r>
            <w:r>
              <w:rPr>
                <w:rFonts w:hint="eastAsia" w:ascii="仿宋" w:hAnsi="仿宋" w:eastAsia="仿宋" w:cs="仿宋"/>
                <w:color w:val="000000"/>
                <w:sz w:val="18"/>
                <w:szCs w:val="18"/>
              </w:rPr>
              <w:t>分，每项县级处罚扣</w:t>
            </w:r>
            <w:r>
              <w:rPr>
                <w:rFonts w:hint="eastAsia" w:ascii="仿宋" w:hAnsi="仿宋" w:eastAsia="仿宋" w:cs="仿宋"/>
                <w:color w:val="000000"/>
                <w:sz w:val="18"/>
                <w:szCs w:val="18"/>
                <w:u w:val="single"/>
              </w:rPr>
              <w:t xml:space="preserve">    </w:t>
            </w:r>
            <w:r>
              <w:rPr>
                <w:rFonts w:hint="eastAsia" w:ascii="仿宋" w:hAnsi="仿宋" w:eastAsia="仿宋" w:cs="仿宋"/>
                <w:color w:val="000000"/>
                <w:sz w:val="18"/>
                <w:szCs w:val="18"/>
              </w:rPr>
              <w:t>分，其他扣</w:t>
            </w:r>
            <w:r>
              <w:rPr>
                <w:rFonts w:hint="eastAsia" w:ascii="仿宋" w:hAnsi="仿宋" w:eastAsia="仿宋" w:cs="仿宋"/>
                <w:color w:val="000000"/>
                <w:sz w:val="18"/>
                <w:szCs w:val="18"/>
                <w:u w:val="single"/>
              </w:rPr>
              <w:t xml:space="preserve">    </w:t>
            </w:r>
            <w:r>
              <w:rPr>
                <w:rFonts w:hint="eastAsia" w:ascii="仿宋" w:hAnsi="仿宋" w:eastAsia="仿宋" w:cs="仿宋"/>
                <w:color w:val="000000"/>
                <w:sz w:val="18"/>
                <w:szCs w:val="18"/>
              </w:rPr>
              <w:t>分。</w:t>
            </w:r>
          </w:p>
        </w:tc>
        <w:tc>
          <w:tcPr>
            <w:tcW w:w="729" w:type="dxa"/>
            <w:noWrap w:val="0"/>
            <w:vAlign w:val="center"/>
          </w:tcPr>
          <w:p>
            <w:pPr>
              <w:pStyle w:val="106"/>
              <w:rPr>
                <w:rFonts w:hint="eastAsia" w:ascii="仿宋" w:hAnsi="仿宋" w:eastAsia="仿宋" w:cs="仿宋"/>
                <w:sz w:val="18"/>
                <w:szCs w:val="18"/>
              </w:rPr>
            </w:pPr>
          </w:p>
        </w:tc>
        <w:tc>
          <w:tcPr>
            <w:tcW w:w="729" w:type="dxa"/>
            <w:noWrap w:val="0"/>
            <w:vAlign w:val="center"/>
          </w:tcPr>
          <w:p>
            <w:pPr>
              <w:jc w:val="center"/>
              <w:rPr>
                <w:rFonts w:hint="eastAsia" w:ascii="仿宋" w:hAnsi="仿宋" w:eastAsia="仿宋" w:cs="仿宋"/>
                <w:color w:val="000000"/>
                <w:kern w:val="0"/>
                <w:sz w:val="18"/>
                <w:szCs w:val="18"/>
              </w:rPr>
            </w:pPr>
          </w:p>
        </w:tc>
        <w:tc>
          <w:tcPr>
            <w:tcW w:w="894" w:type="dxa"/>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dxa"/>
            <w:vMerge w:val="restart"/>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3</w:t>
            </w:r>
          </w:p>
        </w:tc>
        <w:tc>
          <w:tcPr>
            <w:tcW w:w="517" w:type="dxa"/>
            <w:vMerge w:val="continue"/>
            <w:noWrap w:val="0"/>
            <w:vAlign w:val="center"/>
          </w:tcPr>
          <w:p>
            <w:pPr>
              <w:snapToGrid w:val="0"/>
              <w:jc w:val="center"/>
              <w:rPr>
                <w:rFonts w:hint="eastAsia" w:ascii="仿宋" w:hAnsi="仿宋" w:eastAsia="仿宋" w:cs="仿宋"/>
                <w:color w:val="000000"/>
              </w:rPr>
            </w:pPr>
          </w:p>
        </w:tc>
        <w:tc>
          <w:tcPr>
            <w:tcW w:w="964" w:type="dxa"/>
            <w:vMerge w:val="continue"/>
            <w:noWrap w:val="0"/>
            <w:vAlign w:val="center"/>
          </w:tcPr>
          <w:p>
            <w:pPr>
              <w:jc w:val="center"/>
              <w:rPr>
                <w:rFonts w:hint="eastAsia" w:ascii="仿宋" w:hAnsi="仿宋" w:eastAsia="仿宋" w:cs="仿宋"/>
                <w:color w:val="000000"/>
                <w:sz w:val="18"/>
                <w:szCs w:val="18"/>
              </w:rPr>
            </w:pPr>
          </w:p>
        </w:tc>
        <w:tc>
          <w:tcPr>
            <w:tcW w:w="1076" w:type="dxa"/>
            <w:vMerge w:val="restart"/>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技术</w:t>
            </w:r>
          </w:p>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负责人</w:t>
            </w:r>
          </w:p>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（30分）</w:t>
            </w:r>
          </w:p>
        </w:tc>
        <w:tc>
          <w:tcPr>
            <w:tcW w:w="3201" w:type="dxa"/>
            <w:gridSpan w:val="2"/>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满足资格条件（15分）</w:t>
            </w:r>
          </w:p>
        </w:tc>
        <w:tc>
          <w:tcPr>
            <w:tcW w:w="1020"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15</w:t>
            </w:r>
          </w:p>
        </w:tc>
        <w:tc>
          <w:tcPr>
            <w:tcW w:w="729" w:type="dxa"/>
            <w:noWrap w:val="0"/>
            <w:vAlign w:val="center"/>
          </w:tcPr>
          <w:p>
            <w:pPr>
              <w:pStyle w:val="106"/>
              <w:rPr>
                <w:rFonts w:hint="eastAsia" w:ascii="仿宋" w:hAnsi="仿宋" w:eastAsia="仿宋" w:cs="仿宋"/>
                <w:sz w:val="18"/>
                <w:szCs w:val="18"/>
              </w:rPr>
            </w:pPr>
          </w:p>
        </w:tc>
        <w:tc>
          <w:tcPr>
            <w:tcW w:w="729" w:type="dxa"/>
            <w:noWrap w:val="0"/>
            <w:vAlign w:val="center"/>
          </w:tcPr>
          <w:p>
            <w:pPr>
              <w:jc w:val="center"/>
              <w:rPr>
                <w:rFonts w:hint="eastAsia" w:ascii="仿宋" w:hAnsi="仿宋" w:eastAsia="仿宋" w:cs="仿宋"/>
                <w:color w:val="000000"/>
                <w:kern w:val="0"/>
                <w:sz w:val="18"/>
                <w:szCs w:val="18"/>
              </w:rPr>
            </w:pPr>
          </w:p>
        </w:tc>
        <w:tc>
          <w:tcPr>
            <w:tcW w:w="894" w:type="dxa"/>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dxa"/>
            <w:vMerge w:val="continue"/>
            <w:noWrap w:val="0"/>
            <w:vAlign w:val="center"/>
          </w:tcPr>
          <w:p>
            <w:pPr>
              <w:jc w:val="center"/>
              <w:rPr>
                <w:rFonts w:hint="eastAsia" w:ascii="仿宋" w:hAnsi="仿宋" w:eastAsia="仿宋" w:cs="仿宋"/>
                <w:color w:val="000000"/>
                <w:kern w:val="0"/>
                <w:sz w:val="18"/>
                <w:szCs w:val="18"/>
              </w:rPr>
            </w:pPr>
          </w:p>
        </w:tc>
        <w:tc>
          <w:tcPr>
            <w:tcW w:w="517" w:type="dxa"/>
            <w:vMerge w:val="continue"/>
            <w:noWrap w:val="0"/>
            <w:vAlign w:val="center"/>
          </w:tcPr>
          <w:p>
            <w:pPr>
              <w:snapToGrid w:val="0"/>
              <w:jc w:val="center"/>
              <w:rPr>
                <w:rFonts w:hint="eastAsia" w:ascii="仿宋" w:hAnsi="仿宋" w:eastAsia="仿宋" w:cs="仿宋"/>
                <w:color w:val="000000"/>
              </w:rPr>
            </w:pPr>
          </w:p>
        </w:tc>
        <w:tc>
          <w:tcPr>
            <w:tcW w:w="964" w:type="dxa"/>
            <w:vMerge w:val="continue"/>
            <w:noWrap w:val="0"/>
            <w:vAlign w:val="center"/>
          </w:tcPr>
          <w:p>
            <w:pPr>
              <w:jc w:val="center"/>
              <w:rPr>
                <w:rFonts w:hint="eastAsia" w:ascii="仿宋" w:hAnsi="仿宋" w:eastAsia="仿宋" w:cs="仿宋"/>
                <w:color w:val="000000"/>
                <w:sz w:val="18"/>
                <w:szCs w:val="18"/>
              </w:rPr>
            </w:pPr>
          </w:p>
        </w:tc>
        <w:tc>
          <w:tcPr>
            <w:tcW w:w="1076" w:type="dxa"/>
            <w:vMerge w:val="continue"/>
            <w:noWrap w:val="0"/>
            <w:vAlign w:val="center"/>
          </w:tcPr>
          <w:p>
            <w:pPr>
              <w:jc w:val="center"/>
              <w:rPr>
                <w:rFonts w:hint="eastAsia" w:ascii="仿宋" w:hAnsi="仿宋" w:eastAsia="仿宋" w:cs="仿宋"/>
                <w:color w:val="000000"/>
                <w:sz w:val="18"/>
                <w:szCs w:val="18"/>
              </w:rPr>
            </w:pPr>
          </w:p>
        </w:tc>
        <w:tc>
          <w:tcPr>
            <w:tcW w:w="1470" w:type="dxa"/>
            <w:vMerge w:val="restart"/>
            <w:noWrap w:val="0"/>
            <w:vAlign w:val="center"/>
          </w:tcPr>
          <w:p>
            <w:pPr>
              <w:jc w:val="left"/>
              <w:rPr>
                <w:rFonts w:hint="eastAsia" w:ascii="仿宋" w:hAnsi="仿宋" w:eastAsia="仿宋" w:cs="仿宋"/>
                <w:color w:val="000000"/>
                <w:sz w:val="18"/>
                <w:szCs w:val="18"/>
              </w:rPr>
            </w:pPr>
            <w:r>
              <w:rPr>
                <w:rFonts w:hint="eastAsia" w:ascii="仿宋" w:hAnsi="仿宋" w:eastAsia="仿宋" w:cs="仿宋"/>
                <w:color w:val="000000"/>
                <w:sz w:val="18"/>
                <w:szCs w:val="18"/>
              </w:rPr>
              <w:t>经验（15分）</w:t>
            </w:r>
          </w:p>
        </w:tc>
        <w:tc>
          <w:tcPr>
            <w:tcW w:w="1731" w:type="dxa"/>
            <w:noWrap w:val="0"/>
            <w:vAlign w:val="center"/>
          </w:tcPr>
          <w:p>
            <w:pPr>
              <w:pStyle w:val="106"/>
              <w:rPr>
                <w:rFonts w:hint="eastAsia" w:ascii="仿宋" w:hAnsi="仿宋" w:eastAsia="仿宋" w:cs="仿宋"/>
                <w:sz w:val="18"/>
                <w:szCs w:val="18"/>
              </w:rPr>
            </w:pPr>
            <w:r>
              <w:rPr>
                <w:rFonts w:hint="eastAsia" w:ascii="仿宋" w:hAnsi="仿宋" w:eastAsia="仿宋" w:cs="仿宋"/>
                <w:kern w:val="2"/>
                <w:sz w:val="18"/>
                <w:szCs w:val="18"/>
              </w:rPr>
              <w:t>有技术负责人经验 ：</w:t>
            </w:r>
            <w:r>
              <w:rPr>
                <w:rFonts w:hint="eastAsia" w:ascii="仿宋" w:hAnsi="仿宋" w:eastAsia="仿宋" w:cs="仿宋"/>
                <w:sz w:val="18"/>
                <w:szCs w:val="18"/>
              </w:rPr>
              <w:t>根据本文件第二章投标须知前附表第10.1款第3项确定。</w:t>
            </w:r>
          </w:p>
        </w:tc>
        <w:tc>
          <w:tcPr>
            <w:tcW w:w="1020" w:type="dxa"/>
            <w:noWrap w:val="0"/>
            <w:vAlign w:val="center"/>
          </w:tcPr>
          <w:p>
            <w:pPr>
              <w:pStyle w:val="106"/>
              <w:jc w:val="center"/>
              <w:rPr>
                <w:rFonts w:ascii="仿宋" w:hAnsi="仿宋" w:eastAsia="仿宋" w:cs="仿宋"/>
                <w:sz w:val="18"/>
                <w:szCs w:val="18"/>
              </w:rPr>
            </w:pPr>
            <w:r>
              <w:rPr>
                <w:rFonts w:hint="eastAsia" w:ascii="仿宋" w:hAnsi="仿宋" w:eastAsia="仿宋" w:cs="仿宋"/>
                <w:sz w:val="18"/>
                <w:szCs w:val="18"/>
              </w:rPr>
              <w:t>15</w:t>
            </w:r>
          </w:p>
        </w:tc>
        <w:tc>
          <w:tcPr>
            <w:tcW w:w="729" w:type="dxa"/>
            <w:vMerge w:val="restart"/>
            <w:noWrap w:val="0"/>
            <w:vAlign w:val="center"/>
          </w:tcPr>
          <w:p>
            <w:pPr>
              <w:pStyle w:val="106"/>
              <w:rPr>
                <w:rFonts w:hint="eastAsia" w:ascii="仿宋" w:hAnsi="仿宋" w:eastAsia="仿宋" w:cs="仿宋"/>
                <w:sz w:val="18"/>
                <w:szCs w:val="18"/>
              </w:rPr>
            </w:pPr>
          </w:p>
        </w:tc>
        <w:tc>
          <w:tcPr>
            <w:tcW w:w="729" w:type="dxa"/>
            <w:vMerge w:val="restart"/>
            <w:noWrap w:val="0"/>
            <w:vAlign w:val="center"/>
          </w:tcPr>
          <w:p>
            <w:pPr>
              <w:jc w:val="center"/>
              <w:rPr>
                <w:rFonts w:hint="eastAsia" w:ascii="仿宋" w:hAnsi="仿宋" w:eastAsia="仿宋" w:cs="仿宋"/>
                <w:color w:val="000000"/>
                <w:kern w:val="0"/>
                <w:sz w:val="18"/>
                <w:szCs w:val="18"/>
              </w:rPr>
            </w:pPr>
          </w:p>
        </w:tc>
        <w:tc>
          <w:tcPr>
            <w:tcW w:w="894" w:type="dxa"/>
            <w:vMerge w:val="restart"/>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dxa"/>
            <w:vMerge w:val="continue"/>
            <w:noWrap w:val="0"/>
            <w:vAlign w:val="center"/>
          </w:tcPr>
          <w:p>
            <w:pPr>
              <w:pStyle w:val="106"/>
              <w:jc w:val="center"/>
            </w:pPr>
          </w:p>
        </w:tc>
        <w:tc>
          <w:tcPr>
            <w:tcW w:w="517" w:type="dxa"/>
            <w:vMerge w:val="continue"/>
            <w:noWrap w:val="0"/>
            <w:vAlign w:val="center"/>
          </w:tcPr>
          <w:p>
            <w:pPr>
              <w:pStyle w:val="106"/>
              <w:jc w:val="center"/>
            </w:pPr>
          </w:p>
        </w:tc>
        <w:tc>
          <w:tcPr>
            <w:tcW w:w="964" w:type="dxa"/>
            <w:vMerge w:val="continue"/>
            <w:noWrap w:val="0"/>
            <w:vAlign w:val="center"/>
          </w:tcPr>
          <w:p>
            <w:pPr>
              <w:pStyle w:val="106"/>
              <w:jc w:val="center"/>
            </w:pPr>
          </w:p>
        </w:tc>
        <w:tc>
          <w:tcPr>
            <w:tcW w:w="1076" w:type="dxa"/>
            <w:vMerge w:val="continue"/>
            <w:noWrap w:val="0"/>
            <w:vAlign w:val="center"/>
          </w:tcPr>
          <w:p>
            <w:pPr>
              <w:pStyle w:val="106"/>
              <w:jc w:val="center"/>
            </w:pPr>
          </w:p>
        </w:tc>
        <w:tc>
          <w:tcPr>
            <w:tcW w:w="1470" w:type="dxa"/>
            <w:vMerge w:val="continue"/>
            <w:noWrap w:val="0"/>
            <w:vAlign w:val="center"/>
          </w:tcPr>
          <w:p>
            <w:pPr>
              <w:pStyle w:val="106"/>
              <w:jc w:val="center"/>
            </w:pPr>
          </w:p>
        </w:tc>
        <w:tc>
          <w:tcPr>
            <w:tcW w:w="1731" w:type="dxa"/>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无技术负责</w:t>
            </w:r>
          </w:p>
          <w:p>
            <w:pPr>
              <w:pStyle w:val="106"/>
              <w:jc w:val="center"/>
              <w:rPr>
                <w:rFonts w:hint="eastAsia" w:ascii="仿宋" w:hAnsi="仿宋" w:eastAsia="仿宋" w:cs="仿宋"/>
                <w:sz w:val="18"/>
                <w:szCs w:val="18"/>
              </w:rPr>
            </w:pPr>
            <w:r>
              <w:rPr>
                <w:rFonts w:hint="eastAsia" w:ascii="仿宋" w:hAnsi="仿宋" w:eastAsia="仿宋" w:cs="仿宋"/>
                <w:sz w:val="18"/>
                <w:szCs w:val="18"/>
              </w:rPr>
              <w:t>人经验</w:t>
            </w:r>
          </w:p>
        </w:tc>
        <w:tc>
          <w:tcPr>
            <w:tcW w:w="1020"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0</w:t>
            </w:r>
          </w:p>
        </w:tc>
        <w:tc>
          <w:tcPr>
            <w:tcW w:w="729" w:type="dxa"/>
            <w:vMerge w:val="continue"/>
            <w:noWrap w:val="0"/>
            <w:vAlign w:val="center"/>
          </w:tcPr>
          <w:p>
            <w:pPr>
              <w:pStyle w:val="106"/>
              <w:jc w:val="center"/>
              <w:rPr>
                <w:rFonts w:hint="eastAsia" w:ascii="仿宋" w:hAnsi="仿宋" w:eastAsia="仿宋" w:cs="仿宋"/>
                <w:sz w:val="18"/>
                <w:szCs w:val="18"/>
              </w:rPr>
            </w:pPr>
          </w:p>
        </w:tc>
        <w:tc>
          <w:tcPr>
            <w:tcW w:w="729" w:type="dxa"/>
            <w:vMerge w:val="continue"/>
            <w:noWrap w:val="0"/>
            <w:vAlign w:val="center"/>
          </w:tcPr>
          <w:p>
            <w:pPr>
              <w:pStyle w:val="106"/>
              <w:jc w:val="center"/>
              <w:rPr>
                <w:rFonts w:hint="eastAsia" w:ascii="仿宋" w:hAnsi="仿宋" w:eastAsia="仿宋" w:cs="仿宋"/>
                <w:sz w:val="18"/>
                <w:szCs w:val="18"/>
              </w:rPr>
            </w:pPr>
          </w:p>
        </w:tc>
        <w:tc>
          <w:tcPr>
            <w:tcW w:w="894" w:type="dxa"/>
            <w:vMerge w:val="continue"/>
            <w:noWrap w:val="0"/>
            <w:vAlign w:val="center"/>
          </w:tcPr>
          <w:p>
            <w:pPr>
              <w:pStyle w:val="106"/>
              <w:jc w:val="center"/>
              <w:rPr>
                <w:rFonts w:hint="eastAsia" w:ascii="仿宋" w:hAnsi="仿宋" w:eastAsia="仿宋" w:cs="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dxa"/>
            <w:vMerge w:val="continue"/>
            <w:noWrap w:val="0"/>
            <w:vAlign w:val="center"/>
          </w:tcPr>
          <w:p>
            <w:pPr>
              <w:jc w:val="center"/>
              <w:rPr>
                <w:rFonts w:hint="eastAsia" w:ascii="仿宋" w:hAnsi="仿宋" w:eastAsia="仿宋" w:cs="仿宋"/>
                <w:color w:val="000000"/>
                <w:kern w:val="0"/>
                <w:sz w:val="18"/>
                <w:szCs w:val="18"/>
              </w:rPr>
            </w:pPr>
          </w:p>
        </w:tc>
        <w:tc>
          <w:tcPr>
            <w:tcW w:w="517" w:type="dxa"/>
            <w:vMerge w:val="continue"/>
            <w:noWrap w:val="0"/>
            <w:vAlign w:val="center"/>
          </w:tcPr>
          <w:p>
            <w:pPr>
              <w:snapToGrid w:val="0"/>
              <w:jc w:val="center"/>
              <w:rPr>
                <w:rFonts w:hint="eastAsia" w:ascii="仿宋" w:hAnsi="仿宋" w:eastAsia="仿宋" w:cs="仿宋"/>
                <w:color w:val="000000"/>
              </w:rPr>
            </w:pPr>
          </w:p>
        </w:tc>
        <w:tc>
          <w:tcPr>
            <w:tcW w:w="964" w:type="dxa"/>
            <w:vMerge w:val="continue"/>
            <w:noWrap w:val="0"/>
            <w:vAlign w:val="center"/>
          </w:tcPr>
          <w:p>
            <w:pPr>
              <w:jc w:val="center"/>
              <w:rPr>
                <w:rFonts w:hint="eastAsia" w:ascii="仿宋" w:hAnsi="仿宋" w:eastAsia="仿宋" w:cs="仿宋"/>
                <w:color w:val="000000"/>
                <w:sz w:val="18"/>
                <w:szCs w:val="18"/>
              </w:rPr>
            </w:pPr>
          </w:p>
        </w:tc>
        <w:tc>
          <w:tcPr>
            <w:tcW w:w="1076" w:type="dxa"/>
            <w:vMerge w:val="continue"/>
            <w:noWrap w:val="0"/>
            <w:vAlign w:val="center"/>
          </w:tcPr>
          <w:p>
            <w:pPr>
              <w:jc w:val="center"/>
              <w:rPr>
                <w:rFonts w:hint="eastAsia" w:ascii="仿宋" w:hAnsi="仿宋" w:eastAsia="仿宋" w:cs="仿宋"/>
                <w:color w:val="000000"/>
                <w:sz w:val="18"/>
                <w:szCs w:val="18"/>
              </w:rPr>
            </w:pPr>
          </w:p>
        </w:tc>
        <w:tc>
          <w:tcPr>
            <w:tcW w:w="1470"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处罚记录</w:t>
            </w:r>
          </w:p>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（近</w:t>
            </w:r>
            <w:r>
              <w:rPr>
                <w:rFonts w:hint="eastAsia" w:ascii="仿宋" w:hAnsi="仿宋" w:eastAsia="仿宋" w:cs="仿宋"/>
                <w:color w:val="000000"/>
                <w:sz w:val="18"/>
                <w:szCs w:val="18"/>
                <w:u w:val="single"/>
              </w:rPr>
              <w:t xml:space="preserve">   </w:t>
            </w:r>
            <w:r>
              <w:rPr>
                <w:rFonts w:hint="eastAsia" w:ascii="仿宋" w:hAnsi="仿宋" w:eastAsia="仿宋" w:cs="仿宋"/>
                <w:color w:val="000000"/>
                <w:sz w:val="18"/>
                <w:szCs w:val="18"/>
              </w:rPr>
              <w:t>年）</w:t>
            </w:r>
          </w:p>
        </w:tc>
        <w:tc>
          <w:tcPr>
            <w:tcW w:w="2751" w:type="dxa"/>
            <w:gridSpan w:val="2"/>
            <w:noWrap w:val="0"/>
            <w:vAlign w:val="center"/>
          </w:tcPr>
          <w:p>
            <w:pPr>
              <w:ind w:firstLine="90" w:firstLineChars="50"/>
              <w:rPr>
                <w:rFonts w:hint="eastAsia" w:ascii="仿宋" w:hAnsi="仿宋" w:eastAsia="仿宋" w:cs="仿宋"/>
                <w:color w:val="000000"/>
                <w:sz w:val="18"/>
                <w:szCs w:val="18"/>
              </w:rPr>
            </w:pPr>
            <w:r>
              <w:rPr>
                <w:rFonts w:hint="eastAsia" w:ascii="仿宋" w:hAnsi="仿宋" w:eastAsia="仿宋" w:cs="仿宋"/>
                <w:color w:val="000000"/>
                <w:sz w:val="18"/>
                <w:szCs w:val="18"/>
              </w:rPr>
              <w:t xml:space="preserve"> 每项省级及以上处罚扣</w:t>
            </w:r>
            <w:r>
              <w:rPr>
                <w:rFonts w:hint="eastAsia" w:ascii="仿宋" w:hAnsi="仿宋" w:eastAsia="仿宋" w:cs="仿宋"/>
                <w:color w:val="000000"/>
                <w:sz w:val="18"/>
                <w:szCs w:val="18"/>
                <w:u w:val="single"/>
              </w:rPr>
              <w:t xml:space="preserve">   </w:t>
            </w:r>
            <w:r>
              <w:rPr>
                <w:rFonts w:hint="eastAsia" w:ascii="仿宋" w:hAnsi="仿宋" w:eastAsia="仿宋" w:cs="仿宋"/>
                <w:color w:val="000000"/>
                <w:sz w:val="18"/>
                <w:szCs w:val="18"/>
              </w:rPr>
              <w:t>分，每项市级处罚扣</w:t>
            </w:r>
            <w:r>
              <w:rPr>
                <w:rFonts w:hint="eastAsia" w:ascii="仿宋" w:hAnsi="仿宋" w:eastAsia="仿宋" w:cs="仿宋"/>
                <w:color w:val="000000"/>
                <w:sz w:val="18"/>
                <w:szCs w:val="18"/>
                <w:u w:val="single"/>
              </w:rPr>
              <w:t xml:space="preserve">   </w:t>
            </w:r>
            <w:r>
              <w:rPr>
                <w:rFonts w:hint="eastAsia" w:ascii="仿宋" w:hAnsi="仿宋" w:eastAsia="仿宋" w:cs="仿宋"/>
                <w:color w:val="000000"/>
                <w:sz w:val="18"/>
                <w:szCs w:val="18"/>
              </w:rPr>
              <w:t>分，每项县级处罚扣</w:t>
            </w:r>
            <w:r>
              <w:rPr>
                <w:rFonts w:hint="eastAsia" w:ascii="仿宋" w:hAnsi="仿宋" w:eastAsia="仿宋" w:cs="仿宋"/>
                <w:color w:val="000000"/>
                <w:sz w:val="18"/>
                <w:szCs w:val="18"/>
                <w:u w:val="single"/>
              </w:rPr>
              <w:t xml:space="preserve">    </w:t>
            </w:r>
            <w:r>
              <w:rPr>
                <w:rFonts w:hint="eastAsia" w:ascii="仿宋" w:hAnsi="仿宋" w:eastAsia="仿宋" w:cs="仿宋"/>
                <w:color w:val="000000"/>
                <w:sz w:val="18"/>
                <w:szCs w:val="18"/>
              </w:rPr>
              <w:t>分，其他扣</w:t>
            </w:r>
            <w:r>
              <w:rPr>
                <w:rFonts w:hint="eastAsia" w:ascii="仿宋" w:hAnsi="仿宋" w:eastAsia="仿宋" w:cs="仿宋"/>
                <w:color w:val="000000"/>
                <w:sz w:val="18"/>
                <w:szCs w:val="18"/>
                <w:u w:val="single"/>
              </w:rPr>
              <w:t xml:space="preserve">    </w:t>
            </w:r>
            <w:r>
              <w:rPr>
                <w:rFonts w:hint="eastAsia" w:ascii="仿宋" w:hAnsi="仿宋" w:eastAsia="仿宋" w:cs="仿宋"/>
                <w:color w:val="000000"/>
                <w:sz w:val="18"/>
                <w:szCs w:val="18"/>
              </w:rPr>
              <w:t>分。</w:t>
            </w:r>
          </w:p>
        </w:tc>
        <w:tc>
          <w:tcPr>
            <w:tcW w:w="729" w:type="dxa"/>
            <w:noWrap w:val="0"/>
            <w:vAlign w:val="center"/>
          </w:tcPr>
          <w:p>
            <w:pPr>
              <w:pStyle w:val="106"/>
              <w:rPr>
                <w:rFonts w:hint="eastAsia" w:ascii="仿宋" w:hAnsi="仿宋" w:eastAsia="仿宋" w:cs="仿宋"/>
                <w:sz w:val="18"/>
                <w:szCs w:val="18"/>
              </w:rPr>
            </w:pPr>
          </w:p>
        </w:tc>
        <w:tc>
          <w:tcPr>
            <w:tcW w:w="729" w:type="dxa"/>
            <w:noWrap w:val="0"/>
            <w:vAlign w:val="center"/>
          </w:tcPr>
          <w:p>
            <w:pPr>
              <w:jc w:val="center"/>
              <w:rPr>
                <w:rFonts w:hint="eastAsia" w:ascii="仿宋" w:hAnsi="仿宋" w:eastAsia="仿宋" w:cs="仿宋"/>
                <w:color w:val="000000"/>
                <w:kern w:val="0"/>
                <w:sz w:val="18"/>
                <w:szCs w:val="18"/>
              </w:rPr>
            </w:pPr>
          </w:p>
        </w:tc>
        <w:tc>
          <w:tcPr>
            <w:tcW w:w="894" w:type="dxa"/>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dxa"/>
            <w:vMerge w:val="restart"/>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4</w:t>
            </w:r>
          </w:p>
        </w:tc>
        <w:tc>
          <w:tcPr>
            <w:tcW w:w="517" w:type="dxa"/>
            <w:vMerge w:val="continue"/>
            <w:noWrap w:val="0"/>
            <w:vAlign w:val="center"/>
          </w:tcPr>
          <w:p>
            <w:pPr>
              <w:snapToGrid w:val="0"/>
              <w:jc w:val="center"/>
              <w:rPr>
                <w:rFonts w:hint="eastAsia" w:ascii="仿宋" w:hAnsi="仿宋" w:eastAsia="仿宋" w:cs="仿宋"/>
                <w:color w:val="000000"/>
              </w:rPr>
            </w:pPr>
          </w:p>
        </w:tc>
        <w:tc>
          <w:tcPr>
            <w:tcW w:w="964" w:type="dxa"/>
            <w:vMerge w:val="continue"/>
            <w:noWrap w:val="0"/>
            <w:vAlign w:val="center"/>
          </w:tcPr>
          <w:p>
            <w:pPr>
              <w:jc w:val="center"/>
              <w:rPr>
                <w:rFonts w:hint="eastAsia" w:ascii="仿宋" w:hAnsi="仿宋" w:eastAsia="仿宋" w:cs="仿宋"/>
                <w:color w:val="000000"/>
                <w:sz w:val="18"/>
                <w:szCs w:val="18"/>
              </w:rPr>
            </w:pPr>
          </w:p>
        </w:tc>
        <w:tc>
          <w:tcPr>
            <w:tcW w:w="1076" w:type="dxa"/>
            <w:vMerge w:val="restart"/>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其他</w:t>
            </w:r>
          </w:p>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主要人员（25分）</w:t>
            </w:r>
          </w:p>
        </w:tc>
        <w:tc>
          <w:tcPr>
            <w:tcW w:w="3201" w:type="dxa"/>
            <w:gridSpan w:val="2"/>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合理科学（配置了质量员、材料员、施工员、预算员或资料员、财务负责人、劳资专管员（单位出具任命书））</w:t>
            </w:r>
          </w:p>
        </w:tc>
        <w:tc>
          <w:tcPr>
            <w:tcW w:w="1020" w:type="dxa"/>
            <w:noWrap w:val="0"/>
            <w:vAlign w:val="center"/>
          </w:tcPr>
          <w:p>
            <w:pPr>
              <w:pStyle w:val="106"/>
              <w:jc w:val="center"/>
              <w:rPr>
                <w:rFonts w:ascii="仿宋" w:hAnsi="仿宋" w:eastAsia="仿宋" w:cs="仿宋"/>
                <w:sz w:val="18"/>
                <w:szCs w:val="18"/>
              </w:rPr>
            </w:pPr>
            <w:r>
              <w:rPr>
                <w:rFonts w:hint="eastAsia" w:ascii="仿宋" w:hAnsi="仿宋" w:eastAsia="仿宋" w:cs="仿宋"/>
                <w:sz w:val="18"/>
                <w:szCs w:val="18"/>
              </w:rPr>
              <w:t>25</w:t>
            </w:r>
          </w:p>
        </w:tc>
        <w:tc>
          <w:tcPr>
            <w:tcW w:w="729" w:type="dxa"/>
            <w:noWrap w:val="0"/>
            <w:vAlign w:val="center"/>
          </w:tcPr>
          <w:p>
            <w:pPr>
              <w:pStyle w:val="106"/>
              <w:rPr>
                <w:rFonts w:hint="eastAsia" w:ascii="仿宋" w:hAnsi="仿宋" w:eastAsia="仿宋" w:cs="仿宋"/>
                <w:sz w:val="18"/>
                <w:szCs w:val="18"/>
              </w:rPr>
            </w:pPr>
          </w:p>
        </w:tc>
        <w:tc>
          <w:tcPr>
            <w:tcW w:w="729" w:type="dxa"/>
            <w:noWrap w:val="0"/>
            <w:vAlign w:val="center"/>
          </w:tcPr>
          <w:p>
            <w:pPr>
              <w:jc w:val="center"/>
              <w:rPr>
                <w:rFonts w:hint="eastAsia" w:ascii="仿宋" w:hAnsi="仿宋" w:eastAsia="仿宋" w:cs="仿宋"/>
                <w:color w:val="000000"/>
                <w:kern w:val="0"/>
                <w:sz w:val="18"/>
                <w:szCs w:val="18"/>
              </w:rPr>
            </w:pPr>
          </w:p>
        </w:tc>
        <w:tc>
          <w:tcPr>
            <w:tcW w:w="894" w:type="dxa"/>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dxa"/>
            <w:vMerge w:val="continue"/>
            <w:noWrap w:val="0"/>
            <w:vAlign w:val="center"/>
          </w:tcPr>
          <w:p>
            <w:pPr>
              <w:jc w:val="center"/>
              <w:rPr>
                <w:rFonts w:hint="eastAsia" w:ascii="仿宋" w:hAnsi="仿宋" w:eastAsia="仿宋" w:cs="仿宋"/>
                <w:color w:val="000000"/>
                <w:kern w:val="0"/>
                <w:sz w:val="18"/>
                <w:szCs w:val="18"/>
              </w:rPr>
            </w:pPr>
          </w:p>
        </w:tc>
        <w:tc>
          <w:tcPr>
            <w:tcW w:w="517" w:type="dxa"/>
            <w:vMerge w:val="continue"/>
            <w:noWrap w:val="0"/>
            <w:vAlign w:val="center"/>
          </w:tcPr>
          <w:p>
            <w:pPr>
              <w:snapToGrid w:val="0"/>
              <w:jc w:val="center"/>
              <w:rPr>
                <w:rFonts w:hint="eastAsia" w:ascii="仿宋" w:hAnsi="仿宋" w:eastAsia="仿宋" w:cs="仿宋"/>
                <w:color w:val="000000"/>
              </w:rPr>
            </w:pPr>
          </w:p>
        </w:tc>
        <w:tc>
          <w:tcPr>
            <w:tcW w:w="964" w:type="dxa"/>
            <w:vMerge w:val="continue"/>
            <w:noWrap w:val="0"/>
            <w:vAlign w:val="center"/>
          </w:tcPr>
          <w:p>
            <w:pPr>
              <w:jc w:val="center"/>
              <w:rPr>
                <w:rFonts w:hint="eastAsia" w:ascii="仿宋" w:hAnsi="仿宋" w:eastAsia="仿宋" w:cs="仿宋"/>
                <w:color w:val="000000"/>
                <w:sz w:val="18"/>
                <w:szCs w:val="18"/>
              </w:rPr>
            </w:pPr>
          </w:p>
        </w:tc>
        <w:tc>
          <w:tcPr>
            <w:tcW w:w="1076" w:type="dxa"/>
            <w:vMerge w:val="continue"/>
            <w:noWrap w:val="0"/>
            <w:vAlign w:val="center"/>
          </w:tcPr>
          <w:p>
            <w:pPr>
              <w:jc w:val="center"/>
              <w:rPr>
                <w:rFonts w:hint="eastAsia" w:ascii="仿宋" w:hAnsi="仿宋" w:eastAsia="仿宋" w:cs="仿宋"/>
                <w:color w:val="000000"/>
                <w:sz w:val="18"/>
                <w:szCs w:val="18"/>
              </w:rPr>
            </w:pPr>
          </w:p>
        </w:tc>
        <w:tc>
          <w:tcPr>
            <w:tcW w:w="3201" w:type="dxa"/>
            <w:gridSpan w:val="2"/>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基本合理（其他主要人员配置缺 1 项的）</w:t>
            </w:r>
          </w:p>
        </w:tc>
        <w:tc>
          <w:tcPr>
            <w:tcW w:w="1020" w:type="dxa"/>
            <w:noWrap w:val="0"/>
            <w:vAlign w:val="center"/>
          </w:tcPr>
          <w:p>
            <w:pPr>
              <w:pStyle w:val="106"/>
              <w:jc w:val="center"/>
              <w:rPr>
                <w:rFonts w:ascii="仿宋" w:hAnsi="仿宋" w:eastAsia="仿宋" w:cs="仿宋"/>
                <w:sz w:val="18"/>
                <w:szCs w:val="18"/>
              </w:rPr>
            </w:pPr>
            <w:r>
              <w:rPr>
                <w:rFonts w:hint="eastAsia" w:ascii="仿宋" w:hAnsi="仿宋" w:eastAsia="仿宋" w:cs="仿宋"/>
                <w:sz w:val="18"/>
                <w:szCs w:val="18"/>
              </w:rPr>
              <w:t>20</w:t>
            </w:r>
          </w:p>
        </w:tc>
        <w:tc>
          <w:tcPr>
            <w:tcW w:w="729" w:type="dxa"/>
            <w:noWrap w:val="0"/>
            <w:vAlign w:val="center"/>
          </w:tcPr>
          <w:p>
            <w:pPr>
              <w:pStyle w:val="106"/>
              <w:rPr>
                <w:rFonts w:hint="eastAsia" w:ascii="仿宋" w:hAnsi="仿宋" w:eastAsia="仿宋" w:cs="仿宋"/>
                <w:sz w:val="18"/>
                <w:szCs w:val="18"/>
              </w:rPr>
            </w:pPr>
          </w:p>
        </w:tc>
        <w:tc>
          <w:tcPr>
            <w:tcW w:w="729" w:type="dxa"/>
            <w:noWrap w:val="0"/>
            <w:vAlign w:val="center"/>
          </w:tcPr>
          <w:p>
            <w:pPr>
              <w:jc w:val="center"/>
              <w:rPr>
                <w:rFonts w:hint="eastAsia" w:ascii="仿宋" w:hAnsi="仿宋" w:eastAsia="仿宋" w:cs="仿宋"/>
                <w:color w:val="000000"/>
                <w:kern w:val="0"/>
                <w:sz w:val="18"/>
                <w:szCs w:val="18"/>
              </w:rPr>
            </w:pPr>
          </w:p>
        </w:tc>
        <w:tc>
          <w:tcPr>
            <w:tcW w:w="894" w:type="dxa"/>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dxa"/>
            <w:vMerge w:val="continue"/>
            <w:noWrap w:val="0"/>
            <w:vAlign w:val="center"/>
          </w:tcPr>
          <w:p>
            <w:pPr>
              <w:jc w:val="center"/>
              <w:rPr>
                <w:rFonts w:hint="eastAsia" w:ascii="仿宋" w:hAnsi="仿宋" w:eastAsia="仿宋" w:cs="仿宋"/>
                <w:color w:val="000000"/>
                <w:kern w:val="0"/>
                <w:sz w:val="18"/>
                <w:szCs w:val="18"/>
              </w:rPr>
            </w:pPr>
          </w:p>
        </w:tc>
        <w:tc>
          <w:tcPr>
            <w:tcW w:w="517" w:type="dxa"/>
            <w:vMerge w:val="continue"/>
            <w:noWrap w:val="0"/>
            <w:vAlign w:val="center"/>
          </w:tcPr>
          <w:p>
            <w:pPr>
              <w:snapToGrid w:val="0"/>
              <w:jc w:val="center"/>
              <w:rPr>
                <w:rFonts w:hint="eastAsia" w:ascii="仿宋" w:hAnsi="仿宋" w:eastAsia="仿宋" w:cs="仿宋"/>
                <w:color w:val="000000"/>
              </w:rPr>
            </w:pPr>
          </w:p>
        </w:tc>
        <w:tc>
          <w:tcPr>
            <w:tcW w:w="964" w:type="dxa"/>
            <w:vMerge w:val="continue"/>
            <w:noWrap w:val="0"/>
            <w:vAlign w:val="center"/>
          </w:tcPr>
          <w:p>
            <w:pPr>
              <w:jc w:val="center"/>
              <w:rPr>
                <w:rFonts w:hint="eastAsia" w:ascii="仿宋" w:hAnsi="仿宋" w:eastAsia="仿宋" w:cs="仿宋"/>
                <w:color w:val="000000"/>
                <w:sz w:val="18"/>
                <w:szCs w:val="18"/>
              </w:rPr>
            </w:pPr>
          </w:p>
        </w:tc>
        <w:tc>
          <w:tcPr>
            <w:tcW w:w="1076" w:type="dxa"/>
            <w:vMerge w:val="continue"/>
            <w:noWrap w:val="0"/>
            <w:vAlign w:val="center"/>
          </w:tcPr>
          <w:p>
            <w:pPr>
              <w:jc w:val="center"/>
              <w:rPr>
                <w:rFonts w:hint="eastAsia" w:ascii="仿宋" w:hAnsi="仿宋" w:eastAsia="仿宋" w:cs="仿宋"/>
                <w:color w:val="000000"/>
                <w:sz w:val="18"/>
                <w:szCs w:val="18"/>
              </w:rPr>
            </w:pPr>
          </w:p>
        </w:tc>
        <w:tc>
          <w:tcPr>
            <w:tcW w:w="3201" w:type="dxa"/>
            <w:gridSpan w:val="2"/>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欠合理 （其他主要人员配置缺 2项及以上的）</w:t>
            </w:r>
          </w:p>
        </w:tc>
        <w:tc>
          <w:tcPr>
            <w:tcW w:w="1020"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0</w:t>
            </w:r>
          </w:p>
        </w:tc>
        <w:tc>
          <w:tcPr>
            <w:tcW w:w="729" w:type="dxa"/>
            <w:noWrap w:val="0"/>
            <w:vAlign w:val="center"/>
          </w:tcPr>
          <w:p>
            <w:pPr>
              <w:pStyle w:val="106"/>
              <w:rPr>
                <w:rFonts w:hint="eastAsia" w:ascii="仿宋" w:hAnsi="仿宋" w:eastAsia="仿宋" w:cs="仿宋"/>
                <w:sz w:val="18"/>
                <w:szCs w:val="18"/>
              </w:rPr>
            </w:pPr>
          </w:p>
        </w:tc>
        <w:tc>
          <w:tcPr>
            <w:tcW w:w="729" w:type="dxa"/>
            <w:noWrap w:val="0"/>
            <w:vAlign w:val="center"/>
          </w:tcPr>
          <w:p>
            <w:pPr>
              <w:jc w:val="center"/>
              <w:rPr>
                <w:rFonts w:hint="eastAsia" w:ascii="仿宋" w:hAnsi="仿宋" w:eastAsia="仿宋" w:cs="仿宋"/>
                <w:color w:val="000000"/>
                <w:kern w:val="0"/>
                <w:sz w:val="18"/>
                <w:szCs w:val="18"/>
              </w:rPr>
            </w:pPr>
          </w:p>
        </w:tc>
        <w:tc>
          <w:tcPr>
            <w:tcW w:w="894" w:type="dxa"/>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83" w:type="dxa"/>
            <w:noWrap w:val="0"/>
            <w:vAlign w:val="center"/>
          </w:tcPr>
          <w:p>
            <w:pPr>
              <w:jc w:val="center"/>
              <w:rPr>
                <w:rFonts w:hint="eastAsia" w:ascii="仿宋" w:hAnsi="仿宋" w:eastAsia="仿宋" w:cs="仿宋"/>
                <w:color w:val="000000"/>
                <w:kern w:val="0"/>
              </w:rPr>
            </w:pPr>
          </w:p>
        </w:tc>
        <w:tc>
          <w:tcPr>
            <w:tcW w:w="6778" w:type="dxa"/>
            <w:gridSpan w:val="6"/>
            <w:noWrap w:val="0"/>
            <w:vAlign w:val="center"/>
          </w:tcPr>
          <w:p>
            <w:pPr>
              <w:jc w:val="center"/>
              <w:rPr>
                <w:rFonts w:hint="eastAsia" w:ascii="仿宋" w:hAnsi="仿宋" w:eastAsia="仿宋" w:cs="仿宋"/>
                <w:b/>
                <w:bCs/>
                <w:color w:val="000000"/>
                <w:kern w:val="0"/>
              </w:rPr>
            </w:pPr>
            <w:r>
              <w:rPr>
                <w:rFonts w:hint="eastAsia" w:ascii="仿宋" w:hAnsi="仿宋" w:eastAsia="仿宋" w:cs="仿宋"/>
                <w:b/>
                <w:bCs/>
                <w:color w:val="000000"/>
                <w:kern w:val="0"/>
              </w:rPr>
              <w:t>合计</w:t>
            </w:r>
          </w:p>
        </w:tc>
        <w:tc>
          <w:tcPr>
            <w:tcW w:w="729" w:type="dxa"/>
            <w:noWrap w:val="0"/>
            <w:vAlign w:val="center"/>
          </w:tcPr>
          <w:p>
            <w:pPr>
              <w:jc w:val="center"/>
              <w:rPr>
                <w:rFonts w:hint="eastAsia" w:ascii="仿宋" w:hAnsi="仿宋" w:eastAsia="仿宋" w:cs="仿宋"/>
                <w:color w:val="000000"/>
                <w:kern w:val="0"/>
              </w:rPr>
            </w:pPr>
          </w:p>
        </w:tc>
        <w:tc>
          <w:tcPr>
            <w:tcW w:w="729" w:type="dxa"/>
            <w:noWrap w:val="0"/>
            <w:vAlign w:val="center"/>
          </w:tcPr>
          <w:p>
            <w:pPr>
              <w:jc w:val="center"/>
              <w:rPr>
                <w:rFonts w:hint="eastAsia" w:ascii="仿宋" w:hAnsi="仿宋" w:eastAsia="仿宋" w:cs="仿宋"/>
                <w:color w:val="000000"/>
                <w:kern w:val="0"/>
              </w:rPr>
            </w:pPr>
          </w:p>
        </w:tc>
        <w:tc>
          <w:tcPr>
            <w:tcW w:w="894" w:type="dxa"/>
            <w:noWrap w:val="0"/>
            <w:vAlign w:val="center"/>
          </w:tcPr>
          <w:p>
            <w:pPr>
              <w:jc w:val="center"/>
              <w:rPr>
                <w:rFonts w:hint="eastAsia" w:ascii="仿宋" w:hAnsi="仿宋" w:eastAsia="仿宋" w:cs="仿宋"/>
                <w:color w:val="000000"/>
                <w:kern w:val="0"/>
              </w:rPr>
            </w:pPr>
          </w:p>
        </w:tc>
      </w:tr>
    </w:tbl>
    <w:p>
      <w:pPr>
        <w:rPr>
          <w:rFonts w:hint="eastAsia" w:ascii="仿宋" w:hAnsi="仿宋" w:eastAsia="仿宋" w:cs="仿宋"/>
          <w:color w:val="000000"/>
        </w:rPr>
      </w:pPr>
      <w:r>
        <w:rPr>
          <w:rFonts w:hint="eastAsia" w:ascii="仿宋" w:hAnsi="仿宋" w:eastAsia="仿宋" w:cs="仿宋"/>
          <w:b/>
          <w:color w:val="000000"/>
          <w:sz w:val="18"/>
          <w:szCs w:val="18"/>
        </w:rPr>
        <w:t>备注：</w:t>
      </w:r>
      <w:r>
        <w:rPr>
          <w:rFonts w:hint="eastAsia" w:ascii="仿宋" w:hAnsi="仿宋" w:eastAsia="仿宋" w:cs="仿宋"/>
          <w:color w:val="000000"/>
          <w:sz w:val="18"/>
          <w:szCs w:val="18"/>
        </w:rPr>
        <w:t>1.本表小计总分为100分。由评标委员会集体评议，统一计分。评标委员会成员中对结论有不同意见时，按少数服从多数的原则，确定得分。</w:t>
      </w:r>
    </w:p>
    <w:p>
      <w:pPr>
        <w:ind w:firstLine="630" w:firstLineChars="350"/>
        <w:rPr>
          <w:rFonts w:hint="eastAsia" w:ascii="仿宋" w:hAnsi="仿宋" w:eastAsia="仿宋" w:cs="仿宋"/>
          <w:color w:val="000000"/>
          <w:sz w:val="18"/>
          <w:szCs w:val="18"/>
        </w:rPr>
      </w:pPr>
      <w:r>
        <w:rPr>
          <w:rFonts w:hint="eastAsia" w:ascii="仿宋" w:hAnsi="仿宋" w:eastAsia="仿宋" w:cs="仿宋"/>
          <w:color w:val="000000"/>
          <w:sz w:val="18"/>
          <w:szCs w:val="18"/>
        </w:rPr>
        <w:t>2.凡在“全国建筑市场监管公共服务平台”或“湖南省智慧住建云”或“水利部水利建设市场监管平台”或“湖南省水利建设市场综合监管系统”建立信用档案的市场主体单位，其业绩、主要人员（项目负责人、技术负责人和专职安全员）资历在“全国建筑市场监管公共服务平台”或“湖南省智慧住建云”或“水利部水利建设市场监管平台”或“湖南省水利建设市场综合监管系统”没有相关信息的，评标中将不予认定。</w:t>
      </w:r>
    </w:p>
    <w:p>
      <w:pPr>
        <w:ind w:firstLine="630" w:firstLineChars="350"/>
        <w:rPr>
          <w:rFonts w:hint="eastAsia" w:ascii="仿宋" w:hAnsi="仿宋" w:eastAsia="仿宋" w:cs="仿宋"/>
          <w:color w:val="000000"/>
          <w:sz w:val="18"/>
          <w:szCs w:val="18"/>
        </w:rPr>
      </w:pPr>
      <w:r>
        <w:rPr>
          <w:rFonts w:hint="eastAsia" w:ascii="仿宋" w:hAnsi="仿宋" w:eastAsia="仿宋" w:cs="仿宋"/>
          <w:color w:val="000000"/>
          <w:sz w:val="18"/>
          <w:szCs w:val="18"/>
        </w:rPr>
        <w:t>3.任职资格的评价因素主要为执业资格、职称、从业经历、从事水利、农田建设项目工程的经验等内容。</w:t>
      </w:r>
    </w:p>
    <w:p>
      <w:pPr>
        <w:ind w:firstLine="630" w:firstLineChars="350"/>
        <w:rPr>
          <w:rFonts w:hint="eastAsia" w:ascii="仿宋" w:hAnsi="仿宋" w:eastAsia="仿宋" w:cs="仿宋"/>
          <w:color w:val="000000"/>
          <w:sz w:val="18"/>
          <w:szCs w:val="18"/>
        </w:rPr>
      </w:pPr>
      <w:r>
        <w:rPr>
          <w:rFonts w:hint="eastAsia" w:ascii="仿宋" w:hAnsi="仿宋" w:eastAsia="仿宋" w:cs="仿宋"/>
          <w:color w:val="000000"/>
          <w:sz w:val="18"/>
          <w:szCs w:val="18"/>
        </w:rPr>
        <w:t>4.项目负责人、技术负责人处罚记录以有在湖南省农业农村厅、市州级农业农村局官网、“全国建筑市场监管公共服务平台”或“湖南省智慧住建云”或“水利部水利建设市场监管平台”或“湖南省水利建设市场综合监管系统”公示的信息为准；不良行为扣分有效期180天，自省厅（市州级农业农村局官网）公布之日起至提交投标文件截止之日止。外省区市公布的不良行为不计分；</w:t>
      </w:r>
    </w:p>
    <w:p>
      <w:pPr>
        <w:ind w:firstLine="630" w:firstLineChars="350"/>
        <w:rPr>
          <w:rFonts w:hint="eastAsia" w:ascii="仿宋" w:hAnsi="仿宋" w:eastAsia="仿宋" w:cs="仿宋"/>
          <w:color w:val="000000"/>
          <w:sz w:val="18"/>
          <w:szCs w:val="18"/>
        </w:rPr>
      </w:pPr>
      <w:r>
        <w:rPr>
          <w:rFonts w:hint="eastAsia" w:ascii="仿宋" w:hAnsi="仿宋" w:eastAsia="仿宋" w:cs="仿宋"/>
          <w:color w:val="000000"/>
          <w:sz w:val="18"/>
          <w:szCs w:val="18"/>
        </w:rPr>
        <w:t>5.其他主要人员指项目主要管理人员中项目负责人、技术负责人、安全员以外的项目管理人员。</w:t>
      </w:r>
    </w:p>
    <w:p>
      <w:pPr>
        <w:ind w:firstLine="630" w:firstLineChars="350"/>
        <w:rPr>
          <w:rFonts w:hint="eastAsia" w:ascii="仿宋" w:hAnsi="仿宋" w:eastAsia="仿宋" w:cs="仿宋"/>
          <w:color w:val="000000"/>
          <w:sz w:val="18"/>
          <w:szCs w:val="18"/>
        </w:rPr>
      </w:pPr>
      <w:r>
        <w:rPr>
          <w:rFonts w:hint="eastAsia" w:ascii="仿宋" w:hAnsi="仿宋" w:eastAsia="仿宋" w:cs="仿宋"/>
          <w:color w:val="000000"/>
          <w:sz w:val="18"/>
          <w:szCs w:val="18"/>
        </w:rPr>
        <w:t>6.项目负责人、技术负责人经验要求由招标人根据项目的具体情况在本文件第二章投标须知前附表第10.1款第3项确定。</w:t>
      </w:r>
    </w:p>
    <w:p>
      <w:pPr>
        <w:ind w:firstLine="630" w:firstLineChars="350"/>
        <w:rPr>
          <w:rFonts w:hint="eastAsia" w:ascii="仿宋" w:hAnsi="仿宋" w:eastAsia="仿宋" w:cs="仿宋"/>
          <w:color w:val="000000"/>
          <w:sz w:val="18"/>
          <w:szCs w:val="18"/>
        </w:rPr>
      </w:pPr>
    </w:p>
    <w:p>
      <w:pPr>
        <w:snapToGrid w:val="0"/>
        <w:rPr>
          <w:rFonts w:hint="eastAsia" w:ascii="仿宋" w:hAnsi="仿宋" w:eastAsia="仿宋" w:cs="仿宋"/>
          <w:color w:val="000000"/>
          <w:sz w:val="24"/>
        </w:rPr>
      </w:pPr>
      <w:r>
        <w:rPr>
          <w:rFonts w:hint="eastAsia" w:ascii="仿宋" w:hAnsi="仿宋" w:eastAsia="仿宋" w:cs="仿宋"/>
          <w:color w:val="000000"/>
          <w:sz w:val="24"/>
        </w:rPr>
        <w:t>评委签字：</w:t>
      </w:r>
    </w:p>
    <w:p>
      <w:pPr>
        <w:snapToGrid w:val="0"/>
        <w:outlineLvl w:val="4"/>
        <w:rPr>
          <w:rFonts w:hint="eastAsia" w:eastAsia="黑体"/>
          <w:bCs/>
          <w:color w:val="000000"/>
          <w:sz w:val="28"/>
          <w:szCs w:val="20"/>
        </w:rPr>
      </w:pPr>
      <w:r>
        <w:rPr>
          <w:color w:val="000000"/>
          <w:sz w:val="24"/>
        </w:rPr>
        <w:br w:type="page"/>
      </w:r>
      <w:bookmarkStart w:id="891" w:name="_Toc511318015"/>
      <w:bookmarkStart w:id="892" w:name="_Toc511317266"/>
      <w:r>
        <w:rPr>
          <w:rFonts w:eastAsia="黑体"/>
          <w:bCs/>
          <w:color w:val="000000"/>
          <w:sz w:val="28"/>
          <w:szCs w:val="20"/>
        </w:rPr>
        <w:t>附表3-7（3）：详细评审</w:t>
      </w:r>
      <w:r>
        <w:rPr>
          <w:rFonts w:hint="eastAsia" w:eastAsia="黑体"/>
          <w:bCs/>
          <w:color w:val="000000"/>
          <w:sz w:val="28"/>
          <w:szCs w:val="20"/>
        </w:rPr>
        <w:t>－</w:t>
      </w:r>
      <w:r>
        <w:rPr>
          <w:rFonts w:eastAsia="黑体"/>
          <w:bCs/>
          <w:color w:val="000000"/>
          <w:sz w:val="28"/>
          <w:szCs w:val="20"/>
        </w:rPr>
        <w:t>信誉等其他评分因素评分标准表（一）</w:t>
      </w:r>
    </w:p>
    <w:p>
      <w:pPr>
        <w:pStyle w:val="2"/>
        <w:rPr>
          <w:lang w:val="en-US" w:eastAsia="zh-CN"/>
        </w:rPr>
      </w:pPr>
    </w:p>
    <w:bookmarkEnd w:id="891"/>
    <w:bookmarkEnd w:id="892"/>
    <w:p>
      <w:pPr>
        <w:spacing w:line="600" w:lineRule="exact"/>
        <w:jc w:val="center"/>
        <w:rPr>
          <w:rFonts w:hint="eastAsia" w:ascii="方正小标宋简体" w:eastAsia="方正小标宋简体"/>
          <w:color w:val="000000"/>
          <w:sz w:val="36"/>
          <w:szCs w:val="36"/>
        </w:rPr>
      </w:pPr>
      <w:bookmarkStart w:id="893" w:name="_Toc511317267"/>
      <w:bookmarkStart w:id="894" w:name="_Toc511318016"/>
      <w:r>
        <w:rPr>
          <w:rFonts w:hint="eastAsia" w:ascii="方正小标宋简体" w:eastAsia="方正小标宋简体"/>
          <w:color w:val="000000"/>
          <w:sz w:val="36"/>
          <w:szCs w:val="36"/>
        </w:rPr>
        <w:t>信誉等其他评分因素评分标准表（一）</w:t>
      </w:r>
    </w:p>
    <w:p>
      <w:pPr>
        <w:spacing w:line="440" w:lineRule="exact"/>
        <w:jc w:val="left"/>
        <w:rPr>
          <w:rFonts w:hint="eastAsia" w:ascii="仿宋" w:hAnsi="仿宋" w:eastAsia="仿宋" w:cs="仿宋"/>
          <w:color w:val="000000"/>
          <w:sz w:val="24"/>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（标段名称）</w:t>
      </w:r>
      <w:r>
        <w:rPr>
          <w:rFonts w:hint="eastAsia" w:ascii="仿宋" w:hAnsi="仿宋" w:eastAsia="仿宋" w:cs="仿宋"/>
          <w:color w:val="000000"/>
          <w:sz w:val="24"/>
          <w:u w:val="single"/>
        </w:rPr>
        <w:t xml:space="preserve">                      </w:t>
      </w:r>
    </w:p>
    <w:p>
      <w:pPr>
        <w:spacing w:line="440" w:lineRule="exact"/>
        <w:jc w:val="left"/>
        <w:rPr>
          <w:rFonts w:hint="eastAsia" w:ascii="仿宋" w:hAnsi="仿宋" w:eastAsia="仿宋" w:cs="仿宋"/>
          <w:color w:val="000000"/>
          <w:sz w:val="24"/>
        </w:rPr>
      </w:pPr>
      <w:r>
        <w:rPr>
          <w:rFonts w:hint="eastAsia" w:ascii="仿宋" w:hAnsi="仿宋" w:eastAsia="仿宋" w:cs="仿宋"/>
          <w:color w:val="000000"/>
          <w:sz w:val="24"/>
        </w:rPr>
        <w:t>项目管理编号：</w:t>
      </w:r>
      <w:r>
        <w:rPr>
          <w:rFonts w:hint="eastAsia" w:ascii="仿宋" w:hAnsi="仿宋" w:eastAsia="仿宋" w:cs="仿宋"/>
          <w:color w:val="000000"/>
          <w:sz w:val="24"/>
          <w:u w:val="single"/>
        </w:rPr>
        <w:t xml:space="preserve">                    </w:t>
      </w:r>
    </w:p>
    <w:tbl>
      <w:tblPr>
        <w:tblStyle w:val="47"/>
        <w:tblW w:w="90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784"/>
        <w:gridCol w:w="1348"/>
        <w:gridCol w:w="1134"/>
        <w:gridCol w:w="2835"/>
        <w:gridCol w:w="708"/>
        <w:gridCol w:w="567"/>
        <w:gridCol w:w="567"/>
        <w:gridCol w:w="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74" w:type="dxa"/>
            <w:vMerge w:val="restart"/>
            <w:noWrap w:val="0"/>
            <w:vAlign w:val="center"/>
          </w:tcPr>
          <w:p>
            <w:pPr>
              <w:snapToGrid w:val="0"/>
              <w:spacing w:line="280" w:lineRule="exact"/>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序号</w:t>
            </w:r>
          </w:p>
        </w:tc>
        <w:tc>
          <w:tcPr>
            <w:tcW w:w="784" w:type="dxa"/>
            <w:vMerge w:val="restart"/>
            <w:noWrap w:val="0"/>
            <w:vAlign w:val="center"/>
          </w:tcPr>
          <w:p>
            <w:pPr>
              <w:snapToGrid w:val="0"/>
              <w:spacing w:line="280" w:lineRule="exact"/>
              <w:jc w:val="center"/>
              <w:rPr>
                <w:rFonts w:hint="eastAsia" w:ascii="仿宋" w:hAnsi="仿宋" w:eastAsia="仿宋" w:cs="仿宋"/>
                <w:color w:val="000000"/>
                <w:sz w:val="18"/>
                <w:szCs w:val="18"/>
              </w:rPr>
            </w:pPr>
            <w:r>
              <w:rPr>
                <w:rFonts w:hint="eastAsia" w:ascii="仿宋" w:hAnsi="仿宋" w:eastAsia="仿宋" w:cs="仿宋"/>
                <w:color w:val="000000"/>
                <w:sz w:val="18"/>
                <w:szCs w:val="18"/>
              </w:rPr>
              <w:t>条款号</w:t>
            </w:r>
          </w:p>
        </w:tc>
        <w:tc>
          <w:tcPr>
            <w:tcW w:w="1348" w:type="dxa"/>
            <w:vMerge w:val="restart"/>
            <w:noWrap w:val="0"/>
            <w:vAlign w:val="center"/>
          </w:tcPr>
          <w:p>
            <w:pPr>
              <w:snapToGrid w:val="0"/>
              <w:spacing w:line="280" w:lineRule="exact"/>
              <w:jc w:val="center"/>
              <w:rPr>
                <w:rFonts w:hint="eastAsia" w:ascii="仿宋" w:hAnsi="仿宋" w:eastAsia="仿宋" w:cs="仿宋"/>
                <w:color w:val="000000"/>
                <w:sz w:val="18"/>
                <w:szCs w:val="18"/>
              </w:rPr>
            </w:pPr>
            <w:r>
              <w:rPr>
                <w:rFonts w:hint="eastAsia" w:ascii="仿宋" w:hAnsi="仿宋" w:eastAsia="仿宋" w:cs="仿宋"/>
                <w:color w:val="000000"/>
                <w:sz w:val="18"/>
                <w:szCs w:val="18"/>
              </w:rPr>
              <w:t>评分因素</w:t>
            </w:r>
          </w:p>
        </w:tc>
        <w:tc>
          <w:tcPr>
            <w:tcW w:w="4677" w:type="dxa"/>
            <w:gridSpan w:val="3"/>
            <w:vMerge w:val="restart"/>
            <w:noWrap w:val="0"/>
            <w:vAlign w:val="center"/>
          </w:tcPr>
          <w:p>
            <w:pPr>
              <w:snapToGrid w:val="0"/>
              <w:spacing w:line="280" w:lineRule="exact"/>
              <w:jc w:val="center"/>
              <w:rPr>
                <w:rFonts w:hint="eastAsia" w:ascii="仿宋" w:hAnsi="仿宋" w:eastAsia="仿宋" w:cs="仿宋"/>
                <w:color w:val="000000"/>
                <w:sz w:val="18"/>
                <w:szCs w:val="18"/>
              </w:rPr>
            </w:pPr>
            <w:r>
              <w:rPr>
                <w:rFonts w:hint="eastAsia" w:ascii="仿宋" w:hAnsi="仿宋" w:eastAsia="仿宋" w:cs="仿宋"/>
                <w:color w:val="000000"/>
                <w:sz w:val="18"/>
                <w:szCs w:val="18"/>
              </w:rPr>
              <w:t>评分标准</w:t>
            </w:r>
          </w:p>
        </w:tc>
        <w:tc>
          <w:tcPr>
            <w:tcW w:w="1710" w:type="dxa"/>
            <w:gridSpan w:val="3"/>
            <w:noWrap w:val="0"/>
            <w:vAlign w:val="center"/>
          </w:tcPr>
          <w:p>
            <w:pPr>
              <w:snapToGrid w:val="0"/>
              <w:spacing w:line="280" w:lineRule="exact"/>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投标人名称及评审计分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74" w:type="dxa"/>
            <w:vMerge w:val="continue"/>
            <w:noWrap w:val="0"/>
            <w:vAlign w:val="center"/>
          </w:tcPr>
          <w:p>
            <w:pPr>
              <w:snapToGrid w:val="0"/>
              <w:spacing w:line="280" w:lineRule="exact"/>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spacing w:line="280" w:lineRule="exact"/>
              <w:jc w:val="center"/>
              <w:rPr>
                <w:rFonts w:hint="eastAsia" w:ascii="仿宋" w:hAnsi="仿宋" w:eastAsia="仿宋" w:cs="仿宋"/>
                <w:color w:val="000000"/>
                <w:sz w:val="18"/>
                <w:szCs w:val="18"/>
              </w:rPr>
            </w:pPr>
          </w:p>
        </w:tc>
        <w:tc>
          <w:tcPr>
            <w:tcW w:w="1348" w:type="dxa"/>
            <w:vMerge w:val="continue"/>
            <w:noWrap w:val="0"/>
            <w:vAlign w:val="center"/>
          </w:tcPr>
          <w:p>
            <w:pPr>
              <w:snapToGrid w:val="0"/>
              <w:spacing w:line="280" w:lineRule="exact"/>
              <w:jc w:val="center"/>
              <w:rPr>
                <w:rFonts w:hint="eastAsia" w:ascii="仿宋" w:hAnsi="仿宋" w:eastAsia="仿宋" w:cs="仿宋"/>
                <w:color w:val="000000"/>
                <w:sz w:val="18"/>
                <w:szCs w:val="18"/>
              </w:rPr>
            </w:pPr>
          </w:p>
        </w:tc>
        <w:tc>
          <w:tcPr>
            <w:tcW w:w="4677" w:type="dxa"/>
            <w:gridSpan w:val="3"/>
            <w:vMerge w:val="continue"/>
            <w:noWrap w:val="0"/>
            <w:vAlign w:val="center"/>
          </w:tcPr>
          <w:p>
            <w:pPr>
              <w:snapToGrid w:val="0"/>
              <w:spacing w:line="280" w:lineRule="exact"/>
              <w:jc w:val="center"/>
              <w:rPr>
                <w:rFonts w:hint="eastAsia" w:ascii="仿宋" w:hAnsi="仿宋" w:eastAsia="仿宋" w:cs="仿宋"/>
                <w:color w:val="000000"/>
                <w:sz w:val="18"/>
                <w:szCs w:val="18"/>
              </w:rPr>
            </w:pPr>
          </w:p>
        </w:tc>
        <w:tc>
          <w:tcPr>
            <w:tcW w:w="567" w:type="dxa"/>
            <w:noWrap w:val="0"/>
            <w:vAlign w:val="center"/>
          </w:tcPr>
          <w:p>
            <w:pPr>
              <w:snapToGrid w:val="0"/>
              <w:spacing w:line="280" w:lineRule="exact"/>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w:t>
            </w:r>
          </w:p>
        </w:tc>
        <w:tc>
          <w:tcPr>
            <w:tcW w:w="567" w:type="dxa"/>
            <w:noWrap w:val="0"/>
            <w:vAlign w:val="center"/>
          </w:tcPr>
          <w:p>
            <w:pPr>
              <w:snapToGrid w:val="0"/>
              <w:spacing w:line="280" w:lineRule="exact"/>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2</w:t>
            </w:r>
          </w:p>
        </w:tc>
        <w:tc>
          <w:tcPr>
            <w:tcW w:w="576" w:type="dxa"/>
            <w:noWrap w:val="0"/>
            <w:vAlign w:val="center"/>
          </w:tcPr>
          <w:p>
            <w:pPr>
              <w:snapToGrid w:val="0"/>
              <w:spacing w:line="280" w:lineRule="exact"/>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74" w:type="dxa"/>
            <w:vMerge w:val="continue"/>
            <w:noWrap w:val="0"/>
            <w:vAlign w:val="center"/>
          </w:tcPr>
          <w:p>
            <w:pPr>
              <w:snapToGrid w:val="0"/>
              <w:spacing w:line="280" w:lineRule="exact"/>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spacing w:line="280" w:lineRule="exact"/>
              <w:jc w:val="center"/>
              <w:rPr>
                <w:rFonts w:hint="eastAsia" w:ascii="仿宋" w:hAnsi="仿宋" w:eastAsia="仿宋" w:cs="仿宋"/>
                <w:color w:val="000000"/>
                <w:sz w:val="18"/>
                <w:szCs w:val="18"/>
              </w:rPr>
            </w:pPr>
          </w:p>
        </w:tc>
        <w:tc>
          <w:tcPr>
            <w:tcW w:w="1348" w:type="dxa"/>
            <w:vMerge w:val="continue"/>
            <w:noWrap w:val="0"/>
            <w:vAlign w:val="center"/>
          </w:tcPr>
          <w:p>
            <w:pPr>
              <w:snapToGrid w:val="0"/>
              <w:spacing w:line="280" w:lineRule="exact"/>
              <w:jc w:val="center"/>
              <w:rPr>
                <w:rFonts w:hint="eastAsia" w:ascii="仿宋" w:hAnsi="仿宋" w:eastAsia="仿宋" w:cs="仿宋"/>
                <w:color w:val="000000"/>
                <w:sz w:val="18"/>
                <w:szCs w:val="18"/>
              </w:rPr>
            </w:pPr>
          </w:p>
        </w:tc>
        <w:tc>
          <w:tcPr>
            <w:tcW w:w="4677" w:type="dxa"/>
            <w:gridSpan w:val="3"/>
            <w:vMerge w:val="continue"/>
            <w:noWrap w:val="0"/>
            <w:vAlign w:val="center"/>
          </w:tcPr>
          <w:p>
            <w:pPr>
              <w:snapToGrid w:val="0"/>
              <w:spacing w:line="280" w:lineRule="exact"/>
              <w:jc w:val="center"/>
              <w:rPr>
                <w:rFonts w:hint="eastAsia" w:ascii="仿宋" w:hAnsi="仿宋" w:eastAsia="仿宋" w:cs="仿宋"/>
                <w:color w:val="000000"/>
                <w:sz w:val="18"/>
                <w:szCs w:val="18"/>
              </w:rPr>
            </w:pPr>
          </w:p>
        </w:tc>
        <w:tc>
          <w:tcPr>
            <w:tcW w:w="567" w:type="dxa"/>
            <w:noWrap w:val="0"/>
            <w:vAlign w:val="center"/>
          </w:tcPr>
          <w:p>
            <w:pPr>
              <w:snapToGrid w:val="0"/>
              <w:spacing w:line="280" w:lineRule="exact"/>
              <w:jc w:val="center"/>
              <w:rPr>
                <w:rFonts w:hint="eastAsia" w:ascii="仿宋" w:hAnsi="仿宋" w:eastAsia="仿宋" w:cs="仿宋"/>
                <w:color w:val="000000"/>
                <w:kern w:val="0"/>
                <w:sz w:val="18"/>
                <w:szCs w:val="18"/>
              </w:rPr>
            </w:pPr>
          </w:p>
        </w:tc>
        <w:tc>
          <w:tcPr>
            <w:tcW w:w="567" w:type="dxa"/>
            <w:noWrap w:val="0"/>
            <w:vAlign w:val="center"/>
          </w:tcPr>
          <w:p>
            <w:pPr>
              <w:snapToGrid w:val="0"/>
              <w:spacing w:line="280" w:lineRule="exact"/>
              <w:jc w:val="center"/>
              <w:rPr>
                <w:rFonts w:hint="eastAsia" w:ascii="仿宋" w:hAnsi="仿宋" w:eastAsia="仿宋" w:cs="仿宋"/>
                <w:color w:val="000000"/>
                <w:kern w:val="0"/>
                <w:sz w:val="18"/>
                <w:szCs w:val="18"/>
              </w:rPr>
            </w:pPr>
          </w:p>
        </w:tc>
        <w:tc>
          <w:tcPr>
            <w:tcW w:w="576" w:type="dxa"/>
            <w:noWrap w:val="0"/>
            <w:vAlign w:val="center"/>
          </w:tcPr>
          <w:p>
            <w:pPr>
              <w:snapToGrid w:val="0"/>
              <w:spacing w:line="280" w:lineRule="exact"/>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exact"/>
          <w:jc w:val="center"/>
        </w:trPr>
        <w:tc>
          <w:tcPr>
            <w:tcW w:w="574" w:type="dxa"/>
            <w:vMerge w:val="restart"/>
            <w:noWrap w:val="0"/>
            <w:vAlign w:val="center"/>
          </w:tcPr>
          <w:p>
            <w:pPr>
              <w:snapToGrid w:val="0"/>
              <w:spacing w:line="280" w:lineRule="exact"/>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w:t>
            </w:r>
          </w:p>
        </w:tc>
        <w:tc>
          <w:tcPr>
            <w:tcW w:w="784" w:type="dxa"/>
            <w:vMerge w:val="restart"/>
            <w:noWrap w:val="0"/>
            <w:vAlign w:val="center"/>
          </w:tcPr>
          <w:p>
            <w:pPr>
              <w:snapToGrid w:val="0"/>
              <w:spacing w:line="280" w:lineRule="exact"/>
              <w:jc w:val="center"/>
              <w:rPr>
                <w:rFonts w:hint="eastAsia" w:ascii="仿宋" w:hAnsi="仿宋" w:eastAsia="仿宋" w:cs="仿宋"/>
                <w:color w:val="000000"/>
                <w:sz w:val="18"/>
                <w:szCs w:val="18"/>
              </w:rPr>
            </w:pPr>
            <w:r>
              <w:rPr>
                <w:rFonts w:hint="eastAsia" w:ascii="仿宋" w:hAnsi="仿宋" w:eastAsia="仿宋" w:cs="仿宋"/>
                <w:color w:val="000000"/>
                <w:sz w:val="18"/>
                <w:szCs w:val="18"/>
              </w:rPr>
              <w:t>2.2.4（2）</w:t>
            </w:r>
          </w:p>
        </w:tc>
        <w:tc>
          <w:tcPr>
            <w:tcW w:w="1348" w:type="dxa"/>
            <w:vMerge w:val="restart"/>
            <w:noWrap w:val="0"/>
            <w:vAlign w:val="center"/>
          </w:tcPr>
          <w:p>
            <w:pPr>
              <w:pStyle w:val="106"/>
              <w:snapToGrid w:val="0"/>
              <w:spacing w:line="280" w:lineRule="exact"/>
              <w:jc w:val="center"/>
              <w:rPr>
                <w:rFonts w:hint="eastAsia" w:ascii="仿宋" w:hAnsi="仿宋" w:eastAsia="仿宋" w:cs="仿宋"/>
                <w:sz w:val="18"/>
                <w:szCs w:val="18"/>
              </w:rPr>
            </w:pPr>
            <w:r>
              <w:rPr>
                <w:rFonts w:hint="eastAsia" w:ascii="仿宋" w:hAnsi="仿宋" w:eastAsia="仿宋" w:cs="仿宋"/>
                <w:sz w:val="18"/>
                <w:szCs w:val="18"/>
              </w:rPr>
              <w:t>投标人信用等级</w:t>
            </w:r>
          </w:p>
          <w:p>
            <w:pPr>
              <w:pStyle w:val="106"/>
              <w:snapToGrid w:val="0"/>
              <w:spacing w:line="280" w:lineRule="exact"/>
              <w:jc w:val="center"/>
              <w:rPr>
                <w:rFonts w:hint="eastAsia" w:ascii="仿宋" w:hAnsi="仿宋" w:eastAsia="仿宋" w:cs="仿宋"/>
                <w:sz w:val="18"/>
                <w:szCs w:val="18"/>
              </w:rPr>
            </w:pPr>
            <w:r>
              <w:rPr>
                <w:rFonts w:hint="eastAsia" w:ascii="仿宋" w:hAnsi="仿宋" w:eastAsia="仿宋" w:cs="仿宋"/>
                <w:sz w:val="18"/>
                <w:szCs w:val="18"/>
              </w:rPr>
              <w:t>（0～45分）</w:t>
            </w:r>
          </w:p>
        </w:tc>
        <w:tc>
          <w:tcPr>
            <w:tcW w:w="3969" w:type="dxa"/>
            <w:gridSpan w:val="2"/>
            <w:noWrap w:val="0"/>
            <w:vAlign w:val="center"/>
          </w:tcPr>
          <w:p>
            <w:pPr>
              <w:tabs>
                <w:tab w:val="left" w:pos="420"/>
              </w:tabs>
              <w:snapToGrid w:val="0"/>
              <w:spacing w:line="280" w:lineRule="exact"/>
              <w:rPr>
                <w:rFonts w:hint="eastAsia" w:ascii="仿宋" w:hAnsi="仿宋" w:eastAsia="仿宋" w:cs="仿宋"/>
                <w:color w:val="000000"/>
                <w:sz w:val="18"/>
                <w:szCs w:val="18"/>
              </w:rPr>
            </w:pPr>
            <w:r>
              <w:rPr>
                <w:rFonts w:hint="eastAsia" w:ascii="仿宋" w:hAnsi="仿宋" w:eastAsia="仿宋" w:cs="仿宋"/>
                <w:color w:val="000000"/>
                <w:sz w:val="18"/>
                <w:szCs w:val="18"/>
              </w:rPr>
              <w:t>湖南省智慧住建云－公共服务平台—诚信评价（90-100分）或信用等级（全国水利建设市场主体）为AAA级或信用等级（湖南省水利建设市场主体）A+级（100％）</w:t>
            </w:r>
          </w:p>
        </w:tc>
        <w:tc>
          <w:tcPr>
            <w:tcW w:w="708" w:type="dxa"/>
            <w:noWrap w:val="0"/>
            <w:vAlign w:val="center"/>
          </w:tcPr>
          <w:p>
            <w:pPr>
              <w:pStyle w:val="106"/>
              <w:snapToGrid w:val="0"/>
              <w:spacing w:line="280" w:lineRule="exact"/>
              <w:jc w:val="center"/>
              <w:rPr>
                <w:rFonts w:hint="eastAsia" w:ascii="仿宋" w:hAnsi="仿宋" w:eastAsia="仿宋" w:cs="仿宋"/>
                <w:sz w:val="18"/>
                <w:szCs w:val="18"/>
              </w:rPr>
            </w:pPr>
          </w:p>
        </w:tc>
        <w:tc>
          <w:tcPr>
            <w:tcW w:w="567" w:type="dxa"/>
            <w:vMerge w:val="restart"/>
            <w:noWrap w:val="0"/>
            <w:vAlign w:val="center"/>
          </w:tcPr>
          <w:p>
            <w:pPr>
              <w:pStyle w:val="106"/>
              <w:snapToGrid w:val="0"/>
              <w:spacing w:line="280" w:lineRule="exact"/>
              <w:jc w:val="center"/>
              <w:rPr>
                <w:rFonts w:hint="eastAsia" w:ascii="仿宋" w:hAnsi="仿宋" w:eastAsia="仿宋" w:cs="仿宋"/>
                <w:sz w:val="18"/>
                <w:szCs w:val="18"/>
              </w:rPr>
            </w:pPr>
          </w:p>
        </w:tc>
        <w:tc>
          <w:tcPr>
            <w:tcW w:w="567" w:type="dxa"/>
            <w:vMerge w:val="restart"/>
            <w:noWrap w:val="0"/>
            <w:vAlign w:val="center"/>
          </w:tcPr>
          <w:p>
            <w:pPr>
              <w:snapToGrid w:val="0"/>
              <w:spacing w:line="280" w:lineRule="exact"/>
              <w:jc w:val="center"/>
              <w:rPr>
                <w:rFonts w:hint="eastAsia" w:ascii="仿宋" w:hAnsi="仿宋" w:eastAsia="仿宋" w:cs="仿宋"/>
                <w:color w:val="000000"/>
                <w:kern w:val="0"/>
                <w:sz w:val="18"/>
                <w:szCs w:val="18"/>
              </w:rPr>
            </w:pPr>
          </w:p>
        </w:tc>
        <w:tc>
          <w:tcPr>
            <w:tcW w:w="576" w:type="dxa"/>
            <w:vMerge w:val="restart"/>
            <w:noWrap w:val="0"/>
            <w:vAlign w:val="center"/>
          </w:tcPr>
          <w:p>
            <w:pPr>
              <w:snapToGrid w:val="0"/>
              <w:spacing w:line="280" w:lineRule="exact"/>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exact"/>
          <w:jc w:val="center"/>
        </w:trPr>
        <w:tc>
          <w:tcPr>
            <w:tcW w:w="574" w:type="dxa"/>
            <w:vMerge w:val="continue"/>
            <w:noWrap w:val="0"/>
            <w:vAlign w:val="center"/>
          </w:tcPr>
          <w:p>
            <w:pPr>
              <w:snapToGrid w:val="0"/>
              <w:spacing w:line="280" w:lineRule="exact"/>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spacing w:line="280" w:lineRule="exact"/>
              <w:jc w:val="center"/>
              <w:rPr>
                <w:rFonts w:hint="eastAsia" w:ascii="仿宋" w:hAnsi="仿宋" w:eastAsia="仿宋" w:cs="仿宋"/>
                <w:color w:val="000000"/>
                <w:sz w:val="18"/>
                <w:szCs w:val="18"/>
              </w:rPr>
            </w:pPr>
          </w:p>
        </w:tc>
        <w:tc>
          <w:tcPr>
            <w:tcW w:w="1348" w:type="dxa"/>
            <w:vMerge w:val="continue"/>
            <w:noWrap w:val="0"/>
            <w:vAlign w:val="center"/>
          </w:tcPr>
          <w:p>
            <w:pPr>
              <w:snapToGrid w:val="0"/>
              <w:spacing w:line="280" w:lineRule="exact"/>
              <w:jc w:val="center"/>
              <w:rPr>
                <w:rFonts w:hint="eastAsia" w:ascii="仿宋" w:hAnsi="仿宋" w:eastAsia="仿宋" w:cs="仿宋"/>
                <w:color w:val="000000"/>
                <w:sz w:val="18"/>
                <w:szCs w:val="18"/>
              </w:rPr>
            </w:pPr>
          </w:p>
        </w:tc>
        <w:tc>
          <w:tcPr>
            <w:tcW w:w="3969" w:type="dxa"/>
            <w:gridSpan w:val="2"/>
            <w:noWrap w:val="0"/>
            <w:vAlign w:val="center"/>
          </w:tcPr>
          <w:p>
            <w:pPr>
              <w:snapToGrid w:val="0"/>
              <w:spacing w:line="280" w:lineRule="exact"/>
              <w:rPr>
                <w:rFonts w:hint="eastAsia" w:ascii="仿宋" w:hAnsi="仿宋" w:eastAsia="仿宋" w:cs="仿宋"/>
                <w:color w:val="000000"/>
                <w:sz w:val="18"/>
                <w:szCs w:val="18"/>
              </w:rPr>
            </w:pPr>
            <w:r>
              <w:rPr>
                <w:rFonts w:hint="eastAsia" w:ascii="仿宋" w:hAnsi="仿宋" w:eastAsia="仿宋" w:cs="仿宋"/>
                <w:color w:val="000000"/>
                <w:sz w:val="18"/>
                <w:szCs w:val="18"/>
              </w:rPr>
              <w:t>湖南省智慧住建云－公共服务平台—诚信评价（80-89分）或信用等级（全国水利建设市场主体）为AA级或信用等级（湖南省水利建设市场主体）A级（85％）</w:t>
            </w:r>
          </w:p>
        </w:tc>
        <w:tc>
          <w:tcPr>
            <w:tcW w:w="708" w:type="dxa"/>
            <w:noWrap w:val="0"/>
            <w:vAlign w:val="center"/>
          </w:tcPr>
          <w:p>
            <w:pPr>
              <w:pStyle w:val="106"/>
              <w:snapToGrid w:val="0"/>
              <w:spacing w:line="280" w:lineRule="exact"/>
              <w:jc w:val="center"/>
              <w:rPr>
                <w:rFonts w:hint="eastAsia" w:ascii="仿宋" w:hAnsi="仿宋" w:eastAsia="仿宋" w:cs="仿宋"/>
                <w:sz w:val="18"/>
                <w:szCs w:val="18"/>
              </w:rPr>
            </w:pPr>
          </w:p>
        </w:tc>
        <w:tc>
          <w:tcPr>
            <w:tcW w:w="567" w:type="dxa"/>
            <w:vMerge w:val="continue"/>
            <w:noWrap w:val="0"/>
            <w:vAlign w:val="center"/>
          </w:tcPr>
          <w:p>
            <w:pPr>
              <w:pStyle w:val="106"/>
              <w:snapToGrid w:val="0"/>
              <w:spacing w:line="280" w:lineRule="exact"/>
              <w:jc w:val="center"/>
              <w:rPr>
                <w:rFonts w:hint="eastAsia" w:ascii="仿宋" w:hAnsi="仿宋" w:eastAsia="仿宋" w:cs="仿宋"/>
                <w:sz w:val="18"/>
                <w:szCs w:val="18"/>
              </w:rPr>
            </w:pPr>
          </w:p>
        </w:tc>
        <w:tc>
          <w:tcPr>
            <w:tcW w:w="567" w:type="dxa"/>
            <w:vMerge w:val="continue"/>
            <w:noWrap w:val="0"/>
            <w:vAlign w:val="center"/>
          </w:tcPr>
          <w:p>
            <w:pPr>
              <w:snapToGrid w:val="0"/>
              <w:spacing w:line="280" w:lineRule="exact"/>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spacing w:line="280" w:lineRule="exact"/>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exact"/>
          <w:jc w:val="center"/>
        </w:trPr>
        <w:tc>
          <w:tcPr>
            <w:tcW w:w="574" w:type="dxa"/>
            <w:vMerge w:val="continue"/>
            <w:noWrap w:val="0"/>
            <w:vAlign w:val="center"/>
          </w:tcPr>
          <w:p>
            <w:pPr>
              <w:snapToGrid w:val="0"/>
              <w:spacing w:line="280" w:lineRule="exact"/>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spacing w:line="280" w:lineRule="exact"/>
              <w:jc w:val="center"/>
              <w:rPr>
                <w:rFonts w:hint="eastAsia" w:ascii="仿宋" w:hAnsi="仿宋" w:eastAsia="仿宋" w:cs="仿宋"/>
                <w:color w:val="000000"/>
                <w:sz w:val="18"/>
                <w:szCs w:val="18"/>
              </w:rPr>
            </w:pPr>
          </w:p>
        </w:tc>
        <w:tc>
          <w:tcPr>
            <w:tcW w:w="1348" w:type="dxa"/>
            <w:vMerge w:val="continue"/>
            <w:noWrap w:val="0"/>
            <w:vAlign w:val="center"/>
          </w:tcPr>
          <w:p>
            <w:pPr>
              <w:snapToGrid w:val="0"/>
              <w:spacing w:line="280" w:lineRule="exact"/>
              <w:jc w:val="center"/>
              <w:rPr>
                <w:rFonts w:hint="eastAsia" w:ascii="仿宋" w:hAnsi="仿宋" w:eastAsia="仿宋" w:cs="仿宋"/>
                <w:color w:val="000000"/>
                <w:sz w:val="18"/>
                <w:szCs w:val="18"/>
              </w:rPr>
            </w:pPr>
          </w:p>
        </w:tc>
        <w:tc>
          <w:tcPr>
            <w:tcW w:w="3969" w:type="dxa"/>
            <w:gridSpan w:val="2"/>
            <w:noWrap w:val="0"/>
            <w:vAlign w:val="center"/>
          </w:tcPr>
          <w:p>
            <w:pPr>
              <w:snapToGrid w:val="0"/>
              <w:spacing w:line="280" w:lineRule="exact"/>
              <w:rPr>
                <w:rFonts w:hint="eastAsia" w:ascii="仿宋" w:hAnsi="仿宋" w:eastAsia="仿宋" w:cs="仿宋"/>
                <w:color w:val="000000"/>
                <w:sz w:val="18"/>
                <w:szCs w:val="18"/>
              </w:rPr>
            </w:pPr>
            <w:r>
              <w:rPr>
                <w:rFonts w:hint="eastAsia" w:ascii="仿宋" w:hAnsi="仿宋" w:eastAsia="仿宋" w:cs="仿宋"/>
                <w:color w:val="000000"/>
                <w:sz w:val="18"/>
                <w:szCs w:val="18"/>
              </w:rPr>
              <w:t>湖南省智慧住建云－公共服务平台—诚信评价（70-79分）或信用等级（全国水利建设市场主体）为A级或信用等级（湖南省水利建设市场主体）A-级（70％）</w:t>
            </w:r>
          </w:p>
        </w:tc>
        <w:tc>
          <w:tcPr>
            <w:tcW w:w="708" w:type="dxa"/>
            <w:noWrap w:val="0"/>
            <w:vAlign w:val="center"/>
          </w:tcPr>
          <w:p>
            <w:pPr>
              <w:pStyle w:val="106"/>
              <w:snapToGrid w:val="0"/>
              <w:spacing w:line="280" w:lineRule="exact"/>
              <w:jc w:val="center"/>
              <w:rPr>
                <w:rFonts w:hint="eastAsia" w:ascii="仿宋" w:hAnsi="仿宋" w:eastAsia="仿宋" w:cs="仿宋"/>
                <w:sz w:val="18"/>
                <w:szCs w:val="18"/>
              </w:rPr>
            </w:pPr>
          </w:p>
        </w:tc>
        <w:tc>
          <w:tcPr>
            <w:tcW w:w="567" w:type="dxa"/>
            <w:vMerge w:val="continue"/>
            <w:noWrap w:val="0"/>
            <w:vAlign w:val="center"/>
          </w:tcPr>
          <w:p>
            <w:pPr>
              <w:pStyle w:val="106"/>
              <w:snapToGrid w:val="0"/>
              <w:spacing w:line="280" w:lineRule="exact"/>
              <w:jc w:val="center"/>
              <w:rPr>
                <w:rFonts w:hint="eastAsia" w:ascii="仿宋" w:hAnsi="仿宋" w:eastAsia="仿宋" w:cs="仿宋"/>
                <w:sz w:val="18"/>
                <w:szCs w:val="18"/>
              </w:rPr>
            </w:pPr>
          </w:p>
        </w:tc>
        <w:tc>
          <w:tcPr>
            <w:tcW w:w="567" w:type="dxa"/>
            <w:vMerge w:val="continue"/>
            <w:noWrap w:val="0"/>
            <w:vAlign w:val="center"/>
          </w:tcPr>
          <w:p>
            <w:pPr>
              <w:snapToGrid w:val="0"/>
              <w:spacing w:line="280" w:lineRule="exact"/>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spacing w:line="280" w:lineRule="exact"/>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exact"/>
          <w:jc w:val="center"/>
        </w:trPr>
        <w:tc>
          <w:tcPr>
            <w:tcW w:w="574" w:type="dxa"/>
            <w:vMerge w:val="continue"/>
            <w:noWrap w:val="0"/>
            <w:vAlign w:val="center"/>
          </w:tcPr>
          <w:p>
            <w:pPr>
              <w:snapToGrid w:val="0"/>
              <w:spacing w:line="280" w:lineRule="exact"/>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spacing w:line="280" w:lineRule="exact"/>
              <w:jc w:val="center"/>
              <w:rPr>
                <w:rFonts w:hint="eastAsia" w:ascii="仿宋" w:hAnsi="仿宋" w:eastAsia="仿宋" w:cs="仿宋"/>
                <w:color w:val="000000"/>
                <w:sz w:val="18"/>
                <w:szCs w:val="18"/>
              </w:rPr>
            </w:pPr>
          </w:p>
        </w:tc>
        <w:tc>
          <w:tcPr>
            <w:tcW w:w="1348" w:type="dxa"/>
            <w:vMerge w:val="continue"/>
            <w:noWrap w:val="0"/>
            <w:vAlign w:val="center"/>
          </w:tcPr>
          <w:p>
            <w:pPr>
              <w:snapToGrid w:val="0"/>
              <w:spacing w:line="280" w:lineRule="exact"/>
              <w:jc w:val="center"/>
              <w:rPr>
                <w:rFonts w:hint="eastAsia" w:ascii="仿宋" w:hAnsi="仿宋" w:eastAsia="仿宋" w:cs="仿宋"/>
                <w:color w:val="000000"/>
                <w:sz w:val="18"/>
                <w:szCs w:val="18"/>
              </w:rPr>
            </w:pPr>
          </w:p>
        </w:tc>
        <w:tc>
          <w:tcPr>
            <w:tcW w:w="3969" w:type="dxa"/>
            <w:gridSpan w:val="2"/>
            <w:noWrap w:val="0"/>
            <w:vAlign w:val="center"/>
          </w:tcPr>
          <w:p>
            <w:pPr>
              <w:snapToGrid w:val="0"/>
              <w:spacing w:line="280" w:lineRule="exact"/>
              <w:rPr>
                <w:rFonts w:hint="eastAsia" w:ascii="仿宋" w:hAnsi="仿宋" w:eastAsia="仿宋" w:cs="仿宋"/>
                <w:color w:val="000000"/>
                <w:sz w:val="18"/>
                <w:szCs w:val="18"/>
              </w:rPr>
            </w:pPr>
            <w:r>
              <w:rPr>
                <w:rFonts w:hint="eastAsia" w:ascii="仿宋" w:hAnsi="仿宋" w:eastAsia="仿宋" w:cs="仿宋"/>
                <w:color w:val="000000"/>
                <w:sz w:val="18"/>
                <w:szCs w:val="18"/>
              </w:rPr>
              <w:t>湖南省智慧住建云－公共服务平台—诚信评价（60-69分）或信用等级（全国水利建设市场主体）为B级或信用等级（湖南省水利建设市场主体）B级（55％）</w:t>
            </w:r>
          </w:p>
        </w:tc>
        <w:tc>
          <w:tcPr>
            <w:tcW w:w="708" w:type="dxa"/>
            <w:noWrap w:val="0"/>
            <w:vAlign w:val="center"/>
          </w:tcPr>
          <w:p>
            <w:pPr>
              <w:pStyle w:val="106"/>
              <w:snapToGrid w:val="0"/>
              <w:spacing w:line="280" w:lineRule="exact"/>
              <w:jc w:val="center"/>
              <w:rPr>
                <w:rFonts w:hint="eastAsia" w:ascii="仿宋" w:hAnsi="仿宋" w:eastAsia="仿宋" w:cs="仿宋"/>
                <w:sz w:val="18"/>
                <w:szCs w:val="18"/>
              </w:rPr>
            </w:pPr>
          </w:p>
        </w:tc>
        <w:tc>
          <w:tcPr>
            <w:tcW w:w="567" w:type="dxa"/>
            <w:vMerge w:val="continue"/>
            <w:noWrap w:val="0"/>
            <w:vAlign w:val="center"/>
          </w:tcPr>
          <w:p>
            <w:pPr>
              <w:pStyle w:val="106"/>
              <w:snapToGrid w:val="0"/>
              <w:spacing w:line="280" w:lineRule="exact"/>
              <w:jc w:val="center"/>
              <w:rPr>
                <w:rFonts w:hint="eastAsia" w:ascii="仿宋" w:hAnsi="仿宋" w:eastAsia="仿宋" w:cs="仿宋"/>
                <w:sz w:val="18"/>
                <w:szCs w:val="18"/>
              </w:rPr>
            </w:pPr>
          </w:p>
        </w:tc>
        <w:tc>
          <w:tcPr>
            <w:tcW w:w="567" w:type="dxa"/>
            <w:vMerge w:val="continue"/>
            <w:noWrap w:val="0"/>
            <w:vAlign w:val="center"/>
          </w:tcPr>
          <w:p>
            <w:pPr>
              <w:snapToGrid w:val="0"/>
              <w:spacing w:line="280" w:lineRule="exact"/>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spacing w:line="280" w:lineRule="exact"/>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 w:hRule="exact"/>
          <w:jc w:val="center"/>
        </w:trPr>
        <w:tc>
          <w:tcPr>
            <w:tcW w:w="574" w:type="dxa"/>
            <w:vMerge w:val="continue"/>
            <w:noWrap w:val="0"/>
            <w:vAlign w:val="center"/>
          </w:tcPr>
          <w:p>
            <w:pPr>
              <w:snapToGrid w:val="0"/>
              <w:spacing w:line="280" w:lineRule="exact"/>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spacing w:line="280" w:lineRule="exact"/>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spacing w:line="280" w:lineRule="exact"/>
              <w:jc w:val="center"/>
              <w:rPr>
                <w:rFonts w:hint="eastAsia" w:ascii="仿宋" w:hAnsi="仿宋" w:eastAsia="仿宋" w:cs="仿宋"/>
                <w:sz w:val="18"/>
                <w:szCs w:val="18"/>
              </w:rPr>
            </w:pPr>
          </w:p>
        </w:tc>
        <w:tc>
          <w:tcPr>
            <w:tcW w:w="3969" w:type="dxa"/>
            <w:gridSpan w:val="2"/>
            <w:noWrap w:val="0"/>
            <w:vAlign w:val="center"/>
          </w:tcPr>
          <w:p>
            <w:pPr>
              <w:pStyle w:val="106"/>
              <w:snapToGrid w:val="0"/>
              <w:spacing w:line="280" w:lineRule="exact"/>
              <w:jc w:val="both"/>
              <w:rPr>
                <w:rFonts w:hint="eastAsia" w:ascii="仿宋" w:hAnsi="仿宋" w:eastAsia="仿宋" w:cs="仿宋"/>
                <w:sz w:val="18"/>
                <w:szCs w:val="18"/>
              </w:rPr>
            </w:pPr>
            <w:r>
              <w:rPr>
                <w:rFonts w:hint="eastAsia" w:ascii="仿宋" w:hAnsi="仿宋" w:eastAsia="仿宋" w:cs="仿宋"/>
                <w:sz w:val="18"/>
                <w:szCs w:val="18"/>
              </w:rPr>
              <w:t>湖南省智慧住建云－公共服务平台—诚信评价（60分以下，不包含60分）或信用等级（全国水利建设市场主体）为C级或信用等级（湖南省水利建设市场主体）C级（0分）</w:t>
            </w:r>
          </w:p>
        </w:tc>
        <w:tc>
          <w:tcPr>
            <w:tcW w:w="708" w:type="dxa"/>
            <w:noWrap w:val="0"/>
            <w:vAlign w:val="center"/>
          </w:tcPr>
          <w:p>
            <w:pPr>
              <w:pStyle w:val="106"/>
              <w:snapToGrid w:val="0"/>
              <w:spacing w:line="280" w:lineRule="exact"/>
              <w:jc w:val="center"/>
              <w:rPr>
                <w:rFonts w:hint="eastAsia" w:ascii="仿宋" w:hAnsi="仿宋" w:eastAsia="仿宋" w:cs="仿宋"/>
                <w:sz w:val="18"/>
                <w:szCs w:val="18"/>
              </w:rPr>
            </w:pPr>
          </w:p>
        </w:tc>
        <w:tc>
          <w:tcPr>
            <w:tcW w:w="567" w:type="dxa"/>
            <w:vMerge w:val="continue"/>
            <w:noWrap w:val="0"/>
            <w:vAlign w:val="center"/>
          </w:tcPr>
          <w:p>
            <w:pPr>
              <w:pStyle w:val="106"/>
              <w:snapToGrid w:val="0"/>
              <w:spacing w:line="280" w:lineRule="exact"/>
              <w:jc w:val="center"/>
              <w:rPr>
                <w:rFonts w:hint="eastAsia" w:ascii="仿宋" w:hAnsi="仿宋" w:eastAsia="仿宋" w:cs="仿宋"/>
                <w:sz w:val="18"/>
                <w:szCs w:val="18"/>
              </w:rPr>
            </w:pPr>
          </w:p>
        </w:tc>
        <w:tc>
          <w:tcPr>
            <w:tcW w:w="567" w:type="dxa"/>
            <w:vMerge w:val="continue"/>
            <w:noWrap w:val="0"/>
            <w:vAlign w:val="center"/>
          </w:tcPr>
          <w:p>
            <w:pPr>
              <w:snapToGrid w:val="0"/>
              <w:spacing w:line="280" w:lineRule="exact"/>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spacing w:line="280" w:lineRule="exact"/>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574" w:type="dxa"/>
            <w:noWrap w:val="0"/>
            <w:vAlign w:val="center"/>
          </w:tcPr>
          <w:p>
            <w:pPr>
              <w:snapToGrid w:val="0"/>
              <w:spacing w:line="280" w:lineRule="exact"/>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2</w:t>
            </w:r>
          </w:p>
        </w:tc>
        <w:tc>
          <w:tcPr>
            <w:tcW w:w="784" w:type="dxa"/>
            <w:vMerge w:val="continue"/>
            <w:noWrap w:val="0"/>
            <w:vAlign w:val="center"/>
          </w:tcPr>
          <w:p>
            <w:pPr>
              <w:snapToGrid w:val="0"/>
              <w:spacing w:line="280" w:lineRule="exact"/>
              <w:jc w:val="center"/>
              <w:rPr>
                <w:rFonts w:hint="eastAsia" w:ascii="仿宋" w:hAnsi="仿宋" w:eastAsia="仿宋" w:cs="仿宋"/>
                <w:color w:val="000000"/>
                <w:sz w:val="18"/>
                <w:szCs w:val="18"/>
              </w:rPr>
            </w:pPr>
          </w:p>
        </w:tc>
        <w:tc>
          <w:tcPr>
            <w:tcW w:w="1348" w:type="dxa"/>
            <w:noWrap w:val="0"/>
            <w:vAlign w:val="center"/>
          </w:tcPr>
          <w:p>
            <w:pPr>
              <w:pStyle w:val="106"/>
              <w:snapToGrid w:val="0"/>
              <w:spacing w:line="280" w:lineRule="exact"/>
              <w:jc w:val="center"/>
              <w:rPr>
                <w:rFonts w:hint="eastAsia" w:ascii="仿宋" w:hAnsi="仿宋" w:eastAsia="仿宋" w:cs="仿宋"/>
                <w:b/>
                <w:sz w:val="18"/>
                <w:szCs w:val="18"/>
              </w:rPr>
            </w:pPr>
            <w:r>
              <w:rPr>
                <w:rFonts w:hint="eastAsia" w:ascii="仿宋" w:hAnsi="仿宋" w:eastAsia="仿宋" w:cs="仿宋"/>
                <w:sz w:val="18"/>
                <w:szCs w:val="18"/>
              </w:rPr>
              <w:t>类似项目经验（近</w:t>
            </w:r>
            <w:r>
              <w:rPr>
                <w:rFonts w:hint="eastAsia" w:ascii="仿宋" w:hAnsi="仿宋" w:eastAsia="仿宋" w:cs="仿宋"/>
                <w:sz w:val="18"/>
                <w:szCs w:val="18"/>
                <w:u w:val="single"/>
              </w:rPr>
              <w:t xml:space="preserve">   </w:t>
            </w:r>
            <w:r>
              <w:rPr>
                <w:rFonts w:hint="eastAsia" w:ascii="仿宋" w:hAnsi="仿宋" w:eastAsia="仿宋" w:cs="仿宋"/>
                <w:sz w:val="18"/>
                <w:szCs w:val="18"/>
              </w:rPr>
              <w:t>年）（0～40分）</w:t>
            </w:r>
          </w:p>
        </w:tc>
        <w:tc>
          <w:tcPr>
            <w:tcW w:w="4677" w:type="dxa"/>
            <w:gridSpan w:val="3"/>
            <w:noWrap w:val="0"/>
            <w:vAlign w:val="center"/>
          </w:tcPr>
          <w:p>
            <w:pPr>
              <w:pStyle w:val="106"/>
              <w:snapToGrid w:val="0"/>
              <w:spacing w:line="280" w:lineRule="exact"/>
              <w:ind w:firstLine="180" w:firstLineChars="100"/>
              <w:rPr>
                <w:rFonts w:hint="eastAsia" w:ascii="仿宋" w:hAnsi="仿宋" w:eastAsia="仿宋" w:cs="仿宋"/>
                <w:sz w:val="18"/>
                <w:szCs w:val="18"/>
              </w:rPr>
            </w:pPr>
            <w:r>
              <w:rPr>
                <w:rFonts w:hint="eastAsia" w:ascii="仿宋" w:hAnsi="仿宋" w:eastAsia="仿宋" w:cs="仿宋"/>
                <w:sz w:val="18"/>
                <w:szCs w:val="18"/>
              </w:rPr>
              <w:t>满足招标文件的计</w:t>
            </w:r>
            <w:r>
              <w:rPr>
                <w:rFonts w:hint="eastAsia" w:ascii="仿宋" w:hAnsi="仿宋" w:eastAsia="仿宋" w:cs="仿宋"/>
                <w:sz w:val="18"/>
                <w:szCs w:val="18"/>
                <w:u w:val="single"/>
              </w:rPr>
              <w:t xml:space="preserve">  </w:t>
            </w:r>
            <w:r>
              <w:rPr>
                <w:rFonts w:hint="eastAsia" w:ascii="仿宋" w:hAnsi="仿宋" w:eastAsia="仿宋" w:cs="仿宋"/>
                <w:sz w:val="18"/>
                <w:szCs w:val="18"/>
              </w:rPr>
              <w:t>分，每增加一个类似业绩加</w:t>
            </w:r>
            <w:r>
              <w:rPr>
                <w:rFonts w:hint="eastAsia" w:ascii="仿宋" w:hAnsi="仿宋" w:eastAsia="仿宋" w:cs="仿宋"/>
                <w:sz w:val="18"/>
                <w:szCs w:val="18"/>
                <w:u w:val="single"/>
              </w:rPr>
              <w:t xml:space="preserve">  </w:t>
            </w:r>
            <w:r>
              <w:rPr>
                <w:rFonts w:hint="eastAsia" w:ascii="仿宋" w:hAnsi="仿宋" w:eastAsia="仿宋" w:cs="仿宋"/>
                <w:sz w:val="18"/>
                <w:szCs w:val="18"/>
              </w:rPr>
              <w:t>分，最多增加二个类似业绩。</w:t>
            </w:r>
          </w:p>
        </w:tc>
        <w:tc>
          <w:tcPr>
            <w:tcW w:w="567" w:type="dxa"/>
            <w:noWrap w:val="0"/>
            <w:vAlign w:val="center"/>
          </w:tcPr>
          <w:p>
            <w:pPr>
              <w:pStyle w:val="106"/>
              <w:snapToGrid w:val="0"/>
              <w:spacing w:line="280" w:lineRule="exact"/>
              <w:jc w:val="center"/>
              <w:rPr>
                <w:rFonts w:hint="eastAsia" w:ascii="仿宋" w:hAnsi="仿宋" w:eastAsia="仿宋" w:cs="仿宋"/>
                <w:sz w:val="18"/>
                <w:szCs w:val="18"/>
              </w:rPr>
            </w:pPr>
          </w:p>
        </w:tc>
        <w:tc>
          <w:tcPr>
            <w:tcW w:w="567" w:type="dxa"/>
            <w:noWrap w:val="0"/>
            <w:vAlign w:val="center"/>
          </w:tcPr>
          <w:p>
            <w:pPr>
              <w:snapToGrid w:val="0"/>
              <w:spacing w:line="280" w:lineRule="exact"/>
              <w:jc w:val="center"/>
              <w:rPr>
                <w:rFonts w:hint="eastAsia" w:ascii="仿宋" w:hAnsi="仿宋" w:eastAsia="仿宋" w:cs="仿宋"/>
                <w:color w:val="000000"/>
                <w:kern w:val="0"/>
                <w:sz w:val="18"/>
                <w:szCs w:val="18"/>
              </w:rPr>
            </w:pPr>
          </w:p>
        </w:tc>
        <w:tc>
          <w:tcPr>
            <w:tcW w:w="576" w:type="dxa"/>
            <w:noWrap w:val="0"/>
            <w:vAlign w:val="center"/>
          </w:tcPr>
          <w:p>
            <w:pPr>
              <w:snapToGrid w:val="0"/>
              <w:spacing w:line="280" w:lineRule="exact"/>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restart"/>
            <w:noWrap w:val="0"/>
            <w:vAlign w:val="center"/>
          </w:tcPr>
          <w:p>
            <w:pPr>
              <w:snapToGrid w:val="0"/>
              <w:spacing w:line="280" w:lineRule="exact"/>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3</w:t>
            </w:r>
          </w:p>
        </w:tc>
        <w:tc>
          <w:tcPr>
            <w:tcW w:w="784" w:type="dxa"/>
            <w:vMerge w:val="continue"/>
            <w:noWrap w:val="0"/>
            <w:vAlign w:val="center"/>
          </w:tcPr>
          <w:p>
            <w:pPr>
              <w:snapToGrid w:val="0"/>
              <w:spacing w:line="280" w:lineRule="exact"/>
              <w:jc w:val="center"/>
              <w:rPr>
                <w:rFonts w:hint="eastAsia" w:ascii="仿宋" w:hAnsi="仿宋" w:eastAsia="仿宋" w:cs="仿宋"/>
                <w:color w:val="000000"/>
                <w:sz w:val="18"/>
                <w:szCs w:val="18"/>
              </w:rPr>
            </w:pPr>
          </w:p>
        </w:tc>
        <w:tc>
          <w:tcPr>
            <w:tcW w:w="1348" w:type="dxa"/>
            <w:vMerge w:val="restart"/>
            <w:noWrap w:val="0"/>
            <w:vAlign w:val="center"/>
          </w:tcPr>
          <w:p>
            <w:pPr>
              <w:pStyle w:val="106"/>
              <w:snapToGrid w:val="0"/>
              <w:spacing w:line="280" w:lineRule="exact"/>
              <w:jc w:val="center"/>
              <w:rPr>
                <w:rFonts w:hint="eastAsia" w:ascii="仿宋" w:hAnsi="仿宋" w:eastAsia="仿宋" w:cs="仿宋"/>
                <w:sz w:val="18"/>
                <w:szCs w:val="18"/>
              </w:rPr>
            </w:pPr>
            <w:r>
              <w:rPr>
                <w:rFonts w:hint="eastAsia" w:ascii="仿宋" w:hAnsi="仿宋" w:eastAsia="仿宋" w:cs="仿宋"/>
                <w:sz w:val="18"/>
                <w:szCs w:val="18"/>
              </w:rPr>
              <w:t>财务状况</w:t>
            </w:r>
          </w:p>
          <w:p>
            <w:pPr>
              <w:pStyle w:val="106"/>
              <w:snapToGrid w:val="0"/>
              <w:spacing w:line="280" w:lineRule="exact"/>
              <w:jc w:val="center"/>
              <w:rPr>
                <w:rFonts w:hint="eastAsia" w:ascii="仿宋" w:hAnsi="仿宋" w:eastAsia="仿宋" w:cs="仿宋"/>
                <w:sz w:val="18"/>
                <w:szCs w:val="18"/>
              </w:rPr>
            </w:pPr>
            <w:r>
              <w:rPr>
                <w:rFonts w:hint="eastAsia" w:ascii="仿宋" w:hAnsi="仿宋" w:eastAsia="仿宋" w:cs="仿宋"/>
                <w:sz w:val="18"/>
                <w:szCs w:val="18"/>
              </w:rPr>
              <w:t>（10～20分）</w:t>
            </w:r>
          </w:p>
        </w:tc>
        <w:tc>
          <w:tcPr>
            <w:tcW w:w="1134" w:type="dxa"/>
            <w:vMerge w:val="restart"/>
            <w:noWrap w:val="0"/>
            <w:vAlign w:val="center"/>
          </w:tcPr>
          <w:p>
            <w:pPr>
              <w:pStyle w:val="106"/>
              <w:snapToGrid w:val="0"/>
              <w:spacing w:line="280" w:lineRule="exact"/>
              <w:jc w:val="center"/>
              <w:rPr>
                <w:rFonts w:hint="eastAsia" w:ascii="仿宋" w:hAnsi="仿宋" w:eastAsia="仿宋" w:cs="仿宋"/>
                <w:sz w:val="18"/>
                <w:szCs w:val="18"/>
              </w:rPr>
            </w:pPr>
            <w:r>
              <w:rPr>
                <w:rFonts w:hint="eastAsia" w:ascii="仿宋" w:hAnsi="仿宋" w:eastAsia="仿宋" w:cs="仿宋"/>
                <w:sz w:val="18"/>
                <w:szCs w:val="18"/>
              </w:rPr>
              <w:t>流动比率（4～7分）</w:t>
            </w:r>
          </w:p>
        </w:tc>
        <w:tc>
          <w:tcPr>
            <w:tcW w:w="2835" w:type="dxa"/>
            <w:noWrap w:val="0"/>
            <w:vAlign w:val="center"/>
          </w:tcPr>
          <w:p>
            <w:pPr>
              <w:pStyle w:val="106"/>
              <w:snapToGrid w:val="0"/>
              <w:spacing w:line="280" w:lineRule="exact"/>
              <w:jc w:val="center"/>
              <w:rPr>
                <w:rFonts w:hint="eastAsia" w:ascii="仿宋" w:hAnsi="仿宋" w:eastAsia="仿宋" w:cs="仿宋"/>
                <w:sz w:val="18"/>
                <w:szCs w:val="18"/>
              </w:rPr>
            </w:pPr>
            <w:r>
              <w:rPr>
                <w:rFonts w:hint="eastAsia" w:ascii="仿宋" w:hAnsi="仿宋" w:eastAsia="仿宋" w:cs="仿宋"/>
                <w:sz w:val="18"/>
                <w:szCs w:val="18"/>
              </w:rPr>
              <w:t>流动比率2倍（含）以上</w:t>
            </w:r>
          </w:p>
        </w:tc>
        <w:tc>
          <w:tcPr>
            <w:tcW w:w="708" w:type="dxa"/>
            <w:noWrap w:val="0"/>
            <w:vAlign w:val="center"/>
          </w:tcPr>
          <w:p>
            <w:pPr>
              <w:pStyle w:val="106"/>
              <w:snapToGrid w:val="0"/>
              <w:spacing w:line="280" w:lineRule="exact"/>
              <w:jc w:val="center"/>
              <w:rPr>
                <w:rFonts w:hint="eastAsia" w:ascii="仿宋" w:hAnsi="仿宋" w:eastAsia="仿宋" w:cs="仿宋"/>
                <w:sz w:val="18"/>
                <w:szCs w:val="18"/>
              </w:rPr>
            </w:pPr>
          </w:p>
        </w:tc>
        <w:tc>
          <w:tcPr>
            <w:tcW w:w="567" w:type="dxa"/>
            <w:vMerge w:val="restart"/>
            <w:noWrap w:val="0"/>
            <w:vAlign w:val="center"/>
          </w:tcPr>
          <w:p>
            <w:pPr>
              <w:pStyle w:val="106"/>
              <w:snapToGrid w:val="0"/>
              <w:spacing w:line="280" w:lineRule="exact"/>
              <w:jc w:val="center"/>
              <w:rPr>
                <w:rFonts w:hint="eastAsia" w:ascii="仿宋" w:hAnsi="仿宋" w:eastAsia="仿宋" w:cs="仿宋"/>
                <w:sz w:val="18"/>
                <w:szCs w:val="18"/>
              </w:rPr>
            </w:pPr>
          </w:p>
        </w:tc>
        <w:tc>
          <w:tcPr>
            <w:tcW w:w="567" w:type="dxa"/>
            <w:vMerge w:val="restart"/>
            <w:noWrap w:val="0"/>
            <w:vAlign w:val="center"/>
          </w:tcPr>
          <w:p>
            <w:pPr>
              <w:snapToGrid w:val="0"/>
              <w:spacing w:line="280" w:lineRule="exact"/>
              <w:jc w:val="center"/>
              <w:rPr>
                <w:rFonts w:hint="eastAsia" w:ascii="仿宋" w:hAnsi="仿宋" w:eastAsia="仿宋" w:cs="仿宋"/>
                <w:color w:val="000000"/>
                <w:kern w:val="0"/>
                <w:sz w:val="18"/>
                <w:szCs w:val="18"/>
              </w:rPr>
            </w:pPr>
          </w:p>
        </w:tc>
        <w:tc>
          <w:tcPr>
            <w:tcW w:w="576" w:type="dxa"/>
            <w:vMerge w:val="restart"/>
            <w:noWrap w:val="0"/>
            <w:vAlign w:val="center"/>
          </w:tcPr>
          <w:p>
            <w:pPr>
              <w:snapToGrid w:val="0"/>
              <w:spacing w:line="280" w:lineRule="exact"/>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spacing w:line="280" w:lineRule="exact"/>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spacing w:line="280" w:lineRule="exact"/>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spacing w:line="280" w:lineRule="exact"/>
              <w:jc w:val="center"/>
              <w:rPr>
                <w:rFonts w:hint="eastAsia" w:ascii="仿宋" w:hAnsi="仿宋" w:eastAsia="仿宋" w:cs="仿宋"/>
                <w:sz w:val="18"/>
                <w:szCs w:val="18"/>
              </w:rPr>
            </w:pPr>
          </w:p>
        </w:tc>
        <w:tc>
          <w:tcPr>
            <w:tcW w:w="1134" w:type="dxa"/>
            <w:vMerge w:val="continue"/>
            <w:noWrap w:val="0"/>
            <w:vAlign w:val="center"/>
          </w:tcPr>
          <w:p>
            <w:pPr>
              <w:pStyle w:val="106"/>
              <w:snapToGrid w:val="0"/>
              <w:spacing w:line="280" w:lineRule="exact"/>
              <w:jc w:val="center"/>
              <w:rPr>
                <w:rFonts w:hint="eastAsia" w:ascii="仿宋" w:hAnsi="仿宋" w:eastAsia="仿宋" w:cs="仿宋"/>
                <w:sz w:val="18"/>
                <w:szCs w:val="18"/>
              </w:rPr>
            </w:pPr>
          </w:p>
        </w:tc>
        <w:tc>
          <w:tcPr>
            <w:tcW w:w="2835" w:type="dxa"/>
            <w:noWrap w:val="0"/>
            <w:vAlign w:val="center"/>
          </w:tcPr>
          <w:p>
            <w:pPr>
              <w:pStyle w:val="106"/>
              <w:snapToGrid w:val="0"/>
              <w:spacing w:line="280" w:lineRule="exact"/>
              <w:jc w:val="center"/>
              <w:rPr>
                <w:rFonts w:hint="eastAsia" w:ascii="仿宋" w:hAnsi="仿宋" w:eastAsia="仿宋" w:cs="仿宋"/>
                <w:sz w:val="18"/>
                <w:szCs w:val="18"/>
              </w:rPr>
            </w:pPr>
            <w:r>
              <w:rPr>
                <w:rFonts w:hint="eastAsia" w:ascii="仿宋" w:hAnsi="仿宋" w:eastAsia="仿宋" w:cs="仿宋"/>
                <w:sz w:val="18"/>
                <w:szCs w:val="18"/>
              </w:rPr>
              <w:t>流动比率2倍以下</w:t>
            </w:r>
          </w:p>
        </w:tc>
        <w:tc>
          <w:tcPr>
            <w:tcW w:w="708" w:type="dxa"/>
            <w:noWrap w:val="0"/>
            <w:vAlign w:val="center"/>
          </w:tcPr>
          <w:p>
            <w:pPr>
              <w:pStyle w:val="106"/>
              <w:snapToGrid w:val="0"/>
              <w:spacing w:line="280" w:lineRule="exact"/>
              <w:jc w:val="center"/>
              <w:rPr>
                <w:rFonts w:hint="eastAsia" w:ascii="仿宋" w:hAnsi="仿宋" w:eastAsia="仿宋" w:cs="仿宋"/>
                <w:sz w:val="18"/>
                <w:szCs w:val="18"/>
              </w:rPr>
            </w:pPr>
          </w:p>
        </w:tc>
        <w:tc>
          <w:tcPr>
            <w:tcW w:w="567" w:type="dxa"/>
            <w:vMerge w:val="continue"/>
            <w:noWrap w:val="0"/>
            <w:vAlign w:val="center"/>
          </w:tcPr>
          <w:p>
            <w:pPr>
              <w:pStyle w:val="106"/>
              <w:snapToGrid w:val="0"/>
              <w:spacing w:line="280" w:lineRule="exact"/>
              <w:jc w:val="center"/>
              <w:rPr>
                <w:rFonts w:hint="eastAsia" w:ascii="仿宋" w:hAnsi="仿宋" w:eastAsia="仿宋" w:cs="仿宋"/>
                <w:sz w:val="18"/>
                <w:szCs w:val="18"/>
              </w:rPr>
            </w:pPr>
          </w:p>
        </w:tc>
        <w:tc>
          <w:tcPr>
            <w:tcW w:w="567" w:type="dxa"/>
            <w:vMerge w:val="continue"/>
            <w:noWrap w:val="0"/>
            <w:vAlign w:val="center"/>
          </w:tcPr>
          <w:p>
            <w:pPr>
              <w:snapToGrid w:val="0"/>
              <w:spacing w:line="280" w:lineRule="exact"/>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spacing w:line="280" w:lineRule="exact"/>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574" w:type="dxa"/>
            <w:vMerge w:val="continue"/>
            <w:noWrap w:val="0"/>
            <w:vAlign w:val="center"/>
          </w:tcPr>
          <w:p>
            <w:pPr>
              <w:snapToGrid w:val="0"/>
              <w:spacing w:line="280" w:lineRule="exact"/>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spacing w:line="280" w:lineRule="exact"/>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spacing w:line="280" w:lineRule="exact"/>
              <w:jc w:val="center"/>
              <w:rPr>
                <w:rFonts w:hint="eastAsia" w:ascii="仿宋" w:hAnsi="仿宋" w:eastAsia="仿宋" w:cs="仿宋"/>
                <w:sz w:val="18"/>
                <w:szCs w:val="18"/>
              </w:rPr>
            </w:pPr>
          </w:p>
        </w:tc>
        <w:tc>
          <w:tcPr>
            <w:tcW w:w="1134" w:type="dxa"/>
            <w:noWrap w:val="0"/>
            <w:vAlign w:val="center"/>
          </w:tcPr>
          <w:p>
            <w:pPr>
              <w:pStyle w:val="106"/>
              <w:snapToGrid w:val="0"/>
              <w:spacing w:line="280" w:lineRule="exact"/>
              <w:jc w:val="center"/>
              <w:rPr>
                <w:rFonts w:hint="eastAsia" w:ascii="仿宋" w:hAnsi="仿宋" w:eastAsia="仿宋" w:cs="仿宋"/>
                <w:sz w:val="18"/>
                <w:szCs w:val="18"/>
              </w:rPr>
            </w:pPr>
            <w:r>
              <w:rPr>
                <w:rFonts w:hint="eastAsia" w:ascii="仿宋" w:hAnsi="仿宋" w:eastAsia="仿宋" w:cs="仿宋"/>
                <w:sz w:val="18"/>
                <w:szCs w:val="18"/>
              </w:rPr>
              <w:t>企业利润（2～6分）</w:t>
            </w:r>
          </w:p>
        </w:tc>
        <w:tc>
          <w:tcPr>
            <w:tcW w:w="2835" w:type="dxa"/>
            <w:noWrap w:val="0"/>
            <w:vAlign w:val="center"/>
          </w:tcPr>
          <w:p>
            <w:pPr>
              <w:pStyle w:val="106"/>
              <w:snapToGrid w:val="0"/>
              <w:spacing w:line="280" w:lineRule="exact"/>
              <w:jc w:val="center"/>
              <w:rPr>
                <w:rFonts w:hint="eastAsia" w:ascii="仿宋" w:hAnsi="仿宋" w:eastAsia="仿宋" w:cs="仿宋"/>
                <w:sz w:val="18"/>
                <w:szCs w:val="18"/>
              </w:rPr>
            </w:pPr>
            <w:r>
              <w:rPr>
                <w:rFonts w:hint="eastAsia" w:ascii="仿宋" w:hAnsi="仿宋" w:eastAsia="仿宋" w:cs="仿宋"/>
                <w:sz w:val="18"/>
                <w:szCs w:val="18"/>
              </w:rPr>
              <w:t>净利润＞0</w:t>
            </w:r>
          </w:p>
        </w:tc>
        <w:tc>
          <w:tcPr>
            <w:tcW w:w="708" w:type="dxa"/>
            <w:noWrap w:val="0"/>
            <w:vAlign w:val="center"/>
          </w:tcPr>
          <w:p>
            <w:pPr>
              <w:pStyle w:val="106"/>
              <w:snapToGrid w:val="0"/>
              <w:spacing w:line="280" w:lineRule="exact"/>
              <w:jc w:val="center"/>
              <w:rPr>
                <w:rFonts w:hint="eastAsia" w:ascii="仿宋" w:hAnsi="仿宋" w:eastAsia="仿宋" w:cs="仿宋"/>
                <w:sz w:val="18"/>
                <w:szCs w:val="18"/>
              </w:rPr>
            </w:pPr>
          </w:p>
        </w:tc>
        <w:tc>
          <w:tcPr>
            <w:tcW w:w="567" w:type="dxa"/>
            <w:noWrap w:val="0"/>
            <w:vAlign w:val="center"/>
          </w:tcPr>
          <w:p>
            <w:pPr>
              <w:pStyle w:val="106"/>
              <w:snapToGrid w:val="0"/>
              <w:spacing w:line="280" w:lineRule="exact"/>
              <w:jc w:val="center"/>
              <w:rPr>
                <w:rFonts w:hint="eastAsia" w:ascii="仿宋" w:hAnsi="仿宋" w:eastAsia="仿宋" w:cs="仿宋"/>
                <w:sz w:val="18"/>
                <w:szCs w:val="18"/>
              </w:rPr>
            </w:pPr>
          </w:p>
        </w:tc>
        <w:tc>
          <w:tcPr>
            <w:tcW w:w="567" w:type="dxa"/>
            <w:noWrap w:val="0"/>
            <w:vAlign w:val="center"/>
          </w:tcPr>
          <w:p>
            <w:pPr>
              <w:snapToGrid w:val="0"/>
              <w:spacing w:line="280" w:lineRule="exact"/>
              <w:jc w:val="center"/>
              <w:rPr>
                <w:rFonts w:hint="eastAsia" w:ascii="仿宋" w:hAnsi="仿宋" w:eastAsia="仿宋" w:cs="仿宋"/>
                <w:color w:val="000000"/>
                <w:kern w:val="0"/>
                <w:sz w:val="18"/>
                <w:szCs w:val="18"/>
              </w:rPr>
            </w:pPr>
          </w:p>
        </w:tc>
        <w:tc>
          <w:tcPr>
            <w:tcW w:w="576" w:type="dxa"/>
            <w:noWrap w:val="0"/>
            <w:vAlign w:val="center"/>
          </w:tcPr>
          <w:p>
            <w:pPr>
              <w:snapToGrid w:val="0"/>
              <w:spacing w:line="280" w:lineRule="exact"/>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spacing w:line="280" w:lineRule="exact"/>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spacing w:line="280" w:lineRule="exact"/>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spacing w:line="280" w:lineRule="exact"/>
              <w:jc w:val="center"/>
              <w:rPr>
                <w:rFonts w:hint="eastAsia" w:ascii="仿宋" w:hAnsi="仿宋" w:eastAsia="仿宋" w:cs="仿宋"/>
                <w:sz w:val="18"/>
                <w:szCs w:val="18"/>
              </w:rPr>
            </w:pPr>
          </w:p>
        </w:tc>
        <w:tc>
          <w:tcPr>
            <w:tcW w:w="1134" w:type="dxa"/>
            <w:vMerge w:val="restart"/>
            <w:noWrap w:val="0"/>
            <w:vAlign w:val="center"/>
          </w:tcPr>
          <w:p>
            <w:pPr>
              <w:pStyle w:val="106"/>
              <w:snapToGrid w:val="0"/>
              <w:spacing w:line="280" w:lineRule="exact"/>
              <w:jc w:val="center"/>
              <w:rPr>
                <w:rFonts w:hint="eastAsia" w:ascii="仿宋" w:hAnsi="仿宋" w:eastAsia="仿宋" w:cs="仿宋"/>
                <w:sz w:val="18"/>
                <w:szCs w:val="18"/>
              </w:rPr>
            </w:pPr>
            <w:r>
              <w:rPr>
                <w:rFonts w:hint="eastAsia" w:ascii="仿宋" w:hAnsi="仿宋" w:eastAsia="仿宋" w:cs="仿宋"/>
                <w:sz w:val="18"/>
                <w:szCs w:val="18"/>
              </w:rPr>
              <w:t>企业资产负债率</w:t>
            </w:r>
          </w:p>
          <w:p>
            <w:pPr>
              <w:pStyle w:val="106"/>
              <w:snapToGrid w:val="0"/>
              <w:spacing w:line="280" w:lineRule="exact"/>
              <w:jc w:val="center"/>
              <w:rPr>
                <w:rFonts w:hint="eastAsia" w:ascii="仿宋" w:hAnsi="仿宋" w:eastAsia="仿宋" w:cs="仿宋"/>
                <w:sz w:val="18"/>
                <w:szCs w:val="18"/>
              </w:rPr>
            </w:pPr>
            <w:r>
              <w:rPr>
                <w:rFonts w:hint="eastAsia" w:ascii="仿宋" w:hAnsi="仿宋" w:eastAsia="仿宋" w:cs="仿宋"/>
                <w:sz w:val="18"/>
                <w:szCs w:val="18"/>
              </w:rPr>
              <w:t>（4～7分）</w:t>
            </w:r>
          </w:p>
        </w:tc>
        <w:tc>
          <w:tcPr>
            <w:tcW w:w="2835" w:type="dxa"/>
            <w:noWrap w:val="0"/>
            <w:vAlign w:val="center"/>
          </w:tcPr>
          <w:p>
            <w:pPr>
              <w:pStyle w:val="106"/>
              <w:snapToGrid w:val="0"/>
              <w:spacing w:line="280" w:lineRule="exact"/>
              <w:jc w:val="center"/>
              <w:rPr>
                <w:rFonts w:hint="eastAsia" w:ascii="仿宋" w:hAnsi="仿宋" w:eastAsia="仿宋" w:cs="仿宋"/>
                <w:sz w:val="18"/>
                <w:szCs w:val="18"/>
              </w:rPr>
            </w:pPr>
            <w:r>
              <w:rPr>
                <w:rFonts w:hint="eastAsia" w:ascii="仿宋" w:hAnsi="仿宋" w:eastAsia="仿宋" w:cs="仿宋"/>
                <w:sz w:val="18"/>
                <w:szCs w:val="18"/>
              </w:rPr>
              <w:t>资产负债率＜70％</w:t>
            </w:r>
          </w:p>
        </w:tc>
        <w:tc>
          <w:tcPr>
            <w:tcW w:w="708" w:type="dxa"/>
            <w:noWrap w:val="0"/>
            <w:vAlign w:val="center"/>
          </w:tcPr>
          <w:p>
            <w:pPr>
              <w:pStyle w:val="106"/>
              <w:snapToGrid w:val="0"/>
              <w:spacing w:line="280" w:lineRule="exact"/>
              <w:jc w:val="center"/>
              <w:rPr>
                <w:rFonts w:hint="eastAsia" w:ascii="仿宋" w:hAnsi="仿宋" w:eastAsia="仿宋" w:cs="仿宋"/>
                <w:sz w:val="18"/>
                <w:szCs w:val="18"/>
              </w:rPr>
            </w:pPr>
          </w:p>
        </w:tc>
        <w:tc>
          <w:tcPr>
            <w:tcW w:w="567" w:type="dxa"/>
            <w:vMerge w:val="restart"/>
            <w:noWrap w:val="0"/>
            <w:vAlign w:val="center"/>
          </w:tcPr>
          <w:p>
            <w:pPr>
              <w:snapToGrid w:val="0"/>
              <w:spacing w:line="280" w:lineRule="exact"/>
              <w:jc w:val="center"/>
              <w:rPr>
                <w:rFonts w:hint="eastAsia" w:ascii="仿宋" w:hAnsi="仿宋" w:eastAsia="仿宋" w:cs="仿宋"/>
                <w:color w:val="000000"/>
                <w:kern w:val="0"/>
                <w:sz w:val="18"/>
                <w:szCs w:val="18"/>
              </w:rPr>
            </w:pPr>
          </w:p>
        </w:tc>
        <w:tc>
          <w:tcPr>
            <w:tcW w:w="567" w:type="dxa"/>
            <w:vMerge w:val="restart"/>
            <w:noWrap w:val="0"/>
            <w:vAlign w:val="center"/>
          </w:tcPr>
          <w:p>
            <w:pPr>
              <w:snapToGrid w:val="0"/>
              <w:spacing w:line="280" w:lineRule="exact"/>
              <w:jc w:val="center"/>
              <w:rPr>
                <w:rFonts w:hint="eastAsia" w:ascii="仿宋" w:hAnsi="仿宋" w:eastAsia="仿宋" w:cs="仿宋"/>
                <w:color w:val="000000"/>
                <w:kern w:val="0"/>
                <w:sz w:val="18"/>
                <w:szCs w:val="18"/>
              </w:rPr>
            </w:pPr>
          </w:p>
        </w:tc>
        <w:tc>
          <w:tcPr>
            <w:tcW w:w="576" w:type="dxa"/>
            <w:vMerge w:val="restart"/>
            <w:noWrap w:val="0"/>
            <w:vAlign w:val="center"/>
          </w:tcPr>
          <w:p>
            <w:pPr>
              <w:snapToGrid w:val="0"/>
              <w:spacing w:line="280" w:lineRule="exact"/>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spacing w:line="280" w:lineRule="exact"/>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spacing w:line="280" w:lineRule="exact"/>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spacing w:line="280" w:lineRule="exact"/>
              <w:jc w:val="center"/>
              <w:rPr>
                <w:rFonts w:hint="eastAsia" w:ascii="仿宋" w:hAnsi="仿宋" w:eastAsia="仿宋" w:cs="仿宋"/>
                <w:sz w:val="18"/>
                <w:szCs w:val="18"/>
              </w:rPr>
            </w:pPr>
          </w:p>
        </w:tc>
        <w:tc>
          <w:tcPr>
            <w:tcW w:w="1134" w:type="dxa"/>
            <w:vMerge w:val="continue"/>
            <w:noWrap w:val="0"/>
            <w:vAlign w:val="center"/>
          </w:tcPr>
          <w:p>
            <w:pPr>
              <w:pStyle w:val="106"/>
              <w:snapToGrid w:val="0"/>
              <w:spacing w:line="280" w:lineRule="exact"/>
              <w:jc w:val="center"/>
              <w:rPr>
                <w:rFonts w:hint="eastAsia" w:ascii="仿宋" w:hAnsi="仿宋" w:eastAsia="仿宋" w:cs="仿宋"/>
                <w:sz w:val="18"/>
                <w:szCs w:val="18"/>
              </w:rPr>
            </w:pPr>
          </w:p>
        </w:tc>
        <w:tc>
          <w:tcPr>
            <w:tcW w:w="2835" w:type="dxa"/>
            <w:noWrap w:val="0"/>
            <w:vAlign w:val="center"/>
          </w:tcPr>
          <w:p>
            <w:pPr>
              <w:snapToGrid w:val="0"/>
              <w:spacing w:line="280" w:lineRule="exact"/>
              <w:jc w:val="center"/>
              <w:rPr>
                <w:rFonts w:hint="eastAsia" w:ascii="仿宋" w:hAnsi="仿宋" w:eastAsia="仿宋" w:cs="仿宋"/>
                <w:color w:val="000000"/>
                <w:kern w:val="0"/>
                <w:sz w:val="18"/>
                <w:szCs w:val="18"/>
              </w:rPr>
            </w:pPr>
            <w:r>
              <w:rPr>
                <w:rFonts w:hint="eastAsia" w:ascii="仿宋" w:hAnsi="仿宋" w:eastAsia="仿宋" w:cs="仿宋"/>
                <w:color w:val="000000"/>
                <w:sz w:val="18"/>
                <w:szCs w:val="18"/>
              </w:rPr>
              <w:t>90％＞资产负债率≥70％</w:t>
            </w:r>
          </w:p>
        </w:tc>
        <w:tc>
          <w:tcPr>
            <w:tcW w:w="708" w:type="dxa"/>
            <w:noWrap w:val="0"/>
            <w:vAlign w:val="center"/>
          </w:tcPr>
          <w:p>
            <w:pPr>
              <w:snapToGrid w:val="0"/>
              <w:spacing w:line="280" w:lineRule="exact"/>
              <w:jc w:val="center"/>
              <w:rPr>
                <w:rFonts w:hint="eastAsia" w:ascii="仿宋" w:hAnsi="仿宋" w:eastAsia="仿宋" w:cs="仿宋"/>
                <w:color w:val="000000"/>
                <w:kern w:val="0"/>
                <w:sz w:val="18"/>
                <w:szCs w:val="18"/>
              </w:rPr>
            </w:pPr>
          </w:p>
        </w:tc>
        <w:tc>
          <w:tcPr>
            <w:tcW w:w="567" w:type="dxa"/>
            <w:vMerge w:val="continue"/>
            <w:noWrap w:val="0"/>
            <w:vAlign w:val="center"/>
          </w:tcPr>
          <w:p>
            <w:pPr>
              <w:snapToGrid w:val="0"/>
              <w:spacing w:line="280" w:lineRule="exact"/>
              <w:jc w:val="center"/>
              <w:rPr>
                <w:rFonts w:hint="eastAsia" w:ascii="仿宋" w:hAnsi="仿宋" w:eastAsia="仿宋" w:cs="仿宋"/>
                <w:color w:val="000000"/>
                <w:kern w:val="0"/>
                <w:sz w:val="18"/>
                <w:szCs w:val="18"/>
              </w:rPr>
            </w:pPr>
          </w:p>
        </w:tc>
        <w:tc>
          <w:tcPr>
            <w:tcW w:w="567" w:type="dxa"/>
            <w:vMerge w:val="continue"/>
            <w:noWrap w:val="0"/>
            <w:vAlign w:val="center"/>
          </w:tcPr>
          <w:p>
            <w:pPr>
              <w:snapToGrid w:val="0"/>
              <w:spacing w:line="280" w:lineRule="exact"/>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spacing w:line="280" w:lineRule="exact"/>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574" w:type="dxa"/>
            <w:vMerge w:val="restart"/>
            <w:noWrap w:val="0"/>
            <w:vAlign w:val="center"/>
          </w:tcPr>
          <w:p>
            <w:pPr>
              <w:snapToGrid w:val="0"/>
              <w:spacing w:line="280" w:lineRule="exact"/>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4</w:t>
            </w:r>
          </w:p>
        </w:tc>
        <w:tc>
          <w:tcPr>
            <w:tcW w:w="784" w:type="dxa"/>
            <w:vMerge w:val="continue"/>
            <w:noWrap w:val="0"/>
            <w:vAlign w:val="center"/>
          </w:tcPr>
          <w:p>
            <w:pPr>
              <w:snapToGrid w:val="0"/>
              <w:spacing w:line="280" w:lineRule="exact"/>
              <w:jc w:val="center"/>
              <w:rPr>
                <w:rFonts w:hint="eastAsia" w:ascii="仿宋" w:hAnsi="仿宋" w:eastAsia="仿宋" w:cs="仿宋"/>
                <w:color w:val="000000"/>
                <w:sz w:val="18"/>
                <w:szCs w:val="18"/>
              </w:rPr>
            </w:pPr>
          </w:p>
        </w:tc>
        <w:tc>
          <w:tcPr>
            <w:tcW w:w="1348" w:type="dxa"/>
            <w:vMerge w:val="restart"/>
            <w:noWrap w:val="0"/>
            <w:vAlign w:val="center"/>
          </w:tcPr>
          <w:p>
            <w:pPr>
              <w:pStyle w:val="106"/>
              <w:snapToGrid w:val="0"/>
              <w:spacing w:line="280" w:lineRule="exact"/>
              <w:jc w:val="center"/>
              <w:rPr>
                <w:rFonts w:hint="eastAsia" w:ascii="仿宋" w:hAnsi="仿宋" w:eastAsia="仿宋" w:cs="仿宋"/>
                <w:sz w:val="18"/>
                <w:szCs w:val="18"/>
              </w:rPr>
            </w:pPr>
            <w:r>
              <w:rPr>
                <w:rFonts w:hint="eastAsia" w:ascii="仿宋" w:hAnsi="仿宋" w:eastAsia="仿宋" w:cs="仿宋"/>
                <w:sz w:val="18"/>
                <w:szCs w:val="18"/>
              </w:rPr>
              <w:t>工程获奖</w:t>
            </w:r>
          </w:p>
          <w:p>
            <w:pPr>
              <w:pStyle w:val="106"/>
              <w:snapToGrid w:val="0"/>
              <w:spacing w:line="280" w:lineRule="exact"/>
              <w:jc w:val="center"/>
              <w:rPr>
                <w:rFonts w:hint="eastAsia" w:ascii="仿宋" w:hAnsi="仿宋" w:eastAsia="仿宋" w:cs="仿宋"/>
                <w:sz w:val="18"/>
                <w:szCs w:val="18"/>
              </w:rPr>
            </w:pPr>
            <w:r>
              <w:rPr>
                <w:rFonts w:hint="eastAsia" w:ascii="仿宋" w:hAnsi="仿宋" w:eastAsia="仿宋" w:cs="仿宋"/>
                <w:sz w:val="18"/>
                <w:szCs w:val="18"/>
              </w:rPr>
              <w:t>（近</w:t>
            </w:r>
            <w:r>
              <w:rPr>
                <w:rFonts w:hint="eastAsia" w:ascii="仿宋" w:hAnsi="仿宋" w:eastAsia="仿宋" w:cs="仿宋"/>
                <w:sz w:val="18"/>
                <w:szCs w:val="18"/>
                <w:u w:val="single"/>
              </w:rPr>
              <w:t xml:space="preserve">    </w:t>
            </w:r>
            <w:r>
              <w:rPr>
                <w:rFonts w:hint="eastAsia" w:ascii="仿宋" w:hAnsi="仿宋" w:eastAsia="仿宋" w:cs="仿宋"/>
                <w:sz w:val="18"/>
                <w:szCs w:val="18"/>
              </w:rPr>
              <w:t>年）</w:t>
            </w:r>
          </w:p>
          <w:p>
            <w:pPr>
              <w:pStyle w:val="106"/>
              <w:snapToGrid w:val="0"/>
              <w:spacing w:line="280" w:lineRule="exact"/>
              <w:jc w:val="center"/>
              <w:rPr>
                <w:rFonts w:hint="eastAsia" w:ascii="仿宋" w:hAnsi="仿宋" w:eastAsia="仿宋" w:cs="仿宋"/>
                <w:sz w:val="18"/>
                <w:szCs w:val="18"/>
              </w:rPr>
            </w:pPr>
            <w:r>
              <w:rPr>
                <w:rFonts w:hint="eastAsia" w:ascii="仿宋" w:hAnsi="仿宋" w:eastAsia="仿宋" w:cs="仿宋"/>
                <w:sz w:val="18"/>
                <w:szCs w:val="18"/>
              </w:rPr>
              <w:t>（0～20分）</w:t>
            </w:r>
          </w:p>
        </w:tc>
        <w:tc>
          <w:tcPr>
            <w:tcW w:w="1134" w:type="dxa"/>
            <w:noWrap w:val="0"/>
            <w:vAlign w:val="center"/>
          </w:tcPr>
          <w:p>
            <w:pPr>
              <w:pStyle w:val="106"/>
              <w:snapToGrid w:val="0"/>
              <w:spacing w:line="280" w:lineRule="exact"/>
              <w:jc w:val="center"/>
              <w:rPr>
                <w:rFonts w:ascii="仿宋" w:hAnsi="仿宋" w:eastAsia="仿宋" w:cs="仿宋"/>
                <w:sz w:val="18"/>
                <w:szCs w:val="18"/>
              </w:rPr>
            </w:pPr>
            <w:r>
              <w:rPr>
                <w:rFonts w:hint="eastAsia" w:ascii="仿宋" w:hAnsi="仿宋" w:eastAsia="仿宋" w:cs="仿宋"/>
                <w:sz w:val="18"/>
                <w:szCs w:val="18"/>
              </w:rPr>
              <w:t>0～20</w:t>
            </w:r>
          </w:p>
        </w:tc>
        <w:tc>
          <w:tcPr>
            <w:tcW w:w="2835" w:type="dxa"/>
            <w:noWrap w:val="0"/>
            <w:vAlign w:val="center"/>
          </w:tcPr>
          <w:p>
            <w:pPr>
              <w:pStyle w:val="106"/>
              <w:snapToGrid w:val="0"/>
              <w:spacing w:line="280" w:lineRule="exact"/>
              <w:rPr>
                <w:rFonts w:hint="eastAsia" w:ascii="仿宋" w:hAnsi="仿宋" w:eastAsia="仿宋" w:cs="仿宋"/>
                <w:sz w:val="18"/>
                <w:szCs w:val="18"/>
                <w:u w:val="single"/>
              </w:rPr>
            </w:pPr>
            <w:r>
              <w:rPr>
                <w:rFonts w:hint="eastAsia" w:ascii="仿宋" w:hAnsi="仿宋" w:eastAsia="仿宋" w:cs="仿宋"/>
                <w:sz w:val="18"/>
                <w:szCs w:val="18"/>
              </w:rPr>
              <w:t>国家优质工程奖、农业农村部质量奖（均指农田建设项目工程获奖），每项计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spacing w:line="280" w:lineRule="exact"/>
              <w:jc w:val="center"/>
              <w:rPr>
                <w:rFonts w:hint="eastAsia" w:ascii="仿宋" w:hAnsi="仿宋" w:eastAsia="仿宋" w:cs="仿宋"/>
                <w:sz w:val="18"/>
                <w:szCs w:val="18"/>
              </w:rPr>
            </w:pPr>
          </w:p>
        </w:tc>
        <w:tc>
          <w:tcPr>
            <w:tcW w:w="567" w:type="dxa"/>
            <w:noWrap w:val="0"/>
            <w:vAlign w:val="center"/>
          </w:tcPr>
          <w:p>
            <w:pPr>
              <w:pStyle w:val="106"/>
              <w:snapToGrid w:val="0"/>
              <w:spacing w:line="280" w:lineRule="exact"/>
              <w:jc w:val="center"/>
              <w:rPr>
                <w:rFonts w:hint="eastAsia" w:ascii="仿宋" w:hAnsi="仿宋" w:eastAsia="仿宋" w:cs="仿宋"/>
                <w:sz w:val="18"/>
                <w:szCs w:val="18"/>
              </w:rPr>
            </w:pPr>
          </w:p>
        </w:tc>
        <w:tc>
          <w:tcPr>
            <w:tcW w:w="567" w:type="dxa"/>
            <w:noWrap w:val="0"/>
            <w:vAlign w:val="center"/>
          </w:tcPr>
          <w:p>
            <w:pPr>
              <w:snapToGrid w:val="0"/>
              <w:spacing w:line="280" w:lineRule="exact"/>
              <w:jc w:val="center"/>
              <w:rPr>
                <w:rFonts w:hint="eastAsia" w:ascii="仿宋" w:hAnsi="仿宋" w:eastAsia="仿宋" w:cs="仿宋"/>
                <w:color w:val="000000"/>
                <w:kern w:val="0"/>
                <w:sz w:val="18"/>
                <w:szCs w:val="18"/>
              </w:rPr>
            </w:pPr>
          </w:p>
        </w:tc>
        <w:tc>
          <w:tcPr>
            <w:tcW w:w="576" w:type="dxa"/>
            <w:noWrap w:val="0"/>
            <w:vAlign w:val="center"/>
          </w:tcPr>
          <w:p>
            <w:pPr>
              <w:snapToGrid w:val="0"/>
              <w:spacing w:line="280" w:lineRule="exact"/>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574" w:type="dxa"/>
            <w:vMerge w:val="continue"/>
            <w:noWrap w:val="0"/>
            <w:vAlign w:val="center"/>
          </w:tcPr>
          <w:p>
            <w:pPr>
              <w:snapToGrid w:val="0"/>
              <w:spacing w:line="280" w:lineRule="exact"/>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spacing w:line="280" w:lineRule="exact"/>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spacing w:line="280" w:lineRule="exact"/>
              <w:jc w:val="center"/>
              <w:rPr>
                <w:rFonts w:hint="eastAsia" w:ascii="仿宋" w:hAnsi="仿宋" w:eastAsia="仿宋" w:cs="仿宋"/>
                <w:sz w:val="18"/>
                <w:szCs w:val="18"/>
              </w:rPr>
            </w:pPr>
          </w:p>
        </w:tc>
        <w:tc>
          <w:tcPr>
            <w:tcW w:w="1134" w:type="dxa"/>
            <w:noWrap w:val="0"/>
            <w:vAlign w:val="center"/>
          </w:tcPr>
          <w:p>
            <w:pPr>
              <w:pStyle w:val="106"/>
              <w:snapToGrid w:val="0"/>
              <w:spacing w:line="280" w:lineRule="exact"/>
              <w:jc w:val="center"/>
              <w:rPr>
                <w:rFonts w:hint="eastAsia" w:ascii="仿宋" w:hAnsi="仿宋" w:eastAsia="仿宋" w:cs="仿宋"/>
                <w:sz w:val="18"/>
                <w:szCs w:val="18"/>
              </w:rPr>
            </w:pPr>
            <w:r>
              <w:rPr>
                <w:rFonts w:hint="eastAsia" w:ascii="仿宋" w:hAnsi="仿宋" w:eastAsia="仿宋" w:cs="仿宋"/>
                <w:sz w:val="18"/>
                <w:szCs w:val="18"/>
              </w:rPr>
              <w:t>0～15</w:t>
            </w:r>
          </w:p>
        </w:tc>
        <w:tc>
          <w:tcPr>
            <w:tcW w:w="2835" w:type="dxa"/>
            <w:noWrap w:val="0"/>
            <w:vAlign w:val="center"/>
          </w:tcPr>
          <w:p>
            <w:pPr>
              <w:pStyle w:val="106"/>
              <w:snapToGrid w:val="0"/>
              <w:spacing w:line="280" w:lineRule="exact"/>
              <w:rPr>
                <w:rFonts w:hint="eastAsia" w:ascii="仿宋" w:hAnsi="仿宋" w:eastAsia="仿宋" w:cs="仿宋"/>
                <w:sz w:val="18"/>
                <w:szCs w:val="18"/>
              </w:rPr>
            </w:pPr>
            <w:r>
              <w:rPr>
                <w:rFonts w:hint="eastAsia" w:ascii="仿宋" w:hAnsi="仿宋" w:eastAsia="仿宋" w:cs="仿宋"/>
                <w:sz w:val="18"/>
                <w:szCs w:val="18"/>
              </w:rPr>
              <w:t>省政府或省级农业农村主管部门颁发的优质农田建设项目工程奖项每项计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spacing w:line="280" w:lineRule="exact"/>
              <w:jc w:val="center"/>
              <w:rPr>
                <w:rFonts w:hint="eastAsia" w:ascii="仿宋" w:hAnsi="仿宋" w:eastAsia="仿宋" w:cs="仿宋"/>
                <w:sz w:val="18"/>
                <w:szCs w:val="18"/>
              </w:rPr>
            </w:pPr>
          </w:p>
        </w:tc>
        <w:tc>
          <w:tcPr>
            <w:tcW w:w="567" w:type="dxa"/>
            <w:noWrap w:val="0"/>
            <w:vAlign w:val="center"/>
          </w:tcPr>
          <w:p>
            <w:pPr>
              <w:pStyle w:val="106"/>
              <w:snapToGrid w:val="0"/>
              <w:spacing w:line="280" w:lineRule="exact"/>
              <w:jc w:val="center"/>
              <w:rPr>
                <w:rFonts w:hint="eastAsia" w:ascii="仿宋" w:hAnsi="仿宋" w:eastAsia="仿宋" w:cs="仿宋"/>
                <w:sz w:val="18"/>
                <w:szCs w:val="18"/>
              </w:rPr>
            </w:pPr>
          </w:p>
        </w:tc>
        <w:tc>
          <w:tcPr>
            <w:tcW w:w="567" w:type="dxa"/>
            <w:noWrap w:val="0"/>
            <w:vAlign w:val="center"/>
          </w:tcPr>
          <w:p>
            <w:pPr>
              <w:snapToGrid w:val="0"/>
              <w:spacing w:line="280" w:lineRule="exact"/>
              <w:jc w:val="center"/>
              <w:rPr>
                <w:rFonts w:hint="eastAsia" w:ascii="仿宋" w:hAnsi="仿宋" w:eastAsia="仿宋" w:cs="仿宋"/>
                <w:color w:val="000000"/>
                <w:kern w:val="0"/>
                <w:sz w:val="18"/>
                <w:szCs w:val="18"/>
              </w:rPr>
            </w:pPr>
          </w:p>
        </w:tc>
        <w:tc>
          <w:tcPr>
            <w:tcW w:w="576" w:type="dxa"/>
            <w:noWrap w:val="0"/>
            <w:vAlign w:val="center"/>
          </w:tcPr>
          <w:p>
            <w:pPr>
              <w:snapToGrid w:val="0"/>
              <w:spacing w:line="280" w:lineRule="exact"/>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574" w:type="dxa"/>
            <w:vMerge w:val="continue"/>
            <w:noWrap w:val="0"/>
            <w:vAlign w:val="center"/>
          </w:tcPr>
          <w:p>
            <w:pPr>
              <w:snapToGrid w:val="0"/>
              <w:spacing w:line="280" w:lineRule="exact"/>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spacing w:line="280" w:lineRule="exact"/>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spacing w:line="280" w:lineRule="exact"/>
              <w:jc w:val="center"/>
              <w:rPr>
                <w:rFonts w:hint="eastAsia" w:ascii="仿宋" w:hAnsi="仿宋" w:eastAsia="仿宋" w:cs="仿宋"/>
                <w:sz w:val="18"/>
                <w:szCs w:val="18"/>
              </w:rPr>
            </w:pPr>
          </w:p>
        </w:tc>
        <w:tc>
          <w:tcPr>
            <w:tcW w:w="1134" w:type="dxa"/>
            <w:noWrap w:val="0"/>
            <w:vAlign w:val="center"/>
          </w:tcPr>
          <w:p>
            <w:pPr>
              <w:pStyle w:val="106"/>
              <w:snapToGrid w:val="0"/>
              <w:spacing w:line="280" w:lineRule="exact"/>
              <w:jc w:val="center"/>
              <w:rPr>
                <w:rFonts w:hint="eastAsia" w:ascii="仿宋" w:hAnsi="仿宋" w:eastAsia="仿宋" w:cs="仿宋"/>
                <w:sz w:val="18"/>
                <w:szCs w:val="18"/>
              </w:rPr>
            </w:pPr>
            <w:r>
              <w:rPr>
                <w:rFonts w:hint="eastAsia" w:ascii="仿宋" w:hAnsi="仿宋" w:eastAsia="仿宋" w:cs="仿宋"/>
                <w:sz w:val="18"/>
                <w:szCs w:val="18"/>
              </w:rPr>
              <w:t>0～12</w:t>
            </w:r>
          </w:p>
        </w:tc>
        <w:tc>
          <w:tcPr>
            <w:tcW w:w="2835" w:type="dxa"/>
            <w:noWrap w:val="0"/>
            <w:vAlign w:val="center"/>
          </w:tcPr>
          <w:p>
            <w:pPr>
              <w:pStyle w:val="106"/>
              <w:snapToGrid w:val="0"/>
              <w:spacing w:line="280" w:lineRule="exact"/>
              <w:rPr>
                <w:rFonts w:hint="eastAsia" w:ascii="仿宋" w:hAnsi="仿宋" w:eastAsia="仿宋" w:cs="仿宋"/>
                <w:sz w:val="18"/>
                <w:szCs w:val="18"/>
              </w:rPr>
            </w:pPr>
            <w:r>
              <w:rPr>
                <w:rFonts w:hint="eastAsia" w:ascii="仿宋" w:hAnsi="仿宋" w:eastAsia="仿宋" w:cs="仿宋"/>
                <w:sz w:val="18"/>
                <w:szCs w:val="18"/>
              </w:rPr>
              <w:t>市政府或市级农业农村主管部门颁发的优质农田建设项目工程奖项每项计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spacing w:line="280" w:lineRule="exact"/>
              <w:jc w:val="center"/>
              <w:rPr>
                <w:rFonts w:hint="eastAsia" w:ascii="仿宋" w:hAnsi="仿宋" w:eastAsia="仿宋" w:cs="仿宋"/>
                <w:sz w:val="18"/>
                <w:szCs w:val="18"/>
              </w:rPr>
            </w:pPr>
          </w:p>
        </w:tc>
        <w:tc>
          <w:tcPr>
            <w:tcW w:w="567" w:type="dxa"/>
            <w:noWrap w:val="0"/>
            <w:vAlign w:val="center"/>
          </w:tcPr>
          <w:p>
            <w:pPr>
              <w:pStyle w:val="106"/>
              <w:snapToGrid w:val="0"/>
              <w:spacing w:line="280" w:lineRule="exact"/>
              <w:jc w:val="center"/>
              <w:rPr>
                <w:rFonts w:hint="eastAsia" w:ascii="仿宋" w:hAnsi="仿宋" w:eastAsia="仿宋" w:cs="仿宋"/>
                <w:sz w:val="18"/>
                <w:szCs w:val="18"/>
              </w:rPr>
            </w:pPr>
          </w:p>
        </w:tc>
        <w:tc>
          <w:tcPr>
            <w:tcW w:w="567" w:type="dxa"/>
            <w:noWrap w:val="0"/>
            <w:vAlign w:val="center"/>
          </w:tcPr>
          <w:p>
            <w:pPr>
              <w:snapToGrid w:val="0"/>
              <w:spacing w:line="280" w:lineRule="exact"/>
              <w:jc w:val="center"/>
              <w:rPr>
                <w:rFonts w:hint="eastAsia" w:ascii="仿宋" w:hAnsi="仿宋" w:eastAsia="仿宋" w:cs="仿宋"/>
                <w:color w:val="000000"/>
                <w:kern w:val="0"/>
                <w:sz w:val="18"/>
                <w:szCs w:val="18"/>
              </w:rPr>
            </w:pPr>
          </w:p>
        </w:tc>
        <w:tc>
          <w:tcPr>
            <w:tcW w:w="576" w:type="dxa"/>
            <w:noWrap w:val="0"/>
            <w:vAlign w:val="center"/>
          </w:tcPr>
          <w:p>
            <w:pPr>
              <w:snapToGrid w:val="0"/>
              <w:spacing w:line="280" w:lineRule="exact"/>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exac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5</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年度考核</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（近</w:t>
            </w:r>
            <w:r>
              <w:rPr>
                <w:rFonts w:hint="eastAsia" w:ascii="仿宋" w:hAnsi="仿宋" w:eastAsia="仿宋" w:cs="仿宋"/>
                <w:sz w:val="18"/>
                <w:szCs w:val="18"/>
                <w:u w:val="single"/>
              </w:rPr>
              <w:t xml:space="preserve">    </w:t>
            </w:r>
            <w:r>
              <w:rPr>
                <w:rFonts w:hint="eastAsia" w:ascii="仿宋" w:hAnsi="仿宋" w:eastAsia="仿宋" w:cs="仿宋"/>
                <w:sz w:val="18"/>
                <w:szCs w:val="18"/>
              </w:rPr>
              <w:t>年）</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（18～35分）</w:t>
            </w: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21～35</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省级农业农村主管部门考核第一名100%；第二名95%；第三名85%；其他60%；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ascii="仿宋" w:hAnsi="仿宋" w:eastAsia="仿宋" w:cs="仿宋"/>
                <w:sz w:val="18"/>
                <w:szCs w:val="18"/>
              </w:rPr>
            </w:pPr>
            <w:r>
              <w:rPr>
                <w:rFonts w:hint="eastAsia" w:ascii="仿宋" w:hAnsi="仿宋" w:eastAsia="仿宋" w:cs="仿宋"/>
                <w:sz w:val="18"/>
                <w:szCs w:val="18"/>
              </w:rPr>
              <w:t>18～30</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县/区级农业农村主管部门考核第一名100%；第二名95%；第三名85%；其他60%；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exac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6</w:t>
            </w:r>
          </w:p>
        </w:tc>
        <w:tc>
          <w:tcPr>
            <w:tcW w:w="784" w:type="dxa"/>
            <w:vMerge w:val="restart"/>
            <w:noWrap w:val="0"/>
            <w:vAlign w:val="center"/>
          </w:tcPr>
          <w:p>
            <w:pPr>
              <w:snapToGrid w:val="0"/>
              <w:jc w:val="center"/>
              <w:rPr>
                <w:rFonts w:hint="eastAsia" w:ascii="仿宋" w:hAnsi="仿宋" w:eastAsia="仿宋" w:cs="仿宋"/>
                <w:color w:val="000000"/>
                <w:sz w:val="18"/>
                <w:szCs w:val="18"/>
              </w:rPr>
            </w:pPr>
          </w:p>
        </w:tc>
        <w:tc>
          <w:tcPr>
            <w:tcW w:w="1348"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技术创新</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（近</w:t>
            </w:r>
            <w:r>
              <w:rPr>
                <w:rFonts w:hint="eastAsia" w:ascii="仿宋" w:hAnsi="仿宋" w:eastAsia="仿宋" w:cs="仿宋"/>
                <w:sz w:val="18"/>
                <w:szCs w:val="18"/>
                <w:u w:val="single"/>
              </w:rPr>
              <w:t xml:space="preserve">    </w:t>
            </w:r>
            <w:r>
              <w:rPr>
                <w:rFonts w:hint="eastAsia" w:ascii="仿宋" w:hAnsi="仿宋" w:eastAsia="仿宋" w:cs="仿宋"/>
                <w:sz w:val="18"/>
                <w:szCs w:val="18"/>
              </w:rPr>
              <w:t>年）</w:t>
            </w:r>
          </w:p>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0～8</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国家科技进步奖或国家技术发明奖（均指农田建设项目工程获奖）每项计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0～4</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省科技进步奖或省技术发明奖（均指农田建设项目工程获奖）每项计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0～3</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省级行业协会（学会）颁发的科技进步奖（均指农田建设项目工程获奖）每项计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574" w:type="dxa"/>
            <w:noWrap w:val="0"/>
            <w:vAlign w:val="center"/>
          </w:tcPr>
          <w:p>
            <w:pPr>
              <w:snapToGrid w:val="0"/>
              <w:jc w:val="center"/>
              <w:rPr>
                <w:rFonts w:hint="eastAsia" w:ascii="仿宋" w:hAnsi="仿宋" w:eastAsia="仿宋" w:cs="仿宋"/>
                <w:color w:val="000000"/>
                <w:kern w:val="0"/>
              </w:rPr>
            </w:pPr>
          </w:p>
        </w:tc>
        <w:tc>
          <w:tcPr>
            <w:tcW w:w="6809" w:type="dxa"/>
            <w:gridSpan w:val="5"/>
            <w:noWrap w:val="0"/>
            <w:vAlign w:val="center"/>
          </w:tcPr>
          <w:p>
            <w:pPr>
              <w:snapToGrid w:val="0"/>
              <w:jc w:val="center"/>
              <w:rPr>
                <w:rFonts w:hint="eastAsia" w:ascii="仿宋" w:hAnsi="仿宋" w:eastAsia="仿宋" w:cs="仿宋"/>
                <w:b/>
                <w:bCs/>
                <w:color w:val="000000"/>
                <w:kern w:val="0"/>
              </w:rPr>
            </w:pPr>
            <w:r>
              <w:rPr>
                <w:rFonts w:hint="eastAsia" w:ascii="仿宋" w:hAnsi="仿宋" w:eastAsia="仿宋" w:cs="仿宋"/>
                <w:b/>
                <w:bCs/>
                <w:color w:val="000000"/>
                <w:kern w:val="0"/>
              </w:rPr>
              <w:t>合计</w:t>
            </w:r>
          </w:p>
        </w:tc>
        <w:tc>
          <w:tcPr>
            <w:tcW w:w="567" w:type="dxa"/>
            <w:noWrap w:val="0"/>
            <w:vAlign w:val="center"/>
          </w:tcPr>
          <w:p>
            <w:pPr>
              <w:snapToGrid w:val="0"/>
              <w:jc w:val="center"/>
              <w:rPr>
                <w:rFonts w:hint="eastAsia" w:ascii="仿宋" w:hAnsi="仿宋" w:eastAsia="仿宋" w:cs="仿宋"/>
                <w:color w:val="000000"/>
                <w:kern w:val="0"/>
              </w:rPr>
            </w:pPr>
          </w:p>
        </w:tc>
        <w:tc>
          <w:tcPr>
            <w:tcW w:w="567" w:type="dxa"/>
            <w:noWrap w:val="0"/>
            <w:vAlign w:val="center"/>
          </w:tcPr>
          <w:p>
            <w:pPr>
              <w:snapToGrid w:val="0"/>
              <w:jc w:val="center"/>
              <w:rPr>
                <w:rFonts w:hint="eastAsia" w:ascii="仿宋" w:hAnsi="仿宋" w:eastAsia="仿宋" w:cs="仿宋"/>
                <w:color w:val="000000"/>
                <w:kern w:val="0"/>
              </w:rPr>
            </w:pPr>
          </w:p>
        </w:tc>
        <w:tc>
          <w:tcPr>
            <w:tcW w:w="576" w:type="dxa"/>
            <w:noWrap w:val="0"/>
            <w:vAlign w:val="center"/>
          </w:tcPr>
          <w:p>
            <w:pPr>
              <w:snapToGrid w:val="0"/>
              <w:jc w:val="center"/>
              <w:rPr>
                <w:rFonts w:hint="eastAsia" w:ascii="仿宋" w:hAnsi="仿宋" w:eastAsia="仿宋" w:cs="仿宋"/>
                <w:color w:val="000000"/>
                <w:kern w:val="0"/>
              </w:rPr>
            </w:pPr>
          </w:p>
        </w:tc>
      </w:tr>
    </w:tbl>
    <w:p>
      <w:pPr>
        <w:jc w:val="left"/>
        <w:rPr>
          <w:rFonts w:hint="eastAsia" w:ascii="仿宋" w:hAnsi="仿宋" w:eastAsia="仿宋" w:cs="仿宋"/>
          <w:color w:val="000000"/>
          <w:kern w:val="0"/>
          <w:sz w:val="18"/>
          <w:szCs w:val="18"/>
        </w:rPr>
      </w:pPr>
      <w:r>
        <w:rPr>
          <w:rFonts w:hint="eastAsia" w:ascii="仿宋" w:hAnsi="仿宋" w:eastAsia="仿宋" w:cs="仿宋"/>
          <w:b/>
          <w:color w:val="000000"/>
          <w:kern w:val="0"/>
          <w:sz w:val="18"/>
          <w:szCs w:val="18"/>
        </w:rPr>
        <w:t>备注：</w:t>
      </w:r>
      <w:r>
        <w:rPr>
          <w:rFonts w:hint="eastAsia" w:ascii="仿宋" w:hAnsi="仿宋" w:eastAsia="仿宋" w:cs="仿宋"/>
          <w:color w:val="000000"/>
          <w:kern w:val="0"/>
          <w:sz w:val="18"/>
          <w:szCs w:val="18"/>
        </w:rPr>
        <w:t>1.本表适用于非联合体投标人评审。</w:t>
      </w:r>
    </w:p>
    <w:p>
      <w:pPr>
        <w:ind w:firstLine="540" w:firstLineChars="300"/>
        <w:jc w:val="left"/>
        <w:rPr>
          <w:rFonts w:hint="eastAsia" w:ascii="仿宋" w:hAnsi="仿宋" w:eastAsia="仿宋" w:cs="仿宋"/>
          <w:color w:val="000000"/>
          <w:sz w:val="18"/>
          <w:szCs w:val="18"/>
        </w:rPr>
      </w:pPr>
      <w:r>
        <w:rPr>
          <w:rFonts w:hint="eastAsia" w:ascii="仿宋" w:hAnsi="仿宋" w:eastAsia="仿宋" w:cs="仿宋"/>
          <w:color w:val="000000"/>
          <w:kern w:val="0"/>
          <w:sz w:val="18"/>
          <w:szCs w:val="18"/>
        </w:rPr>
        <w:t>2.本表小计总分为100分。</w:t>
      </w:r>
      <w:r>
        <w:rPr>
          <w:rFonts w:hint="eastAsia" w:ascii="仿宋" w:hAnsi="仿宋" w:eastAsia="仿宋" w:cs="仿宋"/>
          <w:color w:val="000000"/>
          <w:sz w:val="18"/>
          <w:szCs w:val="18"/>
        </w:rPr>
        <w:t>由评标委员会集体评议，统一计分。评标委员会成员中对结论有不同意见时，按少数服从多数的原则，确定得分。</w:t>
      </w:r>
    </w:p>
    <w:p>
      <w:pPr>
        <w:pStyle w:val="164"/>
        <w:widowControl w:val="0"/>
        <w:snapToGrid w:val="0"/>
        <w:spacing w:before="0" w:beforeAutospacing="0" w:after="0" w:afterAutospacing="0"/>
        <w:ind w:firstLine="542" w:firstLineChars="300"/>
        <w:rPr>
          <w:rFonts w:hint="eastAsia" w:ascii="仿宋" w:hAnsi="仿宋" w:eastAsia="仿宋" w:cs="仿宋"/>
          <w:b/>
          <w:bCs/>
          <w:color w:val="000000"/>
          <w:sz w:val="18"/>
          <w:szCs w:val="18"/>
        </w:rPr>
      </w:pPr>
      <w:r>
        <w:rPr>
          <w:rFonts w:hint="eastAsia" w:ascii="仿宋" w:hAnsi="仿宋" w:eastAsia="仿宋" w:cs="仿宋"/>
          <w:b/>
          <w:bCs/>
          <w:color w:val="000000"/>
          <w:sz w:val="18"/>
          <w:szCs w:val="18"/>
        </w:rPr>
        <w:t>3.（1）以建筑工程施工总承包或市政公用工程施工总承包资质投标时，施工单位信用评价情况采用提交投标文件截止之时最新公告的信用评价结果。评标时以在“湖南省智慧住建云”中查询的结果为准；</w:t>
      </w:r>
    </w:p>
    <w:p>
      <w:pPr>
        <w:pStyle w:val="164"/>
        <w:widowControl w:val="0"/>
        <w:snapToGrid w:val="0"/>
        <w:spacing w:before="0" w:beforeAutospacing="0" w:after="0" w:afterAutospacing="0"/>
        <w:ind w:firstLine="542" w:firstLineChars="300"/>
        <w:rPr>
          <w:rFonts w:hint="eastAsia" w:ascii="仿宋" w:hAnsi="仿宋" w:eastAsia="仿宋" w:cs="仿宋"/>
          <w:b/>
          <w:bCs/>
          <w:color w:val="000000"/>
          <w:sz w:val="18"/>
          <w:szCs w:val="18"/>
        </w:rPr>
      </w:pPr>
      <w:r>
        <w:rPr>
          <w:rFonts w:hint="eastAsia" w:ascii="仿宋" w:hAnsi="仿宋" w:eastAsia="仿宋" w:cs="仿宋"/>
          <w:b/>
          <w:bCs/>
          <w:color w:val="000000"/>
          <w:sz w:val="18"/>
          <w:szCs w:val="18"/>
        </w:rPr>
        <w:t>（2）以建筑工程施工总承包或市政公用工程施工总承包资质投标时，未参加信用评价的投标人（含联合体各成员方），按照信用评价处于末位的合格投标人的分值计取，其中被列入省公管办或省住建厅发布的失信黑名单的投标人，按照信用评价处于末位的合格投标人的分值扣除60分计取。</w:t>
      </w:r>
    </w:p>
    <w:p>
      <w:pPr>
        <w:pStyle w:val="164"/>
        <w:widowControl w:val="0"/>
        <w:snapToGrid w:val="0"/>
        <w:spacing w:before="0" w:beforeAutospacing="0" w:after="0" w:afterAutospacing="0"/>
        <w:ind w:firstLine="542" w:firstLineChars="300"/>
        <w:rPr>
          <w:rFonts w:hint="eastAsia" w:ascii="仿宋" w:hAnsi="仿宋" w:eastAsia="仿宋" w:cs="仿宋"/>
          <w:b/>
          <w:bCs/>
          <w:color w:val="000000"/>
          <w:sz w:val="18"/>
          <w:szCs w:val="18"/>
        </w:rPr>
      </w:pPr>
      <w:r>
        <w:rPr>
          <w:rFonts w:hint="eastAsia" w:ascii="仿宋" w:hAnsi="仿宋" w:eastAsia="仿宋" w:cs="仿宋"/>
          <w:b/>
          <w:bCs/>
          <w:color w:val="000000"/>
          <w:sz w:val="18"/>
          <w:szCs w:val="18"/>
        </w:rPr>
        <w:t>（3）以水利水电施工总承包资质投标时，投标人信用等级得分以全国和湖南省水利建设市场主体信用评级机构评定的信用等级对应得分中较低的一个分数为准，如某投标人的信用等级（全国水利建设市场主体）为AAA级，信用等级（湖南省水利建设市场主体）为A-级，则其信用等级得分以信用等级（湖南省水利建设市场主体）A-级得分为准。</w:t>
      </w:r>
    </w:p>
    <w:p>
      <w:pPr>
        <w:pStyle w:val="164"/>
        <w:widowControl w:val="0"/>
        <w:snapToGrid w:val="0"/>
        <w:spacing w:before="0" w:beforeAutospacing="0" w:after="0" w:afterAutospacing="0"/>
        <w:ind w:firstLine="361" w:firstLineChars="200"/>
        <w:rPr>
          <w:rFonts w:hint="eastAsia" w:ascii="仿宋" w:hAnsi="仿宋" w:eastAsia="仿宋" w:cs="仿宋"/>
          <w:b/>
          <w:bCs/>
          <w:color w:val="000000"/>
          <w:sz w:val="18"/>
          <w:szCs w:val="18"/>
        </w:rPr>
      </w:pPr>
      <w:r>
        <w:rPr>
          <w:rFonts w:hint="eastAsia" w:ascii="仿宋" w:hAnsi="仿宋" w:eastAsia="仿宋" w:cs="仿宋"/>
          <w:b/>
          <w:bCs/>
          <w:color w:val="000000"/>
          <w:sz w:val="18"/>
          <w:szCs w:val="18"/>
        </w:rPr>
        <w:t>首次进入湖南省水利建设市场、未申请信用评价以及连续两年无在建项目的市场主体单位，其湖南省信用等级默认为B级；未取得全国水利建设市场主体信用评价证书的，在湖南省水利建设市场其全国信用等级视为B级。</w:t>
      </w:r>
    </w:p>
    <w:p>
      <w:pPr>
        <w:pStyle w:val="164"/>
        <w:widowControl w:val="0"/>
        <w:snapToGrid w:val="0"/>
        <w:spacing w:before="0" w:beforeAutospacing="0" w:after="0" w:afterAutospacing="0"/>
        <w:ind w:firstLine="540" w:firstLineChars="300"/>
        <w:rPr>
          <w:rFonts w:hint="eastAsia" w:ascii="仿宋" w:hAnsi="仿宋" w:eastAsia="仿宋" w:cs="仿宋"/>
          <w:color w:val="000000"/>
          <w:sz w:val="18"/>
          <w:szCs w:val="18"/>
        </w:rPr>
      </w:pPr>
      <w:r>
        <w:rPr>
          <w:rFonts w:hint="eastAsia" w:ascii="仿宋" w:hAnsi="仿宋" w:eastAsia="仿宋" w:cs="仿宋"/>
          <w:color w:val="000000"/>
          <w:sz w:val="18"/>
          <w:szCs w:val="18"/>
        </w:rPr>
        <w:t>4.企业类似项目经验要求见本文件第二章投标须知前附表第10.1款第2项的规定。</w:t>
      </w:r>
    </w:p>
    <w:p>
      <w:pPr>
        <w:pStyle w:val="164"/>
        <w:widowControl w:val="0"/>
        <w:snapToGrid w:val="0"/>
        <w:spacing w:before="0" w:beforeAutospacing="0" w:after="0" w:afterAutospacing="0"/>
        <w:ind w:firstLine="540" w:firstLineChars="300"/>
        <w:rPr>
          <w:rFonts w:hint="eastAsia" w:ascii="仿宋" w:hAnsi="仿宋" w:eastAsia="仿宋" w:cs="仿宋"/>
          <w:color w:val="000000"/>
          <w:sz w:val="18"/>
          <w:szCs w:val="18"/>
        </w:rPr>
      </w:pPr>
      <w:r>
        <w:rPr>
          <w:rFonts w:hint="eastAsia" w:ascii="仿宋" w:hAnsi="仿宋" w:eastAsia="仿宋" w:cs="仿宋"/>
          <w:color w:val="000000"/>
          <w:sz w:val="18"/>
          <w:szCs w:val="18"/>
        </w:rPr>
        <w:t>5.财务状况计算公式：流动比率=流动资产除以流动负债*100%；利润总额=营业利润+营业外收入-营业外支出；净利润=利润总额-所得税费用；资产负债率=负债合计除以资产合计*100%。</w:t>
      </w:r>
    </w:p>
    <w:p>
      <w:pPr>
        <w:pStyle w:val="164"/>
        <w:widowControl w:val="0"/>
        <w:snapToGrid w:val="0"/>
        <w:spacing w:before="0" w:beforeAutospacing="0" w:after="0" w:afterAutospacing="0"/>
        <w:ind w:firstLine="540" w:firstLineChars="300"/>
        <w:rPr>
          <w:rFonts w:hint="eastAsia" w:ascii="仿宋" w:hAnsi="仿宋" w:eastAsia="仿宋" w:cs="仿宋"/>
          <w:color w:val="000000"/>
          <w:sz w:val="18"/>
          <w:szCs w:val="18"/>
        </w:rPr>
      </w:pPr>
      <w:r>
        <w:rPr>
          <w:rFonts w:hint="eastAsia" w:ascii="仿宋" w:hAnsi="仿宋" w:eastAsia="仿宋" w:cs="仿宋"/>
          <w:color w:val="000000"/>
          <w:sz w:val="18"/>
          <w:szCs w:val="18"/>
        </w:rPr>
        <w:t>6.工程获奖、年度考核、技术创新在评标办法中是否计分由招标人根据项目情况选择使用。招标人不得对投标人获得的上述奖项以外的其他奖项进行计分。本评分标准表中的工程获奖均指农田建设项目工程的获奖，且为单位（标段）获奖。同一标段获得多个奖项的，不重复计分（以得分最高计）。同一单位考核获得多个名次的，不重复计分（以得分最高计，首次进入或未得到考核名次的按其他计分），省级考核适用于全省范围、县区级考核仅适用于本行政范围。同一技术创新获得多个奖项的，不重复计分（以得分最高计）。</w:t>
      </w:r>
    </w:p>
    <w:p>
      <w:pPr>
        <w:spacing w:line="600" w:lineRule="exact"/>
        <w:jc w:val="left"/>
        <w:rPr>
          <w:rFonts w:hint="eastAsia" w:ascii="仿宋" w:hAnsi="仿宋" w:eastAsia="仿宋" w:cs="仿宋"/>
          <w:color w:val="000000"/>
          <w:sz w:val="28"/>
          <w:szCs w:val="21"/>
        </w:rPr>
      </w:pPr>
      <w:r>
        <w:rPr>
          <w:rFonts w:hint="eastAsia" w:ascii="仿宋" w:hAnsi="仿宋" w:eastAsia="仿宋" w:cs="仿宋"/>
          <w:color w:val="000000"/>
          <w:sz w:val="28"/>
          <w:szCs w:val="21"/>
        </w:rPr>
        <w:t>评委签字：</w:t>
      </w:r>
    </w:p>
    <w:p>
      <w:pPr>
        <w:snapToGrid w:val="0"/>
        <w:spacing w:line="600" w:lineRule="exact"/>
        <w:rPr>
          <w:rFonts w:hint="eastAsia" w:eastAsia="黑体"/>
          <w:bCs/>
          <w:color w:val="000000"/>
          <w:sz w:val="32"/>
          <w:szCs w:val="20"/>
        </w:rPr>
      </w:pPr>
      <w:r>
        <w:rPr>
          <w:rFonts w:hint="eastAsia" w:ascii="仿宋" w:hAnsi="仿宋" w:eastAsia="仿宋" w:cs="仿宋"/>
          <w:color w:val="000000"/>
          <w:sz w:val="28"/>
          <w:szCs w:val="21"/>
        </w:rPr>
        <w:br w:type="page"/>
      </w:r>
      <w:r>
        <w:rPr>
          <w:rFonts w:eastAsia="黑体"/>
          <w:bCs/>
          <w:color w:val="000000"/>
          <w:sz w:val="32"/>
          <w:szCs w:val="20"/>
        </w:rPr>
        <w:t>附表3-7（</w:t>
      </w:r>
      <w:r>
        <w:rPr>
          <w:rFonts w:hint="eastAsia" w:eastAsia="黑体"/>
          <w:bCs/>
          <w:color w:val="000000"/>
          <w:sz w:val="32"/>
          <w:szCs w:val="20"/>
        </w:rPr>
        <w:t>3</w:t>
      </w:r>
      <w:r>
        <w:rPr>
          <w:rFonts w:eastAsia="黑体"/>
          <w:bCs/>
          <w:color w:val="000000"/>
          <w:sz w:val="32"/>
          <w:szCs w:val="20"/>
        </w:rPr>
        <w:t>）：详细评审</w:t>
      </w:r>
      <w:r>
        <w:rPr>
          <w:rFonts w:hint="eastAsia" w:eastAsia="黑体"/>
          <w:bCs/>
          <w:color w:val="000000"/>
          <w:sz w:val="28"/>
          <w:szCs w:val="20"/>
        </w:rPr>
        <w:t>－</w:t>
      </w:r>
      <w:r>
        <w:rPr>
          <w:rFonts w:eastAsia="黑体"/>
          <w:bCs/>
          <w:color w:val="000000"/>
          <w:sz w:val="32"/>
          <w:szCs w:val="20"/>
        </w:rPr>
        <w:t>信誉等其他评分因素评分标准表（</w:t>
      </w:r>
      <w:r>
        <w:rPr>
          <w:rFonts w:hint="eastAsia" w:eastAsia="黑体"/>
          <w:bCs/>
          <w:color w:val="000000"/>
          <w:sz w:val="32"/>
          <w:szCs w:val="20"/>
        </w:rPr>
        <w:t>二</w:t>
      </w:r>
      <w:r>
        <w:rPr>
          <w:rFonts w:eastAsia="黑体"/>
          <w:bCs/>
          <w:color w:val="000000"/>
          <w:sz w:val="32"/>
          <w:szCs w:val="20"/>
        </w:rPr>
        <w:t>）</w:t>
      </w:r>
    </w:p>
    <w:p>
      <w:pPr>
        <w:pStyle w:val="2"/>
        <w:rPr>
          <w:lang w:val="en-US" w:eastAsia="zh-CN"/>
        </w:rPr>
      </w:pPr>
    </w:p>
    <w:p>
      <w:pPr>
        <w:spacing w:line="600" w:lineRule="exact"/>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信誉等其他评分因素评分标准表（二）</w:t>
      </w:r>
    </w:p>
    <w:p>
      <w:pPr>
        <w:spacing w:line="440" w:lineRule="exact"/>
        <w:jc w:val="left"/>
        <w:rPr>
          <w:rFonts w:eastAsia="仿宋_GB2312"/>
          <w:color w:val="000000"/>
          <w:sz w:val="24"/>
        </w:rPr>
      </w:pPr>
    </w:p>
    <w:p>
      <w:pPr>
        <w:spacing w:line="440" w:lineRule="exact"/>
        <w:jc w:val="left"/>
        <w:rPr>
          <w:rFonts w:hint="eastAsia" w:ascii="仿宋" w:hAnsi="仿宋" w:eastAsia="仿宋" w:cs="仿宋"/>
          <w:color w:val="000000"/>
          <w:sz w:val="24"/>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（标段名称）</w:t>
      </w:r>
      <w:r>
        <w:rPr>
          <w:rFonts w:hint="eastAsia" w:ascii="仿宋" w:hAnsi="仿宋" w:eastAsia="仿宋" w:cs="仿宋"/>
          <w:color w:val="000000"/>
          <w:sz w:val="24"/>
          <w:u w:val="single"/>
        </w:rPr>
        <w:t xml:space="preserve">                      </w:t>
      </w:r>
    </w:p>
    <w:p>
      <w:pPr>
        <w:spacing w:line="440" w:lineRule="exact"/>
        <w:jc w:val="left"/>
        <w:rPr>
          <w:rFonts w:hint="eastAsia" w:ascii="仿宋" w:hAnsi="仿宋" w:eastAsia="仿宋" w:cs="仿宋"/>
          <w:color w:val="000000"/>
          <w:sz w:val="24"/>
        </w:rPr>
      </w:pPr>
      <w:r>
        <w:rPr>
          <w:rFonts w:hint="eastAsia" w:ascii="仿宋" w:hAnsi="仿宋" w:eastAsia="仿宋" w:cs="仿宋"/>
          <w:color w:val="000000"/>
          <w:sz w:val="24"/>
        </w:rPr>
        <w:t>项目管理编号：</w:t>
      </w:r>
      <w:r>
        <w:rPr>
          <w:rFonts w:hint="eastAsia" w:ascii="仿宋" w:hAnsi="仿宋" w:eastAsia="仿宋" w:cs="仿宋"/>
          <w:color w:val="000000"/>
          <w:sz w:val="24"/>
          <w:u w:val="single"/>
        </w:rPr>
        <w:t xml:space="preserve">                    </w:t>
      </w:r>
    </w:p>
    <w:tbl>
      <w:tblPr>
        <w:tblStyle w:val="47"/>
        <w:tblW w:w="90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784"/>
        <w:gridCol w:w="1348"/>
        <w:gridCol w:w="1134"/>
        <w:gridCol w:w="2835"/>
        <w:gridCol w:w="708"/>
        <w:gridCol w:w="567"/>
        <w:gridCol w:w="567"/>
        <w:gridCol w:w="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序号</w:t>
            </w:r>
          </w:p>
        </w:tc>
        <w:tc>
          <w:tcPr>
            <w:tcW w:w="784" w:type="dxa"/>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条款号</w:t>
            </w:r>
          </w:p>
        </w:tc>
        <w:tc>
          <w:tcPr>
            <w:tcW w:w="1348" w:type="dxa"/>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评分因素</w:t>
            </w:r>
          </w:p>
        </w:tc>
        <w:tc>
          <w:tcPr>
            <w:tcW w:w="4677" w:type="dxa"/>
            <w:gridSpan w:val="3"/>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评分标准</w:t>
            </w:r>
          </w:p>
        </w:tc>
        <w:tc>
          <w:tcPr>
            <w:tcW w:w="1710" w:type="dxa"/>
            <w:gridSpan w:val="3"/>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投标人名称及评审计分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snapToGrid w:val="0"/>
              <w:jc w:val="center"/>
              <w:rPr>
                <w:rFonts w:hint="eastAsia" w:ascii="仿宋" w:hAnsi="仿宋" w:eastAsia="仿宋" w:cs="仿宋"/>
                <w:color w:val="000000"/>
                <w:sz w:val="18"/>
                <w:szCs w:val="18"/>
              </w:rPr>
            </w:pPr>
          </w:p>
        </w:tc>
        <w:tc>
          <w:tcPr>
            <w:tcW w:w="4677" w:type="dxa"/>
            <w:gridSpan w:val="3"/>
            <w:vMerge w:val="continue"/>
            <w:noWrap w:val="0"/>
            <w:vAlign w:val="center"/>
          </w:tcPr>
          <w:p>
            <w:pPr>
              <w:snapToGrid w:val="0"/>
              <w:jc w:val="center"/>
              <w:rPr>
                <w:rFonts w:hint="eastAsia" w:ascii="仿宋" w:hAnsi="仿宋" w:eastAsia="仿宋" w:cs="仿宋"/>
                <w:color w:val="000000"/>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w:t>
            </w:r>
          </w:p>
        </w:tc>
        <w:tc>
          <w:tcPr>
            <w:tcW w:w="567"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2</w:t>
            </w:r>
          </w:p>
        </w:tc>
        <w:tc>
          <w:tcPr>
            <w:tcW w:w="576"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snapToGrid w:val="0"/>
              <w:jc w:val="center"/>
              <w:rPr>
                <w:rFonts w:hint="eastAsia" w:ascii="仿宋" w:hAnsi="仿宋" w:eastAsia="仿宋" w:cs="仿宋"/>
                <w:color w:val="000000"/>
                <w:sz w:val="18"/>
                <w:szCs w:val="18"/>
              </w:rPr>
            </w:pPr>
          </w:p>
        </w:tc>
        <w:tc>
          <w:tcPr>
            <w:tcW w:w="4677" w:type="dxa"/>
            <w:gridSpan w:val="3"/>
            <w:vMerge w:val="continue"/>
            <w:noWrap w:val="0"/>
            <w:vAlign w:val="center"/>
          </w:tcPr>
          <w:p>
            <w:pPr>
              <w:snapToGrid w:val="0"/>
              <w:jc w:val="center"/>
              <w:rPr>
                <w:rFonts w:hint="eastAsia" w:ascii="仿宋" w:hAnsi="仿宋" w:eastAsia="仿宋" w:cs="仿宋"/>
                <w:color w:val="000000"/>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exac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w:t>
            </w:r>
          </w:p>
        </w:tc>
        <w:tc>
          <w:tcPr>
            <w:tcW w:w="784" w:type="dxa"/>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2.2.4（2）</w:t>
            </w:r>
          </w:p>
        </w:tc>
        <w:tc>
          <w:tcPr>
            <w:tcW w:w="1348"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投标人信用等级</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（0～45分）</w:t>
            </w:r>
          </w:p>
        </w:tc>
        <w:tc>
          <w:tcPr>
            <w:tcW w:w="3969" w:type="dxa"/>
            <w:gridSpan w:val="2"/>
            <w:noWrap w:val="0"/>
            <w:vAlign w:val="center"/>
          </w:tcPr>
          <w:p>
            <w:pPr>
              <w:tabs>
                <w:tab w:val="left" w:pos="420"/>
              </w:tabs>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信用等级（全国水利建设市场主体）为AAA级或信用等级（湖南省水利建设市场主体）A+级的（100％）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76" w:type="dxa"/>
            <w:vMerge w:val="restart"/>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snapToGrid w:val="0"/>
              <w:jc w:val="center"/>
              <w:rPr>
                <w:rFonts w:hint="eastAsia" w:ascii="仿宋" w:hAnsi="仿宋" w:eastAsia="仿宋" w:cs="仿宋"/>
                <w:color w:val="000000"/>
                <w:sz w:val="18"/>
                <w:szCs w:val="18"/>
              </w:rPr>
            </w:pPr>
          </w:p>
        </w:tc>
        <w:tc>
          <w:tcPr>
            <w:tcW w:w="3969" w:type="dxa"/>
            <w:gridSpan w:val="2"/>
            <w:noWrap w:val="0"/>
            <w:vAlign w:val="center"/>
          </w:tcPr>
          <w:p>
            <w:pPr>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信用等级（全国水利建设市场主体）为AA级或信用等级（湖南省水利建设市场主体）A级的（85％）</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snapToGrid w:val="0"/>
              <w:jc w:val="center"/>
              <w:rPr>
                <w:rFonts w:hint="eastAsia" w:ascii="仿宋" w:hAnsi="仿宋" w:eastAsia="仿宋" w:cs="仿宋"/>
                <w:color w:val="000000"/>
                <w:sz w:val="18"/>
                <w:szCs w:val="18"/>
              </w:rPr>
            </w:pPr>
          </w:p>
        </w:tc>
        <w:tc>
          <w:tcPr>
            <w:tcW w:w="3969" w:type="dxa"/>
            <w:gridSpan w:val="2"/>
            <w:noWrap w:val="0"/>
            <w:vAlign w:val="center"/>
          </w:tcPr>
          <w:p>
            <w:pPr>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信用等级（全国水利建设市场主体）为A级或信用等级（湖南省水利建设市场主体）A-级的（70％）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snapToGrid w:val="0"/>
              <w:jc w:val="center"/>
              <w:rPr>
                <w:rFonts w:hint="eastAsia" w:ascii="仿宋" w:hAnsi="仿宋" w:eastAsia="仿宋" w:cs="仿宋"/>
                <w:color w:val="000000"/>
                <w:sz w:val="18"/>
                <w:szCs w:val="18"/>
              </w:rPr>
            </w:pPr>
          </w:p>
        </w:tc>
        <w:tc>
          <w:tcPr>
            <w:tcW w:w="3969" w:type="dxa"/>
            <w:gridSpan w:val="2"/>
            <w:noWrap w:val="0"/>
            <w:vAlign w:val="center"/>
          </w:tcPr>
          <w:p>
            <w:pPr>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信用等级（全国水利建设市场主体）为B级或信用等级（湖南省水利建设市场主体）B级的（55％）</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3969" w:type="dxa"/>
            <w:gridSpan w:val="2"/>
            <w:noWrap w:val="0"/>
            <w:vAlign w:val="center"/>
          </w:tcPr>
          <w:p>
            <w:pPr>
              <w:pStyle w:val="106"/>
              <w:snapToGrid w:val="0"/>
              <w:jc w:val="both"/>
              <w:rPr>
                <w:rFonts w:hint="eastAsia" w:ascii="仿宋" w:hAnsi="仿宋" w:eastAsia="仿宋" w:cs="仿宋"/>
                <w:sz w:val="18"/>
                <w:szCs w:val="18"/>
              </w:rPr>
            </w:pPr>
            <w:r>
              <w:rPr>
                <w:rFonts w:hint="eastAsia" w:ascii="仿宋" w:hAnsi="仿宋" w:eastAsia="仿宋" w:cs="仿宋"/>
                <w:sz w:val="18"/>
                <w:szCs w:val="18"/>
              </w:rPr>
              <w:t>信用等级（全国水利建设市场主体）为C级或信用等级（湖南省水利建设市场主体）C级的（0分）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574"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2</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noWrap w:val="0"/>
            <w:vAlign w:val="center"/>
          </w:tcPr>
          <w:p>
            <w:pPr>
              <w:pStyle w:val="106"/>
              <w:snapToGrid w:val="0"/>
              <w:jc w:val="center"/>
              <w:rPr>
                <w:rFonts w:hint="eastAsia" w:ascii="仿宋" w:hAnsi="仿宋" w:eastAsia="仿宋" w:cs="仿宋"/>
                <w:b/>
                <w:sz w:val="18"/>
                <w:szCs w:val="18"/>
              </w:rPr>
            </w:pPr>
            <w:r>
              <w:rPr>
                <w:rFonts w:hint="eastAsia" w:ascii="仿宋" w:hAnsi="仿宋" w:eastAsia="仿宋" w:cs="仿宋"/>
                <w:sz w:val="18"/>
                <w:szCs w:val="18"/>
              </w:rPr>
              <w:t>类似项目经验（近</w:t>
            </w:r>
            <w:r>
              <w:rPr>
                <w:rFonts w:hint="eastAsia" w:ascii="仿宋" w:hAnsi="仿宋" w:eastAsia="仿宋" w:cs="仿宋"/>
                <w:sz w:val="18"/>
                <w:szCs w:val="18"/>
                <w:u w:val="single"/>
              </w:rPr>
              <w:t xml:space="preserve">   </w:t>
            </w:r>
            <w:r>
              <w:rPr>
                <w:rFonts w:hint="eastAsia" w:ascii="仿宋" w:hAnsi="仿宋" w:eastAsia="仿宋" w:cs="仿宋"/>
                <w:sz w:val="18"/>
                <w:szCs w:val="18"/>
              </w:rPr>
              <w:t>年）（0～40分）</w:t>
            </w:r>
          </w:p>
        </w:tc>
        <w:tc>
          <w:tcPr>
            <w:tcW w:w="4677" w:type="dxa"/>
            <w:gridSpan w:val="3"/>
            <w:noWrap w:val="0"/>
            <w:vAlign w:val="center"/>
          </w:tcPr>
          <w:p>
            <w:pPr>
              <w:pStyle w:val="106"/>
              <w:snapToGrid w:val="0"/>
              <w:ind w:firstLine="180" w:firstLineChars="100"/>
              <w:rPr>
                <w:rFonts w:hint="eastAsia" w:ascii="仿宋" w:hAnsi="仿宋" w:eastAsia="仿宋" w:cs="仿宋"/>
                <w:sz w:val="18"/>
                <w:szCs w:val="18"/>
              </w:rPr>
            </w:pPr>
            <w:r>
              <w:rPr>
                <w:rFonts w:hint="eastAsia" w:ascii="仿宋" w:hAnsi="仿宋" w:eastAsia="仿宋" w:cs="仿宋"/>
                <w:sz w:val="18"/>
                <w:szCs w:val="18"/>
              </w:rPr>
              <w:t>满足招标文件的计</w:t>
            </w:r>
            <w:r>
              <w:rPr>
                <w:rFonts w:hint="eastAsia" w:ascii="仿宋" w:hAnsi="仿宋" w:eastAsia="仿宋" w:cs="仿宋"/>
                <w:sz w:val="18"/>
                <w:szCs w:val="18"/>
                <w:u w:val="single"/>
              </w:rPr>
              <w:t xml:space="preserve">  </w:t>
            </w:r>
            <w:r>
              <w:rPr>
                <w:rFonts w:hint="eastAsia" w:ascii="仿宋" w:hAnsi="仿宋" w:eastAsia="仿宋" w:cs="仿宋"/>
                <w:sz w:val="18"/>
                <w:szCs w:val="18"/>
              </w:rPr>
              <w:t>分，每增加一个类似业绩加</w:t>
            </w:r>
            <w:r>
              <w:rPr>
                <w:rFonts w:hint="eastAsia" w:ascii="仿宋" w:hAnsi="仿宋" w:eastAsia="仿宋" w:cs="仿宋"/>
                <w:sz w:val="18"/>
                <w:szCs w:val="18"/>
                <w:u w:val="single"/>
              </w:rPr>
              <w:t xml:space="preserve">  </w:t>
            </w:r>
            <w:r>
              <w:rPr>
                <w:rFonts w:hint="eastAsia" w:ascii="仿宋" w:hAnsi="仿宋" w:eastAsia="仿宋" w:cs="仿宋"/>
                <w:sz w:val="18"/>
                <w:szCs w:val="18"/>
              </w:rPr>
              <w:t>分，最多增加二个类似业绩。</w:t>
            </w: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3</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财务状况</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（10～20分）</w:t>
            </w:r>
          </w:p>
        </w:tc>
        <w:tc>
          <w:tcPr>
            <w:tcW w:w="1134"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流动比率（4～7分）</w:t>
            </w:r>
          </w:p>
        </w:tc>
        <w:tc>
          <w:tcPr>
            <w:tcW w:w="2835"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流动比率2倍（含）以上</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76" w:type="dxa"/>
            <w:vMerge w:val="restart"/>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vMerge w:val="continue"/>
            <w:noWrap w:val="0"/>
            <w:vAlign w:val="center"/>
          </w:tcPr>
          <w:p>
            <w:pPr>
              <w:pStyle w:val="106"/>
              <w:snapToGrid w:val="0"/>
              <w:jc w:val="center"/>
              <w:rPr>
                <w:rFonts w:hint="eastAsia" w:ascii="仿宋" w:hAnsi="仿宋" w:eastAsia="仿宋" w:cs="仿宋"/>
                <w:sz w:val="18"/>
                <w:szCs w:val="18"/>
              </w:rPr>
            </w:pPr>
          </w:p>
        </w:tc>
        <w:tc>
          <w:tcPr>
            <w:tcW w:w="2835"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流动比率2倍以下</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企业利润（2～6分）</w:t>
            </w:r>
          </w:p>
        </w:tc>
        <w:tc>
          <w:tcPr>
            <w:tcW w:w="2835"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净利润＞0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企业资产负债率</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（4～7分）</w:t>
            </w:r>
          </w:p>
        </w:tc>
        <w:tc>
          <w:tcPr>
            <w:tcW w:w="2835"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资产负债率＜70％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76" w:type="dxa"/>
            <w:vMerge w:val="restart"/>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vMerge w:val="continue"/>
            <w:noWrap w:val="0"/>
            <w:vAlign w:val="center"/>
          </w:tcPr>
          <w:p>
            <w:pPr>
              <w:pStyle w:val="106"/>
              <w:snapToGrid w:val="0"/>
              <w:jc w:val="center"/>
              <w:rPr>
                <w:rFonts w:hint="eastAsia" w:ascii="仿宋" w:hAnsi="仿宋" w:eastAsia="仿宋" w:cs="仿宋"/>
                <w:sz w:val="18"/>
                <w:szCs w:val="18"/>
              </w:rPr>
            </w:pPr>
          </w:p>
        </w:tc>
        <w:tc>
          <w:tcPr>
            <w:tcW w:w="2835"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sz w:val="18"/>
                <w:szCs w:val="18"/>
              </w:rPr>
              <w:t>90％＞资产负债率≥70％</w:t>
            </w:r>
          </w:p>
        </w:tc>
        <w:tc>
          <w:tcPr>
            <w:tcW w:w="708" w:type="dxa"/>
            <w:noWrap w:val="0"/>
            <w:vAlign w:val="center"/>
          </w:tcPr>
          <w:p>
            <w:pPr>
              <w:snapToGrid w:val="0"/>
              <w:jc w:val="center"/>
              <w:rPr>
                <w:rFonts w:hint="eastAsia" w:ascii="仿宋" w:hAnsi="仿宋" w:eastAsia="仿宋" w:cs="仿宋"/>
                <w:color w:val="000000"/>
                <w:kern w:val="0"/>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4</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工程获奖</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（近</w:t>
            </w:r>
            <w:r>
              <w:rPr>
                <w:rFonts w:hint="eastAsia" w:ascii="仿宋" w:hAnsi="仿宋" w:eastAsia="仿宋" w:cs="仿宋"/>
                <w:sz w:val="18"/>
                <w:szCs w:val="18"/>
                <w:u w:val="single"/>
              </w:rPr>
              <w:t xml:space="preserve">    </w:t>
            </w:r>
            <w:r>
              <w:rPr>
                <w:rFonts w:hint="eastAsia" w:ascii="仿宋" w:hAnsi="仿宋" w:eastAsia="仿宋" w:cs="仿宋"/>
                <w:sz w:val="18"/>
                <w:szCs w:val="18"/>
              </w:rPr>
              <w:t>年）</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（0～20分）</w:t>
            </w:r>
          </w:p>
        </w:tc>
        <w:tc>
          <w:tcPr>
            <w:tcW w:w="1134" w:type="dxa"/>
            <w:noWrap w:val="0"/>
            <w:vAlign w:val="center"/>
          </w:tcPr>
          <w:p>
            <w:pPr>
              <w:pStyle w:val="106"/>
              <w:snapToGrid w:val="0"/>
              <w:jc w:val="center"/>
              <w:rPr>
                <w:rFonts w:ascii="仿宋" w:hAnsi="仿宋" w:eastAsia="仿宋" w:cs="仿宋"/>
                <w:sz w:val="18"/>
                <w:szCs w:val="18"/>
              </w:rPr>
            </w:pPr>
            <w:r>
              <w:rPr>
                <w:rFonts w:hint="eastAsia" w:ascii="仿宋" w:hAnsi="仿宋" w:eastAsia="仿宋" w:cs="仿宋"/>
                <w:sz w:val="18"/>
                <w:szCs w:val="18"/>
              </w:rPr>
              <w:t>0～20</w:t>
            </w:r>
          </w:p>
        </w:tc>
        <w:tc>
          <w:tcPr>
            <w:tcW w:w="2835" w:type="dxa"/>
            <w:noWrap w:val="0"/>
            <w:vAlign w:val="center"/>
          </w:tcPr>
          <w:p>
            <w:pPr>
              <w:pStyle w:val="106"/>
              <w:snapToGrid w:val="0"/>
              <w:rPr>
                <w:rFonts w:hint="eastAsia" w:ascii="仿宋" w:hAnsi="仿宋" w:eastAsia="仿宋" w:cs="仿宋"/>
                <w:sz w:val="18"/>
                <w:szCs w:val="18"/>
                <w:u w:val="single"/>
              </w:rPr>
            </w:pPr>
            <w:r>
              <w:rPr>
                <w:rFonts w:hint="eastAsia" w:ascii="仿宋" w:hAnsi="仿宋" w:eastAsia="仿宋" w:cs="仿宋"/>
                <w:sz w:val="18"/>
                <w:szCs w:val="18"/>
              </w:rPr>
              <w:t>国家优质工程奖、农业农村部质量奖（均指农田建设项目工程获奖），每项计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ascii="仿宋" w:hAnsi="仿宋" w:eastAsia="仿宋" w:cs="仿宋"/>
                <w:sz w:val="18"/>
                <w:szCs w:val="18"/>
              </w:rPr>
            </w:pPr>
            <w:r>
              <w:rPr>
                <w:rFonts w:hint="eastAsia" w:ascii="仿宋" w:hAnsi="仿宋" w:eastAsia="仿宋" w:cs="仿宋"/>
                <w:sz w:val="18"/>
                <w:szCs w:val="18"/>
              </w:rPr>
              <w:t>0～15</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省政府或省级农业农村主管部门颁发的优质农田建设项目工程奖项每项计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0～12</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市政府或市级农业农村主管部门颁发的优质农田建设项目工程奖项每项计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5</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年度考核</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（近</w:t>
            </w:r>
            <w:r>
              <w:rPr>
                <w:rFonts w:hint="eastAsia" w:ascii="仿宋" w:hAnsi="仿宋" w:eastAsia="仿宋" w:cs="仿宋"/>
                <w:sz w:val="18"/>
                <w:szCs w:val="18"/>
                <w:u w:val="single"/>
              </w:rPr>
              <w:t xml:space="preserve">    </w:t>
            </w:r>
            <w:r>
              <w:rPr>
                <w:rFonts w:hint="eastAsia" w:ascii="仿宋" w:hAnsi="仿宋" w:eastAsia="仿宋" w:cs="仿宋"/>
                <w:sz w:val="18"/>
                <w:szCs w:val="18"/>
              </w:rPr>
              <w:t>年）</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（18～35分）</w:t>
            </w:r>
          </w:p>
        </w:tc>
        <w:tc>
          <w:tcPr>
            <w:tcW w:w="1134" w:type="dxa"/>
            <w:noWrap w:val="0"/>
            <w:vAlign w:val="center"/>
          </w:tcPr>
          <w:p>
            <w:pPr>
              <w:pStyle w:val="106"/>
              <w:snapToGrid w:val="0"/>
              <w:jc w:val="center"/>
              <w:rPr>
                <w:rFonts w:ascii="仿宋" w:hAnsi="仿宋" w:eastAsia="仿宋" w:cs="仿宋"/>
                <w:sz w:val="18"/>
                <w:szCs w:val="18"/>
              </w:rPr>
            </w:pPr>
            <w:r>
              <w:rPr>
                <w:rFonts w:hint="eastAsia" w:ascii="仿宋" w:hAnsi="仿宋" w:eastAsia="仿宋" w:cs="仿宋"/>
                <w:sz w:val="18"/>
                <w:szCs w:val="18"/>
              </w:rPr>
              <w:t>21～35</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省级农业农村主管部门考核第一名100%；第二名95%；第三名85%；其他60%；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ascii="仿宋" w:hAnsi="仿宋" w:eastAsia="仿宋" w:cs="仿宋"/>
                <w:sz w:val="18"/>
                <w:szCs w:val="18"/>
              </w:rPr>
            </w:pPr>
            <w:r>
              <w:rPr>
                <w:rFonts w:hint="eastAsia" w:ascii="仿宋" w:hAnsi="仿宋" w:eastAsia="仿宋" w:cs="仿宋"/>
                <w:sz w:val="18"/>
                <w:szCs w:val="18"/>
              </w:rPr>
              <w:t>18～30</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县/区级农业农村主管部门考核第一名100%；第二名95%；第三名85%；其他60%；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exac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6</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技术创新</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（近</w:t>
            </w:r>
            <w:r>
              <w:rPr>
                <w:rFonts w:hint="eastAsia" w:ascii="仿宋" w:hAnsi="仿宋" w:eastAsia="仿宋" w:cs="仿宋"/>
                <w:sz w:val="18"/>
                <w:szCs w:val="18"/>
                <w:u w:val="single"/>
              </w:rPr>
              <w:t xml:space="preserve">    </w:t>
            </w:r>
            <w:r>
              <w:rPr>
                <w:rFonts w:hint="eastAsia" w:ascii="仿宋" w:hAnsi="仿宋" w:eastAsia="仿宋" w:cs="仿宋"/>
                <w:sz w:val="18"/>
                <w:szCs w:val="18"/>
              </w:rPr>
              <w:t>年）</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（0～15分）</w:t>
            </w: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0～8</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国家科技进步奖或国家技术发明奖（均指农田建设项目工程获奖）每项计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0～4</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省科技进步奖或省技术发明奖（均指农田建设项目工程获奖）每项计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0～3</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省级行业协会（学会）颁发的科技进步奖（均指农田建设项目工程获奖）每项计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574" w:type="dxa"/>
            <w:noWrap w:val="0"/>
            <w:vAlign w:val="center"/>
          </w:tcPr>
          <w:p>
            <w:pPr>
              <w:snapToGrid w:val="0"/>
              <w:jc w:val="center"/>
              <w:rPr>
                <w:rFonts w:hint="eastAsia" w:ascii="仿宋" w:hAnsi="仿宋" w:eastAsia="仿宋" w:cs="仿宋"/>
                <w:color w:val="000000"/>
                <w:kern w:val="0"/>
              </w:rPr>
            </w:pPr>
          </w:p>
        </w:tc>
        <w:tc>
          <w:tcPr>
            <w:tcW w:w="6809" w:type="dxa"/>
            <w:gridSpan w:val="5"/>
            <w:noWrap w:val="0"/>
            <w:vAlign w:val="center"/>
          </w:tcPr>
          <w:p>
            <w:pPr>
              <w:snapToGrid w:val="0"/>
              <w:jc w:val="center"/>
              <w:rPr>
                <w:rFonts w:hint="eastAsia" w:ascii="仿宋" w:hAnsi="仿宋" w:eastAsia="仿宋" w:cs="仿宋"/>
                <w:b/>
                <w:bCs/>
                <w:color w:val="000000"/>
                <w:kern w:val="0"/>
              </w:rPr>
            </w:pPr>
            <w:r>
              <w:rPr>
                <w:rFonts w:hint="eastAsia" w:ascii="仿宋" w:hAnsi="仿宋" w:eastAsia="仿宋" w:cs="仿宋"/>
                <w:b/>
                <w:bCs/>
                <w:color w:val="000000"/>
                <w:kern w:val="0"/>
              </w:rPr>
              <w:t>合计</w:t>
            </w:r>
          </w:p>
        </w:tc>
        <w:tc>
          <w:tcPr>
            <w:tcW w:w="567" w:type="dxa"/>
            <w:noWrap w:val="0"/>
            <w:vAlign w:val="center"/>
          </w:tcPr>
          <w:p>
            <w:pPr>
              <w:snapToGrid w:val="0"/>
              <w:jc w:val="center"/>
              <w:rPr>
                <w:rFonts w:hint="eastAsia" w:ascii="仿宋" w:hAnsi="仿宋" w:eastAsia="仿宋" w:cs="仿宋"/>
                <w:color w:val="000000"/>
                <w:kern w:val="0"/>
              </w:rPr>
            </w:pPr>
          </w:p>
        </w:tc>
        <w:tc>
          <w:tcPr>
            <w:tcW w:w="567" w:type="dxa"/>
            <w:noWrap w:val="0"/>
            <w:vAlign w:val="center"/>
          </w:tcPr>
          <w:p>
            <w:pPr>
              <w:snapToGrid w:val="0"/>
              <w:jc w:val="center"/>
              <w:rPr>
                <w:rFonts w:hint="eastAsia" w:ascii="仿宋" w:hAnsi="仿宋" w:eastAsia="仿宋" w:cs="仿宋"/>
                <w:color w:val="000000"/>
                <w:kern w:val="0"/>
              </w:rPr>
            </w:pPr>
          </w:p>
        </w:tc>
        <w:tc>
          <w:tcPr>
            <w:tcW w:w="576" w:type="dxa"/>
            <w:noWrap w:val="0"/>
            <w:vAlign w:val="center"/>
          </w:tcPr>
          <w:p>
            <w:pPr>
              <w:snapToGrid w:val="0"/>
              <w:jc w:val="center"/>
              <w:rPr>
                <w:rFonts w:hint="eastAsia" w:ascii="仿宋" w:hAnsi="仿宋" w:eastAsia="仿宋" w:cs="仿宋"/>
                <w:color w:val="000000"/>
                <w:kern w:val="0"/>
              </w:rPr>
            </w:pPr>
          </w:p>
        </w:tc>
      </w:tr>
    </w:tbl>
    <w:p>
      <w:pPr>
        <w:rPr>
          <w:rFonts w:hint="eastAsia" w:ascii="仿宋" w:hAnsi="仿宋" w:eastAsia="仿宋" w:cs="仿宋"/>
          <w:color w:val="000000"/>
          <w:kern w:val="0"/>
          <w:sz w:val="18"/>
          <w:szCs w:val="18"/>
        </w:rPr>
      </w:pPr>
      <w:r>
        <w:rPr>
          <w:rFonts w:hint="eastAsia" w:ascii="仿宋" w:hAnsi="仿宋" w:eastAsia="仿宋" w:cs="仿宋"/>
          <w:b/>
          <w:color w:val="000000"/>
          <w:kern w:val="0"/>
          <w:sz w:val="18"/>
          <w:szCs w:val="18"/>
        </w:rPr>
        <w:t>备注：</w:t>
      </w:r>
      <w:r>
        <w:rPr>
          <w:rFonts w:hint="eastAsia" w:ascii="仿宋" w:hAnsi="仿宋" w:eastAsia="仿宋" w:cs="仿宋"/>
          <w:color w:val="000000"/>
          <w:kern w:val="0"/>
          <w:sz w:val="18"/>
          <w:szCs w:val="18"/>
        </w:rPr>
        <w:t>1.本表适用于非联合体投标人评审。</w:t>
      </w:r>
    </w:p>
    <w:p>
      <w:pPr>
        <w:ind w:firstLine="540" w:firstLineChars="300"/>
        <w:rPr>
          <w:rFonts w:hint="eastAsia" w:ascii="仿宋" w:hAnsi="仿宋" w:eastAsia="仿宋" w:cs="仿宋"/>
          <w:color w:val="000000"/>
          <w:sz w:val="18"/>
          <w:szCs w:val="18"/>
        </w:rPr>
      </w:pPr>
      <w:r>
        <w:rPr>
          <w:rFonts w:hint="eastAsia" w:ascii="仿宋" w:hAnsi="仿宋" w:eastAsia="仿宋" w:cs="仿宋"/>
          <w:color w:val="000000"/>
          <w:kern w:val="0"/>
          <w:sz w:val="18"/>
          <w:szCs w:val="18"/>
        </w:rPr>
        <w:t>2.本表小计总分为100分。</w:t>
      </w:r>
      <w:r>
        <w:rPr>
          <w:rFonts w:hint="eastAsia" w:ascii="仿宋" w:hAnsi="仿宋" w:eastAsia="仿宋" w:cs="仿宋"/>
          <w:color w:val="000000"/>
          <w:sz w:val="18"/>
          <w:szCs w:val="18"/>
        </w:rPr>
        <w:t>由评标委员会集体评议，统一计分。评标委员会成员中对结论有不同意见时，按少数服从多数的原则，确定得分。</w:t>
      </w:r>
    </w:p>
    <w:p>
      <w:pPr>
        <w:pStyle w:val="164"/>
        <w:widowControl w:val="0"/>
        <w:snapToGrid w:val="0"/>
        <w:spacing w:before="0" w:beforeAutospacing="0" w:after="0" w:afterAutospacing="0"/>
        <w:ind w:firstLine="542" w:firstLineChars="300"/>
        <w:jc w:val="both"/>
        <w:rPr>
          <w:rFonts w:hint="eastAsia" w:ascii="仿宋" w:hAnsi="仿宋" w:eastAsia="仿宋" w:cs="仿宋"/>
          <w:b/>
          <w:bCs/>
          <w:color w:val="000000"/>
          <w:sz w:val="18"/>
          <w:szCs w:val="18"/>
        </w:rPr>
      </w:pPr>
      <w:r>
        <w:rPr>
          <w:rFonts w:hint="eastAsia" w:ascii="仿宋" w:hAnsi="仿宋" w:eastAsia="仿宋" w:cs="仿宋"/>
          <w:b/>
          <w:bCs/>
          <w:color w:val="000000"/>
          <w:sz w:val="18"/>
          <w:szCs w:val="18"/>
        </w:rPr>
        <w:t>3.以水利水电施工总承包资质投标时</w:t>
      </w:r>
      <w:r>
        <w:rPr>
          <w:rFonts w:hint="eastAsia" w:ascii="仿宋" w:hAnsi="仿宋" w:eastAsia="仿宋" w:cs="仿宋"/>
          <w:b/>
          <w:bCs/>
          <w:sz w:val="18"/>
          <w:szCs w:val="18"/>
        </w:rPr>
        <w:t>，投标人信用等级得分以全国和湖南省水利建设市场主体信用评级机构</w:t>
      </w:r>
      <w:r>
        <w:rPr>
          <w:rFonts w:hint="eastAsia" w:ascii="仿宋" w:hAnsi="仿宋" w:eastAsia="仿宋" w:cs="仿宋"/>
          <w:b/>
          <w:bCs/>
          <w:color w:val="000000"/>
          <w:sz w:val="18"/>
          <w:szCs w:val="18"/>
        </w:rPr>
        <w:t>评定的信用等级对应得分中较低的一个分数为准，如某投标人的信用等级（全国水利建设市场主体）为AAA级，信用等级（湖南省水利建设市场主体）为A-级，则其信用等级得分以信用等级（湖南省水利建设市场主体）A-级得分为准。</w:t>
      </w:r>
    </w:p>
    <w:p>
      <w:pPr>
        <w:pStyle w:val="164"/>
        <w:widowControl w:val="0"/>
        <w:snapToGrid w:val="0"/>
        <w:spacing w:before="0" w:beforeAutospacing="0" w:after="0" w:afterAutospacing="0"/>
        <w:ind w:firstLine="361" w:firstLineChars="200"/>
        <w:jc w:val="both"/>
        <w:rPr>
          <w:rFonts w:hint="eastAsia" w:ascii="仿宋" w:hAnsi="仿宋" w:eastAsia="仿宋" w:cs="仿宋"/>
          <w:b/>
          <w:bCs/>
          <w:color w:val="000000"/>
          <w:sz w:val="18"/>
          <w:szCs w:val="18"/>
        </w:rPr>
      </w:pPr>
      <w:r>
        <w:rPr>
          <w:rFonts w:hint="eastAsia" w:ascii="仿宋" w:hAnsi="仿宋" w:eastAsia="仿宋" w:cs="仿宋"/>
          <w:b/>
          <w:bCs/>
          <w:color w:val="000000"/>
          <w:sz w:val="18"/>
          <w:szCs w:val="18"/>
        </w:rPr>
        <w:t>首次进入湖南省水利建设市场、未申请信用评价以及连续两年无在建项目的市场主体单位，其湖南省信用等级默认为B级；未取得全国水利建设市场主体信用评价证书的，在湖南省水利建设市场其全国信用等级视为B级。</w:t>
      </w:r>
    </w:p>
    <w:p>
      <w:pPr>
        <w:pStyle w:val="164"/>
        <w:widowControl w:val="0"/>
        <w:snapToGrid w:val="0"/>
        <w:spacing w:before="0" w:beforeAutospacing="0" w:after="0" w:afterAutospacing="0"/>
        <w:ind w:firstLine="540" w:firstLineChars="300"/>
        <w:jc w:val="both"/>
        <w:rPr>
          <w:rFonts w:hint="eastAsia" w:ascii="仿宋" w:hAnsi="仿宋" w:eastAsia="仿宋" w:cs="仿宋"/>
          <w:color w:val="000000"/>
          <w:sz w:val="18"/>
          <w:szCs w:val="18"/>
        </w:rPr>
      </w:pPr>
      <w:r>
        <w:rPr>
          <w:rFonts w:hint="eastAsia" w:ascii="仿宋" w:hAnsi="仿宋" w:eastAsia="仿宋" w:cs="仿宋"/>
          <w:color w:val="000000"/>
          <w:sz w:val="18"/>
          <w:szCs w:val="18"/>
        </w:rPr>
        <w:t>4.企业类似项目经验要求见本文件第二章投标须知前附表第10.1款第2项的规定。</w:t>
      </w:r>
    </w:p>
    <w:p>
      <w:pPr>
        <w:pStyle w:val="164"/>
        <w:widowControl w:val="0"/>
        <w:snapToGrid w:val="0"/>
        <w:spacing w:before="0" w:beforeAutospacing="0" w:after="0" w:afterAutospacing="0"/>
        <w:ind w:firstLine="540" w:firstLineChars="300"/>
        <w:rPr>
          <w:rFonts w:hint="eastAsia" w:ascii="仿宋" w:hAnsi="仿宋" w:eastAsia="仿宋" w:cs="仿宋"/>
          <w:color w:val="000000"/>
          <w:sz w:val="18"/>
          <w:szCs w:val="18"/>
        </w:rPr>
      </w:pPr>
      <w:r>
        <w:rPr>
          <w:rFonts w:hint="eastAsia" w:ascii="仿宋" w:hAnsi="仿宋" w:eastAsia="仿宋" w:cs="仿宋"/>
          <w:color w:val="000000"/>
          <w:sz w:val="18"/>
          <w:szCs w:val="18"/>
        </w:rPr>
        <w:t>5.财务状况计算公式：流动比率=流动资产除以流动负债*100%；利润总额=营业利润+营业外收入-营业外支出；净利润=利润总额-所得税费用；资产负债率=负债合计除以资产合计*100%。</w:t>
      </w:r>
    </w:p>
    <w:p>
      <w:pPr>
        <w:pStyle w:val="164"/>
        <w:widowControl w:val="0"/>
        <w:snapToGrid w:val="0"/>
        <w:spacing w:before="0" w:beforeAutospacing="0" w:after="0" w:afterAutospacing="0"/>
        <w:ind w:firstLine="540" w:firstLineChars="300"/>
        <w:jc w:val="both"/>
        <w:rPr>
          <w:rFonts w:hint="eastAsia" w:ascii="仿宋" w:hAnsi="仿宋" w:eastAsia="仿宋" w:cs="仿宋"/>
          <w:color w:val="000000"/>
          <w:sz w:val="18"/>
          <w:szCs w:val="18"/>
        </w:rPr>
      </w:pPr>
      <w:r>
        <w:rPr>
          <w:rFonts w:hint="eastAsia" w:ascii="仿宋" w:hAnsi="仿宋" w:eastAsia="仿宋" w:cs="仿宋"/>
          <w:color w:val="000000"/>
          <w:sz w:val="18"/>
          <w:szCs w:val="18"/>
        </w:rPr>
        <w:t>6.工程获奖、年度考核、技术创新在评标办法中是否计分由招标人根据项目情况选择使用。招标人不得对投标人获得的上述奖项以外的其他奖项进行计分。本评分标准表中的工程获奖均指农田建设项目工程的获奖，且为单位（标段）获奖。同一标段获得多个奖项的，不重复计分（以得分最高计）。同一单位考核获得多个名次的，不重复计分（以得分最高计，首次进入或未得到考核名次的按其他计分），省级考核适用于全省范围、县区级考核仅适用于本行政范围。同一技术创新获得多个奖项的，不重复计分（以得分最高计）。</w:t>
      </w:r>
    </w:p>
    <w:p>
      <w:pPr>
        <w:pStyle w:val="164"/>
        <w:widowControl w:val="0"/>
        <w:snapToGrid w:val="0"/>
        <w:spacing w:line="300" w:lineRule="exact"/>
        <w:ind w:firstLine="559" w:firstLineChars="311"/>
        <w:rPr>
          <w:rFonts w:hint="eastAsia" w:ascii="仿宋" w:hAnsi="仿宋" w:eastAsia="仿宋" w:cs="仿宋"/>
          <w:color w:val="000000"/>
          <w:sz w:val="18"/>
          <w:szCs w:val="18"/>
        </w:rPr>
      </w:pPr>
    </w:p>
    <w:p>
      <w:pPr>
        <w:pStyle w:val="164"/>
        <w:widowControl w:val="0"/>
        <w:snapToGrid w:val="0"/>
        <w:spacing w:line="300" w:lineRule="exact"/>
        <w:ind w:firstLine="559" w:firstLineChars="311"/>
        <w:rPr>
          <w:rFonts w:hint="eastAsia" w:ascii="仿宋" w:hAnsi="仿宋" w:eastAsia="仿宋" w:cs="仿宋"/>
          <w:color w:val="000000"/>
          <w:sz w:val="18"/>
          <w:szCs w:val="18"/>
        </w:rPr>
      </w:pPr>
    </w:p>
    <w:p>
      <w:pPr>
        <w:spacing w:line="600" w:lineRule="exact"/>
        <w:jc w:val="left"/>
        <w:rPr>
          <w:rFonts w:hint="eastAsia" w:ascii="仿宋" w:hAnsi="仿宋" w:eastAsia="仿宋" w:cs="仿宋"/>
          <w:color w:val="000000"/>
          <w:sz w:val="28"/>
          <w:szCs w:val="21"/>
        </w:rPr>
      </w:pPr>
      <w:r>
        <w:rPr>
          <w:rFonts w:hint="eastAsia" w:ascii="仿宋" w:hAnsi="仿宋" w:eastAsia="仿宋" w:cs="仿宋"/>
          <w:color w:val="000000"/>
          <w:sz w:val="28"/>
          <w:szCs w:val="21"/>
        </w:rPr>
        <w:t>评委签字：</w:t>
      </w:r>
    </w:p>
    <w:p>
      <w:pPr>
        <w:spacing w:line="600" w:lineRule="exact"/>
        <w:jc w:val="left"/>
        <w:rPr>
          <w:rFonts w:hint="eastAsia" w:ascii="仿宋" w:hAnsi="仿宋" w:eastAsia="仿宋" w:cs="仿宋"/>
          <w:color w:val="000000"/>
          <w:sz w:val="28"/>
          <w:szCs w:val="21"/>
        </w:rPr>
      </w:pPr>
    </w:p>
    <w:p>
      <w:pPr>
        <w:spacing w:line="600" w:lineRule="exact"/>
        <w:rPr>
          <w:rFonts w:hint="eastAsia" w:eastAsia="黑体"/>
          <w:bCs/>
          <w:color w:val="000000"/>
          <w:sz w:val="28"/>
          <w:szCs w:val="20"/>
        </w:rPr>
      </w:pPr>
      <w:r>
        <w:rPr>
          <w:rFonts w:eastAsia="仿宋_GB2312"/>
          <w:color w:val="000000"/>
          <w:sz w:val="28"/>
          <w:szCs w:val="21"/>
        </w:rPr>
        <w:br w:type="page"/>
      </w:r>
      <w:r>
        <w:rPr>
          <w:rFonts w:eastAsia="黑体"/>
          <w:bCs/>
          <w:color w:val="000000"/>
          <w:sz w:val="28"/>
          <w:szCs w:val="20"/>
        </w:rPr>
        <w:t>附表3-7（</w:t>
      </w:r>
      <w:r>
        <w:rPr>
          <w:rFonts w:hint="eastAsia" w:eastAsia="黑体"/>
          <w:bCs/>
          <w:color w:val="000000"/>
          <w:sz w:val="28"/>
          <w:szCs w:val="20"/>
        </w:rPr>
        <w:t>3</w:t>
      </w:r>
      <w:r>
        <w:rPr>
          <w:rFonts w:eastAsia="黑体"/>
          <w:bCs/>
          <w:color w:val="000000"/>
          <w:sz w:val="28"/>
          <w:szCs w:val="20"/>
        </w:rPr>
        <w:t>）：详细评审</w:t>
      </w:r>
      <w:r>
        <w:rPr>
          <w:rFonts w:hint="eastAsia" w:eastAsia="黑体"/>
          <w:bCs/>
          <w:color w:val="000000"/>
          <w:sz w:val="28"/>
          <w:szCs w:val="20"/>
        </w:rPr>
        <w:t>－</w:t>
      </w:r>
      <w:r>
        <w:rPr>
          <w:rFonts w:eastAsia="黑体"/>
          <w:bCs/>
          <w:color w:val="000000"/>
          <w:sz w:val="28"/>
          <w:szCs w:val="20"/>
        </w:rPr>
        <w:t>信誉等其他评分因素评分标准表（</w:t>
      </w:r>
      <w:r>
        <w:rPr>
          <w:rFonts w:hint="eastAsia" w:eastAsia="黑体"/>
          <w:bCs/>
          <w:color w:val="000000"/>
          <w:sz w:val="28"/>
          <w:szCs w:val="20"/>
        </w:rPr>
        <w:t>三</w:t>
      </w:r>
      <w:r>
        <w:rPr>
          <w:rFonts w:eastAsia="黑体"/>
          <w:bCs/>
          <w:color w:val="000000"/>
          <w:sz w:val="28"/>
          <w:szCs w:val="20"/>
        </w:rPr>
        <w:t>）</w:t>
      </w:r>
    </w:p>
    <w:p>
      <w:pPr>
        <w:pStyle w:val="2"/>
        <w:rPr>
          <w:lang w:val="en-US" w:eastAsia="zh-CN"/>
        </w:rPr>
      </w:pPr>
    </w:p>
    <w:p>
      <w:pPr>
        <w:pStyle w:val="32"/>
        <w:spacing w:before="120" w:beforeLines="50" w:after="120" w:afterLines="50" w:line="600" w:lineRule="exact"/>
        <w:ind w:left="0" w:firstLine="0" w:firstLineChars="0"/>
        <w:jc w:val="center"/>
        <w:rPr>
          <w:rFonts w:hint="eastAsia" w:ascii="方正小标宋简体" w:eastAsia="方正小标宋简体"/>
          <w:bCs/>
          <w:color w:val="000000"/>
          <w:sz w:val="40"/>
          <w:szCs w:val="20"/>
        </w:rPr>
      </w:pPr>
      <w:r>
        <w:rPr>
          <w:rFonts w:hint="eastAsia" w:ascii="方正小标宋简体" w:eastAsia="方正小标宋简体"/>
          <w:bCs/>
          <w:color w:val="000000"/>
          <w:sz w:val="40"/>
          <w:szCs w:val="20"/>
        </w:rPr>
        <w:t>信誉等其他评分因素评分标准表（三）</w:t>
      </w:r>
    </w:p>
    <w:p>
      <w:pPr>
        <w:snapToGrid w:val="0"/>
        <w:spacing w:line="490" w:lineRule="exact"/>
        <w:rPr>
          <w:rFonts w:hint="eastAsia" w:ascii="仿宋" w:hAnsi="仿宋" w:eastAsia="仿宋" w:cs="仿宋"/>
          <w:color w:val="000000"/>
          <w:sz w:val="24"/>
          <w:u w:val="single"/>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（标段名称）</w:t>
      </w:r>
      <w:r>
        <w:rPr>
          <w:rFonts w:hint="eastAsia" w:ascii="仿宋" w:hAnsi="仿宋" w:eastAsia="仿宋" w:cs="仿宋"/>
          <w:color w:val="000000"/>
          <w:sz w:val="24"/>
          <w:u w:val="single"/>
        </w:rPr>
        <w:t xml:space="preserve">                      </w:t>
      </w:r>
    </w:p>
    <w:p>
      <w:pPr>
        <w:snapToGrid w:val="0"/>
        <w:spacing w:line="490" w:lineRule="exact"/>
        <w:rPr>
          <w:rFonts w:hint="eastAsia" w:ascii="仿宋" w:hAnsi="仿宋" w:eastAsia="仿宋" w:cs="仿宋"/>
          <w:color w:val="000000"/>
          <w:sz w:val="24"/>
        </w:rPr>
      </w:pPr>
      <w:r>
        <w:rPr>
          <w:rFonts w:hint="eastAsia" w:ascii="仿宋" w:hAnsi="仿宋" w:eastAsia="仿宋" w:cs="仿宋"/>
          <w:color w:val="000000"/>
          <w:sz w:val="24"/>
        </w:rPr>
        <w:t>项目管理编号：</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tbl>
      <w:tblPr>
        <w:tblStyle w:val="47"/>
        <w:tblW w:w="90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784"/>
        <w:gridCol w:w="674"/>
        <w:gridCol w:w="674"/>
        <w:gridCol w:w="1134"/>
        <w:gridCol w:w="2835"/>
        <w:gridCol w:w="708"/>
        <w:gridCol w:w="567"/>
        <w:gridCol w:w="567"/>
        <w:gridCol w:w="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序号</w:t>
            </w:r>
          </w:p>
        </w:tc>
        <w:tc>
          <w:tcPr>
            <w:tcW w:w="784" w:type="dxa"/>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条款号</w:t>
            </w:r>
          </w:p>
        </w:tc>
        <w:tc>
          <w:tcPr>
            <w:tcW w:w="1348" w:type="dxa"/>
            <w:gridSpan w:val="2"/>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评分因素</w:t>
            </w:r>
          </w:p>
        </w:tc>
        <w:tc>
          <w:tcPr>
            <w:tcW w:w="4677" w:type="dxa"/>
            <w:gridSpan w:val="3"/>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评分标准</w:t>
            </w:r>
          </w:p>
        </w:tc>
        <w:tc>
          <w:tcPr>
            <w:tcW w:w="1710" w:type="dxa"/>
            <w:gridSpan w:val="3"/>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投标人名称及评审计分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snapToGrid w:val="0"/>
              <w:jc w:val="center"/>
              <w:rPr>
                <w:rFonts w:hint="eastAsia" w:ascii="仿宋" w:hAnsi="仿宋" w:eastAsia="仿宋" w:cs="仿宋"/>
                <w:color w:val="000000"/>
                <w:sz w:val="18"/>
                <w:szCs w:val="18"/>
              </w:rPr>
            </w:pPr>
          </w:p>
        </w:tc>
        <w:tc>
          <w:tcPr>
            <w:tcW w:w="4677" w:type="dxa"/>
            <w:gridSpan w:val="3"/>
            <w:vMerge w:val="continue"/>
            <w:noWrap w:val="0"/>
            <w:vAlign w:val="center"/>
          </w:tcPr>
          <w:p>
            <w:pPr>
              <w:snapToGrid w:val="0"/>
              <w:jc w:val="center"/>
              <w:rPr>
                <w:rFonts w:hint="eastAsia" w:ascii="仿宋" w:hAnsi="仿宋" w:eastAsia="仿宋" w:cs="仿宋"/>
                <w:color w:val="000000"/>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w:t>
            </w:r>
          </w:p>
        </w:tc>
        <w:tc>
          <w:tcPr>
            <w:tcW w:w="567"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2</w:t>
            </w:r>
          </w:p>
        </w:tc>
        <w:tc>
          <w:tcPr>
            <w:tcW w:w="576"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snapToGrid w:val="0"/>
              <w:jc w:val="center"/>
              <w:rPr>
                <w:rFonts w:hint="eastAsia" w:ascii="仿宋" w:hAnsi="仿宋" w:eastAsia="仿宋" w:cs="仿宋"/>
                <w:color w:val="000000"/>
                <w:sz w:val="18"/>
                <w:szCs w:val="18"/>
              </w:rPr>
            </w:pPr>
          </w:p>
        </w:tc>
        <w:tc>
          <w:tcPr>
            <w:tcW w:w="4677" w:type="dxa"/>
            <w:gridSpan w:val="3"/>
            <w:vMerge w:val="continue"/>
            <w:noWrap w:val="0"/>
            <w:vAlign w:val="center"/>
          </w:tcPr>
          <w:p>
            <w:pPr>
              <w:snapToGrid w:val="0"/>
              <w:jc w:val="center"/>
              <w:rPr>
                <w:rFonts w:hint="eastAsia" w:ascii="仿宋" w:hAnsi="仿宋" w:eastAsia="仿宋" w:cs="仿宋"/>
                <w:color w:val="000000"/>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exact"/>
          <w:jc w:val="center"/>
        </w:trPr>
        <w:tc>
          <w:tcPr>
            <w:tcW w:w="574" w:type="dxa"/>
            <w:vMerge w:val="restart"/>
            <w:noWrap w:val="0"/>
            <w:vAlign w:val="center"/>
          </w:tcPr>
          <w:p>
            <w:pPr>
              <w:snapToGrid w:val="0"/>
              <w:spacing w:line="260" w:lineRule="exact"/>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w:t>
            </w:r>
          </w:p>
        </w:tc>
        <w:tc>
          <w:tcPr>
            <w:tcW w:w="784" w:type="dxa"/>
            <w:vMerge w:val="restart"/>
            <w:noWrap w:val="0"/>
            <w:vAlign w:val="center"/>
          </w:tcPr>
          <w:p>
            <w:pPr>
              <w:snapToGrid w:val="0"/>
              <w:spacing w:line="260" w:lineRule="exact"/>
              <w:jc w:val="center"/>
              <w:rPr>
                <w:rFonts w:hint="eastAsia" w:ascii="仿宋" w:hAnsi="仿宋" w:eastAsia="仿宋" w:cs="仿宋"/>
                <w:color w:val="000000"/>
                <w:sz w:val="18"/>
                <w:szCs w:val="18"/>
              </w:rPr>
            </w:pPr>
            <w:r>
              <w:rPr>
                <w:rFonts w:hint="eastAsia" w:ascii="仿宋" w:hAnsi="仿宋" w:eastAsia="仿宋" w:cs="仿宋"/>
                <w:color w:val="000000"/>
                <w:sz w:val="18"/>
                <w:szCs w:val="18"/>
              </w:rPr>
              <w:t>2.2.4（2）</w:t>
            </w:r>
          </w:p>
        </w:tc>
        <w:tc>
          <w:tcPr>
            <w:tcW w:w="674" w:type="dxa"/>
            <w:vMerge w:val="restart"/>
            <w:noWrap w:val="0"/>
            <w:vAlign w:val="center"/>
          </w:tcPr>
          <w:p>
            <w:pPr>
              <w:pStyle w:val="106"/>
              <w:snapToGrid w:val="0"/>
              <w:spacing w:line="260" w:lineRule="exact"/>
              <w:jc w:val="center"/>
              <w:rPr>
                <w:rFonts w:hint="eastAsia" w:ascii="仿宋" w:hAnsi="仿宋" w:eastAsia="仿宋" w:cs="仿宋"/>
                <w:sz w:val="18"/>
                <w:szCs w:val="18"/>
              </w:rPr>
            </w:pPr>
            <w:r>
              <w:rPr>
                <w:rFonts w:hint="eastAsia" w:ascii="仿宋" w:hAnsi="仿宋" w:eastAsia="仿宋" w:cs="仿宋"/>
                <w:sz w:val="18"/>
                <w:szCs w:val="18"/>
              </w:rPr>
              <w:t>投标人信用等级（0～45分）</w:t>
            </w:r>
          </w:p>
        </w:tc>
        <w:tc>
          <w:tcPr>
            <w:tcW w:w="674" w:type="dxa"/>
            <w:vMerge w:val="restart"/>
            <w:noWrap w:val="0"/>
            <w:vAlign w:val="center"/>
          </w:tcPr>
          <w:p>
            <w:pPr>
              <w:pStyle w:val="106"/>
              <w:snapToGrid w:val="0"/>
              <w:spacing w:line="260" w:lineRule="exact"/>
              <w:jc w:val="center"/>
              <w:rPr>
                <w:rFonts w:hint="eastAsia" w:ascii="仿宋" w:hAnsi="仿宋" w:eastAsia="仿宋" w:cs="仿宋"/>
                <w:sz w:val="18"/>
                <w:szCs w:val="18"/>
              </w:rPr>
            </w:pPr>
            <w:r>
              <w:rPr>
                <w:rFonts w:hint="eastAsia" w:ascii="仿宋" w:hAnsi="仿宋" w:eastAsia="仿宋" w:cs="仿宋"/>
                <w:sz w:val="18"/>
                <w:szCs w:val="18"/>
              </w:rPr>
              <w:t>联合体牵头人（30～45分）×承担工作量所占比例</w:t>
            </w:r>
          </w:p>
        </w:tc>
        <w:tc>
          <w:tcPr>
            <w:tcW w:w="3969" w:type="dxa"/>
            <w:gridSpan w:val="2"/>
            <w:noWrap w:val="0"/>
            <w:vAlign w:val="center"/>
          </w:tcPr>
          <w:p>
            <w:pPr>
              <w:tabs>
                <w:tab w:val="left" w:pos="420"/>
              </w:tabs>
              <w:snapToGrid w:val="0"/>
              <w:spacing w:line="260" w:lineRule="exact"/>
              <w:rPr>
                <w:rFonts w:hint="eastAsia" w:ascii="仿宋" w:hAnsi="仿宋" w:eastAsia="仿宋" w:cs="仿宋"/>
                <w:color w:val="000000"/>
                <w:sz w:val="18"/>
                <w:szCs w:val="18"/>
              </w:rPr>
            </w:pPr>
            <w:r>
              <w:rPr>
                <w:rFonts w:hint="eastAsia" w:ascii="仿宋" w:hAnsi="仿宋" w:eastAsia="仿宋" w:cs="仿宋"/>
                <w:color w:val="000000"/>
                <w:sz w:val="18"/>
                <w:szCs w:val="18"/>
              </w:rPr>
              <w:t>湖南省智慧住建云－公共服务平台—诚信评价（90-100分）或信用等级（全国水利建设市场主体）为AAA级或信用等级（湖南省水利建设市场主体）A+级（100％）</w:t>
            </w:r>
          </w:p>
        </w:tc>
        <w:tc>
          <w:tcPr>
            <w:tcW w:w="708" w:type="dxa"/>
            <w:noWrap w:val="0"/>
            <w:vAlign w:val="center"/>
          </w:tcPr>
          <w:p>
            <w:pPr>
              <w:pStyle w:val="106"/>
              <w:snapToGrid w:val="0"/>
              <w:spacing w:line="260" w:lineRule="exact"/>
              <w:jc w:val="center"/>
              <w:rPr>
                <w:rFonts w:hint="eastAsia" w:ascii="仿宋" w:hAnsi="仿宋" w:eastAsia="仿宋" w:cs="仿宋"/>
                <w:sz w:val="18"/>
                <w:szCs w:val="18"/>
              </w:rPr>
            </w:pPr>
          </w:p>
        </w:tc>
        <w:tc>
          <w:tcPr>
            <w:tcW w:w="567" w:type="dxa"/>
            <w:vMerge w:val="restart"/>
            <w:noWrap w:val="0"/>
            <w:vAlign w:val="center"/>
          </w:tcPr>
          <w:p>
            <w:pPr>
              <w:pStyle w:val="106"/>
              <w:snapToGrid w:val="0"/>
              <w:spacing w:line="260" w:lineRule="exact"/>
              <w:jc w:val="center"/>
              <w:rPr>
                <w:rFonts w:hint="eastAsia" w:ascii="仿宋" w:hAnsi="仿宋" w:eastAsia="仿宋" w:cs="仿宋"/>
                <w:sz w:val="18"/>
                <w:szCs w:val="18"/>
              </w:rPr>
            </w:pPr>
          </w:p>
        </w:tc>
        <w:tc>
          <w:tcPr>
            <w:tcW w:w="567" w:type="dxa"/>
            <w:vMerge w:val="restart"/>
            <w:noWrap w:val="0"/>
            <w:vAlign w:val="center"/>
          </w:tcPr>
          <w:p>
            <w:pPr>
              <w:snapToGrid w:val="0"/>
              <w:spacing w:line="260" w:lineRule="exact"/>
              <w:jc w:val="center"/>
              <w:rPr>
                <w:rFonts w:hint="eastAsia" w:ascii="仿宋" w:hAnsi="仿宋" w:eastAsia="仿宋" w:cs="仿宋"/>
                <w:color w:val="000000"/>
                <w:kern w:val="0"/>
                <w:sz w:val="18"/>
                <w:szCs w:val="18"/>
              </w:rPr>
            </w:pPr>
          </w:p>
        </w:tc>
        <w:tc>
          <w:tcPr>
            <w:tcW w:w="576" w:type="dxa"/>
            <w:vMerge w:val="restart"/>
            <w:noWrap w:val="0"/>
            <w:vAlign w:val="center"/>
          </w:tcPr>
          <w:p>
            <w:pPr>
              <w:snapToGrid w:val="0"/>
              <w:spacing w:line="260" w:lineRule="exact"/>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exact"/>
          <w:jc w:val="center"/>
        </w:trPr>
        <w:tc>
          <w:tcPr>
            <w:tcW w:w="574" w:type="dxa"/>
            <w:vMerge w:val="continue"/>
            <w:noWrap w:val="0"/>
            <w:vAlign w:val="center"/>
          </w:tcPr>
          <w:p>
            <w:pPr>
              <w:snapToGrid w:val="0"/>
              <w:spacing w:line="260" w:lineRule="exact"/>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spacing w:line="260" w:lineRule="exact"/>
              <w:jc w:val="center"/>
              <w:rPr>
                <w:rFonts w:hint="eastAsia" w:ascii="仿宋" w:hAnsi="仿宋" w:eastAsia="仿宋" w:cs="仿宋"/>
                <w:color w:val="000000"/>
                <w:sz w:val="18"/>
                <w:szCs w:val="18"/>
              </w:rPr>
            </w:pPr>
          </w:p>
        </w:tc>
        <w:tc>
          <w:tcPr>
            <w:tcW w:w="674" w:type="dxa"/>
            <w:vMerge w:val="continue"/>
            <w:noWrap w:val="0"/>
            <w:vAlign w:val="center"/>
          </w:tcPr>
          <w:p>
            <w:pPr>
              <w:snapToGrid w:val="0"/>
              <w:spacing w:line="260" w:lineRule="exact"/>
              <w:jc w:val="center"/>
              <w:rPr>
                <w:rFonts w:hint="eastAsia" w:ascii="仿宋" w:hAnsi="仿宋" w:eastAsia="仿宋" w:cs="仿宋"/>
                <w:color w:val="000000"/>
                <w:sz w:val="18"/>
                <w:szCs w:val="18"/>
              </w:rPr>
            </w:pPr>
          </w:p>
        </w:tc>
        <w:tc>
          <w:tcPr>
            <w:tcW w:w="674" w:type="dxa"/>
            <w:vMerge w:val="continue"/>
            <w:noWrap w:val="0"/>
            <w:vAlign w:val="center"/>
          </w:tcPr>
          <w:p>
            <w:pPr>
              <w:snapToGrid w:val="0"/>
              <w:spacing w:line="260" w:lineRule="exact"/>
              <w:jc w:val="center"/>
              <w:rPr>
                <w:rFonts w:hint="eastAsia" w:ascii="仿宋" w:hAnsi="仿宋" w:eastAsia="仿宋" w:cs="仿宋"/>
                <w:color w:val="000000"/>
                <w:sz w:val="18"/>
                <w:szCs w:val="18"/>
              </w:rPr>
            </w:pPr>
          </w:p>
        </w:tc>
        <w:tc>
          <w:tcPr>
            <w:tcW w:w="3969" w:type="dxa"/>
            <w:gridSpan w:val="2"/>
            <w:noWrap w:val="0"/>
            <w:vAlign w:val="center"/>
          </w:tcPr>
          <w:p>
            <w:pPr>
              <w:snapToGrid w:val="0"/>
              <w:spacing w:line="260" w:lineRule="exact"/>
              <w:rPr>
                <w:rFonts w:hint="eastAsia" w:ascii="仿宋" w:hAnsi="仿宋" w:eastAsia="仿宋" w:cs="仿宋"/>
                <w:color w:val="000000"/>
                <w:sz w:val="18"/>
                <w:szCs w:val="18"/>
              </w:rPr>
            </w:pPr>
            <w:r>
              <w:rPr>
                <w:rFonts w:hint="eastAsia" w:ascii="仿宋" w:hAnsi="仿宋" w:eastAsia="仿宋" w:cs="仿宋"/>
                <w:color w:val="000000"/>
                <w:sz w:val="18"/>
                <w:szCs w:val="18"/>
              </w:rPr>
              <w:t>湖南省智慧住建云－公共服务平台—诚信评价（80-89分）或信用等级（全国水利建设市场主体）为AA级或信用等级（湖南省水利建设市场主体）A级（85％）</w:t>
            </w:r>
          </w:p>
        </w:tc>
        <w:tc>
          <w:tcPr>
            <w:tcW w:w="708" w:type="dxa"/>
            <w:noWrap w:val="0"/>
            <w:vAlign w:val="center"/>
          </w:tcPr>
          <w:p>
            <w:pPr>
              <w:pStyle w:val="106"/>
              <w:snapToGrid w:val="0"/>
              <w:spacing w:line="260" w:lineRule="exact"/>
              <w:jc w:val="center"/>
              <w:rPr>
                <w:rFonts w:hint="eastAsia" w:ascii="仿宋" w:hAnsi="仿宋" w:eastAsia="仿宋" w:cs="仿宋"/>
                <w:sz w:val="18"/>
                <w:szCs w:val="18"/>
              </w:rPr>
            </w:pPr>
          </w:p>
        </w:tc>
        <w:tc>
          <w:tcPr>
            <w:tcW w:w="567" w:type="dxa"/>
            <w:vMerge w:val="continue"/>
            <w:noWrap w:val="0"/>
            <w:vAlign w:val="center"/>
          </w:tcPr>
          <w:p>
            <w:pPr>
              <w:pStyle w:val="106"/>
              <w:snapToGrid w:val="0"/>
              <w:spacing w:line="260" w:lineRule="exact"/>
              <w:jc w:val="center"/>
              <w:rPr>
                <w:rFonts w:hint="eastAsia" w:ascii="仿宋" w:hAnsi="仿宋" w:eastAsia="仿宋" w:cs="仿宋"/>
                <w:sz w:val="18"/>
                <w:szCs w:val="18"/>
              </w:rPr>
            </w:pPr>
          </w:p>
        </w:tc>
        <w:tc>
          <w:tcPr>
            <w:tcW w:w="567" w:type="dxa"/>
            <w:vMerge w:val="continue"/>
            <w:noWrap w:val="0"/>
            <w:vAlign w:val="center"/>
          </w:tcPr>
          <w:p>
            <w:pPr>
              <w:snapToGrid w:val="0"/>
              <w:spacing w:line="260" w:lineRule="exact"/>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spacing w:line="260" w:lineRule="exact"/>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exact"/>
          <w:jc w:val="center"/>
        </w:trPr>
        <w:tc>
          <w:tcPr>
            <w:tcW w:w="574" w:type="dxa"/>
            <w:vMerge w:val="continue"/>
            <w:noWrap w:val="0"/>
            <w:vAlign w:val="center"/>
          </w:tcPr>
          <w:p>
            <w:pPr>
              <w:snapToGrid w:val="0"/>
              <w:spacing w:line="260" w:lineRule="exact"/>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spacing w:line="260" w:lineRule="exact"/>
              <w:jc w:val="center"/>
              <w:rPr>
                <w:rFonts w:hint="eastAsia" w:ascii="仿宋" w:hAnsi="仿宋" w:eastAsia="仿宋" w:cs="仿宋"/>
                <w:color w:val="000000"/>
                <w:sz w:val="18"/>
                <w:szCs w:val="18"/>
              </w:rPr>
            </w:pPr>
          </w:p>
        </w:tc>
        <w:tc>
          <w:tcPr>
            <w:tcW w:w="674" w:type="dxa"/>
            <w:vMerge w:val="continue"/>
            <w:noWrap w:val="0"/>
            <w:vAlign w:val="center"/>
          </w:tcPr>
          <w:p>
            <w:pPr>
              <w:snapToGrid w:val="0"/>
              <w:spacing w:line="260" w:lineRule="exact"/>
              <w:jc w:val="center"/>
              <w:rPr>
                <w:rFonts w:hint="eastAsia" w:ascii="仿宋" w:hAnsi="仿宋" w:eastAsia="仿宋" w:cs="仿宋"/>
                <w:color w:val="000000"/>
                <w:sz w:val="18"/>
                <w:szCs w:val="18"/>
              </w:rPr>
            </w:pPr>
          </w:p>
        </w:tc>
        <w:tc>
          <w:tcPr>
            <w:tcW w:w="674" w:type="dxa"/>
            <w:vMerge w:val="continue"/>
            <w:noWrap w:val="0"/>
            <w:vAlign w:val="center"/>
          </w:tcPr>
          <w:p>
            <w:pPr>
              <w:snapToGrid w:val="0"/>
              <w:spacing w:line="260" w:lineRule="exact"/>
              <w:jc w:val="center"/>
              <w:rPr>
                <w:rFonts w:hint="eastAsia" w:ascii="仿宋" w:hAnsi="仿宋" w:eastAsia="仿宋" w:cs="仿宋"/>
                <w:color w:val="000000"/>
                <w:sz w:val="18"/>
                <w:szCs w:val="18"/>
              </w:rPr>
            </w:pPr>
          </w:p>
        </w:tc>
        <w:tc>
          <w:tcPr>
            <w:tcW w:w="3969" w:type="dxa"/>
            <w:gridSpan w:val="2"/>
            <w:noWrap w:val="0"/>
            <w:vAlign w:val="center"/>
          </w:tcPr>
          <w:p>
            <w:pPr>
              <w:snapToGrid w:val="0"/>
              <w:spacing w:line="260" w:lineRule="exact"/>
              <w:rPr>
                <w:rFonts w:hint="eastAsia" w:ascii="仿宋" w:hAnsi="仿宋" w:eastAsia="仿宋" w:cs="仿宋"/>
                <w:color w:val="000000"/>
                <w:sz w:val="18"/>
                <w:szCs w:val="18"/>
              </w:rPr>
            </w:pPr>
            <w:r>
              <w:rPr>
                <w:rFonts w:hint="eastAsia" w:ascii="仿宋" w:hAnsi="仿宋" w:eastAsia="仿宋" w:cs="仿宋"/>
                <w:color w:val="000000"/>
                <w:sz w:val="18"/>
                <w:szCs w:val="18"/>
              </w:rPr>
              <w:t>湖南省智慧住建云－公共服务平台—诚信评价（70-79分）或信用等级（全国水利建设市场主体）为A级或信用等级（湖南省水利建设市场主体）A-级（70％）</w:t>
            </w:r>
          </w:p>
        </w:tc>
        <w:tc>
          <w:tcPr>
            <w:tcW w:w="708" w:type="dxa"/>
            <w:noWrap w:val="0"/>
            <w:vAlign w:val="center"/>
          </w:tcPr>
          <w:p>
            <w:pPr>
              <w:pStyle w:val="106"/>
              <w:snapToGrid w:val="0"/>
              <w:spacing w:line="260" w:lineRule="exact"/>
              <w:jc w:val="center"/>
              <w:rPr>
                <w:rFonts w:hint="eastAsia" w:ascii="仿宋" w:hAnsi="仿宋" w:eastAsia="仿宋" w:cs="仿宋"/>
                <w:sz w:val="18"/>
                <w:szCs w:val="18"/>
              </w:rPr>
            </w:pPr>
          </w:p>
        </w:tc>
        <w:tc>
          <w:tcPr>
            <w:tcW w:w="567" w:type="dxa"/>
            <w:vMerge w:val="continue"/>
            <w:noWrap w:val="0"/>
            <w:vAlign w:val="center"/>
          </w:tcPr>
          <w:p>
            <w:pPr>
              <w:pStyle w:val="106"/>
              <w:snapToGrid w:val="0"/>
              <w:spacing w:line="260" w:lineRule="exact"/>
              <w:jc w:val="center"/>
              <w:rPr>
                <w:rFonts w:hint="eastAsia" w:ascii="仿宋" w:hAnsi="仿宋" w:eastAsia="仿宋" w:cs="仿宋"/>
                <w:sz w:val="18"/>
                <w:szCs w:val="18"/>
              </w:rPr>
            </w:pPr>
          </w:p>
        </w:tc>
        <w:tc>
          <w:tcPr>
            <w:tcW w:w="567" w:type="dxa"/>
            <w:vMerge w:val="continue"/>
            <w:noWrap w:val="0"/>
            <w:vAlign w:val="center"/>
          </w:tcPr>
          <w:p>
            <w:pPr>
              <w:snapToGrid w:val="0"/>
              <w:spacing w:line="260" w:lineRule="exact"/>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spacing w:line="260" w:lineRule="exact"/>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exact"/>
          <w:jc w:val="center"/>
        </w:trPr>
        <w:tc>
          <w:tcPr>
            <w:tcW w:w="574" w:type="dxa"/>
            <w:vMerge w:val="continue"/>
            <w:noWrap w:val="0"/>
            <w:vAlign w:val="center"/>
          </w:tcPr>
          <w:p>
            <w:pPr>
              <w:snapToGrid w:val="0"/>
              <w:spacing w:line="260" w:lineRule="exact"/>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spacing w:line="260" w:lineRule="exact"/>
              <w:jc w:val="center"/>
              <w:rPr>
                <w:rFonts w:hint="eastAsia" w:ascii="仿宋" w:hAnsi="仿宋" w:eastAsia="仿宋" w:cs="仿宋"/>
                <w:color w:val="000000"/>
                <w:sz w:val="18"/>
                <w:szCs w:val="18"/>
              </w:rPr>
            </w:pPr>
          </w:p>
        </w:tc>
        <w:tc>
          <w:tcPr>
            <w:tcW w:w="674" w:type="dxa"/>
            <w:vMerge w:val="continue"/>
            <w:noWrap w:val="0"/>
            <w:vAlign w:val="center"/>
          </w:tcPr>
          <w:p>
            <w:pPr>
              <w:snapToGrid w:val="0"/>
              <w:spacing w:line="260" w:lineRule="exact"/>
              <w:jc w:val="center"/>
              <w:rPr>
                <w:rFonts w:hint="eastAsia" w:ascii="仿宋" w:hAnsi="仿宋" w:eastAsia="仿宋" w:cs="仿宋"/>
                <w:color w:val="000000"/>
                <w:sz w:val="18"/>
                <w:szCs w:val="18"/>
              </w:rPr>
            </w:pPr>
          </w:p>
        </w:tc>
        <w:tc>
          <w:tcPr>
            <w:tcW w:w="674" w:type="dxa"/>
            <w:vMerge w:val="continue"/>
            <w:noWrap w:val="0"/>
            <w:vAlign w:val="center"/>
          </w:tcPr>
          <w:p>
            <w:pPr>
              <w:snapToGrid w:val="0"/>
              <w:spacing w:line="260" w:lineRule="exact"/>
              <w:jc w:val="center"/>
              <w:rPr>
                <w:rFonts w:hint="eastAsia" w:ascii="仿宋" w:hAnsi="仿宋" w:eastAsia="仿宋" w:cs="仿宋"/>
                <w:color w:val="000000"/>
                <w:sz w:val="18"/>
                <w:szCs w:val="18"/>
              </w:rPr>
            </w:pPr>
          </w:p>
        </w:tc>
        <w:tc>
          <w:tcPr>
            <w:tcW w:w="3969" w:type="dxa"/>
            <w:gridSpan w:val="2"/>
            <w:noWrap w:val="0"/>
            <w:vAlign w:val="center"/>
          </w:tcPr>
          <w:p>
            <w:pPr>
              <w:snapToGrid w:val="0"/>
              <w:spacing w:line="260" w:lineRule="exact"/>
              <w:rPr>
                <w:rFonts w:hint="eastAsia" w:ascii="仿宋" w:hAnsi="仿宋" w:eastAsia="仿宋" w:cs="仿宋"/>
                <w:color w:val="000000"/>
                <w:sz w:val="18"/>
                <w:szCs w:val="18"/>
              </w:rPr>
            </w:pPr>
            <w:r>
              <w:rPr>
                <w:rFonts w:hint="eastAsia" w:ascii="仿宋" w:hAnsi="仿宋" w:eastAsia="仿宋" w:cs="仿宋"/>
                <w:color w:val="000000"/>
                <w:sz w:val="18"/>
                <w:szCs w:val="18"/>
              </w:rPr>
              <w:t>湖南省智慧住建云－公共服务平台—诚信评价（60-69分）或信用等级（全国水利建设市场主体）为B级或信用等级（湖南省水利建设市场主体）B级（55％）</w:t>
            </w:r>
          </w:p>
        </w:tc>
        <w:tc>
          <w:tcPr>
            <w:tcW w:w="708" w:type="dxa"/>
            <w:noWrap w:val="0"/>
            <w:vAlign w:val="center"/>
          </w:tcPr>
          <w:p>
            <w:pPr>
              <w:pStyle w:val="106"/>
              <w:snapToGrid w:val="0"/>
              <w:spacing w:line="260" w:lineRule="exact"/>
              <w:jc w:val="center"/>
              <w:rPr>
                <w:rFonts w:hint="eastAsia" w:ascii="仿宋" w:hAnsi="仿宋" w:eastAsia="仿宋" w:cs="仿宋"/>
                <w:sz w:val="18"/>
                <w:szCs w:val="18"/>
              </w:rPr>
            </w:pPr>
          </w:p>
        </w:tc>
        <w:tc>
          <w:tcPr>
            <w:tcW w:w="567" w:type="dxa"/>
            <w:vMerge w:val="continue"/>
            <w:noWrap w:val="0"/>
            <w:vAlign w:val="center"/>
          </w:tcPr>
          <w:p>
            <w:pPr>
              <w:pStyle w:val="106"/>
              <w:snapToGrid w:val="0"/>
              <w:spacing w:line="260" w:lineRule="exact"/>
              <w:jc w:val="center"/>
              <w:rPr>
                <w:rFonts w:hint="eastAsia" w:ascii="仿宋" w:hAnsi="仿宋" w:eastAsia="仿宋" w:cs="仿宋"/>
                <w:sz w:val="18"/>
                <w:szCs w:val="18"/>
              </w:rPr>
            </w:pPr>
          </w:p>
        </w:tc>
        <w:tc>
          <w:tcPr>
            <w:tcW w:w="567" w:type="dxa"/>
            <w:vMerge w:val="continue"/>
            <w:noWrap w:val="0"/>
            <w:vAlign w:val="center"/>
          </w:tcPr>
          <w:p>
            <w:pPr>
              <w:snapToGrid w:val="0"/>
              <w:spacing w:line="260" w:lineRule="exact"/>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spacing w:line="260" w:lineRule="exact"/>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exact"/>
          <w:jc w:val="center"/>
        </w:trPr>
        <w:tc>
          <w:tcPr>
            <w:tcW w:w="574" w:type="dxa"/>
            <w:vMerge w:val="continue"/>
            <w:noWrap w:val="0"/>
            <w:vAlign w:val="center"/>
          </w:tcPr>
          <w:p>
            <w:pPr>
              <w:snapToGrid w:val="0"/>
              <w:spacing w:line="260" w:lineRule="exact"/>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spacing w:line="260" w:lineRule="exact"/>
              <w:jc w:val="center"/>
              <w:rPr>
                <w:rFonts w:hint="eastAsia" w:ascii="仿宋" w:hAnsi="仿宋" w:eastAsia="仿宋" w:cs="仿宋"/>
                <w:color w:val="000000"/>
                <w:sz w:val="18"/>
                <w:szCs w:val="18"/>
              </w:rPr>
            </w:pPr>
          </w:p>
        </w:tc>
        <w:tc>
          <w:tcPr>
            <w:tcW w:w="674" w:type="dxa"/>
            <w:vMerge w:val="continue"/>
            <w:noWrap w:val="0"/>
            <w:vAlign w:val="center"/>
          </w:tcPr>
          <w:p>
            <w:pPr>
              <w:pStyle w:val="106"/>
              <w:snapToGrid w:val="0"/>
              <w:spacing w:line="260" w:lineRule="exact"/>
              <w:jc w:val="center"/>
              <w:rPr>
                <w:rFonts w:hint="eastAsia" w:ascii="仿宋" w:hAnsi="仿宋" w:eastAsia="仿宋" w:cs="仿宋"/>
                <w:sz w:val="18"/>
                <w:szCs w:val="18"/>
              </w:rPr>
            </w:pPr>
          </w:p>
        </w:tc>
        <w:tc>
          <w:tcPr>
            <w:tcW w:w="674" w:type="dxa"/>
            <w:vMerge w:val="continue"/>
            <w:noWrap w:val="0"/>
            <w:vAlign w:val="center"/>
          </w:tcPr>
          <w:p>
            <w:pPr>
              <w:pStyle w:val="106"/>
              <w:snapToGrid w:val="0"/>
              <w:spacing w:line="260" w:lineRule="exact"/>
              <w:jc w:val="center"/>
              <w:rPr>
                <w:rFonts w:hint="eastAsia" w:ascii="仿宋" w:hAnsi="仿宋" w:eastAsia="仿宋" w:cs="仿宋"/>
                <w:sz w:val="18"/>
                <w:szCs w:val="18"/>
              </w:rPr>
            </w:pPr>
          </w:p>
        </w:tc>
        <w:tc>
          <w:tcPr>
            <w:tcW w:w="3969" w:type="dxa"/>
            <w:gridSpan w:val="2"/>
            <w:noWrap w:val="0"/>
            <w:vAlign w:val="center"/>
          </w:tcPr>
          <w:p>
            <w:pPr>
              <w:pStyle w:val="106"/>
              <w:snapToGrid w:val="0"/>
              <w:spacing w:line="260" w:lineRule="exact"/>
              <w:jc w:val="both"/>
              <w:rPr>
                <w:rFonts w:hint="eastAsia" w:ascii="仿宋" w:hAnsi="仿宋" w:eastAsia="仿宋" w:cs="仿宋"/>
                <w:sz w:val="18"/>
                <w:szCs w:val="18"/>
              </w:rPr>
            </w:pPr>
            <w:r>
              <w:rPr>
                <w:rFonts w:hint="eastAsia" w:ascii="仿宋" w:hAnsi="仿宋" w:eastAsia="仿宋" w:cs="仿宋"/>
                <w:sz w:val="18"/>
                <w:szCs w:val="18"/>
              </w:rPr>
              <w:t>湖南省智慧住建云－公共服务平台—诚信评价（60分以下，不包含60分）或信用等级（全国水利建设市场主体）为C级或信用等级（湖南省水利建设市场主体）C级（0分）</w:t>
            </w:r>
          </w:p>
        </w:tc>
        <w:tc>
          <w:tcPr>
            <w:tcW w:w="708" w:type="dxa"/>
            <w:noWrap w:val="0"/>
            <w:vAlign w:val="center"/>
          </w:tcPr>
          <w:p>
            <w:pPr>
              <w:pStyle w:val="106"/>
              <w:snapToGrid w:val="0"/>
              <w:spacing w:line="260" w:lineRule="exact"/>
              <w:jc w:val="center"/>
              <w:rPr>
                <w:rFonts w:hint="eastAsia" w:ascii="仿宋" w:hAnsi="仿宋" w:eastAsia="仿宋" w:cs="仿宋"/>
                <w:sz w:val="18"/>
                <w:szCs w:val="18"/>
              </w:rPr>
            </w:pPr>
          </w:p>
        </w:tc>
        <w:tc>
          <w:tcPr>
            <w:tcW w:w="567" w:type="dxa"/>
            <w:vMerge w:val="continue"/>
            <w:noWrap w:val="0"/>
            <w:vAlign w:val="center"/>
          </w:tcPr>
          <w:p>
            <w:pPr>
              <w:pStyle w:val="106"/>
              <w:snapToGrid w:val="0"/>
              <w:spacing w:line="260" w:lineRule="exact"/>
              <w:jc w:val="center"/>
              <w:rPr>
                <w:rFonts w:hint="eastAsia" w:ascii="仿宋" w:hAnsi="仿宋" w:eastAsia="仿宋" w:cs="仿宋"/>
                <w:sz w:val="18"/>
                <w:szCs w:val="18"/>
              </w:rPr>
            </w:pPr>
          </w:p>
        </w:tc>
        <w:tc>
          <w:tcPr>
            <w:tcW w:w="567" w:type="dxa"/>
            <w:vMerge w:val="continue"/>
            <w:noWrap w:val="0"/>
            <w:vAlign w:val="center"/>
          </w:tcPr>
          <w:p>
            <w:pPr>
              <w:snapToGrid w:val="0"/>
              <w:spacing w:line="260" w:lineRule="exact"/>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spacing w:line="260" w:lineRule="exact"/>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exact"/>
          <w:jc w:val="center"/>
        </w:trPr>
        <w:tc>
          <w:tcPr>
            <w:tcW w:w="574" w:type="dxa"/>
            <w:vMerge w:val="continue"/>
            <w:noWrap w:val="0"/>
            <w:vAlign w:val="center"/>
          </w:tcPr>
          <w:p>
            <w:pPr>
              <w:snapToGrid w:val="0"/>
              <w:spacing w:line="260" w:lineRule="exact"/>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spacing w:line="260" w:lineRule="exact"/>
              <w:jc w:val="center"/>
              <w:rPr>
                <w:rFonts w:hint="eastAsia" w:ascii="仿宋" w:hAnsi="仿宋" w:eastAsia="仿宋" w:cs="仿宋"/>
                <w:color w:val="000000"/>
                <w:sz w:val="18"/>
                <w:szCs w:val="18"/>
              </w:rPr>
            </w:pPr>
          </w:p>
        </w:tc>
        <w:tc>
          <w:tcPr>
            <w:tcW w:w="674" w:type="dxa"/>
            <w:vMerge w:val="continue"/>
            <w:noWrap w:val="0"/>
            <w:vAlign w:val="center"/>
          </w:tcPr>
          <w:p>
            <w:pPr>
              <w:pStyle w:val="106"/>
              <w:snapToGrid w:val="0"/>
              <w:spacing w:line="260" w:lineRule="exact"/>
              <w:jc w:val="center"/>
              <w:rPr>
                <w:rFonts w:hint="eastAsia" w:ascii="仿宋" w:hAnsi="仿宋" w:eastAsia="仿宋" w:cs="仿宋"/>
                <w:sz w:val="18"/>
                <w:szCs w:val="18"/>
              </w:rPr>
            </w:pPr>
          </w:p>
        </w:tc>
        <w:tc>
          <w:tcPr>
            <w:tcW w:w="674" w:type="dxa"/>
            <w:vMerge w:val="restart"/>
            <w:noWrap w:val="0"/>
            <w:vAlign w:val="center"/>
          </w:tcPr>
          <w:p>
            <w:pPr>
              <w:pStyle w:val="106"/>
              <w:snapToGrid w:val="0"/>
              <w:spacing w:line="260" w:lineRule="exact"/>
              <w:jc w:val="center"/>
              <w:rPr>
                <w:rFonts w:hint="eastAsia" w:ascii="仿宋" w:hAnsi="仿宋" w:eastAsia="仿宋" w:cs="仿宋"/>
                <w:sz w:val="18"/>
                <w:szCs w:val="18"/>
              </w:rPr>
            </w:pPr>
            <w:r>
              <w:rPr>
                <w:rFonts w:hint="eastAsia" w:ascii="仿宋" w:hAnsi="仿宋" w:eastAsia="仿宋" w:cs="仿宋"/>
                <w:sz w:val="18"/>
                <w:szCs w:val="18"/>
              </w:rPr>
              <w:t>联合体成员一（30～45分）×承担工作量所占比例</w:t>
            </w:r>
          </w:p>
        </w:tc>
        <w:tc>
          <w:tcPr>
            <w:tcW w:w="3969" w:type="dxa"/>
            <w:gridSpan w:val="2"/>
            <w:noWrap w:val="0"/>
            <w:vAlign w:val="center"/>
          </w:tcPr>
          <w:p>
            <w:pPr>
              <w:tabs>
                <w:tab w:val="left" w:pos="420"/>
              </w:tabs>
              <w:snapToGrid w:val="0"/>
              <w:spacing w:line="260" w:lineRule="exact"/>
              <w:rPr>
                <w:rFonts w:hint="eastAsia" w:ascii="仿宋" w:hAnsi="仿宋" w:eastAsia="仿宋" w:cs="仿宋"/>
                <w:color w:val="000000"/>
                <w:sz w:val="18"/>
                <w:szCs w:val="18"/>
              </w:rPr>
            </w:pPr>
            <w:r>
              <w:rPr>
                <w:rFonts w:hint="eastAsia" w:ascii="仿宋" w:hAnsi="仿宋" w:eastAsia="仿宋" w:cs="仿宋"/>
                <w:color w:val="000000"/>
                <w:sz w:val="18"/>
                <w:szCs w:val="18"/>
              </w:rPr>
              <w:t>湖南省智慧住建云－公共服务平台—诚信评价（90-100分）或信用等级（全国水利建设市场主体）为AAA级或信用等级（湖南省水利建设市场主体）A+级（100％）</w:t>
            </w:r>
          </w:p>
        </w:tc>
        <w:tc>
          <w:tcPr>
            <w:tcW w:w="708" w:type="dxa"/>
            <w:noWrap w:val="0"/>
            <w:vAlign w:val="center"/>
          </w:tcPr>
          <w:p>
            <w:pPr>
              <w:pStyle w:val="106"/>
              <w:snapToGrid w:val="0"/>
              <w:spacing w:line="260" w:lineRule="exact"/>
              <w:jc w:val="center"/>
              <w:rPr>
                <w:rFonts w:hint="eastAsia" w:ascii="仿宋" w:hAnsi="仿宋" w:eastAsia="仿宋" w:cs="仿宋"/>
                <w:sz w:val="18"/>
                <w:szCs w:val="18"/>
              </w:rPr>
            </w:pPr>
          </w:p>
        </w:tc>
        <w:tc>
          <w:tcPr>
            <w:tcW w:w="567" w:type="dxa"/>
            <w:vMerge w:val="restart"/>
            <w:noWrap w:val="0"/>
            <w:vAlign w:val="center"/>
          </w:tcPr>
          <w:p>
            <w:pPr>
              <w:pStyle w:val="106"/>
              <w:snapToGrid w:val="0"/>
              <w:spacing w:line="260" w:lineRule="exact"/>
              <w:jc w:val="center"/>
              <w:rPr>
                <w:rFonts w:hint="eastAsia" w:ascii="仿宋" w:hAnsi="仿宋" w:eastAsia="仿宋" w:cs="仿宋"/>
                <w:sz w:val="18"/>
                <w:szCs w:val="18"/>
              </w:rPr>
            </w:pPr>
          </w:p>
        </w:tc>
        <w:tc>
          <w:tcPr>
            <w:tcW w:w="567" w:type="dxa"/>
            <w:vMerge w:val="restart"/>
            <w:noWrap w:val="0"/>
            <w:vAlign w:val="center"/>
          </w:tcPr>
          <w:p>
            <w:pPr>
              <w:snapToGrid w:val="0"/>
              <w:spacing w:line="260" w:lineRule="exact"/>
              <w:jc w:val="center"/>
              <w:rPr>
                <w:rFonts w:hint="eastAsia" w:ascii="仿宋" w:hAnsi="仿宋" w:eastAsia="仿宋" w:cs="仿宋"/>
                <w:color w:val="000000"/>
                <w:kern w:val="0"/>
                <w:sz w:val="18"/>
                <w:szCs w:val="18"/>
              </w:rPr>
            </w:pPr>
          </w:p>
        </w:tc>
        <w:tc>
          <w:tcPr>
            <w:tcW w:w="576" w:type="dxa"/>
            <w:vMerge w:val="restart"/>
            <w:noWrap w:val="0"/>
            <w:vAlign w:val="center"/>
          </w:tcPr>
          <w:p>
            <w:pPr>
              <w:snapToGrid w:val="0"/>
              <w:spacing w:line="260" w:lineRule="exact"/>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exact"/>
          <w:jc w:val="center"/>
        </w:trPr>
        <w:tc>
          <w:tcPr>
            <w:tcW w:w="574" w:type="dxa"/>
            <w:vMerge w:val="continue"/>
            <w:noWrap w:val="0"/>
            <w:vAlign w:val="center"/>
          </w:tcPr>
          <w:p>
            <w:pPr>
              <w:snapToGrid w:val="0"/>
              <w:spacing w:line="260" w:lineRule="exact"/>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spacing w:line="260" w:lineRule="exact"/>
              <w:jc w:val="center"/>
              <w:rPr>
                <w:rFonts w:hint="eastAsia" w:ascii="仿宋" w:hAnsi="仿宋" w:eastAsia="仿宋" w:cs="仿宋"/>
                <w:color w:val="000000"/>
                <w:sz w:val="18"/>
                <w:szCs w:val="18"/>
              </w:rPr>
            </w:pPr>
          </w:p>
        </w:tc>
        <w:tc>
          <w:tcPr>
            <w:tcW w:w="674" w:type="dxa"/>
            <w:vMerge w:val="continue"/>
            <w:noWrap w:val="0"/>
            <w:vAlign w:val="center"/>
          </w:tcPr>
          <w:p>
            <w:pPr>
              <w:pStyle w:val="106"/>
              <w:snapToGrid w:val="0"/>
              <w:spacing w:line="260" w:lineRule="exact"/>
              <w:jc w:val="center"/>
              <w:rPr>
                <w:rFonts w:hint="eastAsia" w:ascii="仿宋" w:hAnsi="仿宋" w:eastAsia="仿宋" w:cs="仿宋"/>
                <w:sz w:val="18"/>
                <w:szCs w:val="18"/>
              </w:rPr>
            </w:pPr>
          </w:p>
        </w:tc>
        <w:tc>
          <w:tcPr>
            <w:tcW w:w="674" w:type="dxa"/>
            <w:vMerge w:val="continue"/>
            <w:noWrap w:val="0"/>
            <w:vAlign w:val="center"/>
          </w:tcPr>
          <w:p>
            <w:pPr>
              <w:pStyle w:val="106"/>
              <w:snapToGrid w:val="0"/>
              <w:spacing w:line="260" w:lineRule="exact"/>
              <w:jc w:val="center"/>
              <w:rPr>
                <w:rFonts w:hint="eastAsia" w:ascii="仿宋" w:hAnsi="仿宋" w:eastAsia="仿宋" w:cs="仿宋"/>
                <w:sz w:val="18"/>
                <w:szCs w:val="18"/>
              </w:rPr>
            </w:pPr>
          </w:p>
        </w:tc>
        <w:tc>
          <w:tcPr>
            <w:tcW w:w="3969" w:type="dxa"/>
            <w:gridSpan w:val="2"/>
            <w:noWrap w:val="0"/>
            <w:vAlign w:val="center"/>
          </w:tcPr>
          <w:p>
            <w:pPr>
              <w:snapToGrid w:val="0"/>
              <w:spacing w:line="260" w:lineRule="exact"/>
              <w:rPr>
                <w:rFonts w:hint="eastAsia" w:ascii="仿宋" w:hAnsi="仿宋" w:eastAsia="仿宋" w:cs="仿宋"/>
                <w:color w:val="000000"/>
                <w:sz w:val="18"/>
                <w:szCs w:val="18"/>
              </w:rPr>
            </w:pPr>
            <w:r>
              <w:rPr>
                <w:rFonts w:hint="eastAsia" w:ascii="仿宋" w:hAnsi="仿宋" w:eastAsia="仿宋" w:cs="仿宋"/>
                <w:color w:val="000000"/>
                <w:sz w:val="18"/>
                <w:szCs w:val="18"/>
              </w:rPr>
              <w:t>湖南省智慧住建云－公共服务平台—诚信评价（80-89分）或信用等级（全国水利建设市场主体）为AA级或信用等级（湖南省水利建设市场主体）A级（85％）</w:t>
            </w:r>
          </w:p>
        </w:tc>
        <w:tc>
          <w:tcPr>
            <w:tcW w:w="708" w:type="dxa"/>
            <w:noWrap w:val="0"/>
            <w:vAlign w:val="center"/>
          </w:tcPr>
          <w:p>
            <w:pPr>
              <w:pStyle w:val="106"/>
              <w:snapToGrid w:val="0"/>
              <w:spacing w:line="260" w:lineRule="exact"/>
              <w:jc w:val="center"/>
              <w:rPr>
                <w:rFonts w:hint="eastAsia" w:ascii="仿宋" w:hAnsi="仿宋" w:eastAsia="仿宋" w:cs="仿宋"/>
                <w:sz w:val="18"/>
                <w:szCs w:val="18"/>
              </w:rPr>
            </w:pPr>
          </w:p>
        </w:tc>
        <w:tc>
          <w:tcPr>
            <w:tcW w:w="567" w:type="dxa"/>
            <w:vMerge w:val="continue"/>
            <w:noWrap w:val="0"/>
            <w:vAlign w:val="center"/>
          </w:tcPr>
          <w:p>
            <w:pPr>
              <w:pStyle w:val="106"/>
              <w:snapToGrid w:val="0"/>
              <w:spacing w:line="260" w:lineRule="exact"/>
              <w:jc w:val="center"/>
              <w:rPr>
                <w:rFonts w:hint="eastAsia" w:ascii="仿宋" w:hAnsi="仿宋" w:eastAsia="仿宋" w:cs="仿宋"/>
                <w:sz w:val="18"/>
                <w:szCs w:val="18"/>
              </w:rPr>
            </w:pPr>
          </w:p>
        </w:tc>
        <w:tc>
          <w:tcPr>
            <w:tcW w:w="567" w:type="dxa"/>
            <w:vMerge w:val="continue"/>
            <w:noWrap w:val="0"/>
            <w:vAlign w:val="center"/>
          </w:tcPr>
          <w:p>
            <w:pPr>
              <w:snapToGrid w:val="0"/>
              <w:spacing w:line="260" w:lineRule="exact"/>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spacing w:line="260" w:lineRule="exact"/>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exact"/>
          <w:jc w:val="center"/>
        </w:trPr>
        <w:tc>
          <w:tcPr>
            <w:tcW w:w="574" w:type="dxa"/>
            <w:vMerge w:val="continue"/>
            <w:noWrap w:val="0"/>
            <w:vAlign w:val="center"/>
          </w:tcPr>
          <w:p>
            <w:pPr>
              <w:snapToGrid w:val="0"/>
              <w:spacing w:line="260" w:lineRule="exact"/>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spacing w:line="260" w:lineRule="exact"/>
              <w:jc w:val="center"/>
              <w:rPr>
                <w:rFonts w:hint="eastAsia" w:ascii="仿宋" w:hAnsi="仿宋" w:eastAsia="仿宋" w:cs="仿宋"/>
                <w:color w:val="000000"/>
                <w:sz w:val="18"/>
                <w:szCs w:val="18"/>
              </w:rPr>
            </w:pPr>
          </w:p>
        </w:tc>
        <w:tc>
          <w:tcPr>
            <w:tcW w:w="674" w:type="dxa"/>
            <w:vMerge w:val="continue"/>
            <w:noWrap w:val="0"/>
            <w:vAlign w:val="center"/>
          </w:tcPr>
          <w:p>
            <w:pPr>
              <w:pStyle w:val="106"/>
              <w:snapToGrid w:val="0"/>
              <w:spacing w:line="260" w:lineRule="exact"/>
              <w:jc w:val="center"/>
              <w:rPr>
                <w:rFonts w:hint="eastAsia" w:ascii="仿宋" w:hAnsi="仿宋" w:eastAsia="仿宋" w:cs="仿宋"/>
                <w:sz w:val="18"/>
                <w:szCs w:val="18"/>
              </w:rPr>
            </w:pPr>
          </w:p>
        </w:tc>
        <w:tc>
          <w:tcPr>
            <w:tcW w:w="674" w:type="dxa"/>
            <w:vMerge w:val="continue"/>
            <w:noWrap w:val="0"/>
            <w:vAlign w:val="center"/>
          </w:tcPr>
          <w:p>
            <w:pPr>
              <w:pStyle w:val="106"/>
              <w:snapToGrid w:val="0"/>
              <w:spacing w:line="260" w:lineRule="exact"/>
              <w:jc w:val="center"/>
              <w:rPr>
                <w:rFonts w:hint="eastAsia" w:ascii="仿宋" w:hAnsi="仿宋" w:eastAsia="仿宋" w:cs="仿宋"/>
                <w:sz w:val="18"/>
                <w:szCs w:val="18"/>
              </w:rPr>
            </w:pPr>
          </w:p>
        </w:tc>
        <w:tc>
          <w:tcPr>
            <w:tcW w:w="3969" w:type="dxa"/>
            <w:gridSpan w:val="2"/>
            <w:noWrap w:val="0"/>
            <w:vAlign w:val="center"/>
          </w:tcPr>
          <w:p>
            <w:pPr>
              <w:snapToGrid w:val="0"/>
              <w:spacing w:line="260" w:lineRule="exact"/>
              <w:rPr>
                <w:rFonts w:hint="eastAsia" w:ascii="仿宋" w:hAnsi="仿宋" w:eastAsia="仿宋" w:cs="仿宋"/>
                <w:color w:val="000000"/>
                <w:sz w:val="18"/>
                <w:szCs w:val="18"/>
              </w:rPr>
            </w:pPr>
            <w:r>
              <w:rPr>
                <w:rFonts w:hint="eastAsia" w:ascii="仿宋" w:hAnsi="仿宋" w:eastAsia="仿宋" w:cs="仿宋"/>
                <w:color w:val="000000"/>
                <w:sz w:val="18"/>
                <w:szCs w:val="18"/>
              </w:rPr>
              <w:t>湖南省智慧住建云－公共服务平台—诚信评价（70-79分）或信用等级（全国水利建设市场主体）为A级或信用等级（湖南省水利建设市场主体）A-级（70％）</w:t>
            </w:r>
          </w:p>
        </w:tc>
        <w:tc>
          <w:tcPr>
            <w:tcW w:w="708" w:type="dxa"/>
            <w:noWrap w:val="0"/>
            <w:vAlign w:val="center"/>
          </w:tcPr>
          <w:p>
            <w:pPr>
              <w:pStyle w:val="106"/>
              <w:snapToGrid w:val="0"/>
              <w:spacing w:line="260" w:lineRule="exact"/>
              <w:jc w:val="center"/>
              <w:rPr>
                <w:rFonts w:hint="eastAsia" w:ascii="仿宋" w:hAnsi="仿宋" w:eastAsia="仿宋" w:cs="仿宋"/>
                <w:sz w:val="18"/>
                <w:szCs w:val="18"/>
              </w:rPr>
            </w:pPr>
          </w:p>
        </w:tc>
        <w:tc>
          <w:tcPr>
            <w:tcW w:w="567" w:type="dxa"/>
            <w:vMerge w:val="continue"/>
            <w:noWrap w:val="0"/>
            <w:vAlign w:val="center"/>
          </w:tcPr>
          <w:p>
            <w:pPr>
              <w:pStyle w:val="106"/>
              <w:snapToGrid w:val="0"/>
              <w:spacing w:line="260" w:lineRule="exact"/>
              <w:jc w:val="center"/>
              <w:rPr>
                <w:rFonts w:hint="eastAsia" w:ascii="仿宋" w:hAnsi="仿宋" w:eastAsia="仿宋" w:cs="仿宋"/>
                <w:sz w:val="18"/>
                <w:szCs w:val="18"/>
              </w:rPr>
            </w:pPr>
          </w:p>
        </w:tc>
        <w:tc>
          <w:tcPr>
            <w:tcW w:w="567" w:type="dxa"/>
            <w:vMerge w:val="continue"/>
            <w:noWrap w:val="0"/>
            <w:vAlign w:val="center"/>
          </w:tcPr>
          <w:p>
            <w:pPr>
              <w:snapToGrid w:val="0"/>
              <w:spacing w:line="260" w:lineRule="exact"/>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spacing w:line="260" w:lineRule="exact"/>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exact"/>
          <w:jc w:val="center"/>
        </w:trPr>
        <w:tc>
          <w:tcPr>
            <w:tcW w:w="574" w:type="dxa"/>
            <w:vMerge w:val="continue"/>
            <w:noWrap w:val="0"/>
            <w:vAlign w:val="center"/>
          </w:tcPr>
          <w:p>
            <w:pPr>
              <w:snapToGrid w:val="0"/>
              <w:spacing w:line="260" w:lineRule="exact"/>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spacing w:line="260" w:lineRule="exact"/>
              <w:jc w:val="center"/>
              <w:rPr>
                <w:rFonts w:hint="eastAsia" w:ascii="仿宋" w:hAnsi="仿宋" w:eastAsia="仿宋" w:cs="仿宋"/>
                <w:color w:val="000000"/>
                <w:sz w:val="18"/>
                <w:szCs w:val="18"/>
              </w:rPr>
            </w:pPr>
          </w:p>
        </w:tc>
        <w:tc>
          <w:tcPr>
            <w:tcW w:w="674" w:type="dxa"/>
            <w:vMerge w:val="continue"/>
            <w:noWrap w:val="0"/>
            <w:vAlign w:val="center"/>
          </w:tcPr>
          <w:p>
            <w:pPr>
              <w:pStyle w:val="106"/>
              <w:snapToGrid w:val="0"/>
              <w:spacing w:line="260" w:lineRule="exact"/>
              <w:jc w:val="center"/>
              <w:rPr>
                <w:rFonts w:hint="eastAsia" w:ascii="仿宋" w:hAnsi="仿宋" w:eastAsia="仿宋" w:cs="仿宋"/>
                <w:sz w:val="18"/>
                <w:szCs w:val="18"/>
              </w:rPr>
            </w:pPr>
          </w:p>
        </w:tc>
        <w:tc>
          <w:tcPr>
            <w:tcW w:w="674" w:type="dxa"/>
            <w:vMerge w:val="continue"/>
            <w:noWrap w:val="0"/>
            <w:vAlign w:val="center"/>
          </w:tcPr>
          <w:p>
            <w:pPr>
              <w:pStyle w:val="106"/>
              <w:snapToGrid w:val="0"/>
              <w:spacing w:line="260" w:lineRule="exact"/>
              <w:jc w:val="center"/>
              <w:rPr>
                <w:rFonts w:hint="eastAsia" w:ascii="仿宋" w:hAnsi="仿宋" w:eastAsia="仿宋" w:cs="仿宋"/>
                <w:sz w:val="18"/>
                <w:szCs w:val="18"/>
              </w:rPr>
            </w:pPr>
          </w:p>
        </w:tc>
        <w:tc>
          <w:tcPr>
            <w:tcW w:w="3969" w:type="dxa"/>
            <w:gridSpan w:val="2"/>
            <w:noWrap w:val="0"/>
            <w:vAlign w:val="center"/>
          </w:tcPr>
          <w:p>
            <w:pPr>
              <w:snapToGrid w:val="0"/>
              <w:spacing w:line="260" w:lineRule="exact"/>
              <w:rPr>
                <w:rFonts w:hint="eastAsia" w:ascii="仿宋" w:hAnsi="仿宋" w:eastAsia="仿宋" w:cs="仿宋"/>
                <w:color w:val="000000"/>
                <w:sz w:val="18"/>
                <w:szCs w:val="18"/>
              </w:rPr>
            </w:pPr>
            <w:r>
              <w:rPr>
                <w:rFonts w:hint="eastAsia" w:ascii="仿宋" w:hAnsi="仿宋" w:eastAsia="仿宋" w:cs="仿宋"/>
                <w:color w:val="000000"/>
                <w:sz w:val="18"/>
                <w:szCs w:val="18"/>
              </w:rPr>
              <w:t>湖南省智慧住建云－公共服务平台—诚信评价（60-69分）或信用等级（全国水利建设市场主体）为B级或信用等级（湖南省水利建设市场主体）B级（55％）</w:t>
            </w:r>
          </w:p>
        </w:tc>
        <w:tc>
          <w:tcPr>
            <w:tcW w:w="708" w:type="dxa"/>
            <w:noWrap w:val="0"/>
            <w:vAlign w:val="center"/>
          </w:tcPr>
          <w:p>
            <w:pPr>
              <w:pStyle w:val="106"/>
              <w:snapToGrid w:val="0"/>
              <w:spacing w:line="260" w:lineRule="exact"/>
              <w:jc w:val="center"/>
              <w:rPr>
                <w:rFonts w:hint="eastAsia" w:ascii="仿宋" w:hAnsi="仿宋" w:eastAsia="仿宋" w:cs="仿宋"/>
                <w:sz w:val="18"/>
                <w:szCs w:val="18"/>
              </w:rPr>
            </w:pPr>
          </w:p>
        </w:tc>
        <w:tc>
          <w:tcPr>
            <w:tcW w:w="567" w:type="dxa"/>
            <w:vMerge w:val="continue"/>
            <w:noWrap w:val="0"/>
            <w:vAlign w:val="center"/>
          </w:tcPr>
          <w:p>
            <w:pPr>
              <w:pStyle w:val="106"/>
              <w:snapToGrid w:val="0"/>
              <w:spacing w:line="260" w:lineRule="exact"/>
              <w:jc w:val="center"/>
              <w:rPr>
                <w:rFonts w:hint="eastAsia" w:ascii="仿宋" w:hAnsi="仿宋" w:eastAsia="仿宋" w:cs="仿宋"/>
                <w:sz w:val="18"/>
                <w:szCs w:val="18"/>
              </w:rPr>
            </w:pPr>
          </w:p>
        </w:tc>
        <w:tc>
          <w:tcPr>
            <w:tcW w:w="567" w:type="dxa"/>
            <w:vMerge w:val="continue"/>
            <w:noWrap w:val="0"/>
            <w:vAlign w:val="center"/>
          </w:tcPr>
          <w:p>
            <w:pPr>
              <w:snapToGrid w:val="0"/>
              <w:spacing w:line="260" w:lineRule="exact"/>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spacing w:line="260" w:lineRule="exact"/>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exact"/>
          <w:jc w:val="center"/>
        </w:trPr>
        <w:tc>
          <w:tcPr>
            <w:tcW w:w="574" w:type="dxa"/>
            <w:vMerge w:val="continue"/>
            <w:noWrap w:val="0"/>
            <w:vAlign w:val="center"/>
          </w:tcPr>
          <w:p>
            <w:pPr>
              <w:snapToGrid w:val="0"/>
              <w:spacing w:line="260" w:lineRule="exact"/>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spacing w:line="260" w:lineRule="exact"/>
              <w:jc w:val="center"/>
              <w:rPr>
                <w:rFonts w:hint="eastAsia" w:ascii="仿宋" w:hAnsi="仿宋" w:eastAsia="仿宋" w:cs="仿宋"/>
                <w:color w:val="000000"/>
                <w:sz w:val="18"/>
                <w:szCs w:val="18"/>
              </w:rPr>
            </w:pPr>
          </w:p>
        </w:tc>
        <w:tc>
          <w:tcPr>
            <w:tcW w:w="674" w:type="dxa"/>
            <w:vMerge w:val="continue"/>
            <w:noWrap w:val="0"/>
            <w:vAlign w:val="center"/>
          </w:tcPr>
          <w:p>
            <w:pPr>
              <w:pStyle w:val="106"/>
              <w:snapToGrid w:val="0"/>
              <w:spacing w:line="260" w:lineRule="exact"/>
              <w:jc w:val="center"/>
              <w:rPr>
                <w:rFonts w:hint="eastAsia" w:ascii="仿宋" w:hAnsi="仿宋" w:eastAsia="仿宋" w:cs="仿宋"/>
                <w:sz w:val="18"/>
                <w:szCs w:val="18"/>
              </w:rPr>
            </w:pPr>
          </w:p>
        </w:tc>
        <w:tc>
          <w:tcPr>
            <w:tcW w:w="674" w:type="dxa"/>
            <w:vMerge w:val="continue"/>
            <w:noWrap w:val="0"/>
            <w:vAlign w:val="center"/>
          </w:tcPr>
          <w:p>
            <w:pPr>
              <w:pStyle w:val="106"/>
              <w:snapToGrid w:val="0"/>
              <w:spacing w:line="260" w:lineRule="exact"/>
              <w:jc w:val="center"/>
              <w:rPr>
                <w:rFonts w:hint="eastAsia" w:ascii="仿宋" w:hAnsi="仿宋" w:eastAsia="仿宋" w:cs="仿宋"/>
                <w:sz w:val="18"/>
                <w:szCs w:val="18"/>
              </w:rPr>
            </w:pPr>
          </w:p>
        </w:tc>
        <w:tc>
          <w:tcPr>
            <w:tcW w:w="3969" w:type="dxa"/>
            <w:gridSpan w:val="2"/>
            <w:noWrap w:val="0"/>
            <w:vAlign w:val="center"/>
          </w:tcPr>
          <w:p>
            <w:pPr>
              <w:pStyle w:val="106"/>
              <w:snapToGrid w:val="0"/>
              <w:spacing w:line="260" w:lineRule="exact"/>
              <w:jc w:val="both"/>
              <w:rPr>
                <w:rFonts w:hint="eastAsia" w:ascii="仿宋" w:hAnsi="仿宋" w:eastAsia="仿宋" w:cs="仿宋"/>
                <w:sz w:val="18"/>
                <w:szCs w:val="18"/>
              </w:rPr>
            </w:pPr>
            <w:r>
              <w:rPr>
                <w:rFonts w:hint="eastAsia" w:ascii="仿宋" w:hAnsi="仿宋" w:eastAsia="仿宋" w:cs="仿宋"/>
                <w:sz w:val="18"/>
                <w:szCs w:val="18"/>
              </w:rPr>
              <w:t>湖南省智慧住建云－公共服务平台—诚信评价（60分以下，不包含60分）或信用等级（全国水利建设市场主体）为C级或信用等级（湖南省水利建设市场主体）C级（0分）</w:t>
            </w:r>
          </w:p>
        </w:tc>
        <w:tc>
          <w:tcPr>
            <w:tcW w:w="708" w:type="dxa"/>
            <w:noWrap w:val="0"/>
            <w:vAlign w:val="center"/>
          </w:tcPr>
          <w:p>
            <w:pPr>
              <w:pStyle w:val="106"/>
              <w:snapToGrid w:val="0"/>
              <w:spacing w:line="260" w:lineRule="exact"/>
              <w:jc w:val="center"/>
              <w:rPr>
                <w:rFonts w:hint="eastAsia" w:ascii="仿宋" w:hAnsi="仿宋" w:eastAsia="仿宋" w:cs="仿宋"/>
                <w:sz w:val="18"/>
                <w:szCs w:val="18"/>
              </w:rPr>
            </w:pPr>
          </w:p>
        </w:tc>
        <w:tc>
          <w:tcPr>
            <w:tcW w:w="567" w:type="dxa"/>
            <w:vMerge w:val="continue"/>
            <w:noWrap w:val="0"/>
            <w:vAlign w:val="center"/>
          </w:tcPr>
          <w:p>
            <w:pPr>
              <w:pStyle w:val="106"/>
              <w:snapToGrid w:val="0"/>
              <w:spacing w:line="260" w:lineRule="exact"/>
              <w:jc w:val="center"/>
              <w:rPr>
                <w:rFonts w:hint="eastAsia" w:ascii="仿宋" w:hAnsi="仿宋" w:eastAsia="仿宋" w:cs="仿宋"/>
                <w:sz w:val="18"/>
                <w:szCs w:val="18"/>
              </w:rPr>
            </w:pPr>
          </w:p>
        </w:tc>
        <w:tc>
          <w:tcPr>
            <w:tcW w:w="567" w:type="dxa"/>
            <w:vMerge w:val="continue"/>
            <w:noWrap w:val="0"/>
            <w:vAlign w:val="center"/>
          </w:tcPr>
          <w:p>
            <w:pPr>
              <w:snapToGrid w:val="0"/>
              <w:spacing w:line="260" w:lineRule="exact"/>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spacing w:line="260" w:lineRule="exact"/>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674" w:type="dxa"/>
            <w:noWrap w:val="0"/>
            <w:vAlign w:val="center"/>
          </w:tcPr>
          <w:p>
            <w:pPr>
              <w:pStyle w:val="106"/>
              <w:snapToGrid w:val="0"/>
              <w:jc w:val="center"/>
              <w:rPr>
                <w:rFonts w:hint="eastAsia" w:ascii="仿宋" w:hAnsi="仿宋" w:eastAsia="仿宋" w:cs="仿宋"/>
                <w:b/>
                <w:sz w:val="18"/>
                <w:szCs w:val="18"/>
              </w:rPr>
            </w:pPr>
            <w:r>
              <w:rPr>
                <w:rFonts w:hint="eastAsia" w:ascii="仿宋" w:hAnsi="仿宋" w:eastAsia="仿宋" w:cs="仿宋"/>
                <w:b/>
                <w:sz w:val="18"/>
                <w:szCs w:val="18"/>
              </w:rPr>
              <w:t>……</w:t>
            </w:r>
          </w:p>
        </w:tc>
        <w:tc>
          <w:tcPr>
            <w:tcW w:w="3969" w:type="dxa"/>
            <w:gridSpan w:val="2"/>
            <w:noWrap w:val="0"/>
            <w:vAlign w:val="top"/>
          </w:tcPr>
          <w:p>
            <w:pPr>
              <w:pStyle w:val="106"/>
              <w:snapToGrid w:val="0"/>
              <w:rPr>
                <w:rFonts w:hint="eastAsia" w:ascii="仿宋" w:hAnsi="仿宋" w:eastAsia="仿宋" w:cs="仿宋"/>
                <w:sz w:val="18"/>
                <w:szCs w:val="18"/>
              </w:rPr>
            </w:pP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574"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2</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noWrap w:val="0"/>
            <w:vAlign w:val="center"/>
          </w:tcPr>
          <w:p>
            <w:pPr>
              <w:pStyle w:val="106"/>
              <w:snapToGrid w:val="0"/>
              <w:jc w:val="center"/>
              <w:rPr>
                <w:rFonts w:hint="eastAsia" w:ascii="仿宋" w:hAnsi="仿宋" w:eastAsia="仿宋" w:cs="仿宋"/>
                <w:b/>
                <w:sz w:val="18"/>
                <w:szCs w:val="18"/>
              </w:rPr>
            </w:pPr>
            <w:r>
              <w:rPr>
                <w:rFonts w:hint="eastAsia" w:ascii="仿宋" w:hAnsi="仿宋" w:eastAsia="仿宋" w:cs="仿宋"/>
                <w:sz w:val="18"/>
                <w:szCs w:val="18"/>
              </w:rPr>
              <w:t>类似项目经验（近</w:t>
            </w:r>
            <w:r>
              <w:rPr>
                <w:rFonts w:hint="eastAsia" w:ascii="仿宋" w:hAnsi="仿宋" w:eastAsia="仿宋" w:cs="仿宋"/>
                <w:sz w:val="18"/>
                <w:szCs w:val="18"/>
                <w:u w:val="single"/>
              </w:rPr>
              <w:t xml:space="preserve">   </w:t>
            </w:r>
            <w:r>
              <w:rPr>
                <w:rFonts w:hint="eastAsia" w:ascii="仿宋" w:hAnsi="仿宋" w:eastAsia="仿宋" w:cs="仿宋"/>
                <w:sz w:val="18"/>
                <w:szCs w:val="18"/>
              </w:rPr>
              <w:t>年）（0～40分）</w:t>
            </w:r>
          </w:p>
        </w:tc>
        <w:tc>
          <w:tcPr>
            <w:tcW w:w="4677" w:type="dxa"/>
            <w:gridSpan w:val="3"/>
            <w:noWrap w:val="0"/>
            <w:vAlign w:val="center"/>
          </w:tcPr>
          <w:p>
            <w:pPr>
              <w:pStyle w:val="106"/>
              <w:snapToGrid w:val="0"/>
              <w:ind w:firstLine="180" w:firstLineChars="100"/>
              <w:rPr>
                <w:rFonts w:hint="eastAsia" w:ascii="仿宋" w:hAnsi="仿宋" w:eastAsia="仿宋" w:cs="仿宋"/>
                <w:sz w:val="18"/>
                <w:szCs w:val="18"/>
              </w:rPr>
            </w:pPr>
            <w:r>
              <w:rPr>
                <w:rFonts w:hint="eastAsia" w:ascii="仿宋" w:hAnsi="仿宋" w:eastAsia="仿宋" w:cs="仿宋"/>
                <w:sz w:val="18"/>
                <w:szCs w:val="18"/>
              </w:rPr>
              <w:t>满足招标文件的计</w:t>
            </w:r>
            <w:r>
              <w:rPr>
                <w:rFonts w:hint="eastAsia" w:ascii="仿宋" w:hAnsi="仿宋" w:eastAsia="仿宋" w:cs="仿宋"/>
                <w:sz w:val="18"/>
                <w:szCs w:val="18"/>
                <w:u w:val="single"/>
              </w:rPr>
              <w:t xml:space="preserve">  </w:t>
            </w:r>
            <w:r>
              <w:rPr>
                <w:rFonts w:hint="eastAsia" w:ascii="仿宋" w:hAnsi="仿宋" w:eastAsia="仿宋" w:cs="仿宋"/>
                <w:sz w:val="18"/>
                <w:szCs w:val="18"/>
              </w:rPr>
              <w:t>分，每增加一个类似业绩加</w:t>
            </w:r>
            <w:r>
              <w:rPr>
                <w:rFonts w:hint="eastAsia" w:ascii="仿宋" w:hAnsi="仿宋" w:eastAsia="仿宋" w:cs="仿宋"/>
                <w:sz w:val="18"/>
                <w:szCs w:val="18"/>
                <w:u w:val="single"/>
              </w:rPr>
              <w:t xml:space="preserve">  </w:t>
            </w:r>
            <w:r>
              <w:rPr>
                <w:rFonts w:hint="eastAsia" w:ascii="仿宋" w:hAnsi="仿宋" w:eastAsia="仿宋" w:cs="仿宋"/>
                <w:sz w:val="18"/>
                <w:szCs w:val="18"/>
              </w:rPr>
              <w:t>分，最多增加二个类似业绩</w:t>
            </w: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3</w:t>
            </w:r>
          </w:p>
        </w:tc>
        <w:tc>
          <w:tcPr>
            <w:tcW w:w="784" w:type="dxa"/>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2.2.4（2）</w:t>
            </w:r>
          </w:p>
        </w:tc>
        <w:tc>
          <w:tcPr>
            <w:tcW w:w="1348" w:type="dxa"/>
            <w:gridSpan w:val="2"/>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财务状况</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（10～20分）</w:t>
            </w:r>
          </w:p>
        </w:tc>
        <w:tc>
          <w:tcPr>
            <w:tcW w:w="1134"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流动比率（4～7分）</w:t>
            </w:r>
          </w:p>
        </w:tc>
        <w:tc>
          <w:tcPr>
            <w:tcW w:w="2835"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流动比率2倍（含）以上</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76" w:type="dxa"/>
            <w:vMerge w:val="restart"/>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vMerge w:val="continue"/>
            <w:noWrap w:val="0"/>
            <w:vAlign w:val="center"/>
          </w:tcPr>
          <w:p>
            <w:pPr>
              <w:pStyle w:val="106"/>
              <w:snapToGrid w:val="0"/>
              <w:jc w:val="center"/>
              <w:rPr>
                <w:rFonts w:hint="eastAsia" w:ascii="仿宋" w:hAnsi="仿宋" w:eastAsia="仿宋" w:cs="仿宋"/>
                <w:sz w:val="18"/>
                <w:szCs w:val="18"/>
              </w:rPr>
            </w:pPr>
          </w:p>
        </w:tc>
        <w:tc>
          <w:tcPr>
            <w:tcW w:w="2835"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流动比率2倍以下</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企业利润（2～6分）</w:t>
            </w:r>
          </w:p>
        </w:tc>
        <w:tc>
          <w:tcPr>
            <w:tcW w:w="2835"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净利润＞0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企业资产负债率</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（4～7分）</w:t>
            </w:r>
          </w:p>
        </w:tc>
        <w:tc>
          <w:tcPr>
            <w:tcW w:w="2835"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资产负债率＜70％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76" w:type="dxa"/>
            <w:vMerge w:val="restart"/>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vMerge w:val="continue"/>
            <w:noWrap w:val="0"/>
            <w:vAlign w:val="center"/>
          </w:tcPr>
          <w:p>
            <w:pPr>
              <w:pStyle w:val="106"/>
              <w:snapToGrid w:val="0"/>
              <w:jc w:val="center"/>
              <w:rPr>
                <w:rFonts w:hint="eastAsia" w:ascii="仿宋" w:hAnsi="仿宋" w:eastAsia="仿宋" w:cs="仿宋"/>
                <w:sz w:val="18"/>
                <w:szCs w:val="18"/>
              </w:rPr>
            </w:pPr>
          </w:p>
        </w:tc>
        <w:tc>
          <w:tcPr>
            <w:tcW w:w="2835"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sz w:val="18"/>
                <w:szCs w:val="18"/>
              </w:rPr>
              <w:t>90％＞资产负债率≥70％</w:t>
            </w:r>
          </w:p>
        </w:tc>
        <w:tc>
          <w:tcPr>
            <w:tcW w:w="708" w:type="dxa"/>
            <w:noWrap w:val="0"/>
            <w:vAlign w:val="center"/>
          </w:tcPr>
          <w:p>
            <w:pPr>
              <w:snapToGrid w:val="0"/>
              <w:jc w:val="center"/>
              <w:rPr>
                <w:rFonts w:hint="eastAsia" w:ascii="仿宋" w:hAnsi="仿宋" w:eastAsia="仿宋" w:cs="仿宋"/>
                <w:color w:val="000000"/>
                <w:kern w:val="0"/>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4</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工程获奖</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（近</w:t>
            </w:r>
            <w:r>
              <w:rPr>
                <w:rFonts w:hint="eastAsia" w:ascii="仿宋" w:hAnsi="仿宋" w:eastAsia="仿宋" w:cs="仿宋"/>
                <w:sz w:val="18"/>
                <w:szCs w:val="18"/>
                <w:u w:val="single"/>
              </w:rPr>
              <w:t xml:space="preserve">    </w:t>
            </w:r>
            <w:r>
              <w:rPr>
                <w:rFonts w:hint="eastAsia" w:ascii="仿宋" w:hAnsi="仿宋" w:eastAsia="仿宋" w:cs="仿宋"/>
                <w:sz w:val="18"/>
                <w:szCs w:val="18"/>
              </w:rPr>
              <w:t>年）</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（0～20分）</w:t>
            </w:r>
          </w:p>
        </w:tc>
        <w:tc>
          <w:tcPr>
            <w:tcW w:w="1134" w:type="dxa"/>
            <w:noWrap w:val="0"/>
            <w:vAlign w:val="center"/>
          </w:tcPr>
          <w:p>
            <w:pPr>
              <w:pStyle w:val="106"/>
              <w:snapToGrid w:val="0"/>
              <w:jc w:val="center"/>
              <w:rPr>
                <w:rFonts w:ascii="仿宋" w:hAnsi="仿宋" w:eastAsia="仿宋" w:cs="仿宋"/>
                <w:sz w:val="18"/>
                <w:szCs w:val="18"/>
              </w:rPr>
            </w:pPr>
            <w:r>
              <w:rPr>
                <w:rFonts w:hint="eastAsia" w:ascii="仿宋" w:hAnsi="仿宋" w:eastAsia="仿宋" w:cs="仿宋"/>
                <w:sz w:val="18"/>
                <w:szCs w:val="18"/>
              </w:rPr>
              <w:t>0～20</w:t>
            </w:r>
          </w:p>
        </w:tc>
        <w:tc>
          <w:tcPr>
            <w:tcW w:w="2835" w:type="dxa"/>
            <w:noWrap w:val="0"/>
            <w:vAlign w:val="center"/>
          </w:tcPr>
          <w:p>
            <w:pPr>
              <w:pStyle w:val="106"/>
              <w:snapToGrid w:val="0"/>
              <w:rPr>
                <w:rFonts w:hint="eastAsia" w:ascii="仿宋" w:hAnsi="仿宋" w:eastAsia="仿宋" w:cs="仿宋"/>
                <w:sz w:val="18"/>
                <w:szCs w:val="18"/>
                <w:u w:val="single"/>
              </w:rPr>
            </w:pPr>
            <w:r>
              <w:rPr>
                <w:rFonts w:hint="eastAsia" w:ascii="仿宋" w:hAnsi="仿宋" w:eastAsia="仿宋" w:cs="仿宋"/>
                <w:sz w:val="18"/>
                <w:szCs w:val="18"/>
              </w:rPr>
              <w:t>国家优质工程奖、农业农村部质量奖（均指农田建设项目工程获奖），每项计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0～15</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省政府或省级农业农村主管部门颁发的优质农田建设项目工程奖项每项计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0～12</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市政府或市级农业农村主管部门颁发的优质农田建设项目工程奖项每项计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5</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年度考核</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（近</w:t>
            </w:r>
            <w:r>
              <w:rPr>
                <w:rFonts w:hint="eastAsia" w:ascii="仿宋" w:hAnsi="仿宋" w:eastAsia="仿宋" w:cs="仿宋"/>
                <w:sz w:val="18"/>
                <w:szCs w:val="18"/>
                <w:u w:val="single"/>
              </w:rPr>
              <w:t xml:space="preserve">    </w:t>
            </w:r>
            <w:r>
              <w:rPr>
                <w:rFonts w:hint="eastAsia" w:ascii="仿宋" w:hAnsi="仿宋" w:eastAsia="仿宋" w:cs="仿宋"/>
                <w:sz w:val="18"/>
                <w:szCs w:val="18"/>
              </w:rPr>
              <w:t>年）</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（18～35分）</w:t>
            </w:r>
          </w:p>
        </w:tc>
        <w:tc>
          <w:tcPr>
            <w:tcW w:w="1134" w:type="dxa"/>
            <w:noWrap w:val="0"/>
            <w:vAlign w:val="center"/>
          </w:tcPr>
          <w:p>
            <w:pPr>
              <w:pStyle w:val="106"/>
              <w:snapToGrid w:val="0"/>
              <w:jc w:val="center"/>
              <w:rPr>
                <w:rFonts w:ascii="仿宋" w:hAnsi="仿宋" w:eastAsia="仿宋" w:cs="仿宋"/>
                <w:sz w:val="18"/>
                <w:szCs w:val="18"/>
              </w:rPr>
            </w:pPr>
            <w:r>
              <w:rPr>
                <w:rFonts w:hint="eastAsia" w:ascii="仿宋" w:hAnsi="仿宋" w:eastAsia="仿宋" w:cs="仿宋"/>
                <w:sz w:val="18"/>
                <w:szCs w:val="18"/>
              </w:rPr>
              <w:t>21～35</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省级农业农村主管部门考核第一名100%；第二名95%；第三名85%；其他60%；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ascii="仿宋" w:hAnsi="仿宋" w:eastAsia="仿宋" w:cs="仿宋"/>
                <w:sz w:val="18"/>
                <w:szCs w:val="18"/>
              </w:rPr>
            </w:pPr>
            <w:r>
              <w:rPr>
                <w:rFonts w:hint="eastAsia" w:ascii="仿宋" w:hAnsi="仿宋" w:eastAsia="仿宋" w:cs="仿宋"/>
                <w:sz w:val="18"/>
                <w:szCs w:val="18"/>
              </w:rPr>
              <w:t>18～30</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县/区级农业农村主管部门考核第一名100%；第二名95%；第三名85%；其他60%；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6</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技术创新</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（近</w:t>
            </w:r>
            <w:r>
              <w:rPr>
                <w:rFonts w:hint="eastAsia" w:ascii="仿宋" w:hAnsi="仿宋" w:eastAsia="仿宋" w:cs="仿宋"/>
                <w:sz w:val="18"/>
                <w:szCs w:val="18"/>
                <w:u w:val="single"/>
              </w:rPr>
              <w:t xml:space="preserve">    </w:t>
            </w:r>
            <w:r>
              <w:rPr>
                <w:rFonts w:hint="eastAsia" w:ascii="仿宋" w:hAnsi="仿宋" w:eastAsia="仿宋" w:cs="仿宋"/>
                <w:sz w:val="18"/>
                <w:szCs w:val="18"/>
              </w:rPr>
              <w:t>年）</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（0～15分）</w:t>
            </w: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0～8</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国家科技进步奖或国家技术发明奖（均指农田建设项目工程获奖）每项计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0～4</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省科技进步奖或省技术发明奖（均指农田建设项目工程获奖）每项计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0～3</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省级行业协会（学会）颁发的科技进步奖（均指农田建设项目工程获奖）每项计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noWrap w:val="0"/>
            <w:vAlign w:val="center"/>
          </w:tcPr>
          <w:p>
            <w:pPr>
              <w:snapToGrid w:val="0"/>
              <w:jc w:val="center"/>
              <w:rPr>
                <w:rFonts w:hint="eastAsia" w:ascii="仿宋" w:hAnsi="仿宋" w:eastAsia="仿宋" w:cs="仿宋"/>
                <w:color w:val="000000"/>
                <w:kern w:val="0"/>
              </w:rPr>
            </w:pPr>
          </w:p>
        </w:tc>
        <w:tc>
          <w:tcPr>
            <w:tcW w:w="6809" w:type="dxa"/>
            <w:gridSpan w:val="6"/>
            <w:noWrap w:val="0"/>
            <w:vAlign w:val="center"/>
          </w:tcPr>
          <w:p>
            <w:pPr>
              <w:snapToGrid w:val="0"/>
              <w:jc w:val="center"/>
              <w:rPr>
                <w:rFonts w:hint="eastAsia" w:ascii="仿宋" w:hAnsi="仿宋" w:eastAsia="仿宋" w:cs="仿宋"/>
                <w:b/>
                <w:bCs/>
                <w:color w:val="000000"/>
                <w:kern w:val="0"/>
              </w:rPr>
            </w:pPr>
            <w:r>
              <w:rPr>
                <w:rFonts w:hint="eastAsia" w:ascii="仿宋" w:hAnsi="仿宋" w:eastAsia="仿宋" w:cs="仿宋"/>
                <w:b/>
                <w:bCs/>
                <w:color w:val="000000"/>
                <w:kern w:val="0"/>
              </w:rPr>
              <w:t>合计</w:t>
            </w:r>
          </w:p>
        </w:tc>
        <w:tc>
          <w:tcPr>
            <w:tcW w:w="567" w:type="dxa"/>
            <w:noWrap w:val="0"/>
            <w:vAlign w:val="center"/>
          </w:tcPr>
          <w:p>
            <w:pPr>
              <w:snapToGrid w:val="0"/>
              <w:jc w:val="center"/>
              <w:rPr>
                <w:rFonts w:hint="eastAsia" w:ascii="仿宋" w:hAnsi="仿宋" w:eastAsia="仿宋" w:cs="仿宋"/>
                <w:color w:val="000000"/>
                <w:kern w:val="0"/>
              </w:rPr>
            </w:pPr>
          </w:p>
        </w:tc>
        <w:tc>
          <w:tcPr>
            <w:tcW w:w="567" w:type="dxa"/>
            <w:noWrap w:val="0"/>
            <w:vAlign w:val="center"/>
          </w:tcPr>
          <w:p>
            <w:pPr>
              <w:snapToGrid w:val="0"/>
              <w:jc w:val="center"/>
              <w:rPr>
                <w:rFonts w:hint="eastAsia" w:ascii="仿宋" w:hAnsi="仿宋" w:eastAsia="仿宋" w:cs="仿宋"/>
                <w:color w:val="000000"/>
                <w:kern w:val="0"/>
              </w:rPr>
            </w:pPr>
          </w:p>
        </w:tc>
        <w:tc>
          <w:tcPr>
            <w:tcW w:w="576" w:type="dxa"/>
            <w:noWrap w:val="0"/>
            <w:vAlign w:val="center"/>
          </w:tcPr>
          <w:p>
            <w:pPr>
              <w:snapToGrid w:val="0"/>
              <w:jc w:val="center"/>
              <w:rPr>
                <w:rFonts w:hint="eastAsia" w:ascii="仿宋" w:hAnsi="仿宋" w:eastAsia="仿宋" w:cs="仿宋"/>
                <w:color w:val="000000"/>
                <w:kern w:val="0"/>
              </w:rPr>
            </w:pPr>
          </w:p>
        </w:tc>
      </w:tr>
    </w:tbl>
    <w:p>
      <w:pPr>
        <w:jc w:val="left"/>
        <w:rPr>
          <w:rFonts w:hint="eastAsia" w:ascii="仿宋" w:hAnsi="仿宋" w:eastAsia="仿宋" w:cs="仿宋"/>
          <w:color w:val="000000"/>
          <w:kern w:val="0"/>
          <w:sz w:val="18"/>
          <w:szCs w:val="18"/>
        </w:rPr>
      </w:pPr>
      <w:r>
        <w:rPr>
          <w:rFonts w:hint="eastAsia" w:ascii="仿宋" w:hAnsi="仿宋" w:eastAsia="仿宋" w:cs="仿宋"/>
          <w:b/>
          <w:color w:val="000000"/>
          <w:kern w:val="0"/>
          <w:sz w:val="18"/>
          <w:szCs w:val="18"/>
        </w:rPr>
        <w:t>备注：</w:t>
      </w:r>
      <w:r>
        <w:rPr>
          <w:rFonts w:hint="eastAsia" w:ascii="仿宋" w:hAnsi="仿宋" w:eastAsia="仿宋" w:cs="仿宋"/>
          <w:color w:val="000000"/>
          <w:kern w:val="0"/>
          <w:sz w:val="18"/>
          <w:szCs w:val="18"/>
        </w:rPr>
        <w:t>1.本表适用于联合体投标人评审。</w:t>
      </w:r>
    </w:p>
    <w:p>
      <w:pPr>
        <w:ind w:firstLine="540" w:firstLineChars="300"/>
        <w:jc w:val="left"/>
        <w:rPr>
          <w:rFonts w:hint="eastAsia" w:ascii="仿宋" w:hAnsi="仿宋" w:eastAsia="仿宋" w:cs="仿宋"/>
          <w:color w:val="000000"/>
          <w:sz w:val="18"/>
          <w:szCs w:val="18"/>
        </w:rPr>
      </w:pPr>
      <w:r>
        <w:rPr>
          <w:rFonts w:hint="eastAsia" w:ascii="仿宋" w:hAnsi="仿宋" w:eastAsia="仿宋" w:cs="仿宋"/>
          <w:color w:val="000000"/>
          <w:kern w:val="0"/>
          <w:sz w:val="18"/>
          <w:szCs w:val="18"/>
        </w:rPr>
        <w:t>2.本表小计总分为100分。</w:t>
      </w:r>
      <w:r>
        <w:rPr>
          <w:rFonts w:hint="eastAsia" w:ascii="仿宋" w:hAnsi="仿宋" w:eastAsia="仿宋" w:cs="仿宋"/>
          <w:color w:val="000000"/>
          <w:sz w:val="18"/>
          <w:szCs w:val="18"/>
        </w:rPr>
        <w:t>由评标委员会集体评议，统一计分。评标委员会成员中对结论有不同意见时，按少数服从多数的原则，确定得分。</w:t>
      </w:r>
    </w:p>
    <w:p>
      <w:pPr>
        <w:pStyle w:val="164"/>
        <w:widowControl w:val="0"/>
        <w:snapToGrid w:val="0"/>
        <w:spacing w:before="0" w:beforeAutospacing="0" w:after="0" w:afterAutospacing="0"/>
        <w:ind w:firstLine="542" w:firstLineChars="300"/>
        <w:rPr>
          <w:rFonts w:hint="eastAsia" w:ascii="仿宋" w:hAnsi="仿宋" w:eastAsia="仿宋" w:cs="仿宋"/>
          <w:b/>
          <w:bCs/>
          <w:color w:val="000000"/>
          <w:sz w:val="18"/>
          <w:szCs w:val="18"/>
        </w:rPr>
      </w:pPr>
      <w:r>
        <w:rPr>
          <w:rFonts w:hint="eastAsia" w:ascii="仿宋" w:hAnsi="仿宋" w:eastAsia="仿宋" w:cs="仿宋"/>
          <w:b/>
          <w:bCs/>
          <w:color w:val="000000"/>
          <w:sz w:val="18"/>
          <w:szCs w:val="18"/>
        </w:rPr>
        <w:t>3.（1）以建筑工程施工总承包或市政公用工程施工总承包资质投标时，施工单位信用评价情况采用提交投标文件截止之时最新公告的信用评价结果。评标时以在“湖南省智慧住建云”中查询的结果为准；</w:t>
      </w:r>
    </w:p>
    <w:p>
      <w:pPr>
        <w:pStyle w:val="164"/>
        <w:widowControl w:val="0"/>
        <w:snapToGrid w:val="0"/>
        <w:spacing w:before="0" w:beforeAutospacing="0" w:after="0" w:afterAutospacing="0"/>
        <w:ind w:left="88" w:firstLine="452" w:firstLineChars="250"/>
        <w:rPr>
          <w:rFonts w:hint="eastAsia" w:ascii="仿宋" w:hAnsi="仿宋" w:eastAsia="仿宋" w:cs="仿宋"/>
          <w:b/>
          <w:bCs/>
          <w:color w:val="000000"/>
          <w:sz w:val="18"/>
          <w:szCs w:val="18"/>
        </w:rPr>
      </w:pPr>
      <w:r>
        <w:rPr>
          <w:rFonts w:hint="eastAsia" w:ascii="仿宋" w:hAnsi="仿宋" w:eastAsia="仿宋" w:cs="仿宋"/>
          <w:b/>
          <w:bCs/>
          <w:color w:val="000000"/>
          <w:sz w:val="18"/>
          <w:szCs w:val="18"/>
        </w:rPr>
        <w:t>（2）以建筑工程施工总承包或市政公用工程施工总承包资质投标时，以联合体投标的，其中施工单位有两家（含两家）以上的，由招标人在招标文件中确定联合体信用评价的计分方式。</w:t>
      </w:r>
    </w:p>
    <w:p>
      <w:pPr>
        <w:pStyle w:val="164"/>
        <w:widowControl w:val="0"/>
        <w:snapToGrid w:val="0"/>
        <w:spacing w:before="0" w:beforeAutospacing="0" w:after="0" w:afterAutospacing="0"/>
        <w:ind w:left="88" w:firstLine="452" w:firstLineChars="250"/>
        <w:rPr>
          <w:rFonts w:hint="eastAsia" w:ascii="仿宋" w:hAnsi="仿宋" w:eastAsia="仿宋" w:cs="仿宋"/>
          <w:b/>
          <w:bCs/>
          <w:color w:val="000000"/>
          <w:sz w:val="18"/>
          <w:szCs w:val="18"/>
        </w:rPr>
      </w:pPr>
      <w:r>
        <w:rPr>
          <w:rFonts w:hint="eastAsia" w:ascii="仿宋" w:hAnsi="仿宋" w:eastAsia="仿宋" w:cs="仿宋"/>
          <w:b/>
          <w:bCs/>
          <w:color w:val="000000"/>
          <w:sz w:val="18"/>
          <w:szCs w:val="18"/>
        </w:rPr>
        <w:t>（3）以建筑工程施工总承包或市政公用工程施工总承包资质投标时，未参加信用评价的投标人（含联合体各成员方），按照信用评价处于末位的合格投标人的分值计取，其中被列入省公管办或省住建厅发布的失信黑名单的投标人，按照信用评价处于末位的合格投标人的分值扣除60分计取。</w:t>
      </w:r>
    </w:p>
    <w:p>
      <w:pPr>
        <w:pStyle w:val="164"/>
        <w:widowControl w:val="0"/>
        <w:snapToGrid w:val="0"/>
        <w:spacing w:before="0" w:beforeAutospacing="0" w:after="0" w:afterAutospacing="0"/>
        <w:ind w:left="88" w:firstLine="452" w:firstLineChars="250"/>
        <w:rPr>
          <w:rFonts w:hint="eastAsia" w:ascii="仿宋" w:hAnsi="仿宋" w:eastAsia="仿宋" w:cs="仿宋"/>
          <w:b/>
          <w:bCs/>
          <w:color w:val="000000"/>
          <w:sz w:val="18"/>
          <w:szCs w:val="18"/>
        </w:rPr>
      </w:pPr>
      <w:r>
        <w:rPr>
          <w:rFonts w:hint="eastAsia" w:ascii="仿宋" w:hAnsi="仿宋" w:eastAsia="仿宋" w:cs="仿宋"/>
          <w:b/>
          <w:bCs/>
          <w:color w:val="000000"/>
          <w:sz w:val="18"/>
          <w:szCs w:val="18"/>
        </w:rPr>
        <w:t>（4）以水利水电施工总承包资质投标时，投标人信用等级得分以全国和湖南省水利建设市场主体信用评级机构评定的信用等级对应得分中较低的一个分数为准，如某投标人的信用等级（全国水利建设市场主体）为AAA级，信用等级（湖南省水利建设市场主体）为A-级，则其信用等级得分以信用等级（湖南省水利建设市场主体）A-级得分为准。</w:t>
      </w:r>
    </w:p>
    <w:p>
      <w:pPr>
        <w:pStyle w:val="164"/>
        <w:widowControl w:val="0"/>
        <w:snapToGrid w:val="0"/>
        <w:spacing w:before="0" w:beforeAutospacing="0" w:after="0" w:afterAutospacing="0"/>
        <w:ind w:left="88" w:firstLine="452" w:firstLineChars="250"/>
        <w:rPr>
          <w:rFonts w:hint="eastAsia" w:ascii="仿宋" w:hAnsi="仿宋" w:eastAsia="仿宋" w:cs="仿宋"/>
          <w:b/>
          <w:bCs/>
          <w:color w:val="000000"/>
          <w:sz w:val="18"/>
          <w:szCs w:val="18"/>
        </w:rPr>
      </w:pPr>
      <w:r>
        <w:rPr>
          <w:rFonts w:hint="eastAsia" w:ascii="仿宋" w:hAnsi="仿宋" w:eastAsia="仿宋" w:cs="仿宋"/>
          <w:b/>
          <w:bCs/>
          <w:color w:val="000000"/>
          <w:sz w:val="18"/>
          <w:szCs w:val="18"/>
        </w:rPr>
        <w:t>首次进入湖南省水利建设市场、未申请信用评价以及连续两年无在建项目的市场主体单位，其湖南省信用等级默认为B级；未取得全国水利建设市场主体信用评价证书的，在湖南省水利建设市场其全国信用等级视为B级。</w:t>
      </w:r>
    </w:p>
    <w:p>
      <w:pPr>
        <w:pStyle w:val="164"/>
        <w:widowControl w:val="0"/>
        <w:snapToGrid w:val="0"/>
        <w:spacing w:before="0" w:beforeAutospacing="0" w:after="0" w:afterAutospacing="0"/>
        <w:ind w:left="88" w:firstLine="450" w:firstLineChars="250"/>
        <w:rPr>
          <w:rFonts w:hint="eastAsia" w:ascii="仿宋" w:hAnsi="仿宋" w:eastAsia="仿宋" w:cs="仿宋"/>
          <w:b/>
          <w:color w:val="000000"/>
          <w:sz w:val="18"/>
          <w:szCs w:val="18"/>
        </w:rPr>
      </w:pPr>
      <w:r>
        <w:rPr>
          <w:rFonts w:hint="eastAsia" w:ascii="仿宋" w:hAnsi="仿宋" w:eastAsia="仿宋" w:cs="仿宋"/>
          <w:color w:val="000000"/>
          <w:sz w:val="18"/>
          <w:szCs w:val="18"/>
        </w:rPr>
        <w:t>4.</w:t>
      </w:r>
      <w:r>
        <w:rPr>
          <w:rFonts w:hint="eastAsia" w:ascii="仿宋" w:hAnsi="仿宋" w:eastAsia="仿宋" w:cs="仿宋"/>
          <w:b/>
          <w:color w:val="000000"/>
          <w:sz w:val="18"/>
          <w:szCs w:val="18"/>
        </w:rPr>
        <w:t>联合体投标的，按照其联合体协议书约定的各成员工作量所占比例加权折算的原则确定联合体的信用评价分值。如联合体协议书约定联合体牵头人在本合同承担工作量为70%、联合体成员一在本合同承担工作量为20%、联合体成员二在本合同承担工作量为10%，则该联合体最终信用等级得分=联合体牵头人信用等级得分×70%+联合体成员一信用等级得分×20%+联合体成员二信用等级得分×10%。</w:t>
      </w:r>
    </w:p>
    <w:p>
      <w:pPr>
        <w:ind w:firstLine="540" w:firstLineChars="300"/>
        <w:jc w:val="left"/>
        <w:rPr>
          <w:rFonts w:hint="eastAsia" w:ascii="仿宋" w:hAnsi="仿宋" w:eastAsia="仿宋" w:cs="仿宋"/>
          <w:color w:val="000000"/>
          <w:sz w:val="18"/>
          <w:szCs w:val="18"/>
        </w:rPr>
      </w:pPr>
      <w:r>
        <w:rPr>
          <w:rFonts w:hint="eastAsia" w:ascii="仿宋" w:hAnsi="仿宋" w:eastAsia="仿宋" w:cs="仿宋"/>
          <w:color w:val="000000"/>
          <w:sz w:val="18"/>
          <w:szCs w:val="18"/>
        </w:rPr>
        <w:t>5. 企业类似项目经验要求见本文件第二章投标须知前附表第10.1款第2项的规定。</w:t>
      </w:r>
    </w:p>
    <w:p>
      <w:pPr>
        <w:pStyle w:val="164"/>
        <w:widowControl w:val="0"/>
        <w:snapToGrid w:val="0"/>
        <w:spacing w:before="0" w:beforeAutospacing="0" w:after="0" w:afterAutospacing="0"/>
        <w:ind w:firstLine="540" w:firstLineChars="300"/>
        <w:rPr>
          <w:rFonts w:hint="eastAsia" w:ascii="仿宋" w:hAnsi="仿宋" w:eastAsia="仿宋" w:cs="仿宋"/>
          <w:color w:val="000000"/>
          <w:sz w:val="18"/>
          <w:szCs w:val="18"/>
        </w:rPr>
      </w:pPr>
      <w:r>
        <w:rPr>
          <w:rFonts w:hint="eastAsia" w:ascii="仿宋" w:hAnsi="仿宋" w:eastAsia="仿宋" w:cs="仿宋"/>
          <w:color w:val="000000"/>
          <w:sz w:val="18"/>
          <w:szCs w:val="18"/>
        </w:rPr>
        <w:t>6.财务状况计算公式：流动比率=流动资产除以流动负债*100%；利润总额=营业利润+营业外收入-营业外支出；净利润=利润总额-所得税费用；资产负债率=负债合计除以资产合计*100%。</w:t>
      </w:r>
    </w:p>
    <w:p>
      <w:pPr>
        <w:pStyle w:val="164"/>
        <w:widowControl w:val="0"/>
        <w:snapToGrid w:val="0"/>
        <w:spacing w:before="0" w:beforeAutospacing="0" w:after="0" w:afterAutospacing="0"/>
        <w:ind w:left="88" w:leftChars="42" w:firstLine="450" w:firstLineChars="250"/>
        <w:rPr>
          <w:rFonts w:hint="eastAsia" w:ascii="仿宋" w:hAnsi="仿宋" w:eastAsia="仿宋" w:cs="仿宋"/>
          <w:color w:val="000000"/>
          <w:sz w:val="18"/>
          <w:szCs w:val="18"/>
        </w:rPr>
      </w:pPr>
      <w:r>
        <w:rPr>
          <w:rFonts w:hint="eastAsia" w:ascii="仿宋" w:hAnsi="仿宋" w:eastAsia="仿宋" w:cs="仿宋"/>
          <w:color w:val="000000"/>
          <w:sz w:val="18"/>
          <w:szCs w:val="18"/>
        </w:rPr>
        <w:t>7.工程获奖、年度考核、技术创新在评标办法中是否计分由招标人根据项目情况选择使用。招标人不得对投标人获得的上述奖项以外的其他奖项进行计分。本评分标准表中的工程获奖均指农田建设项目工程的获奖，且为单位（标段）获奖。同一标段获得多个奖项的，不重复计分（以得分最高计）。同一单位考核获得多个名次的，不重复计分（以得分最高计，首次进入或未得到考核名次的按其他计分），省级考核适用于全省范围、县区级考核仅适用于本行政范围。同一技术创新获得多个奖项的，不重复计分（以得分最高计）。</w:t>
      </w:r>
    </w:p>
    <w:p>
      <w:pPr>
        <w:pStyle w:val="164"/>
        <w:widowControl w:val="0"/>
        <w:snapToGrid w:val="0"/>
        <w:spacing w:before="0" w:beforeAutospacing="0" w:after="0" w:afterAutospacing="0"/>
        <w:ind w:left="88" w:leftChars="42" w:firstLine="450" w:firstLineChars="250"/>
        <w:rPr>
          <w:rFonts w:hint="eastAsia" w:ascii="仿宋" w:hAnsi="仿宋" w:eastAsia="仿宋" w:cs="仿宋"/>
          <w:color w:val="000000"/>
          <w:sz w:val="18"/>
          <w:szCs w:val="18"/>
        </w:rPr>
      </w:pPr>
      <w:r>
        <w:rPr>
          <w:rFonts w:hint="eastAsia" w:ascii="仿宋" w:hAnsi="仿宋" w:eastAsia="仿宋" w:cs="仿宋"/>
          <w:color w:val="000000"/>
          <w:sz w:val="18"/>
          <w:szCs w:val="18"/>
        </w:rPr>
        <w:t>8.联合体投标的，仅对联合体牵头人的工程获奖和技术创新计分。</w:t>
      </w:r>
    </w:p>
    <w:p>
      <w:pPr>
        <w:pStyle w:val="164"/>
        <w:widowControl w:val="0"/>
        <w:snapToGrid w:val="0"/>
        <w:spacing w:before="0" w:beforeAutospacing="0" w:after="0" w:afterAutospacing="0"/>
        <w:ind w:left="88" w:leftChars="42" w:firstLine="450" w:firstLineChars="250"/>
        <w:rPr>
          <w:rFonts w:hint="eastAsia" w:ascii="仿宋" w:hAnsi="仿宋" w:eastAsia="仿宋" w:cs="仿宋"/>
          <w:color w:val="000000"/>
          <w:sz w:val="18"/>
          <w:szCs w:val="18"/>
        </w:rPr>
      </w:pPr>
      <w:r>
        <w:rPr>
          <w:rFonts w:hint="eastAsia" w:ascii="仿宋" w:hAnsi="仿宋" w:eastAsia="仿宋" w:cs="仿宋"/>
          <w:color w:val="000000"/>
          <w:sz w:val="18"/>
          <w:szCs w:val="18"/>
        </w:rPr>
        <w:t>9.联合体投标的，仅对联合体牵头人的财务状况计分。</w:t>
      </w:r>
    </w:p>
    <w:p>
      <w:pPr>
        <w:pStyle w:val="164"/>
        <w:widowControl w:val="0"/>
        <w:snapToGrid w:val="0"/>
        <w:spacing w:before="0" w:beforeAutospacing="0" w:after="0" w:afterAutospacing="0"/>
        <w:ind w:firstLine="540" w:firstLineChars="300"/>
        <w:rPr>
          <w:rFonts w:ascii="仿宋" w:hAnsi="仿宋" w:eastAsia="仿宋" w:cs="仿宋"/>
          <w:color w:val="000000"/>
          <w:sz w:val="18"/>
          <w:szCs w:val="18"/>
        </w:rPr>
      </w:pPr>
      <w:r>
        <w:rPr>
          <w:rFonts w:hint="eastAsia" w:ascii="仿宋" w:hAnsi="仿宋" w:eastAsia="仿宋" w:cs="仿宋"/>
          <w:color w:val="000000"/>
          <w:sz w:val="18"/>
          <w:szCs w:val="18"/>
        </w:rPr>
        <w:t>10、联合体投标的，仅对联合体牵头人的考核名次计分。</w:t>
      </w:r>
    </w:p>
    <w:p>
      <w:pPr>
        <w:pStyle w:val="164"/>
        <w:widowControl w:val="0"/>
        <w:snapToGrid w:val="0"/>
        <w:spacing w:before="0" w:beforeAutospacing="0" w:after="0" w:afterAutospacing="0"/>
        <w:ind w:left="88" w:leftChars="42" w:firstLine="450" w:firstLineChars="250"/>
        <w:rPr>
          <w:rFonts w:hint="eastAsia" w:ascii="仿宋" w:hAnsi="仿宋" w:eastAsia="仿宋" w:cs="仿宋"/>
          <w:color w:val="000000"/>
          <w:sz w:val="18"/>
          <w:szCs w:val="18"/>
        </w:rPr>
      </w:pPr>
    </w:p>
    <w:p>
      <w:pPr>
        <w:spacing w:line="600" w:lineRule="exact"/>
        <w:jc w:val="left"/>
        <w:rPr>
          <w:rFonts w:hint="eastAsia" w:ascii="仿宋" w:hAnsi="仿宋" w:eastAsia="仿宋" w:cs="仿宋"/>
          <w:color w:val="000000"/>
          <w:sz w:val="28"/>
          <w:szCs w:val="21"/>
        </w:rPr>
      </w:pPr>
      <w:r>
        <w:rPr>
          <w:rFonts w:hint="eastAsia" w:ascii="仿宋" w:hAnsi="仿宋" w:eastAsia="仿宋" w:cs="仿宋"/>
          <w:color w:val="000000"/>
          <w:sz w:val="24"/>
        </w:rPr>
        <w:t>评委签字：</w:t>
      </w:r>
    </w:p>
    <w:p>
      <w:pPr>
        <w:spacing w:line="600" w:lineRule="exact"/>
        <w:jc w:val="left"/>
        <w:rPr>
          <w:rFonts w:hint="eastAsia" w:eastAsia="黑体"/>
          <w:bCs/>
          <w:color w:val="000000"/>
          <w:sz w:val="28"/>
          <w:szCs w:val="20"/>
        </w:rPr>
      </w:pPr>
      <w:r>
        <w:rPr>
          <w:rFonts w:hint="eastAsia" w:ascii="仿宋" w:hAnsi="仿宋" w:eastAsia="仿宋" w:cs="仿宋"/>
          <w:color w:val="000000"/>
        </w:rPr>
        <w:br w:type="page"/>
      </w:r>
      <w:r>
        <w:rPr>
          <w:rFonts w:eastAsia="黑体"/>
          <w:bCs/>
          <w:color w:val="000000"/>
          <w:sz w:val="28"/>
          <w:szCs w:val="20"/>
        </w:rPr>
        <w:t>附表3-7（</w:t>
      </w:r>
      <w:r>
        <w:rPr>
          <w:rFonts w:hint="eastAsia" w:eastAsia="黑体"/>
          <w:bCs/>
          <w:color w:val="000000"/>
          <w:sz w:val="28"/>
          <w:szCs w:val="20"/>
        </w:rPr>
        <w:t>3</w:t>
      </w:r>
      <w:r>
        <w:rPr>
          <w:rFonts w:eastAsia="黑体"/>
          <w:bCs/>
          <w:color w:val="000000"/>
          <w:sz w:val="28"/>
          <w:szCs w:val="20"/>
        </w:rPr>
        <w:t>）：详细评审</w:t>
      </w:r>
      <w:r>
        <w:rPr>
          <w:rFonts w:hint="eastAsia" w:eastAsia="黑体"/>
          <w:bCs/>
          <w:color w:val="000000"/>
          <w:sz w:val="28"/>
          <w:szCs w:val="20"/>
        </w:rPr>
        <w:t>－</w:t>
      </w:r>
      <w:r>
        <w:rPr>
          <w:rFonts w:eastAsia="黑体"/>
          <w:bCs/>
          <w:color w:val="000000"/>
          <w:sz w:val="28"/>
          <w:szCs w:val="20"/>
        </w:rPr>
        <w:t>信誉等其他评分因素评分标准表（</w:t>
      </w:r>
      <w:r>
        <w:rPr>
          <w:rFonts w:hint="eastAsia" w:eastAsia="黑体"/>
          <w:bCs/>
          <w:color w:val="000000"/>
          <w:sz w:val="28"/>
          <w:szCs w:val="20"/>
        </w:rPr>
        <w:t>四</w:t>
      </w:r>
      <w:r>
        <w:rPr>
          <w:rFonts w:eastAsia="黑体"/>
          <w:bCs/>
          <w:color w:val="000000"/>
          <w:sz w:val="28"/>
          <w:szCs w:val="20"/>
        </w:rPr>
        <w:t>）</w:t>
      </w:r>
    </w:p>
    <w:p>
      <w:pPr>
        <w:pStyle w:val="2"/>
        <w:rPr>
          <w:lang w:val="en-US" w:eastAsia="zh-CN"/>
        </w:rPr>
      </w:pPr>
    </w:p>
    <w:p>
      <w:pPr>
        <w:pStyle w:val="32"/>
        <w:spacing w:before="120" w:beforeLines="50" w:after="120" w:afterLines="50" w:line="600" w:lineRule="exact"/>
        <w:ind w:left="0" w:firstLine="0" w:firstLineChars="0"/>
        <w:jc w:val="center"/>
        <w:rPr>
          <w:rFonts w:hint="eastAsia" w:ascii="方正小标宋简体" w:eastAsia="方正小标宋简体"/>
          <w:bCs/>
          <w:color w:val="000000"/>
          <w:sz w:val="40"/>
          <w:szCs w:val="20"/>
        </w:rPr>
      </w:pPr>
      <w:r>
        <w:rPr>
          <w:rFonts w:hint="eastAsia" w:ascii="方正小标宋简体" w:eastAsia="方正小标宋简体"/>
          <w:bCs/>
          <w:color w:val="000000"/>
          <w:sz w:val="40"/>
          <w:szCs w:val="20"/>
        </w:rPr>
        <w:t>信誉等其他评分因素评分标准表（四）</w:t>
      </w:r>
    </w:p>
    <w:p>
      <w:pPr>
        <w:snapToGrid w:val="0"/>
        <w:spacing w:line="490" w:lineRule="exact"/>
        <w:rPr>
          <w:rFonts w:hint="eastAsia" w:ascii="仿宋" w:hAnsi="仿宋" w:eastAsia="仿宋" w:cs="仿宋"/>
          <w:color w:val="000000"/>
          <w:sz w:val="24"/>
          <w:u w:val="single"/>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（标段名称）</w:t>
      </w:r>
      <w:r>
        <w:rPr>
          <w:rFonts w:hint="eastAsia" w:ascii="仿宋" w:hAnsi="仿宋" w:eastAsia="仿宋" w:cs="仿宋"/>
          <w:color w:val="000000"/>
          <w:sz w:val="24"/>
          <w:u w:val="single"/>
        </w:rPr>
        <w:t xml:space="preserve">                      </w:t>
      </w:r>
    </w:p>
    <w:p>
      <w:pPr>
        <w:snapToGrid w:val="0"/>
        <w:spacing w:line="490" w:lineRule="exact"/>
        <w:rPr>
          <w:rFonts w:hint="eastAsia" w:ascii="仿宋" w:hAnsi="仿宋" w:eastAsia="仿宋" w:cs="仿宋"/>
          <w:color w:val="000000"/>
          <w:sz w:val="24"/>
        </w:rPr>
      </w:pPr>
      <w:r>
        <w:rPr>
          <w:rFonts w:hint="eastAsia" w:ascii="仿宋" w:hAnsi="仿宋" w:eastAsia="仿宋" w:cs="仿宋"/>
          <w:color w:val="000000"/>
          <w:sz w:val="24"/>
        </w:rPr>
        <w:t>项目管理编号：</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tbl>
      <w:tblPr>
        <w:tblStyle w:val="47"/>
        <w:tblW w:w="90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784"/>
        <w:gridCol w:w="674"/>
        <w:gridCol w:w="674"/>
        <w:gridCol w:w="1134"/>
        <w:gridCol w:w="2835"/>
        <w:gridCol w:w="708"/>
        <w:gridCol w:w="567"/>
        <w:gridCol w:w="567"/>
        <w:gridCol w:w="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序号</w:t>
            </w:r>
          </w:p>
        </w:tc>
        <w:tc>
          <w:tcPr>
            <w:tcW w:w="784" w:type="dxa"/>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条款号</w:t>
            </w:r>
          </w:p>
        </w:tc>
        <w:tc>
          <w:tcPr>
            <w:tcW w:w="1348" w:type="dxa"/>
            <w:gridSpan w:val="2"/>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评分因素</w:t>
            </w:r>
          </w:p>
        </w:tc>
        <w:tc>
          <w:tcPr>
            <w:tcW w:w="4677" w:type="dxa"/>
            <w:gridSpan w:val="3"/>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评分标准</w:t>
            </w:r>
          </w:p>
        </w:tc>
        <w:tc>
          <w:tcPr>
            <w:tcW w:w="1710" w:type="dxa"/>
            <w:gridSpan w:val="3"/>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投标人名称及评审计分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snapToGrid w:val="0"/>
              <w:jc w:val="center"/>
              <w:rPr>
                <w:rFonts w:hint="eastAsia" w:ascii="仿宋" w:hAnsi="仿宋" w:eastAsia="仿宋" w:cs="仿宋"/>
                <w:color w:val="000000"/>
                <w:sz w:val="18"/>
                <w:szCs w:val="18"/>
              </w:rPr>
            </w:pPr>
          </w:p>
        </w:tc>
        <w:tc>
          <w:tcPr>
            <w:tcW w:w="4677" w:type="dxa"/>
            <w:gridSpan w:val="3"/>
            <w:vMerge w:val="continue"/>
            <w:noWrap w:val="0"/>
            <w:vAlign w:val="center"/>
          </w:tcPr>
          <w:p>
            <w:pPr>
              <w:snapToGrid w:val="0"/>
              <w:jc w:val="center"/>
              <w:rPr>
                <w:rFonts w:hint="eastAsia" w:ascii="仿宋" w:hAnsi="仿宋" w:eastAsia="仿宋" w:cs="仿宋"/>
                <w:color w:val="000000"/>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w:t>
            </w:r>
          </w:p>
        </w:tc>
        <w:tc>
          <w:tcPr>
            <w:tcW w:w="567"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2</w:t>
            </w:r>
          </w:p>
        </w:tc>
        <w:tc>
          <w:tcPr>
            <w:tcW w:w="576"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snapToGrid w:val="0"/>
              <w:jc w:val="center"/>
              <w:rPr>
                <w:rFonts w:hint="eastAsia" w:ascii="仿宋" w:hAnsi="仿宋" w:eastAsia="仿宋" w:cs="仿宋"/>
                <w:color w:val="000000"/>
                <w:sz w:val="18"/>
                <w:szCs w:val="18"/>
              </w:rPr>
            </w:pPr>
          </w:p>
        </w:tc>
        <w:tc>
          <w:tcPr>
            <w:tcW w:w="4677" w:type="dxa"/>
            <w:gridSpan w:val="3"/>
            <w:vMerge w:val="continue"/>
            <w:noWrap w:val="0"/>
            <w:vAlign w:val="center"/>
          </w:tcPr>
          <w:p>
            <w:pPr>
              <w:snapToGrid w:val="0"/>
              <w:jc w:val="center"/>
              <w:rPr>
                <w:rFonts w:hint="eastAsia" w:ascii="仿宋" w:hAnsi="仿宋" w:eastAsia="仿宋" w:cs="仿宋"/>
                <w:color w:val="000000"/>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exac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w:t>
            </w:r>
          </w:p>
        </w:tc>
        <w:tc>
          <w:tcPr>
            <w:tcW w:w="784" w:type="dxa"/>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2.2.4（2）</w:t>
            </w:r>
          </w:p>
        </w:tc>
        <w:tc>
          <w:tcPr>
            <w:tcW w:w="674"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投标人信用等级（0～45分）</w:t>
            </w:r>
          </w:p>
        </w:tc>
        <w:tc>
          <w:tcPr>
            <w:tcW w:w="674"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联合体牵头人（30～45分）×承担工作量所占比例</w:t>
            </w:r>
          </w:p>
        </w:tc>
        <w:tc>
          <w:tcPr>
            <w:tcW w:w="3969" w:type="dxa"/>
            <w:gridSpan w:val="2"/>
            <w:noWrap w:val="0"/>
            <w:vAlign w:val="center"/>
          </w:tcPr>
          <w:p>
            <w:pPr>
              <w:tabs>
                <w:tab w:val="left" w:pos="420"/>
              </w:tabs>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信用等级（全国水利建设市场主体）为AAA级或信用等级（湖南省水利建设市场主体）A+级的（100％）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76" w:type="dxa"/>
            <w:vMerge w:val="restart"/>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snapToGrid w:val="0"/>
              <w:jc w:val="center"/>
              <w:rPr>
                <w:rFonts w:hint="eastAsia" w:ascii="仿宋" w:hAnsi="仿宋" w:eastAsia="仿宋" w:cs="仿宋"/>
                <w:color w:val="000000"/>
                <w:sz w:val="18"/>
                <w:szCs w:val="18"/>
              </w:rPr>
            </w:pPr>
          </w:p>
        </w:tc>
        <w:tc>
          <w:tcPr>
            <w:tcW w:w="3969" w:type="dxa"/>
            <w:gridSpan w:val="2"/>
            <w:noWrap w:val="0"/>
            <w:vAlign w:val="center"/>
          </w:tcPr>
          <w:p>
            <w:pPr>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信用等级（全国水利建设市场主体）为AA级或信用等级（湖南省水利建设市场主体）A级的（85％）</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snapToGrid w:val="0"/>
              <w:jc w:val="center"/>
              <w:rPr>
                <w:rFonts w:hint="eastAsia" w:ascii="仿宋" w:hAnsi="仿宋" w:eastAsia="仿宋" w:cs="仿宋"/>
                <w:color w:val="000000"/>
                <w:sz w:val="18"/>
                <w:szCs w:val="18"/>
              </w:rPr>
            </w:pPr>
          </w:p>
        </w:tc>
        <w:tc>
          <w:tcPr>
            <w:tcW w:w="3969" w:type="dxa"/>
            <w:gridSpan w:val="2"/>
            <w:noWrap w:val="0"/>
            <w:vAlign w:val="center"/>
          </w:tcPr>
          <w:p>
            <w:pPr>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信用等级（全国水利建设市场主体）为A级或信用等级（湖南省水利建设市场主体）A-级的（70％）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snapToGrid w:val="0"/>
              <w:jc w:val="center"/>
              <w:rPr>
                <w:rFonts w:hint="eastAsia" w:ascii="仿宋" w:hAnsi="仿宋" w:eastAsia="仿宋" w:cs="仿宋"/>
                <w:color w:val="000000"/>
                <w:sz w:val="18"/>
                <w:szCs w:val="18"/>
              </w:rPr>
            </w:pPr>
          </w:p>
        </w:tc>
        <w:tc>
          <w:tcPr>
            <w:tcW w:w="3969" w:type="dxa"/>
            <w:gridSpan w:val="2"/>
            <w:noWrap w:val="0"/>
            <w:vAlign w:val="center"/>
          </w:tcPr>
          <w:p>
            <w:pPr>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信用等级（全国水利建设市场主体）为B级或信用等级（湖南省水利建设市场主体）B级的（55％）</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3969" w:type="dxa"/>
            <w:gridSpan w:val="2"/>
            <w:noWrap w:val="0"/>
            <w:vAlign w:val="center"/>
          </w:tcPr>
          <w:p>
            <w:pPr>
              <w:pStyle w:val="106"/>
              <w:snapToGrid w:val="0"/>
              <w:jc w:val="both"/>
              <w:rPr>
                <w:rFonts w:hint="eastAsia" w:ascii="仿宋" w:hAnsi="仿宋" w:eastAsia="仿宋" w:cs="仿宋"/>
                <w:sz w:val="18"/>
                <w:szCs w:val="18"/>
              </w:rPr>
            </w:pPr>
            <w:r>
              <w:rPr>
                <w:rFonts w:hint="eastAsia" w:ascii="仿宋" w:hAnsi="仿宋" w:eastAsia="仿宋" w:cs="仿宋"/>
                <w:sz w:val="18"/>
                <w:szCs w:val="18"/>
              </w:rPr>
              <w:t>信用等级（全国水利建设市场主体）为C级或信用等级（湖南省水利建设市场主体）C级的（0分）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674"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联合体成员一（30～45分）×承担工作量所占比例</w:t>
            </w:r>
          </w:p>
        </w:tc>
        <w:tc>
          <w:tcPr>
            <w:tcW w:w="3969" w:type="dxa"/>
            <w:gridSpan w:val="2"/>
            <w:noWrap w:val="0"/>
            <w:vAlign w:val="center"/>
          </w:tcPr>
          <w:p>
            <w:pPr>
              <w:tabs>
                <w:tab w:val="left" w:pos="420"/>
              </w:tabs>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信用等级（全国水利建设市场主体）为AAA级或信用等级（湖南省水利建设市场主体）A+级的（100％）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76" w:type="dxa"/>
            <w:vMerge w:val="restart"/>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3969" w:type="dxa"/>
            <w:gridSpan w:val="2"/>
            <w:noWrap w:val="0"/>
            <w:vAlign w:val="center"/>
          </w:tcPr>
          <w:p>
            <w:pPr>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信用等级（全国水利建设市场主体）为AA级或信用等级（湖南省水利建设市场主体）A级的（85％）</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3969" w:type="dxa"/>
            <w:gridSpan w:val="2"/>
            <w:noWrap w:val="0"/>
            <w:vAlign w:val="center"/>
          </w:tcPr>
          <w:p>
            <w:pPr>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信用等级（全国水利建设市场主体）为A级或信用等级（湖南省水利建设市场主体）A-级的（70％）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3969" w:type="dxa"/>
            <w:gridSpan w:val="2"/>
            <w:noWrap w:val="0"/>
            <w:vAlign w:val="center"/>
          </w:tcPr>
          <w:p>
            <w:pPr>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信用等级（全国水利建设市场主体）为B级或信用等级（湖南省水利建设市场主体）B级的（55％）</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3969" w:type="dxa"/>
            <w:gridSpan w:val="2"/>
            <w:noWrap w:val="0"/>
            <w:vAlign w:val="center"/>
          </w:tcPr>
          <w:p>
            <w:pPr>
              <w:pStyle w:val="106"/>
              <w:snapToGrid w:val="0"/>
              <w:jc w:val="both"/>
              <w:rPr>
                <w:rFonts w:hint="eastAsia" w:ascii="仿宋" w:hAnsi="仿宋" w:eastAsia="仿宋" w:cs="仿宋"/>
                <w:sz w:val="18"/>
                <w:szCs w:val="18"/>
              </w:rPr>
            </w:pPr>
            <w:r>
              <w:rPr>
                <w:rFonts w:hint="eastAsia" w:ascii="仿宋" w:hAnsi="仿宋" w:eastAsia="仿宋" w:cs="仿宋"/>
                <w:sz w:val="18"/>
                <w:szCs w:val="18"/>
              </w:rPr>
              <w:t>信用等级（全国水利建设市场主体）为C级或信用等级（湖南省水利建设市场主体）C级的（0分）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674" w:type="dxa"/>
            <w:noWrap w:val="0"/>
            <w:vAlign w:val="center"/>
          </w:tcPr>
          <w:p>
            <w:pPr>
              <w:pStyle w:val="106"/>
              <w:snapToGrid w:val="0"/>
              <w:jc w:val="center"/>
              <w:rPr>
                <w:rFonts w:hint="eastAsia" w:ascii="仿宋" w:hAnsi="仿宋" w:eastAsia="仿宋" w:cs="仿宋"/>
                <w:b/>
                <w:sz w:val="18"/>
                <w:szCs w:val="18"/>
              </w:rPr>
            </w:pPr>
            <w:r>
              <w:rPr>
                <w:rFonts w:hint="eastAsia" w:ascii="仿宋" w:hAnsi="仿宋" w:eastAsia="仿宋" w:cs="仿宋"/>
                <w:b/>
                <w:sz w:val="18"/>
                <w:szCs w:val="18"/>
              </w:rPr>
              <w:t>……</w:t>
            </w:r>
          </w:p>
        </w:tc>
        <w:tc>
          <w:tcPr>
            <w:tcW w:w="3969" w:type="dxa"/>
            <w:gridSpan w:val="2"/>
            <w:noWrap w:val="0"/>
            <w:vAlign w:val="top"/>
          </w:tcPr>
          <w:p>
            <w:pPr>
              <w:pStyle w:val="106"/>
              <w:snapToGrid w:val="0"/>
              <w:rPr>
                <w:rFonts w:hint="eastAsia" w:ascii="仿宋" w:hAnsi="仿宋" w:eastAsia="仿宋" w:cs="仿宋"/>
                <w:sz w:val="18"/>
                <w:szCs w:val="18"/>
              </w:rPr>
            </w:pP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574"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2</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noWrap w:val="0"/>
            <w:vAlign w:val="center"/>
          </w:tcPr>
          <w:p>
            <w:pPr>
              <w:pStyle w:val="106"/>
              <w:snapToGrid w:val="0"/>
              <w:jc w:val="center"/>
              <w:rPr>
                <w:rFonts w:hint="eastAsia" w:ascii="仿宋" w:hAnsi="仿宋" w:eastAsia="仿宋" w:cs="仿宋"/>
                <w:b/>
                <w:sz w:val="18"/>
                <w:szCs w:val="18"/>
              </w:rPr>
            </w:pPr>
            <w:r>
              <w:rPr>
                <w:rFonts w:hint="eastAsia" w:ascii="仿宋" w:hAnsi="仿宋" w:eastAsia="仿宋" w:cs="仿宋"/>
                <w:sz w:val="18"/>
                <w:szCs w:val="18"/>
              </w:rPr>
              <w:t>类似项目经验（近</w:t>
            </w:r>
            <w:r>
              <w:rPr>
                <w:rFonts w:hint="eastAsia" w:ascii="仿宋" w:hAnsi="仿宋" w:eastAsia="仿宋" w:cs="仿宋"/>
                <w:sz w:val="18"/>
                <w:szCs w:val="18"/>
                <w:u w:val="single"/>
              </w:rPr>
              <w:t xml:space="preserve">   </w:t>
            </w:r>
            <w:r>
              <w:rPr>
                <w:rFonts w:hint="eastAsia" w:ascii="仿宋" w:hAnsi="仿宋" w:eastAsia="仿宋" w:cs="仿宋"/>
                <w:sz w:val="18"/>
                <w:szCs w:val="18"/>
              </w:rPr>
              <w:t>年）（0～40分）</w:t>
            </w:r>
          </w:p>
        </w:tc>
        <w:tc>
          <w:tcPr>
            <w:tcW w:w="4677" w:type="dxa"/>
            <w:gridSpan w:val="3"/>
            <w:noWrap w:val="0"/>
            <w:vAlign w:val="center"/>
          </w:tcPr>
          <w:p>
            <w:pPr>
              <w:pStyle w:val="106"/>
              <w:snapToGrid w:val="0"/>
              <w:ind w:firstLine="180" w:firstLineChars="100"/>
              <w:rPr>
                <w:rFonts w:hint="eastAsia" w:ascii="仿宋" w:hAnsi="仿宋" w:eastAsia="仿宋" w:cs="仿宋"/>
                <w:sz w:val="18"/>
                <w:szCs w:val="18"/>
              </w:rPr>
            </w:pPr>
            <w:r>
              <w:rPr>
                <w:rFonts w:hint="eastAsia" w:ascii="仿宋" w:hAnsi="仿宋" w:eastAsia="仿宋" w:cs="仿宋"/>
                <w:sz w:val="18"/>
                <w:szCs w:val="18"/>
              </w:rPr>
              <w:t>满足招标文件的计</w:t>
            </w:r>
            <w:r>
              <w:rPr>
                <w:rFonts w:hint="eastAsia" w:ascii="仿宋" w:hAnsi="仿宋" w:eastAsia="仿宋" w:cs="仿宋"/>
                <w:sz w:val="18"/>
                <w:szCs w:val="18"/>
                <w:u w:val="single"/>
              </w:rPr>
              <w:t xml:space="preserve">  </w:t>
            </w:r>
            <w:r>
              <w:rPr>
                <w:rFonts w:hint="eastAsia" w:ascii="仿宋" w:hAnsi="仿宋" w:eastAsia="仿宋" w:cs="仿宋"/>
                <w:sz w:val="18"/>
                <w:szCs w:val="18"/>
              </w:rPr>
              <w:t>分，每增加一个类似业绩加</w:t>
            </w:r>
            <w:r>
              <w:rPr>
                <w:rFonts w:hint="eastAsia" w:ascii="仿宋" w:hAnsi="仿宋" w:eastAsia="仿宋" w:cs="仿宋"/>
                <w:sz w:val="18"/>
                <w:szCs w:val="18"/>
                <w:u w:val="single"/>
              </w:rPr>
              <w:t xml:space="preserve">  </w:t>
            </w:r>
            <w:r>
              <w:rPr>
                <w:rFonts w:hint="eastAsia" w:ascii="仿宋" w:hAnsi="仿宋" w:eastAsia="仿宋" w:cs="仿宋"/>
                <w:sz w:val="18"/>
                <w:szCs w:val="18"/>
              </w:rPr>
              <w:t>分，最多增加二个类似业绩</w:t>
            </w: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3</w:t>
            </w:r>
          </w:p>
        </w:tc>
        <w:tc>
          <w:tcPr>
            <w:tcW w:w="784" w:type="dxa"/>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2.2.4（2）</w:t>
            </w:r>
          </w:p>
        </w:tc>
        <w:tc>
          <w:tcPr>
            <w:tcW w:w="1348" w:type="dxa"/>
            <w:gridSpan w:val="2"/>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财务状况</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（10～20分）</w:t>
            </w:r>
          </w:p>
        </w:tc>
        <w:tc>
          <w:tcPr>
            <w:tcW w:w="1134"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流动比率（4～7分）</w:t>
            </w:r>
          </w:p>
        </w:tc>
        <w:tc>
          <w:tcPr>
            <w:tcW w:w="2835"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流动比率2倍（含）以上</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76" w:type="dxa"/>
            <w:vMerge w:val="restart"/>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vMerge w:val="continue"/>
            <w:noWrap w:val="0"/>
            <w:vAlign w:val="center"/>
          </w:tcPr>
          <w:p>
            <w:pPr>
              <w:pStyle w:val="106"/>
              <w:snapToGrid w:val="0"/>
              <w:jc w:val="center"/>
              <w:rPr>
                <w:rFonts w:hint="eastAsia" w:ascii="仿宋" w:hAnsi="仿宋" w:eastAsia="仿宋" w:cs="仿宋"/>
                <w:sz w:val="18"/>
                <w:szCs w:val="18"/>
              </w:rPr>
            </w:pPr>
          </w:p>
        </w:tc>
        <w:tc>
          <w:tcPr>
            <w:tcW w:w="2835"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流动比率2倍以下</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企业利润（2～6分）</w:t>
            </w:r>
          </w:p>
        </w:tc>
        <w:tc>
          <w:tcPr>
            <w:tcW w:w="2835"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净利润＞0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企业资产负债率</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（4～7分）</w:t>
            </w:r>
          </w:p>
        </w:tc>
        <w:tc>
          <w:tcPr>
            <w:tcW w:w="2835"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资产负债率＜70％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76" w:type="dxa"/>
            <w:vMerge w:val="restart"/>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vMerge w:val="continue"/>
            <w:noWrap w:val="0"/>
            <w:vAlign w:val="center"/>
          </w:tcPr>
          <w:p>
            <w:pPr>
              <w:pStyle w:val="106"/>
              <w:snapToGrid w:val="0"/>
              <w:jc w:val="center"/>
              <w:rPr>
                <w:rFonts w:hint="eastAsia" w:ascii="仿宋" w:hAnsi="仿宋" w:eastAsia="仿宋" w:cs="仿宋"/>
                <w:sz w:val="18"/>
                <w:szCs w:val="18"/>
              </w:rPr>
            </w:pPr>
          </w:p>
        </w:tc>
        <w:tc>
          <w:tcPr>
            <w:tcW w:w="2835"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sz w:val="18"/>
                <w:szCs w:val="18"/>
              </w:rPr>
              <w:t>90％＞资产负债率≥70％</w:t>
            </w:r>
          </w:p>
        </w:tc>
        <w:tc>
          <w:tcPr>
            <w:tcW w:w="708" w:type="dxa"/>
            <w:noWrap w:val="0"/>
            <w:vAlign w:val="center"/>
          </w:tcPr>
          <w:p>
            <w:pPr>
              <w:snapToGrid w:val="0"/>
              <w:jc w:val="center"/>
              <w:rPr>
                <w:rFonts w:hint="eastAsia" w:ascii="仿宋" w:hAnsi="仿宋" w:eastAsia="仿宋" w:cs="仿宋"/>
                <w:color w:val="000000"/>
                <w:kern w:val="0"/>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4</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工程获奖</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（近</w:t>
            </w:r>
            <w:r>
              <w:rPr>
                <w:rFonts w:hint="eastAsia" w:ascii="仿宋" w:hAnsi="仿宋" w:eastAsia="仿宋" w:cs="仿宋"/>
                <w:sz w:val="18"/>
                <w:szCs w:val="18"/>
                <w:u w:val="single"/>
              </w:rPr>
              <w:t xml:space="preserve">    </w:t>
            </w:r>
            <w:r>
              <w:rPr>
                <w:rFonts w:hint="eastAsia" w:ascii="仿宋" w:hAnsi="仿宋" w:eastAsia="仿宋" w:cs="仿宋"/>
                <w:sz w:val="18"/>
                <w:szCs w:val="18"/>
              </w:rPr>
              <w:t>年）</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（0～20分）</w:t>
            </w:r>
          </w:p>
        </w:tc>
        <w:tc>
          <w:tcPr>
            <w:tcW w:w="1134" w:type="dxa"/>
            <w:noWrap w:val="0"/>
            <w:vAlign w:val="center"/>
          </w:tcPr>
          <w:p>
            <w:pPr>
              <w:pStyle w:val="106"/>
              <w:snapToGrid w:val="0"/>
              <w:jc w:val="center"/>
              <w:rPr>
                <w:rFonts w:ascii="仿宋" w:hAnsi="仿宋" w:eastAsia="仿宋" w:cs="仿宋"/>
                <w:sz w:val="18"/>
                <w:szCs w:val="18"/>
              </w:rPr>
            </w:pPr>
            <w:r>
              <w:rPr>
                <w:rFonts w:hint="eastAsia" w:ascii="仿宋" w:hAnsi="仿宋" w:eastAsia="仿宋" w:cs="仿宋"/>
                <w:sz w:val="18"/>
                <w:szCs w:val="18"/>
              </w:rPr>
              <w:t>0～20</w:t>
            </w:r>
          </w:p>
        </w:tc>
        <w:tc>
          <w:tcPr>
            <w:tcW w:w="2835" w:type="dxa"/>
            <w:noWrap w:val="0"/>
            <w:vAlign w:val="center"/>
          </w:tcPr>
          <w:p>
            <w:pPr>
              <w:pStyle w:val="106"/>
              <w:snapToGrid w:val="0"/>
              <w:rPr>
                <w:rFonts w:hint="eastAsia" w:ascii="仿宋" w:hAnsi="仿宋" w:eastAsia="仿宋" w:cs="仿宋"/>
                <w:sz w:val="18"/>
                <w:szCs w:val="18"/>
                <w:u w:val="single"/>
              </w:rPr>
            </w:pPr>
            <w:r>
              <w:rPr>
                <w:rFonts w:hint="eastAsia" w:ascii="仿宋" w:hAnsi="仿宋" w:eastAsia="仿宋" w:cs="仿宋"/>
                <w:sz w:val="18"/>
                <w:szCs w:val="18"/>
              </w:rPr>
              <w:t>国家优质工程奖、农业农村部质量奖（均指农田建设项目工程获奖），每项计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ascii="仿宋" w:hAnsi="仿宋" w:eastAsia="仿宋" w:cs="仿宋"/>
                <w:sz w:val="18"/>
                <w:szCs w:val="18"/>
              </w:rPr>
            </w:pPr>
            <w:r>
              <w:rPr>
                <w:rFonts w:hint="eastAsia" w:ascii="仿宋" w:hAnsi="仿宋" w:eastAsia="仿宋" w:cs="仿宋"/>
                <w:sz w:val="18"/>
                <w:szCs w:val="18"/>
              </w:rPr>
              <w:t>0～15</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省政府或省级农业农村主管部门颁发的优质农田建设项目工程奖项每项计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0～12</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市政府或市级农业农村主管部门颁发的优质农田建设项目工程奖项每项计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5</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年度考核</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（近</w:t>
            </w:r>
            <w:r>
              <w:rPr>
                <w:rFonts w:hint="eastAsia" w:ascii="仿宋" w:hAnsi="仿宋" w:eastAsia="仿宋" w:cs="仿宋"/>
                <w:sz w:val="18"/>
                <w:szCs w:val="18"/>
                <w:u w:val="single"/>
              </w:rPr>
              <w:t xml:space="preserve">    </w:t>
            </w:r>
            <w:r>
              <w:rPr>
                <w:rFonts w:hint="eastAsia" w:ascii="仿宋" w:hAnsi="仿宋" w:eastAsia="仿宋" w:cs="仿宋"/>
                <w:sz w:val="18"/>
                <w:szCs w:val="18"/>
              </w:rPr>
              <w:t>年）</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（18～35分）</w:t>
            </w:r>
          </w:p>
        </w:tc>
        <w:tc>
          <w:tcPr>
            <w:tcW w:w="1134" w:type="dxa"/>
            <w:noWrap w:val="0"/>
            <w:vAlign w:val="center"/>
          </w:tcPr>
          <w:p>
            <w:pPr>
              <w:pStyle w:val="106"/>
              <w:snapToGrid w:val="0"/>
              <w:jc w:val="center"/>
              <w:rPr>
                <w:rFonts w:ascii="仿宋" w:hAnsi="仿宋" w:eastAsia="仿宋" w:cs="仿宋"/>
                <w:sz w:val="18"/>
                <w:szCs w:val="18"/>
              </w:rPr>
            </w:pPr>
            <w:r>
              <w:rPr>
                <w:rFonts w:hint="eastAsia" w:ascii="仿宋" w:hAnsi="仿宋" w:eastAsia="仿宋" w:cs="仿宋"/>
                <w:sz w:val="18"/>
                <w:szCs w:val="18"/>
              </w:rPr>
              <w:t>21～35</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省级农业农村主管部门考核第一名100%；第二名95%；第三名85%；其他60%；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ascii="仿宋" w:hAnsi="仿宋" w:eastAsia="仿宋" w:cs="仿宋"/>
                <w:sz w:val="18"/>
                <w:szCs w:val="18"/>
              </w:rPr>
            </w:pPr>
            <w:r>
              <w:rPr>
                <w:rFonts w:hint="eastAsia" w:ascii="仿宋" w:hAnsi="仿宋" w:eastAsia="仿宋" w:cs="仿宋"/>
                <w:sz w:val="18"/>
                <w:szCs w:val="18"/>
              </w:rPr>
              <w:t>18～30</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县/区级农业农村主管部门考核第一名100%；第二名95%；第三名85%；其他60%；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6</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技术创新</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（近</w:t>
            </w:r>
            <w:r>
              <w:rPr>
                <w:rFonts w:hint="eastAsia" w:ascii="仿宋" w:hAnsi="仿宋" w:eastAsia="仿宋" w:cs="仿宋"/>
                <w:sz w:val="18"/>
                <w:szCs w:val="18"/>
                <w:u w:val="single"/>
              </w:rPr>
              <w:t xml:space="preserve">    </w:t>
            </w:r>
            <w:r>
              <w:rPr>
                <w:rFonts w:hint="eastAsia" w:ascii="仿宋" w:hAnsi="仿宋" w:eastAsia="仿宋" w:cs="仿宋"/>
                <w:sz w:val="18"/>
                <w:szCs w:val="18"/>
              </w:rPr>
              <w:t>年）</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（0～15分）</w:t>
            </w: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0～8</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国家科技进步奖或国家技术发明奖（均指农田建设项目工程获奖）每项计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0～4</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省科技进步奖或省技术发明奖（均指农田建设项目工程获奖）每项计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0～3</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省级行业协会（学会）颁发的科技进步奖（均指农田建设项目工程获奖）每项计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noWrap w:val="0"/>
            <w:vAlign w:val="center"/>
          </w:tcPr>
          <w:p>
            <w:pPr>
              <w:snapToGrid w:val="0"/>
              <w:jc w:val="center"/>
              <w:rPr>
                <w:rFonts w:hint="eastAsia" w:ascii="仿宋" w:hAnsi="仿宋" w:eastAsia="仿宋" w:cs="仿宋"/>
                <w:color w:val="000000"/>
                <w:kern w:val="0"/>
              </w:rPr>
            </w:pPr>
          </w:p>
        </w:tc>
        <w:tc>
          <w:tcPr>
            <w:tcW w:w="6809" w:type="dxa"/>
            <w:gridSpan w:val="6"/>
            <w:noWrap w:val="0"/>
            <w:vAlign w:val="center"/>
          </w:tcPr>
          <w:p>
            <w:pPr>
              <w:snapToGrid w:val="0"/>
              <w:jc w:val="center"/>
              <w:rPr>
                <w:rFonts w:hint="eastAsia" w:ascii="仿宋" w:hAnsi="仿宋" w:eastAsia="仿宋" w:cs="仿宋"/>
                <w:b/>
                <w:bCs/>
                <w:color w:val="000000"/>
                <w:kern w:val="0"/>
              </w:rPr>
            </w:pPr>
            <w:r>
              <w:rPr>
                <w:rFonts w:hint="eastAsia" w:ascii="仿宋" w:hAnsi="仿宋" w:eastAsia="仿宋" w:cs="仿宋"/>
                <w:b/>
                <w:bCs/>
                <w:color w:val="000000"/>
                <w:kern w:val="0"/>
              </w:rPr>
              <w:t>合计</w:t>
            </w:r>
          </w:p>
        </w:tc>
        <w:tc>
          <w:tcPr>
            <w:tcW w:w="567" w:type="dxa"/>
            <w:noWrap w:val="0"/>
            <w:vAlign w:val="center"/>
          </w:tcPr>
          <w:p>
            <w:pPr>
              <w:snapToGrid w:val="0"/>
              <w:jc w:val="center"/>
              <w:rPr>
                <w:rFonts w:hint="eastAsia" w:ascii="仿宋" w:hAnsi="仿宋" w:eastAsia="仿宋" w:cs="仿宋"/>
                <w:color w:val="000000"/>
                <w:kern w:val="0"/>
              </w:rPr>
            </w:pPr>
          </w:p>
        </w:tc>
        <w:tc>
          <w:tcPr>
            <w:tcW w:w="567" w:type="dxa"/>
            <w:noWrap w:val="0"/>
            <w:vAlign w:val="center"/>
          </w:tcPr>
          <w:p>
            <w:pPr>
              <w:snapToGrid w:val="0"/>
              <w:jc w:val="center"/>
              <w:rPr>
                <w:rFonts w:hint="eastAsia" w:ascii="仿宋" w:hAnsi="仿宋" w:eastAsia="仿宋" w:cs="仿宋"/>
                <w:color w:val="000000"/>
                <w:kern w:val="0"/>
              </w:rPr>
            </w:pPr>
          </w:p>
        </w:tc>
        <w:tc>
          <w:tcPr>
            <w:tcW w:w="576" w:type="dxa"/>
            <w:noWrap w:val="0"/>
            <w:vAlign w:val="center"/>
          </w:tcPr>
          <w:p>
            <w:pPr>
              <w:snapToGrid w:val="0"/>
              <w:jc w:val="center"/>
              <w:rPr>
                <w:rFonts w:hint="eastAsia" w:ascii="仿宋" w:hAnsi="仿宋" w:eastAsia="仿宋" w:cs="仿宋"/>
                <w:color w:val="000000"/>
                <w:kern w:val="0"/>
              </w:rPr>
            </w:pPr>
          </w:p>
        </w:tc>
      </w:tr>
    </w:tbl>
    <w:p>
      <w:pPr>
        <w:jc w:val="left"/>
        <w:rPr>
          <w:rFonts w:hint="eastAsia" w:ascii="仿宋" w:hAnsi="仿宋" w:eastAsia="仿宋" w:cs="仿宋"/>
          <w:color w:val="000000"/>
          <w:kern w:val="0"/>
          <w:sz w:val="18"/>
          <w:szCs w:val="18"/>
        </w:rPr>
      </w:pPr>
      <w:r>
        <w:rPr>
          <w:rFonts w:hint="eastAsia" w:ascii="仿宋" w:hAnsi="仿宋" w:eastAsia="仿宋" w:cs="仿宋"/>
          <w:b/>
          <w:color w:val="000000"/>
          <w:kern w:val="0"/>
          <w:sz w:val="18"/>
          <w:szCs w:val="18"/>
        </w:rPr>
        <w:t>备注：</w:t>
      </w:r>
      <w:r>
        <w:rPr>
          <w:rFonts w:hint="eastAsia" w:ascii="仿宋" w:hAnsi="仿宋" w:eastAsia="仿宋" w:cs="仿宋"/>
          <w:color w:val="000000"/>
          <w:kern w:val="0"/>
          <w:sz w:val="18"/>
          <w:szCs w:val="18"/>
        </w:rPr>
        <w:t>1.本表适用于联合体投标人评审。</w:t>
      </w:r>
    </w:p>
    <w:p>
      <w:pPr>
        <w:ind w:firstLine="540" w:firstLineChars="300"/>
        <w:jc w:val="left"/>
        <w:rPr>
          <w:rFonts w:hint="eastAsia" w:ascii="仿宋" w:hAnsi="仿宋" w:eastAsia="仿宋" w:cs="仿宋"/>
          <w:color w:val="000000"/>
          <w:sz w:val="18"/>
          <w:szCs w:val="18"/>
        </w:rPr>
      </w:pPr>
      <w:r>
        <w:rPr>
          <w:rFonts w:hint="eastAsia" w:ascii="仿宋" w:hAnsi="仿宋" w:eastAsia="仿宋" w:cs="仿宋"/>
          <w:color w:val="000000"/>
          <w:kern w:val="0"/>
          <w:sz w:val="18"/>
          <w:szCs w:val="18"/>
        </w:rPr>
        <w:t>2.本表小计总分为100分。</w:t>
      </w:r>
      <w:r>
        <w:rPr>
          <w:rFonts w:hint="eastAsia" w:ascii="仿宋" w:hAnsi="仿宋" w:eastAsia="仿宋" w:cs="仿宋"/>
          <w:color w:val="000000"/>
          <w:sz w:val="18"/>
          <w:szCs w:val="18"/>
        </w:rPr>
        <w:t>由评标委员会集体评议，统一计分。评标委员会成员中对结论有不同意见时，按少数服从多数的原则，确定得分。</w:t>
      </w:r>
    </w:p>
    <w:p>
      <w:pPr>
        <w:pStyle w:val="164"/>
        <w:widowControl w:val="0"/>
        <w:snapToGrid w:val="0"/>
        <w:spacing w:before="0" w:beforeAutospacing="0" w:after="0" w:afterAutospacing="0"/>
        <w:ind w:firstLine="542" w:firstLineChars="300"/>
        <w:rPr>
          <w:rFonts w:hint="eastAsia" w:ascii="仿宋" w:hAnsi="仿宋" w:eastAsia="仿宋" w:cs="仿宋"/>
          <w:b/>
          <w:bCs/>
          <w:color w:val="000000"/>
          <w:sz w:val="18"/>
          <w:szCs w:val="18"/>
        </w:rPr>
      </w:pPr>
      <w:r>
        <w:rPr>
          <w:rFonts w:hint="eastAsia" w:ascii="仿宋" w:hAnsi="仿宋" w:eastAsia="仿宋" w:cs="仿宋"/>
          <w:b/>
          <w:bCs/>
          <w:color w:val="000000"/>
          <w:sz w:val="18"/>
          <w:szCs w:val="18"/>
        </w:rPr>
        <w:t>3.（1）以水利水电施工总承包资质投标时，以联合体投标的，其中施工单位有两家（含两家）以上的，由招标人在招标文件中确定联合体信用评价的计分方式。</w:t>
      </w:r>
    </w:p>
    <w:p>
      <w:pPr>
        <w:pStyle w:val="164"/>
        <w:widowControl w:val="0"/>
        <w:snapToGrid w:val="0"/>
        <w:spacing w:before="0" w:beforeAutospacing="0" w:after="0" w:afterAutospacing="0"/>
        <w:ind w:left="88" w:firstLine="452" w:firstLineChars="250"/>
        <w:rPr>
          <w:rFonts w:hint="eastAsia" w:ascii="仿宋" w:hAnsi="仿宋" w:eastAsia="仿宋" w:cs="仿宋"/>
          <w:b/>
          <w:bCs/>
          <w:color w:val="000000"/>
          <w:sz w:val="18"/>
          <w:szCs w:val="18"/>
        </w:rPr>
      </w:pPr>
      <w:r>
        <w:rPr>
          <w:rFonts w:hint="eastAsia" w:ascii="仿宋" w:hAnsi="仿宋" w:eastAsia="仿宋" w:cs="仿宋"/>
          <w:b/>
          <w:bCs/>
          <w:color w:val="000000"/>
          <w:sz w:val="18"/>
          <w:szCs w:val="18"/>
        </w:rPr>
        <w:t>（2）以水利水电施工总承包资质投标时，投标人信用等级得分以全国和湖南省水利建设市场主体信用评级机构评定的信用等级对应得分中较低的一个分数为准，如某投标人的信用等级（全国水利建设市场主体）为AAA级，信用等级（湖南省水利建设市场主体）为A-级，则其信用等级得分以信用等级（湖南省水利建设市场主体）A-级得分为准。</w:t>
      </w:r>
    </w:p>
    <w:p>
      <w:pPr>
        <w:pStyle w:val="164"/>
        <w:widowControl w:val="0"/>
        <w:snapToGrid w:val="0"/>
        <w:spacing w:before="0" w:beforeAutospacing="0" w:after="0" w:afterAutospacing="0"/>
        <w:ind w:left="88" w:firstLine="452" w:firstLineChars="250"/>
        <w:rPr>
          <w:rFonts w:hint="eastAsia" w:ascii="仿宋" w:hAnsi="仿宋" w:eastAsia="仿宋" w:cs="仿宋"/>
          <w:b/>
          <w:bCs/>
          <w:color w:val="000000"/>
          <w:sz w:val="18"/>
          <w:szCs w:val="18"/>
        </w:rPr>
      </w:pPr>
      <w:r>
        <w:rPr>
          <w:rFonts w:hint="eastAsia" w:ascii="仿宋" w:hAnsi="仿宋" w:eastAsia="仿宋" w:cs="仿宋"/>
          <w:b/>
          <w:bCs/>
          <w:color w:val="000000"/>
          <w:sz w:val="18"/>
          <w:szCs w:val="18"/>
        </w:rPr>
        <w:t>首次进入湖南省水利建设市场、未申请信用评价以及连续两年无在建项目的市场主体单位，其湖南省信用等级默认为B级；未取得全国水利建设市场主体信用评价证书的，在湖南省水利建设市场其全国信用等级视为B级。</w:t>
      </w:r>
    </w:p>
    <w:p>
      <w:pPr>
        <w:pStyle w:val="164"/>
        <w:widowControl w:val="0"/>
        <w:snapToGrid w:val="0"/>
        <w:spacing w:before="0" w:beforeAutospacing="0" w:after="0" w:afterAutospacing="0"/>
        <w:ind w:left="88" w:firstLine="450" w:firstLineChars="250"/>
        <w:rPr>
          <w:rFonts w:hint="eastAsia" w:ascii="仿宋" w:hAnsi="仿宋" w:eastAsia="仿宋" w:cs="仿宋"/>
          <w:b/>
          <w:color w:val="000000"/>
          <w:sz w:val="18"/>
          <w:szCs w:val="18"/>
        </w:rPr>
      </w:pPr>
      <w:r>
        <w:rPr>
          <w:rFonts w:hint="eastAsia" w:ascii="仿宋" w:hAnsi="仿宋" w:eastAsia="仿宋" w:cs="仿宋"/>
          <w:color w:val="000000"/>
          <w:sz w:val="18"/>
          <w:szCs w:val="18"/>
        </w:rPr>
        <w:t>4.</w:t>
      </w:r>
      <w:r>
        <w:rPr>
          <w:rFonts w:hint="eastAsia" w:ascii="仿宋" w:hAnsi="仿宋" w:eastAsia="仿宋" w:cs="仿宋"/>
          <w:b/>
          <w:color w:val="000000"/>
          <w:sz w:val="18"/>
          <w:szCs w:val="18"/>
        </w:rPr>
        <w:t>联合体投标的，按照其联合体协议书约定的各成员工作量所占比例加权折算的原则确定联合体的信用评价分值。如联合体协议书约定联合体牵头人在本合同承担工作量为70%、联合体成员一在本合同承担工作量为20%、联合体成员二在本合同承担工作量为10%，则该联合体最终信用等级得分=联合体牵头人信用等级得分×70%+联合体成员一信用等级得分×20%+联合体成员二信用等级得分×10%。</w:t>
      </w:r>
    </w:p>
    <w:p>
      <w:pPr>
        <w:ind w:firstLine="540" w:firstLineChars="300"/>
        <w:jc w:val="left"/>
        <w:rPr>
          <w:rFonts w:hint="eastAsia" w:ascii="仿宋" w:hAnsi="仿宋" w:eastAsia="仿宋" w:cs="仿宋"/>
          <w:color w:val="000000"/>
          <w:sz w:val="18"/>
          <w:szCs w:val="18"/>
        </w:rPr>
      </w:pPr>
      <w:r>
        <w:rPr>
          <w:rFonts w:hint="eastAsia" w:ascii="仿宋" w:hAnsi="仿宋" w:eastAsia="仿宋" w:cs="仿宋"/>
          <w:color w:val="000000"/>
          <w:sz w:val="18"/>
          <w:szCs w:val="18"/>
        </w:rPr>
        <w:t>5. 企业类似项目经验要求见本文件第二章投标须知前附表第10.1款第2项的规定。</w:t>
      </w:r>
    </w:p>
    <w:p>
      <w:pPr>
        <w:pStyle w:val="164"/>
        <w:widowControl w:val="0"/>
        <w:snapToGrid w:val="0"/>
        <w:spacing w:before="0" w:beforeAutospacing="0" w:after="0" w:afterAutospacing="0"/>
        <w:ind w:firstLine="540" w:firstLineChars="300"/>
        <w:rPr>
          <w:rFonts w:hint="eastAsia" w:ascii="仿宋" w:hAnsi="仿宋" w:eastAsia="仿宋" w:cs="仿宋"/>
          <w:color w:val="000000"/>
          <w:sz w:val="18"/>
          <w:szCs w:val="18"/>
        </w:rPr>
      </w:pPr>
      <w:r>
        <w:rPr>
          <w:rFonts w:hint="eastAsia" w:ascii="仿宋" w:hAnsi="仿宋" w:eastAsia="仿宋" w:cs="仿宋"/>
          <w:color w:val="000000"/>
          <w:sz w:val="18"/>
          <w:szCs w:val="18"/>
        </w:rPr>
        <w:t>6.财务状况计算公式：流动比率=流动资产除以流动负债*100%；利润总额=营业利润+营业外收入-营业外支出；净利润=利润总额-所得税费用；资产负债率=负债合计除以资产合计*100%。</w:t>
      </w:r>
    </w:p>
    <w:p>
      <w:pPr>
        <w:pStyle w:val="164"/>
        <w:widowControl w:val="0"/>
        <w:snapToGrid w:val="0"/>
        <w:spacing w:before="0" w:beforeAutospacing="0" w:after="0" w:afterAutospacing="0"/>
        <w:ind w:left="88" w:leftChars="42" w:firstLine="450" w:firstLineChars="250"/>
        <w:rPr>
          <w:rFonts w:hint="eastAsia" w:ascii="仿宋" w:hAnsi="仿宋" w:eastAsia="仿宋" w:cs="仿宋"/>
          <w:color w:val="000000"/>
          <w:sz w:val="18"/>
          <w:szCs w:val="18"/>
        </w:rPr>
      </w:pPr>
      <w:r>
        <w:rPr>
          <w:rFonts w:hint="eastAsia" w:ascii="仿宋" w:hAnsi="仿宋" w:eastAsia="仿宋" w:cs="仿宋"/>
          <w:color w:val="000000"/>
          <w:sz w:val="18"/>
          <w:szCs w:val="18"/>
        </w:rPr>
        <w:t>7.工程获奖、年度考核、技术创新在评标办法中是否计分由招标人根据项目情况选择使用。招标人不得对投标人获得的上述奖项以外的其他奖项进行计分。本评分标准表中的工程获奖均指农田建设项目工程的获奖，且为单位（标段）获奖。同一标段获得多个奖项的，不重复计分（以得分最高计）。同一单位考核获得多个名次的，不重复计分（以得分最高计，首次进入或未得到考核名次的按其他计分），省级考核适用于全省范围、县区级考核仅适用于本行政范围。同一技术创新获得多个奖项的，不重复计分（以得分最高计）。</w:t>
      </w:r>
    </w:p>
    <w:p>
      <w:pPr>
        <w:pStyle w:val="164"/>
        <w:widowControl w:val="0"/>
        <w:snapToGrid w:val="0"/>
        <w:spacing w:before="0" w:beforeAutospacing="0" w:after="0" w:afterAutospacing="0"/>
        <w:ind w:left="88" w:leftChars="42" w:firstLine="450" w:firstLineChars="250"/>
        <w:rPr>
          <w:rFonts w:hint="eastAsia" w:ascii="仿宋" w:hAnsi="仿宋" w:eastAsia="仿宋" w:cs="仿宋"/>
          <w:color w:val="000000"/>
          <w:sz w:val="18"/>
          <w:szCs w:val="18"/>
        </w:rPr>
      </w:pPr>
      <w:r>
        <w:rPr>
          <w:rFonts w:hint="eastAsia" w:ascii="仿宋" w:hAnsi="仿宋" w:eastAsia="仿宋" w:cs="仿宋"/>
          <w:color w:val="000000"/>
          <w:sz w:val="18"/>
          <w:szCs w:val="18"/>
        </w:rPr>
        <w:t>8.联合体投标的，仅对联合体牵头人的工程获奖和技术创新计分。</w:t>
      </w:r>
    </w:p>
    <w:p>
      <w:pPr>
        <w:pStyle w:val="164"/>
        <w:widowControl w:val="0"/>
        <w:snapToGrid w:val="0"/>
        <w:spacing w:before="0" w:beforeAutospacing="0" w:after="0" w:afterAutospacing="0"/>
        <w:ind w:left="88" w:leftChars="42" w:firstLine="450" w:firstLineChars="250"/>
        <w:rPr>
          <w:rFonts w:hint="eastAsia" w:ascii="仿宋" w:hAnsi="仿宋" w:eastAsia="仿宋" w:cs="仿宋"/>
          <w:color w:val="000000"/>
          <w:sz w:val="18"/>
          <w:szCs w:val="18"/>
        </w:rPr>
      </w:pPr>
      <w:r>
        <w:rPr>
          <w:rFonts w:hint="eastAsia" w:ascii="仿宋" w:hAnsi="仿宋" w:eastAsia="仿宋" w:cs="仿宋"/>
          <w:color w:val="000000"/>
          <w:sz w:val="18"/>
          <w:szCs w:val="18"/>
        </w:rPr>
        <w:t>9.联合体投标的，仅对联合体牵头人的财务状况计分。</w:t>
      </w:r>
    </w:p>
    <w:p>
      <w:pPr>
        <w:pStyle w:val="164"/>
        <w:widowControl w:val="0"/>
        <w:snapToGrid w:val="0"/>
        <w:spacing w:before="0" w:beforeAutospacing="0" w:after="0" w:afterAutospacing="0"/>
        <w:ind w:firstLine="540" w:firstLineChars="300"/>
        <w:rPr>
          <w:rFonts w:ascii="仿宋" w:hAnsi="仿宋" w:eastAsia="仿宋" w:cs="仿宋"/>
          <w:color w:val="000000"/>
          <w:sz w:val="18"/>
          <w:szCs w:val="18"/>
        </w:rPr>
      </w:pPr>
      <w:r>
        <w:rPr>
          <w:rFonts w:hint="eastAsia" w:ascii="仿宋" w:hAnsi="仿宋" w:eastAsia="仿宋" w:cs="仿宋"/>
          <w:color w:val="000000"/>
          <w:sz w:val="18"/>
          <w:szCs w:val="18"/>
        </w:rPr>
        <w:t>10、联合体投标的，仅对联合体牵头人的考核名次计分。</w:t>
      </w:r>
    </w:p>
    <w:p>
      <w:pPr>
        <w:pStyle w:val="164"/>
        <w:widowControl w:val="0"/>
        <w:snapToGrid w:val="0"/>
        <w:spacing w:before="0" w:beforeAutospacing="0" w:after="0" w:afterAutospacing="0"/>
        <w:ind w:left="88" w:leftChars="42" w:firstLine="450" w:firstLineChars="250"/>
        <w:rPr>
          <w:rFonts w:hint="eastAsia" w:ascii="仿宋" w:hAnsi="仿宋" w:eastAsia="仿宋" w:cs="仿宋"/>
          <w:color w:val="000000"/>
          <w:sz w:val="18"/>
          <w:szCs w:val="18"/>
        </w:rPr>
      </w:pPr>
    </w:p>
    <w:p>
      <w:pPr>
        <w:spacing w:line="600" w:lineRule="exact"/>
        <w:jc w:val="left"/>
        <w:rPr>
          <w:rFonts w:hint="eastAsia" w:ascii="仿宋" w:hAnsi="仿宋" w:eastAsia="仿宋" w:cs="仿宋"/>
          <w:color w:val="000000"/>
          <w:sz w:val="24"/>
        </w:rPr>
      </w:pPr>
    </w:p>
    <w:p>
      <w:pPr>
        <w:spacing w:line="600" w:lineRule="exact"/>
        <w:jc w:val="left"/>
        <w:rPr>
          <w:rFonts w:hint="eastAsia" w:ascii="仿宋" w:hAnsi="仿宋" w:eastAsia="仿宋" w:cs="仿宋"/>
          <w:color w:val="000000"/>
          <w:sz w:val="28"/>
          <w:szCs w:val="21"/>
        </w:rPr>
      </w:pPr>
      <w:r>
        <w:rPr>
          <w:rFonts w:hint="eastAsia" w:ascii="仿宋" w:hAnsi="仿宋" w:eastAsia="仿宋" w:cs="仿宋"/>
          <w:color w:val="000000"/>
          <w:sz w:val="24"/>
        </w:rPr>
        <w:t>评委签字：</w:t>
      </w:r>
    </w:p>
    <w:p>
      <w:pPr>
        <w:snapToGrid w:val="0"/>
        <w:spacing w:line="490" w:lineRule="exact"/>
        <w:rPr>
          <w:rFonts w:eastAsia="黑体"/>
          <w:bCs/>
          <w:color w:val="000000"/>
          <w:sz w:val="28"/>
          <w:szCs w:val="20"/>
        </w:rPr>
      </w:pPr>
    </w:p>
    <w:p>
      <w:pPr>
        <w:snapToGrid w:val="0"/>
        <w:spacing w:line="490" w:lineRule="exact"/>
        <w:rPr>
          <w:rFonts w:eastAsia="黑体"/>
          <w:bCs/>
          <w:color w:val="000000"/>
          <w:sz w:val="28"/>
          <w:szCs w:val="20"/>
        </w:rPr>
      </w:pPr>
    </w:p>
    <w:p>
      <w:pPr>
        <w:snapToGrid w:val="0"/>
        <w:spacing w:line="490" w:lineRule="exact"/>
        <w:rPr>
          <w:rFonts w:eastAsia="黑体"/>
          <w:bCs/>
          <w:color w:val="000000"/>
          <w:sz w:val="28"/>
          <w:szCs w:val="20"/>
        </w:rPr>
      </w:pPr>
    </w:p>
    <w:p>
      <w:pPr>
        <w:snapToGrid w:val="0"/>
        <w:spacing w:line="490" w:lineRule="exact"/>
        <w:rPr>
          <w:rFonts w:eastAsia="黑体"/>
          <w:bCs/>
          <w:color w:val="000000"/>
          <w:sz w:val="28"/>
          <w:szCs w:val="20"/>
        </w:rPr>
      </w:pPr>
    </w:p>
    <w:p>
      <w:pPr>
        <w:snapToGrid w:val="0"/>
        <w:spacing w:line="490" w:lineRule="exact"/>
        <w:rPr>
          <w:rFonts w:eastAsia="黑体"/>
          <w:bCs/>
          <w:color w:val="000000"/>
          <w:sz w:val="28"/>
          <w:szCs w:val="20"/>
        </w:rPr>
      </w:pPr>
    </w:p>
    <w:p>
      <w:pPr>
        <w:snapToGrid w:val="0"/>
        <w:spacing w:line="490" w:lineRule="exact"/>
        <w:rPr>
          <w:rFonts w:eastAsia="黑体"/>
          <w:bCs/>
          <w:color w:val="000000"/>
          <w:sz w:val="28"/>
          <w:szCs w:val="20"/>
        </w:rPr>
      </w:pPr>
    </w:p>
    <w:p>
      <w:pPr>
        <w:snapToGrid w:val="0"/>
        <w:spacing w:line="490" w:lineRule="exact"/>
        <w:rPr>
          <w:rFonts w:eastAsia="黑体"/>
          <w:bCs/>
          <w:color w:val="000000"/>
          <w:sz w:val="28"/>
          <w:szCs w:val="20"/>
        </w:rPr>
      </w:pPr>
    </w:p>
    <w:p>
      <w:pPr>
        <w:snapToGrid w:val="0"/>
        <w:spacing w:line="490" w:lineRule="exact"/>
        <w:rPr>
          <w:rFonts w:eastAsia="黑体"/>
          <w:bCs/>
          <w:color w:val="000000"/>
          <w:sz w:val="28"/>
          <w:szCs w:val="20"/>
        </w:rPr>
      </w:pPr>
    </w:p>
    <w:p>
      <w:pPr>
        <w:snapToGrid w:val="0"/>
        <w:spacing w:line="490" w:lineRule="exact"/>
        <w:rPr>
          <w:rFonts w:eastAsia="黑体"/>
          <w:bCs/>
          <w:color w:val="000000"/>
          <w:sz w:val="28"/>
          <w:szCs w:val="20"/>
        </w:rPr>
      </w:pPr>
    </w:p>
    <w:p>
      <w:pPr>
        <w:snapToGrid w:val="0"/>
        <w:spacing w:line="490" w:lineRule="exact"/>
        <w:rPr>
          <w:rFonts w:eastAsia="黑体"/>
          <w:bCs/>
          <w:color w:val="000000"/>
          <w:sz w:val="28"/>
          <w:szCs w:val="20"/>
        </w:rPr>
      </w:pPr>
    </w:p>
    <w:p>
      <w:pPr>
        <w:pStyle w:val="2"/>
        <w:rPr>
          <w:rFonts w:eastAsia="黑体"/>
          <w:bCs/>
          <w:color w:val="000000"/>
          <w:sz w:val="28"/>
          <w:szCs w:val="20"/>
        </w:rPr>
      </w:pPr>
    </w:p>
    <w:p>
      <w:pPr>
        <w:pStyle w:val="2"/>
        <w:rPr>
          <w:rFonts w:eastAsia="黑体"/>
          <w:bCs/>
          <w:color w:val="000000"/>
          <w:sz w:val="28"/>
          <w:szCs w:val="20"/>
        </w:rPr>
      </w:pPr>
    </w:p>
    <w:p>
      <w:pPr>
        <w:pStyle w:val="2"/>
        <w:rPr>
          <w:rFonts w:eastAsia="黑体"/>
          <w:bCs/>
          <w:color w:val="000000"/>
          <w:sz w:val="28"/>
          <w:szCs w:val="20"/>
        </w:rPr>
      </w:pPr>
    </w:p>
    <w:p>
      <w:pPr>
        <w:pStyle w:val="2"/>
        <w:rPr>
          <w:rFonts w:eastAsia="黑体"/>
          <w:bCs/>
          <w:color w:val="000000"/>
          <w:sz w:val="28"/>
          <w:szCs w:val="20"/>
        </w:rPr>
      </w:pPr>
    </w:p>
    <w:p>
      <w:pPr>
        <w:pStyle w:val="2"/>
        <w:rPr>
          <w:rFonts w:eastAsia="黑体"/>
          <w:bCs/>
          <w:color w:val="000000"/>
          <w:sz w:val="28"/>
          <w:szCs w:val="20"/>
        </w:rPr>
      </w:pPr>
    </w:p>
    <w:p>
      <w:pPr>
        <w:pStyle w:val="2"/>
        <w:rPr>
          <w:rFonts w:eastAsia="黑体"/>
          <w:bCs/>
          <w:color w:val="000000"/>
          <w:sz w:val="28"/>
          <w:szCs w:val="20"/>
        </w:rPr>
      </w:pPr>
    </w:p>
    <w:p>
      <w:pPr>
        <w:pStyle w:val="2"/>
        <w:rPr>
          <w:rFonts w:eastAsia="黑体"/>
          <w:bCs/>
          <w:color w:val="000000"/>
          <w:sz w:val="28"/>
          <w:szCs w:val="20"/>
        </w:rPr>
      </w:pPr>
    </w:p>
    <w:p>
      <w:pPr>
        <w:pStyle w:val="2"/>
        <w:rPr>
          <w:rFonts w:eastAsia="黑体"/>
          <w:bCs/>
          <w:color w:val="000000"/>
          <w:sz w:val="28"/>
          <w:szCs w:val="20"/>
        </w:rPr>
      </w:pPr>
    </w:p>
    <w:p>
      <w:pPr>
        <w:pStyle w:val="2"/>
        <w:rPr>
          <w:rFonts w:eastAsia="黑体"/>
          <w:bCs/>
          <w:color w:val="000000"/>
          <w:sz w:val="28"/>
          <w:szCs w:val="20"/>
        </w:rPr>
      </w:pPr>
    </w:p>
    <w:p>
      <w:pPr>
        <w:snapToGrid w:val="0"/>
        <w:spacing w:line="490" w:lineRule="exact"/>
        <w:rPr>
          <w:rFonts w:eastAsia="黑体"/>
          <w:bCs/>
          <w:color w:val="000000"/>
          <w:sz w:val="28"/>
          <w:szCs w:val="20"/>
        </w:rPr>
      </w:pPr>
    </w:p>
    <w:p>
      <w:pPr>
        <w:snapToGrid w:val="0"/>
        <w:spacing w:line="490" w:lineRule="exact"/>
        <w:outlineLvl w:val="4"/>
        <w:rPr>
          <w:rFonts w:eastAsia="黑体"/>
          <w:bCs/>
          <w:color w:val="000000"/>
          <w:sz w:val="28"/>
          <w:szCs w:val="20"/>
        </w:rPr>
      </w:pPr>
      <w:r>
        <w:rPr>
          <w:rFonts w:eastAsia="黑体"/>
          <w:bCs/>
          <w:color w:val="000000"/>
          <w:sz w:val="28"/>
          <w:szCs w:val="20"/>
        </w:rPr>
        <w:t>附表3-7（4）：详细评审</w:t>
      </w:r>
      <w:r>
        <w:rPr>
          <w:rFonts w:hint="eastAsia" w:eastAsia="黑体"/>
          <w:bCs/>
          <w:color w:val="000000"/>
          <w:sz w:val="28"/>
          <w:szCs w:val="20"/>
        </w:rPr>
        <w:t>－</w:t>
      </w:r>
      <w:r>
        <w:rPr>
          <w:rFonts w:eastAsia="黑体"/>
          <w:bCs/>
          <w:color w:val="000000"/>
          <w:sz w:val="28"/>
          <w:szCs w:val="20"/>
        </w:rPr>
        <w:t>投标报价评分表</w:t>
      </w:r>
      <w:bookmarkEnd w:id="893"/>
      <w:bookmarkEnd w:id="894"/>
    </w:p>
    <w:p>
      <w:pPr>
        <w:pStyle w:val="32"/>
        <w:spacing w:line="490" w:lineRule="exact"/>
        <w:ind w:left="0" w:firstLine="0" w:firstLineChars="0"/>
        <w:jc w:val="center"/>
        <w:rPr>
          <w:rFonts w:eastAsia="方正小标宋_GBK"/>
          <w:b/>
          <w:bCs/>
          <w:color w:val="000000"/>
          <w:sz w:val="36"/>
          <w:szCs w:val="36"/>
        </w:rPr>
      </w:pPr>
    </w:p>
    <w:p>
      <w:pPr>
        <w:pStyle w:val="32"/>
        <w:spacing w:line="490" w:lineRule="exact"/>
        <w:ind w:left="0" w:firstLine="0" w:firstLineChars="0"/>
        <w:jc w:val="center"/>
        <w:rPr>
          <w:rFonts w:hint="eastAsia" w:ascii="方正小标宋简体" w:eastAsia="方正小标宋简体"/>
          <w:bCs/>
          <w:color w:val="000000"/>
          <w:sz w:val="36"/>
          <w:szCs w:val="36"/>
        </w:rPr>
      </w:pPr>
      <w:r>
        <w:rPr>
          <w:rFonts w:hint="eastAsia" w:ascii="方正小标宋简体" w:eastAsia="方正小标宋简体"/>
          <w:bCs/>
          <w:color w:val="000000"/>
          <w:sz w:val="36"/>
          <w:szCs w:val="36"/>
        </w:rPr>
        <w:t>1.投标报价评分标准</w:t>
      </w:r>
    </w:p>
    <w:p>
      <w:pPr>
        <w:pStyle w:val="32"/>
        <w:spacing w:line="600" w:lineRule="exact"/>
        <w:ind w:left="0" w:firstLine="0" w:firstLineChars="0"/>
        <w:jc w:val="center"/>
        <w:rPr>
          <w:rFonts w:eastAsia="方正小标宋_GBK"/>
          <w:b/>
          <w:bCs/>
          <w:color w:val="000000"/>
          <w:sz w:val="44"/>
          <w:szCs w:val="20"/>
        </w:rPr>
      </w:pP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104"/>
        <w:gridCol w:w="1414"/>
        <w:gridCol w:w="6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2" w:hRule="atLeast"/>
          <w:jc w:val="center"/>
        </w:trPr>
        <w:tc>
          <w:tcPr>
            <w:tcW w:w="850" w:type="dxa"/>
            <w:vMerge w:val="restart"/>
            <w:noWrap w:val="0"/>
            <w:vAlign w:val="center"/>
          </w:tcPr>
          <w:p>
            <w:pPr>
              <w:autoSpaceDE w:val="0"/>
              <w:autoSpaceDN w:val="0"/>
              <w:adjustRightInd w:val="0"/>
              <w:jc w:val="left"/>
              <w:rPr>
                <w:rFonts w:hint="eastAsia" w:ascii="仿宋" w:hAnsi="仿宋" w:eastAsia="仿宋" w:cs="仿宋"/>
                <w:color w:val="000000"/>
                <w:kern w:val="0"/>
                <w:sz w:val="24"/>
              </w:rPr>
            </w:pPr>
            <w:r>
              <w:rPr>
                <w:rFonts w:hint="eastAsia" w:ascii="仿宋" w:hAnsi="仿宋" w:eastAsia="仿宋" w:cs="仿宋"/>
                <w:color w:val="000000"/>
                <w:kern w:val="0"/>
                <w:sz w:val="24"/>
              </w:rPr>
              <w:t>2.2.4（4）</w:t>
            </w:r>
          </w:p>
        </w:tc>
        <w:tc>
          <w:tcPr>
            <w:tcW w:w="1104" w:type="dxa"/>
            <w:vMerge w:val="restart"/>
            <w:noWrap w:val="0"/>
            <w:vAlign w:val="center"/>
          </w:tcPr>
          <w:p>
            <w:pPr>
              <w:autoSpaceDE w:val="0"/>
              <w:autoSpaceDN w:val="0"/>
              <w:adjustRightInd w:val="0"/>
              <w:jc w:val="center"/>
              <w:rPr>
                <w:rFonts w:hint="eastAsia" w:ascii="仿宋" w:hAnsi="仿宋" w:eastAsia="仿宋" w:cs="仿宋"/>
                <w:color w:val="000000"/>
                <w:kern w:val="0"/>
                <w:sz w:val="24"/>
              </w:rPr>
            </w:pPr>
            <w:r>
              <w:rPr>
                <w:rFonts w:hint="eastAsia" w:ascii="仿宋" w:hAnsi="仿宋" w:eastAsia="仿宋" w:cs="仿宋"/>
                <w:color w:val="000000"/>
                <w:kern w:val="0"/>
                <w:sz w:val="24"/>
              </w:rPr>
              <w:t>投标报价评分标准（100分）</w:t>
            </w:r>
          </w:p>
        </w:tc>
        <w:tc>
          <w:tcPr>
            <w:tcW w:w="1414" w:type="dxa"/>
            <w:noWrap w:val="0"/>
            <w:vAlign w:val="center"/>
          </w:tcPr>
          <w:p>
            <w:pPr>
              <w:autoSpaceDE w:val="0"/>
              <w:autoSpaceDN w:val="0"/>
              <w:adjustRightInd w:val="0"/>
              <w:jc w:val="center"/>
              <w:rPr>
                <w:rFonts w:hint="eastAsia" w:ascii="仿宋" w:hAnsi="仿宋" w:eastAsia="仿宋" w:cs="仿宋"/>
                <w:color w:val="000000"/>
                <w:kern w:val="0"/>
                <w:sz w:val="24"/>
              </w:rPr>
            </w:pPr>
            <w:r>
              <w:rPr>
                <w:rFonts w:hint="eastAsia" w:ascii="仿宋" w:hAnsi="仿宋" w:eastAsia="仿宋" w:cs="仿宋"/>
                <w:color w:val="000000"/>
                <w:kern w:val="0"/>
                <w:sz w:val="24"/>
              </w:rPr>
              <w:t>偏差率（X）</w:t>
            </w:r>
          </w:p>
        </w:tc>
        <w:tc>
          <w:tcPr>
            <w:tcW w:w="6146" w:type="dxa"/>
            <w:noWrap w:val="0"/>
            <w:vAlign w:val="center"/>
          </w:tcPr>
          <w:p>
            <w:pPr>
              <w:autoSpaceDE w:val="0"/>
              <w:autoSpaceDN w:val="0"/>
              <w:adjustRightInd w:val="0"/>
              <w:jc w:val="center"/>
              <w:rPr>
                <w:rFonts w:hint="eastAsia" w:ascii="仿宋" w:hAnsi="仿宋" w:eastAsia="仿宋" w:cs="仿宋"/>
                <w:color w:val="000000"/>
                <w:kern w:val="0"/>
                <w:sz w:val="24"/>
              </w:rPr>
            </w:pPr>
            <w:r>
              <w:rPr>
                <w:rFonts w:hint="eastAsia" w:ascii="仿宋" w:hAnsi="仿宋" w:eastAsia="仿宋" w:cs="仿宋"/>
                <w:color w:val="000000"/>
                <w:kern w:val="0"/>
                <w:sz w:val="24"/>
              </w:rPr>
              <w:t>X=（</w:t>
            </w:r>
            <w:r>
              <w:rPr>
                <w:rFonts w:hint="eastAsia" w:ascii="仿宋" w:hAnsi="仿宋" w:eastAsia="仿宋" w:cs="仿宋"/>
                <w:color w:val="000000"/>
                <w:sz w:val="24"/>
              </w:rPr>
              <w:t>投标人报价</w:t>
            </w:r>
            <w:r>
              <w:rPr>
                <w:rFonts w:hint="eastAsia" w:ascii="仿宋" w:hAnsi="仿宋" w:eastAsia="仿宋" w:cs="仿宋"/>
                <w:color w:val="000000"/>
                <w:kern w:val="0"/>
                <w:sz w:val="24"/>
              </w:rPr>
              <w:t>-评标基准价）÷评标基准价×100％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50" w:type="dxa"/>
            <w:vMerge w:val="continue"/>
            <w:noWrap w:val="0"/>
            <w:vAlign w:val="center"/>
          </w:tcPr>
          <w:p>
            <w:pPr>
              <w:autoSpaceDE w:val="0"/>
              <w:autoSpaceDN w:val="0"/>
              <w:adjustRightInd w:val="0"/>
              <w:ind w:firstLine="480"/>
              <w:jc w:val="center"/>
              <w:rPr>
                <w:rFonts w:hint="eastAsia" w:ascii="仿宋" w:hAnsi="仿宋" w:eastAsia="仿宋" w:cs="仿宋"/>
                <w:color w:val="000000"/>
                <w:kern w:val="0"/>
                <w:sz w:val="24"/>
              </w:rPr>
            </w:pPr>
          </w:p>
        </w:tc>
        <w:tc>
          <w:tcPr>
            <w:tcW w:w="1104" w:type="dxa"/>
            <w:vMerge w:val="continue"/>
            <w:noWrap w:val="0"/>
            <w:vAlign w:val="center"/>
          </w:tcPr>
          <w:p>
            <w:pPr>
              <w:autoSpaceDE w:val="0"/>
              <w:autoSpaceDN w:val="0"/>
              <w:adjustRightInd w:val="0"/>
              <w:ind w:firstLine="480"/>
              <w:jc w:val="center"/>
              <w:rPr>
                <w:rFonts w:hint="eastAsia" w:ascii="仿宋" w:hAnsi="仿宋" w:eastAsia="仿宋" w:cs="仿宋"/>
                <w:color w:val="000000"/>
                <w:kern w:val="0"/>
                <w:sz w:val="24"/>
              </w:rPr>
            </w:pPr>
          </w:p>
        </w:tc>
        <w:tc>
          <w:tcPr>
            <w:tcW w:w="1414" w:type="dxa"/>
            <w:noWrap w:val="0"/>
            <w:vAlign w:val="center"/>
          </w:tcPr>
          <w:p>
            <w:pPr>
              <w:autoSpaceDE w:val="0"/>
              <w:autoSpaceDN w:val="0"/>
              <w:adjustRightInd w:val="0"/>
              <w:jc w:val="center"/>
              <w:rPr>
                <w:rFonts w:hint="eastAsia" w:ascii="仿宋" w:hAnsi="仿宋" w:eastAsia="仿宋" w:cs="仿宋"/>
                <w:color w:val="000000"/>
                <w:kern w:val="0"/>
                <w:sz w:val="24"/>
              </w:rPr>
            </w:pPr>
            <w:r>
              <w:rPr>
                <w:rFonts w:hint="eastAsia" w:ascii="仿宋" w:hAnsi="仿宋" w:eastAsia="仿宋" w:cs="仿宋"/>
                <w:color w:val="000000"/>
                <w:kern w:val="0"/>
                <w:sz w:val="24"/>
              </w:rPr>
              <w:t>投标报价总价评分标准（</w:t>
            </w:r>
            <w:r>
              <w:rPr>
                <w:rFonts w:hint="eastAsia" w:ascii="仿宋" w:hAnsi="仿宋" w:eastAsia="仿宋" w:cs="仿宋"/>
                <w:color w:val="000000"/>
                <w:sz w:val="24"/>
              </w:rPr>
              <w:t>100</w:t>
            </w:r>
            <w:r>
              <w:rPr>
                <w:rFonts w:hint="eastAsia" w:ascii="仿宋" w:hAnsi="仿宋" w:eastAsia="仿宋" w:cs="仿宋"/>
                <w:color w:val="000000"/>
                <w:kern w:val="0"/>
                <w:sz w:val="24"/>
              </w:rPr>
              <w:t>分）</w:t>
            </w:r>
          </w:p>
        </w:tc>
        <w:tc>
          <w:tcPr>
            <w:tcW w:w="6146" w:type="dxa"/>
            <w:noWrap w:val="0"/>
            <w:vAlign w:val="center"/>
          </w:tcPr>
          <w:p>
            <w:pPr>
              <w:autoSpaceDE w:val="0"/>
              <w:autoSpaceDN w:val="0"/>
              <w:adjustRightInd w:val="0"/>
              <w:jc w:val="left"/>
              <w:rPr>
                <w:rFonts w:hint="eastAsia" w:ascii="仿宋" w:hAnsi="仿宋" w:eastAsia="仿宋" w:cs="仿宋"/>
                <w:color w:val="000000"/>
                <w:kern w:val="0"/>
                <w:sz w:val="24"/>
              </w:rPr>
            </w:pPr>
            <w:r>
              <w:rPr>
                <w:rFonts w:hint="eastAsia" w:ascii="仿宋" w:hAnsi="仿宋" w:eastAsia="仿宋" w:cs="仿宋"/>
                <w:color w:val="000000"/>
                <w:kern w:val="0"/>
                <w:sz w:val="24"/>
              </w:rPr>
              <w:t>偏差率大于0：偏差率从0开始每递升1％减1.5分。</w:t>
            </w:r>
          </w:p>
          <w:p>
            <w:pPr>
              <w:autoSpaceDE w:val="0"/>
              <w:autoSpaceDN w:val="0"/>
              <w:adjustRightInd w:val="0"/>
              <w:rPr>
                <w:rFonts w:hint="eastAsia" w:ascii="仿宋" w:hAnsi="仿宋" w:eastAsia="仿宋" w:cs="仿宋"/>
                <w:color w:val="000000"/>
                <w:kern w:val="0"/>
                <w:sz w:val="24"/>
              </w:rPr>
            </w:pPr>
            <w:r>
              <w:rPr>
                <w:rFonts w:hint="eastAsia" w:ascii="仿宋" w:hAnsi="仿宋" w:eastAsia="仿宋" w:cs="仿宋"/>
                <w:color w:val="000000"/>
                <w:kern w:val="0"/>
                <w:sz w:val="24"/>
              </w:rPr>
              <w:t>偏差率等于0：报价分为</w:t>
            </w:r>
            <w:r>
              <w:rPr>
                <w:rFonts w:hint="eastAsia" w:ascii="仿宋" w:hAnsi="仿宋" w:eastAsia="仿宋" w:cs="仿宋"/>
                <w:color w:val="000000"/>
                <w:sz w:val="24"/>
                <w:u w:val="single"/>
              </w:rPr>
              <w:t xml:space="preserve"> 100 </w:t>
            </w:r>
            <w:r>
              <w:rPr>
                <w:rFonts w:hint="eastAsia" w:ascii="仿宋" w:hAnsi="仿宋" w:eastAsia="仿宋" w:cs="仿宋"/>
                <w:color w:val="000000"/>
                <w:kern w:val="0"/>
                <w:sz w:val="24"/>
              </w:rPr>
              <w:t>分；</w:t>
            </w:r>
          </w:p>
          <w:p>
            <w:pPr>
              <w:autoSpaceDE w:val="0"/>
              <w:autoSpaceDN w:val="0"/>
              <w:adjustRightInd w:val="0"/>
              <w:jc w:val="left"/>
              <w:rPr>
                <w:rFonts w:hint="eastAsia" w:ascii="仿宋" w:hAnsi="仿宋" w:eastAsia="仿宋" w:cs="仿宋"/>
                <w:color w:val="000000"/>
                <w:kern w:val="0"/>
                <w:sz w:val="24"/>
              </w:rPr>
            </w:pPr>
            <w:r>
              <w:rPr>
                <w:rFonts w:hint="eastAsia" w:ascii="仿宋" w:hAnsi="仿宋" w:eastAsia="仿宋" w:cs="仿宋"/>
                <w:color w:val="000000"/>
                <w:kern w:val="0"/>
                <w:sz w:val="24"/>
              </w:rPr>
              <w:t>偏差率小于0：偏差率从0开始每降1％减1分计算。</w:t>
            </w:r>
          </w:p>
        </w:tc>
      </w:tr>
    </w:tbl>
    <w:p>
      <w:pPr>
        <w:spacing w:before="120" w:beforeLines="50" w:after="120" w:afterLines="50"/>
        <w:rPr>
          <w:b/>
          <w:color w:val="000000"/>
          <w:szCs w:val="21"/>
        </w:rPr>
      </w:pPr>
    </w:p>
    <w:p>
      <w:pPr>
        <w:spacing w:before="120" w:beforeLines="50" w:after="120" w:afterLines="50"/>
        <w:rPr>
          <w:b/>
          <w:color w:val="000000"/>
          <w:szCs w:val="21"/>
        </w:rPr>
      </w:pPr>
    </w:p>
    <w:p>
      <w:pPr>
        <w:pStyle w:val="32"/>
        <w:spacing w:line="490" w:lineRule="exact"/>
        <w:ind w:left="0" w:firstLine="0" w:firstLineChars="0"/>
        <w:outlineLvl w:val="4"/>
        <w:rPr>
          <w:rFonts w:eastAsia="黑体"/>
          <w:bCs/>
          <w:color w:val="000000"/>
          <w:sz w:val="28"/>
          <w:szCs w:val="28"/>
        </w:rPr>
      </w:pPr>
      <w:r>
        <w:rPr>
          <w:color w:val="000000"/>
        </w:rPr>
        <w:br w:type="page"/>
      </w:r>
      <w:bookmarkStart w:id="895" w:name="_Toc511317268"/>
      <w:bookmarkStart w:id="896" w:name="_Toc511318017"/>
      <w:r>
        <w:rPr>
          <w:rFonts w:eastAsia="黑体"/>
          <w:bCs/>
          <w:color w:val="000000"/>
          <w:sz w:val="28"/>
          <w:szCs w:val="28"/>
        </w:rPr>
        <w:t>附表3-8：权数取值表</w:t>
      </w:r>
      <w:bookmarkEnd w:id="895"/>
      <w:bookmarkEnd w:id="896"/>
    </w:p>
    <w:p>
      <w:pPr>
        <w:pStyle w:val="32"/>
        <w:spacing w:line="490" w:lineRule="exact"/>
        <w:ind w:left="0" w:firstLine="0" w:firstLineChars="0"/>
        <w:jc w:val="center"/>
        <w:rPr>
          <w:rFonts w:eastAsia="方正小标宋_GBK"/>
          <w:b/>
          <w:bCs/>
          <w:color w:val="000000"/>
          <w:sz w:val="36"/>
          <w:szCs w:val="20"/>
        </w:rPr>
      </w:pPr>
    </w:p>
    <w:p>
      <w:pPr>
        <w:pStyle w:val="32"/>
        <w:spacing w:line="490" w:lineRule="exact"/>
        <w:ind w:left="0" w:firstLine="0" w:firstLineChars="0"/>
        <w:jc w:val="center"/>
        <w:rPr>
          <w:rFonts w:hint="eastAsia" w:ascii="方正小标宋简体" w:eastAsia="方正小标宋简体"/>
          <w:bCs/>
          <w:color w:val="000000"/>
          <w:sz w:val="36"/>
          <w:szCs w:val="36"/>
        </w:rPr>
      </w:pPr>
      <w:r>
        <w:rPr>
          <w:rFonts w:hint="eastAsia" w:ascii="方正小标宋简体" w:eastAsia="方正小标宋简体"/>
          <w:bCs/>
          <w:color w:val="000000"/>
          <w:sz w:val="36"/>
          <w:szCs w:val="36"/>
        </w:rPr>
        <w:t>权数取值表</w:t>
      </w:r>
    </w:p>
    <w:p>
      <w:pPr>
        <w:pStyle w:val="32"/>
        <w:spacing w:line="490" w:lineRule="exact"/>
        <w:ind w:left="0" w:firstLine="0" w:firstLineChars="0"/>
        <w:jc w:val="center"/>
        <w:rPr>
          <w:rFonts w:eastAsia="仿宋"/>
          <w:b/>
          <w:bCs/>
          <w:color w:val="000000"/>
          <w:sz w:val="36"/>
          <w:szCs w:val="20"/>
        </w:rPr>
      </w:pP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2835"/>
        <w:gridCol w:w="2127"/>
        <w:gridCol w:w="2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exact"/>
          <w:jc w:val="center"/>
        </w:trPr>
        <w:tc>
          <w:tcPr>
            <w:tcW w:w="1044" w:type="dxa"/>
            <w:vMerge w:val="restart"/>
            <w:noWrap w:val="0"/>
            <w:vAlign w:val="center"/>
          </w:tcPr>
          <w:p>
            <w:pPr>
              <w:jc w:val="center"/>
              <w:rPr>
                <w:rFonts w:hint="eastAsia" w:ascii="仿宋" w:hAnsi="仿宋" w:eastAsia="仿宋" w:cs="仿宋"/>
                <w:color w:val="000000"/>
                <w:sz w:val="24"/>
              </w:rPr>
            </w:pPr>
            <w:r>
              <w:rPr>
                <w:rFonts w:hint="eastAsia" w:ascii="仿宋" w:hAnsi="仿宋" w:eastAsia="仿宋" w:cs="仿宋"/>
                <w:color w:val="000000"/>
                <w:sz w:val="24"/>
              </w:rPr>
              <w:t>序号</w:t>
            </w:r>
          </w:p>
        </w:tc>
        <w:tc>
          <w:tcPr>
            <w:tcW w:w="2835" w:type="dxa"/>
            <w:vMerge w:val="restart"/>
            <w:noWrap w:val="0"/>
            <w:vAlign w:val="center"/>
          </w:tcPr>
          <w:p>
            <w:pPr>
              <w:jc w:val="center"/>
              <w:rPr>
                <w:rFonts w:hint="eastAsia" w:ascii="仿宋" w:hAnsi="仿宋" w:eastAsia="仿宋" w:cs="仿宋"/>
                <w:color w:val="000000"/>
                <w:sz w:val="24"/>
              </w:rPr>
            </w:pPr>
            <w:r>
              <w:rPr>
                <w:rFonts w:hint="eastAsia" w:ascii="仿宋" w:hAnsi="仿宋" w:eastAsia="仿宋" w:cs="仿宋"/>
                <w:color w:val="000000"/>
                <w:sz w:val="24"/>
              </w:rPr>
              <w:t>项     目</w:t>
            </w:r>
          </w:p>
        </w:tc>
        <w:tc>
          <w:tcPr>
            <w:tcW w:w="2127" w:type="dxa"/>
            <w:noWrap w:val="0"/>
            <w:vAlign w:val="center"/>
          </w:tcPr>
          <w:p>
            <w:pPr>
              <w:jc w:val="center"/>
              <w:rPr>
                <w:rFonts w:hint="eastAsia" w:ascii="仿宋" w:hAnsi="仿宋" w:eastAsia="仿宋" w:cs="仿宋"/>
                <w:color w:val="000000"/>
                <w:sz w:val="24"/>
              </w:rPr>
            </w:pPr>
            <w:r>
              <w:rPr>
                <w:rFonts w:hint="eastAsia" w:ascii="仿宋" w:hAnsi="仿宋" w:eastAsia="仿宋" w:cs="仿宋"/>
                <w:color w:val="000000"/>
                <w:sz w:val="24"/>
              </w:rPr>
              <w:t>权     数</w:t>
            </w:r>
          </w:p>
        </w:tc>
        <w:tc>
          <w:tcPr>
            <w:tcW w:w="2788" w:type="dxa"/>
            <w:vMerge w:val="restart"/>
            <w:noWrap w:val="0"/>
            <w:vAlign w:val="center"/>
          </w:tcPr>
          <w:p>
            <w:pPr>
              <w:jc w:val="center"/>
              <w:rPr>
                <w:rFonts w:hint="eastAsia" w:ascii="仿宋" w:hAnsi="仿宋" w:eastAsia="仿宋" w:cs="仿宋"/>
                <w:color w:val="000000"/>
                <w:sz w:val="24"/>
              </w:rPr>
            </w:pPr>
            <w:r>
              <w:rPr>
                <w:rFonts w:hint="eastAsia" w:ascii="仿宋" w:hAnsi="仿宋" w:eastAsia="仿宋" w:cs="仿宋"/>
                <w:color w:val="000000"/>
                <w:sz w:val="24"/>
              </w:rPr>
              <w:t>具体权数取值</w:t>
            </w:r>
          </w:p>
          <w:p>
            <w:pPr>
              <w:jc w:val="center"/>
              <w:rPr>
                <w:rFonts w:hint="eastAsia" w:ascii="仿宋" w:hAnsi="仿宋" w:eastAsia="仿宋" w:cs="仿宋"/>
                <w:color w:val="000000"/>
                <w:sz w:val="24"/>
              </w:rPr>
            </w:pPr>
            <w:r>
              <w:rPr>
                <w:rFonts w:hint="eastAsia" w:ascii="仿宋" w:hAnsi="仿宋" w:eastAsia="仿宋" w:cs="仿宋"/>
                <w:color w:val="000000"/>
                <w:sz w:val="24"/>
              </w:rPr>
              <w:t>（招标人填写）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exact"/>
          <w:jc w:val="center"/>
        </w:trPr>
        <w:tc>
          <w:tcPr>
            <w:tcW w:w="1044" w:type="dxa"/>
            <w:vMerge w:val="continue"/>
            <w:noWrap w:val="0"/>
            <w:vAlign w:val="center"/>
          </w:tcPr>
          <w:p>
            <w:pPr>
              <w:jc w:val="center"/>
              <w:rPr>
                <w:rFonts w:hint="eastAsia" w:ascii="仿宋" w:hAnsi="仿宋" w:eastAsia="仿宋" w:cs="仿宋"/>
                <w:color w:val="000000"/>
                <w:sz w:val="24"/>
              </w:rPr>
            </w:pPr>
          </w:p>
        </w:tc>
        <w:tc>
          <w:tcPr>
            <w:tcW w:w="2835" w:type="dxa"/>
            <w:vMerge w:val="continue"/>
            <w:noWrap w:val="0"/>
            <w:vAlign w:val="center"/>
          </w:tcPr>
          <w:p>
            <w:pPr>
              <w:jc w:val="center"/>
              <w:rPr>
                <w:rFonts w:hint="eastAsia" w:ascii="仿宋" w:hAnsi="仿宋" w:eastAsia="仿宋" w:cs="仿宋"/>
                <w:color w:val="000000"/>
                <w:sz w:val="24"/>
              </w:rPr>
            </w:pPr>
          </w:p>
        </w:tc>
        <w:tc>
          <w:tcPr>
            <w:tcW w:w="2127" w:type="dxa"/>
            <w:noWrap w:val="0"/>
            <w:vAlign w:val="center"/>
          </w:tcPr>
          <w:p>
            <w:pPr>
              <w:jc w:val="center"/>
              <w:rPr>
                <w:rFonts w:hint="eastAsia" w:ascii="仿宋" w:hAnsi="仿宋" w:eastAsia="仿宋" w:cs="仿宋"/>
                <w:color w:val="000000"/>
                <w:sz w:val="24"/>
              </w:rPr>
            </w:pPr>
            <w:r>
              <w:rPr>
                <w:rFonts w:hint="eastAsia" w:ascii="仿宋" w:hAnsi="仿宋" w:eastAsia="仿宋" w:cs="仿宋"/>
                <w:color w:val="000000"/>
                <w:sz w:val="24"/>
              </w:rPr>
              <w:t>综合评估法</w:t>
            </w:r>
          </w:p>
        </w:tc>
        <w:tc>
          <w:tcPr>
            <w:tcW w:w="2788" w:type="dxa"/>
            <w:vMerge w:val="continue"/>
            <w:noWrap w:val="0"/>
            <w:vAlign w:val="center"/>
          </w:tcPr>
          <w:p>
            <w:pPr>
              <w:jc w:val="center"/>
              <w:rPr>
                <w:rFonts w:hint="eastAsia"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exact"/>
          <w:jc w:val="center"/>
        </w:trPr>
        <w:tc>
          <w:tcPr>
            <w:tcW w:w="1044" w:type="dxa"/>
            <w:noWrap w:val="0"/>
            <w:vAlign w:val="center"/>
          </w:tcPr>
          <w:p>
            <w:pPr>
              <w:jc w:val="center"/>
              <w:rPr>
                <w:rFonts w:hint="eastAsia" w:ascii="仿宋" w:hAnsi="仿宋" w:eastAsia="仿宋" w:cs="仿宋"/>
                <w:color w:val="000000"/>
                <w:sz w:val="24"/>
              </w:rPr>
            </w:pPr>
            <w:r>
              <w:rPr>
                <w:rFonts w:hint="eastAsia" w:ascii="仿宋" w:hAnsi="仿宋" w:eastAsia="仿宋" w:cs="仿宋"/>
                <w:color w:val="000000"/>
                <w:sz w:val="24"/>
              </w:rPr>
              <w:t>1</w:t>
            </w:r>
          </w:p>
        </w:tc>
        <w:tc>
          <w:tcPr>
            <w:tcW w:w="2835" w:type="dxa"/>
            <w:noWrap w:val="0"/>
            <w:vAlign w:val="center"/>
          </w:tcPr>
          <w:p>
            <w:pPr>
              <w:rPr>
                <w:rFonts w:hint="eastAsia" w:ascii="仿宋" w:hAnsi="仿宋" w:eastAsia="仿宋" w:cs="仿宋"/>
                <w:color w:val="000000"/>
                <w:sz w:val="24"/>
              </w:rPr>
            </w:pPr>
            <w:r>
              <w:rPr>
                <w:rFonts w:hint="eastAsia" w:ascii="仿宋" w:hAnsi="仿宋" w:eastAsia="仿宋" w:cs="仿宋"/>
                <w:color w:val="000000"/>
                <w:sz w:val="24"/>
              </w:rPr>
              <w:t>技术投标文件（K</w:t>
            </w:r>
            <w:r>
              <w:rPr>
                <w:rFonts w:hint="eastAsia" w:ascii="仿宋" w:hAnsi="仿宋" w:eastAsia="仿宋" w:cs="仿宋"/>
                <w:color w:val="000000"/>
                <w:sz w:val="24"/>
                <w:vertAlign w:val="subscript"/>
              </w:rPr>
              <w:t>1</w:t>
            </w:r>
            <w:r>
              <w:rPr>
                <w:rFonts w:hint="eastAsia" w:ascii="仿宋" w:hAnsi="仿宋" w:eastAsia="仿宋" w:cs="仿宋"/>
                <w:color w:val="000000"/>
                <w:sz w:val="24"/>
              </w:rPr>
              <w:t>）</w:t>
            </w:r>
          </w:p>
        </w:tc>
        <w:tc>
          <w:tcPr>
            <w:tcW w:w="2127" w:type="dxa"/>
            <w:noWrap w:val="0"/>
            <w:vAlign w:val="center"/>
          </w:tcPr>
          <w:p>
            <w:pPr>
              <w:jc w:val="center"/>
              <w:rPr>
                <w:rFonts w:hint="eastAsia" w:ascii="仿宋" w:hAnsi="仿宋" w:eastAsia="仿宋" w:cs="仿宋"/>
                <w:color w:val="000000"/>
                <w:sz w:val="24"/>
              </w:rPr>
            </w:pPr>
            <w:r>
              <w:rPr>
                <w:rFonts w:hint="eastAsia" w:ascii="仿宋" w:hAnsi="仿宋" w:eastAsia="仿宋" w:cs="仿宋"/>
                <w:color w:val="000000"/>
                <w:sz w:val="24"/>
              </w:rPr>
              <w:t>0.15～0.30</w:t>
            </w:r>
          </w:p>
        </w:tc>
        <w:tc>
          <w:tcPr>
            <w:tcW w:w="2788" w:type="dxa"/>
            <w:noWrap w:val="0"/>
            <w:vAlign w:val="center"/>
          </w:tcPr>
          <w:p>
            <w:pPr>
              <w:jc w:val="center"/>
              <w:rPr>
                <w:rFonts w:hint="eastAsia"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exact"/>
          <w:jc w:val="center"/>
        </w:trPr>
        <w:tc>
          <w:tcPr>
            <w:tcW w:w="1044" w:type="dxa"/>
            <w:noWrap w:val="0"/>
            <w:vAlign w:val="center"/>
          </w:tcPr>
          <w:p>
            <w:pPr>
              <w:jc w:val="center"/>
              <w:rPr>
                <w:rFonts w:hint="eastAsia" w:ascii="仿宋" w:hAnsi="仿宋" w:eastAsia="仿宋" w:cs="仿宋"/>
                <w:color w:val="000000"/>
                <w:sz w:val="24"/>
              </w:rPr>
            </w:pPr>
            <w:r>
              <w:rPr>
                <w:rFonts w:hint="eastAsia" w:ascii="仿宋" w:hAnsi="仿宋" w:eastAsia="仿宋" w:cs="仿宋"/>
                <w:color w:val="000000"/>
                <w:sz w:val="24"/>
              </w:rPr>
              <w:t>2</w:t>
            </w:r>
          </w:p>
        </w:tc>
        <w:tc>
          <w:tcPr>
            <w:tcW w:w="2835" w:type="dxa"/>
            <w:noWrap w:val="0"/>
            <w:vAlign w:val="center"/>
          </w:tcPr>
          <w:p>
            <w:pPr>
              <w:rPr>
                <w:rFonts w:hint="eastAsia" w:ascii="仿宋" w:hAnsi="仿宋" w:eastAsia="仿宋" w:cs="仿宋"/>
                <w:color w:val="000000"/>
                <w:sz w:val="24"/>
              </w:rPr>
            </w:pPr>
            <w:r>
              <w:rPr>
                <w:rFonts w:hint="eastAsia" w:ascii="仿宋" w:hAnsi="仿宋" w:eastAsia="仿宋" w:cs="仿宋"/>
                <w:color w:val="000000"/>
                <w:sz w:val="24"/>
              </w:rPr>
              <w:t>项目管理机构（K</w:t>
            </w:r>
            <w:r>
              <w:rPr>
                <w:rFonts w:hint="eastAsia" w:ascii="仿宋" w:hAnsi="仿宋" w:eastAsia="仿宋" w:cs="仿宋"/>
                <w:color w:val="000000"/>
                <w:sz w:val="24"/>
                <w:vertAlign w:val="subscript"/>
              </w:rPr>
              <w:t>2</w:t>
            </w:r>
            <w:r>
              <w:rPr>
                <w:rFonts w:hint="eastAsia" w:ascii="仿宋" w:hAnsi="仿宋" w:eastAsia="仿宋" w:cs="仿宋"/>
                <w:color w:val="000000"/>
                <w:sz w:val="24"/>
              </w:rPr>
              <w:t>）</w:t>
            </w:r>
          </w:p>
        </w:tc>
        <w:tc>
          <w:tcPr>
            <w:tcW w:w="2127" w:type="dxa"/>
            <w:noWrap w:val="0"/>
            <w:vAlign w:val="center"/>
          </w:tcPr>
          <w:p>
            <w:pPr>
              <w:jc w:val="center"/>
              <w:rPr>
                <w:rFonts w:hint="eastAsia" w:ascii="仿宋" w:hAnsi="仿宋" w:eastAsia="仿宋" w:cs="仿宋"/>
                <w:color w:val="000000"/>
                <w:sz w:val="24"/>
              </w:rPr>
            </w:pPr>
            <w:r>
              <w:rPr>
                <w:rFonts w:hint="eastAsia" w:ascii="仿宋" w:hAnsi="仿宋" w:eastAsia="仿宋" w:cs="仿宋"/>
                <w:color w:val="000000"/>
                <w:sz w:val="24"/>
              </w:rPr>
              <w:t>0.08～0.10</w:t>
            </w:r>
          </w:p>
        </w:tc>
        <w:tc>
          <w:tcPr>
            <w:tcW w:w="2788" w:type="dxa"/>
            <w:noWrap w:val="0"/>
            <w:vAlign w:val="center"/>
          </w:tcPr>
          <w:p>
            <w:pPr>
              <w:jc w:val="center"/>
              <w:rPr>
                <w:rFonts w:hint="eastAsia"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exact"/>
          <w:jc w:val="center"/>
        </w:trPr>
        <w:tc>
          <w:tcPr>
            <w:tcW w:w="1044" w:type="dxa"/>
            <w:noWrap w:val="0"/>
            <w:vAlign w:val="center"/>
          </w:tcPr>
          <w:p>
            <w:pPr>
              <w:jc w:val="center"/>
              <w:rPr>
                <w:rFonts w:hint="eastAsia" w:ascii="仿宋" w:hAnsi="仿宋" w:eastAsia="仿宋" w:cs="仿宋"/>
                <w:color w:val="000000"/>
                <w:sz w:val="24"/>
              </w:rPr>
            </w:pPr>
            <w:r>
              <w:rPr>
                <w:rFonts w:hint="eastAsia" w:ascii="仿宋" w:hAnsi="仿宋" w:eastAsia="仿宋" w:cs="仿宋"/>
                <w:color w:val="000000"/>
                <w:sz w:val="24"/>
              </w:rPr>
              <w:t>3</w:t>
            </w:r>
          </w:p>
        </w:tc>
        <w:tc>
          <w:tcPr>
            <w:tcW w:w="2835" w:type="dxa"/>
            <w:noWrap w:val="0"/>
            <w:vAlign w:val="center"/>
          </w:tcPr>
          <w:p>
            <w:pPr>
              <w:rPr>
                <w:rFonts w:hint="eastAsia" w:ascii="仿宋" w:hAnsi="仿宋" w:eastAsia="仿宋" w:cs="仿宋"/>
                <w:color w:val="000000"/>
                <w:sz w:val="24"/>
              </w:rPr>
            </w:pPr>
            <w:r>
              <w:rPr>
                <w:rFonts w:hint="eastAsia" w:ascii="仿宋" w:hAnsi="仿宋" w:eastAsia="仿宋" w:cs="仿宋"/>
                <w:color w:val="000000"/>
                <w:sz w:val="24"/>
              </w:rPr>
              <w:t>信誉等其他评分因素（K</w:t>
            </w:r>
            <w:r>
              <w:rPr>
                <w:rFonts w:hint="eastAsia" w:ascii="仿宋" w:hAnsi="仿宋" w:eastAsia="仿宋" w:cs="仿宋"/>
                <w:color w:val="000000"/>
                <w:sz w:val="24"/>
                <w:vertAlign w:val="subscript"/>
              </w:rPr>
              <w:t>3</w:t>
            </w:r>
            <w:r>
              <w:rPr>
                <w:rFonts w:hint="eastAsia" w:ascii="仿宋" w:hAnsi="仿宋" w:eastAsia="仿宋" w:cs="仿宋"/>
                <w:color w:val="000000"/>
                <w:sz w:val="24"/>
              </w:rPr>
              <w:t>）</w:t>
            </w:r>
          </w:p>
        </w:tc>
        <w:tc>
          <w:tcPr>
            <w:tcW w:w="2127" w:type="dxa"/>
            <w:noWrap w:val="0"/>
            <w:vAlign w:val="center"/>
          </w:tcPr>
          <w:p>
            <w:pPr>
              <w:jc w:val="center"/>
              <w:rPr>
                <w:rFonts w:hint="eastAsia" w:ascii="仿宋" w:hAnsi="仿宋" w:eastAsia="仿宋" w:cs="仿宋"/>
                <w:color w:val="000000"/>
                <w:sz w:val="24"/>
              </w:rPr>
            </w:pPr>
            <w:r>
              <w:rPr>
                <w:rFonts w:hint="eastAsia" w:ascii="仿宋" w:hAnsi="仿宋" w:eastAsia="仿宋" w:cs="仿宋"/>
                <w:color w:val="000000"/>
                <w:sz w:val="24"/>
              </w:rPr>
              <w:t>0.07～0.15</w:t>
            </w:r>
          </w:p>
        </w:tc>
        <w:tc>
          <w:tcPr>
            <w:tcW w:w="2788" w:type="dxa"/>
            <w:noWrap w:val="0"/>
            <w:vAlign w:val="center"/>
          </w:tcPr>
          <w:p>
            <w:pPr>
              <w:jc w:val="center"/>
              <w:rPr>
                <w:rFonts w:hint="eastAsia"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exact"/>
          <w:jc w:val="center"/>
        </w:trPr>
        <w:tc>
          <w:tcPr>
            <w:tcW w:w="1044" w:type="dxa"/>
            <w:noWrap w:val="0"/>
            <w:vAlign w:val="center"/>
          </w:tcPr>
          <w:p>
            <w:pPr>
              <w:jc w:val="center"/>
              <w:rPr>
                <w:rFonts w:hint="eastAsia" w:ascii="仿宋" w:hAnsi="仿宋" w:eastAsia="仿宋" w:cs="仿宋"/>
                <w:color w:val="000000"/>
                <w:sz w:val="24"/>
              </w:rPr>
            </w:pPr>
            <w:r>
              <w:rPr>
                <w:rFonts w:hint="eastAsia" w:ascii="仿宋" w:hAnsi="仿宋" w:eastAsia="仿宋" w:cs="仿宋"/>
                <w:color w:val="000000"/>
                <w:sz w:val="24"/>
              </w:rPr>
              <w:t>4</w:t>
            </w:r>
          </w:p>
        </w:tc>
        <w:tc>
          <w:tcPr>
            <w:tcW w:w="2835" w:type="dxa"/>
            <w:noWrap w:val="0"/>
            <w:vAlign w:val="center"/>
          </w:tcPr>
          <w:p>
            <w:pPr>
              <w:rPr>
                <w:rFonts w:hint="eastAsia" w:ascii="仿宋" w:hAnsi="仿宋" w:eastAsia="仿宋" w:cs="仿宋"/>
                <w:color w:val="000000"/>
                <w:sz w:val="24"/>
              </w:rPr>
            </w:pPr>
            <w:r>
              <w:rPr>
                <w:rFonts w:hint="eastAsia" w:ascii="仿宋" w:hAnsi="仿宋" w:eastAsia="仿宋" w:cs="仿宋"/>
                <w:color w:val="000000"/>
                <w:sz w:val="24"/>
              </w:rPr>
              <w:t>投标报价（K</w:t>
            </w:r>
            <w:r>
              <w:rPr>
                <w:rFonts w:hint="eastAsia" w:ascii="仿宋" w:hAnsi="仿宋" w:eastAsia="仿宋" w:cs="仿宋"/>
                <w:color w:val="000000"/>
                <w:sz w:val="24"/>
                <w:vertAlign w:val="subscript"/>
              </w:rPr>
              <w:t>4</w:t>
            </w:r>
            <w:r>
              <w:rPr>
                <w:rFonts w:hint="eastAsia" w:ascii="仿宋" w:hAnsi="仿宋" w:eastAsia="仿宋" w:cs="仿宋"/>
                <w:color w:val="000000"/>
                <w:sz w:val="24"/>
              </w:rPr>
              <w:t>）</w:t>
            </w:r>
          </w:p>
        </w:tc>
        <w:tc>
          <w:tcPr>
            <w:tcW w:w="2127" w:type="dxa"/>
            <w:noWrap w:val="0"/>
            <w:vAlign w:val="center"/>
          </w:tcPr>
          <w:p>
            <w:pPr>
              <w:jc w:val="center"/>
              <w:rPr>
                <w:rFonts w:hint="eastAsia" w:ascii="仿宋" w:hAnsi="仿宋" w:eastAsia="仿宋" w:cs="仿宋"/>
                <w:color w:val="000000"/>
                <w:sz w:val="24"/>
              </w:rPr>
            </w:pPr>
            <w:r>
              <w:rPr>
                <w:rFonts w:hint="eastAsia" w:ascii="仿宋" w:hAnsi="仿宋" w:eastAsia="仿宋" w:cs="仿宋"/>
                <w:color w:val="000000"/>
                <w:sz w:val="24"/>
              </w:rPr>
              <w:t>0.50～0.70</w:t>
            </w:r>
          </w:p>
        </w:tc>
        <w:tc>
          <w:tcPr>
            <w:tcW w:w="2788" w:type="dxa"/>
            <w:noWrap w:val="0"/>
            <w:vAlign w:val="center"/>
          </w:tcPr>
          <w:p>
            <w:pPr>
              <w:jc w:val="center"/>
              <w:rPr>
                <w:rFonts w:hint="eastAsia" w:ascii="仿宋" w:hAnsi="仿宋" w:eastAsia="仿宋" w:cs="仿宋"/>
                <w:color w:val="000000"/>
                <w:sz w:val="24"/>
              </w:rPr>
            </w:pPr>
          </w:p>
        </w:tc>
      </w:tr>
    </w:tbl>
    <w:p>
      <w:pPr>
        <w:snapToGrid w:val="0"/>
        <w:rPr>
          <w:color w:val="000000"/>
        </w:rPr>
      </w:pPr>
    </w:p>
    <w:p>
      <w:pPr>
        <w:pStyle w:val="32"/>
        <w:spacing w:line="490" w:lineRule="exact"/>
        <w:ind w:left="0" w:firstLine="0" w:firstLineChars="0"/>
        <w:outlineLvl w:val="4"/>
        <w:rPr>
          <w:rFonts w:eastAsia="黑体"/>
          <w:bCs/>
          <w:color w:val="000000"/>
          <w:sz w:val="24"/>
          <w:szCs w:val="20"/>
        </w:rPr>
      </w:pPr>
      <w:r>
        <w:rPr>
          <w:color w:val="000000"/>
        </w:rPr>
        <w:br w:type="page"/>
      </w:r>
      <w:bookmarkStart w:id="897" w:name="_Toc511318018"/>
      <w:bookmarkStart w:id="898" w:name="_Toc511317269"/>
      <w:r>
        <w:rPr>
          <w:rFonts w:eastAsia="黑体"/>
          <w:bCs/>
          <w:color w:val="000000"/>
          <w:sz w:val="28"/>
          <w:szCs w:val="28"/>
        </w:rPr>
        <w:t>附表3-9：综合得分计算表</w:t>
      </w:r>
      <w:bookmarkEnd w:id="897"/>
      <w:bookmarkEnd w:id="898"/>
    </w:p>
    <w:p>
      <w:pPr>
        <w:pStyle w:val="32"/>
        <w:spacing w:line="490" w:lineRule="exact"/>
        <w:ind w:left="0" w:firstLine="0" w:firstLineChars="0"/>
        <w:jc w:val="center"/>
        <w:rPr>
          <w:rFonts w:eastAsia="方正小标宋_GBK"/>
          <w:b/>
          <w:bCs/>
          <w:color w:val="000000"/>
          <w:sz w:val="36"/>
          <w:szCs w:val="20"/>
        </w:rPr>
      </w:pPr>
    </w:p>
    <w:p>
      <w:pPr>
        <w:pStyle w:val="32"/>
        <w:spacing w:line="490" w:lineRule="exact"/>
        <w:ind w:left="0" w:firstLine="0" w:firstLineChars="0"/>
        <w:jc w:val="center"/>
        <w:rPr>
          <w:rFonts w:hint="eastAsia" w:ascii="方正小标宋简体" w:eastAsia="方正小标宋简体"/>
          <w:bCs/>
          <w:color w:val="000000"/>
          <w:sz w:val="36"/>
          <w:szCs w:val="36"/>
        </w:rPr>
      </w:pPr>
      <w:r>
        <w:rPr>
          <w:rFonts w:hint="eastAsia" w:ascii="方正小标宋简体" w:eastAsia="方正小标宋简体"/>
          <w:bCs/>
          <w:color w:val="000000"/>
          <w:sz w:val="36"/>
          <w:szCs w:val="36"/>
        </w:rPr>
        <w:t>综合得分计算表</w:t>
      </w:r>
    </w:p>
    <w:p>
      <w:pPr>
        <w:pStyle w:val="32"/>
        <w:spacing w:line="490" w:lineRule="exact"/>
        <w:ind w:left="0" w:firstLine="0" w:firstLineChars="0"/>
        <w:jc w:val="center"/>
        <w:rPr>
          <w:rFonts w:eastAsia="方正小标宋_GBK"/>
          <w:b/>
          <w:bCs/>
          <w:color w:val="000000"/>
          <w:sz w:val="36"/>
          <w:szCs w:val="20"/>
        </w:rPr>
      </w:pPr>
    </w:p>
    <w:p>
      <w:pPr>
        <w:snapToGrid w:val="0"/>
        <w:spacing w:line="580" w:lineRule="exact"/>
        <w:rPr>
          <w:rFonts w:hint="eastAsia" w:ascii="仿宋" w:hAnsi="仿宋" w:eastAsia="仿宋" w:cs="仿宋"/>
          <w:color w:val="000000"/>
          <w:sz w:val="24"/>
          <w:u w:val="single"/>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（标段名称）</w:t>
      </w:r>
      <w:r>
        <w:rPr>
          <w:rFonts w:hint="eastAsia" w:ascii="仿宋" w:hAnsi="仿宋" w:eastAsia="仿宋" w:cs="仿宋"/>
          <w:color w:val="000000"/>
          <w:sz w:val="24"/>
          <w:u w:val="single"/>
        </w:rPr>
        <w:t xml:space="preserve">                      </w:t>
      </w:r>
    </w:p>
    <w:p>
      <w:pPr>
        <w:snapToGrid w:val="0"/>
        <w:spacing w:line="580" w:lineRule="exact"/>
        <w:rPr>
          <w:rFonts w:hint="eastAsia" w:ascii="仿宋" w:hAnsi="仿宋" w:eastAsia="仿宋" w:cs="仿宋"/>
          <w:b/>
          <w:color w:val="000000"/>
          <w:kern w:val="0"/>
          <w:sz w:val="24"/>
        </w:rPr>
      </w:pPr>
      <w:r>
        <w:rPr>
          <w:rFonts w:hint="eastAsia" w:ascii="仿宋" w:hAnsi="仿宋" w:eastAsia="仿宋" w:cs="仿宋"/>
          <w:color w:val="000000"/>
          <w:sz w:val="24"/>
        </w:rPr>
        <w:t>项目管理编号：</w:t>
      </w:r>
      <w:r>
        <w:rPr>
          <w:rFonts w:hint="eastAsia" w:ascii="仿宋" w:hAnsi="仿宋" w:eastAsia="仿宋" w:cs="仿宋"/>
          <w:color w:val="000000"/>
          <w:sz w:val="24"/>
          <w:u w:val="single"/>
        </w:rPr>
        <w:t xml:space="preserve">                    </w:t>
      </w:r>
    </w:p>
    <w:tbl>
      <w:tblPr>
        <w:tblStyle w:val="4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553"/>
        <w:gridCol w:w="2552"/>
        <w:gridCol w:w="1171"/>
        <w:gridCol w:w="1276"/>
        <w:gridCol w:w="13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104" w:type="dxa"/>
            <w:gridSpan w:val="2"/>
            <w:vMerge w:val="restart"/>
            <w:tcBorders>
              <w:top w:val="single" w:color="auto" w:sz="4" w:space="0"/>
              <w:left w:val="single" w:color="auto" w:sz="4" w:space="0"/>
              <w:bottom w:val="single" w:color="auto" w:sz="4" w:space="0"/>
              <w:right w:val="single" w:color="auto" w:sz="4" w:space="0"/>
              <w:tl2br w:val="single" w:color="auto" w:sz="6" w:space="0"/>
            </w:tcBorders>
            <w:noWrap w:val="0"/>
            <w:vAlign w:val="center"/>
          </w:tcPr>
          <w:p>
            <w:pPr>
              <w:ind w:left="210" w:leftChars="100" w:firstLine="3360" w:firstLineChars="1400"/>
              <w:jc w:val="left"/>
              <w:rPr>
                <w:rFonts w:hint="eastAsia" w:ascii="仿宋" w:hAnsi="仿宋" w:eastAsia="仿宋" w:cs="仿宋"/>
                <w:color w:val="000000"/>
                <w:kern w:val="0"/>
                <w:sz w:val="24"/>
              </w:rPr>
            </w:pPr>
            <w:r>
              <w:rPr>
                <w:rFonts w:hint="eastAsia" w:ascii="仿宋" w:hAnsi="仿宋" w:eastAsia="仿宋" w:cs="仿宋"/>
                <w:color w:val="000000"/>
                <w:kern w:val="0"/>
                <w:sz w:val="24"/>
              </w:rPr>
              <w:t>投标单位</w:t>
            </w:r>
          </w:p>
          <w:p>
            <w:pPr>
              <w:ind w:firstLine="960" w:firstLineChars="400"/>
              <w:jc w:val="left"/>
              <w:rPr>
                <w:rFonts w:hint="eastAsia" w:ascii="仿宋" w:hAnsi="仿宋" w:eastAsia="仿宋" w:cs="仿宋"/>
                <w:color w:val="000000"/>
                <w:kern w:val="0"/>
                <w:sz w:val="24"/>
              </w:rPr>
            </w:pPr>
            <w:r>
              <w:rPr>
                <w:rFonts w:hint="eastAsia" w:ascii="仿宋" w:hAnsi="仿宋" w:eastAsia="仿宋" w:cs="仿宋"/>
                <w:color w:val="000000"/>
                <w:kern w:val="0"/>
                <w:sz w:val="24"/>
              </w:rPr>
              <w:t>项  目</w:t>
            </w:r>
          </w:p>
        </w:tc>
        <w:tc>
          <w:tcPr>
            <w:tcW w:w="3757"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rPr>
            </w:pPr>
            <w:r>
              <w:rPr>
                <w:rFonts w:hint="eastAsia" w:ascii="仿宋" w:hAnsi="仿宋" w:eastAsia="仿宋" w:cs="仿宋"/>
                <w:color w:val="000000"/>
                <w:kern w:val="0"/>
                <w:sz w:val="24"/>
              </w:rPr>
              <w:t>投标人名称及评审计分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5104" w:type="dxa"/>
            <w:gridSpan w:val="2"/>
            <w:vMerge w:val="continue"/>
            <w:tcBorders>
              <w:top w:val="single" w:color="auto" w:sz="4" w:space="0"/>
              <w:left w:val="single" w:color="auto" w:sz="4" w:space="0"/>
              <w:bottom w:val="single" w:color="auto" w:sz="4" w:space="0"/>
              <w:right w:val="single" w:color="auto" w:sz="4" w:space="0"/>
              <w:tl2br w:val="single" w:color="auto" w:sz="6" w:space="0"/>
            </w:tcBorders>
            <w:noWrap w:val="0"/>
            <w:vAlign w:val="center"/>
          </w:tcPr>
          <w:p>
            <w:pPr>
              <w:jc w:val="left"/>
              <w:rPr>
                <w:rFonts w:hint="eastAsia" w:ascii="仿宋" w:hAnsi="仿宋" w:eastAsia="仿宋" w:cs="仿宋"/>
                <w:b/>
                <w:color w:val="000000"/>
                <w:kern w:val="0"/>
                <w:sz w:val="24"/>
              </w:rPr>
            </w:pPr>
          </w:p>
        </w:tc>
        <w:tc>
          <w:tcPr>
            <w:tcW w:w="11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color w:val="000000"/>
                <w:kern w:val="0"/>
                <w:sz w:val="24"/>
              </w:rPr>
            </w:pPr>
            <w:r>
              <w:rPr>
                <w:rFonts w:hint="eastAsia" w:ascii="仿宋" w:hAnsi="仿宋" w:eastAsia="仿宋" w:cs="仿宋"/>
                <w:b/>
                <w:color w:val="000000"/>
                <w:kern w:val="0"/>
                <w:sz w:val="24"/>
              </w:rPr>
              <w:t>1</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color w:val="000000"/>
                <w:kern w:val="0"/>
                <w:sz w:val="24"/>
              </w:rPr>
            </w:pPr>
            <w:r>
              <w:rPr>
                <w:rFonts w:hint="eastAsia" w:ascii="仿宋" w:hAnsi="仿宋" w:eastAsia="仿宋" w:cs="仿宋"/>
                <w:b/>
                <w:color w:val="000000"/>
                <w:kern w:val="0"/>
                <w:sz w:val="24"/>
              </w:rPr>
              <w:t>2</w:t>
            </w:r>
          </w:p>
        </w:tc>
        <w:tc>
          <w:tcPr>
            <w:tcW w:w="131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color w:val="000000"/>
                <w:kern w:val="0"/>
                <w:sz w:val="24"/>
              </w:rPr>
            </w:pPr>
            <w:r>
              <w:rPr>
                <w:rFonts w:hint="eastAsia" w:ascii="仿宋" w:hAnsi="仿宋" w:eastAsia="仿宋" w:cs="仿宋"/>
                <w:b/>
                <w:color w:val="000000"/>
                <w:kern w:val="0"/>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8" w:hRule="atLeast"/>
          <w:jc w:val="center"/>
        </w:trPr>
        <w:tc>
          <w:tcPr>
            <w:tcW w:w="5104" w:type="dxa"/>
            <w:gridSpan w:val="2"/>
            <w:vMerge w:val="continue"/>
            <w:tcBorders>
              <w:top w:val="single" w:color="auto" w:sz="4" w:space="0"/>
              <w:left w:val="single" w:color="auto" w:sz="4" w:space="0"/>
              <w:bottom w:val="single" w:color="auto" w:sz="4" w:space="0"/>
              <w:right w:val="single" w:color="auto" w:sz="4" w:space="0"/>
              <w:tl2br w:val="single" w:color="auto" w:sz="6" w:space="0"/>
            </w:tcBorders>
            <w:noWrap w:val="0"/>
            <w:vAlign w:val="center"/>
          </w:tcPr>
          <w:p>
            <w:pPr>
              <w:jc w:val="left"/>
              <w:rPr>
                <w:rFonts w:hint="eastAsia" w:ascii="仿宋" w:hAnsi="仿宋" w:eastAsia="仿宋" w:cs="仿宋"/>
                <w:color w:val="000000"/>
                <w:kern w:val="0"/>
                <w:sz w:val="24"/>
              </w:rPr>
            </w:pPr>
          </w:p>
        </w:tc>
        <w:tc>
          <w:tcPr>
            <w:tcW w:w="11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rPr>
            </w:pPr>
            <w:r>
              <w:rPr>
                <w:rFonts w:hint="eastAsia" w:ascii="仿宋" w:hAnsi="仿宋" w:eastAsia="仿宋" w:cs="仿宋"/>
                <w:color w:val="000000"/>
                <w:kern w:val="0"/>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553" w:type="dxa"/>
            <w:vMerge w:val="restart"/>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000000"/>
                <w:kern w:val="0"/>
                <w:sz w:val="24"/>
              </w:rPr>
            </w:pPr>
            <w:r>
              <w:rPr>
                <w:rFonts w:hint="eastAsia" w:ascii="仿宋" w:hAnsi="仿宋" w:eastAsia="仿宋" w:cs="仿宋"/>
                <w:color w:val="000000"/>
                <w:kern w:val="0"/>
                <w:sz w:val="24"/>
              </w:rPr>
              <w:t>1.技术投标文件</w:t>
            </w:r>
          </w:p>
          <w:p>
            <w:pPr>
              <w:jc w:val="left"/>
              <w:rPr>
                <w:rFonts w:hint="eastAsia" w:ascii="仿宋" w:hAnsi="仿宋" w:eastAsia="仿宋" w:cs="仿宋"/>
                <w:color w:val="000000"/>
                <w:kern w:val="0"/>
                <w:sz w:val="24"/>
              </w:rPr>
            </w:pPr>
            <w:r>
              <w:rPr>
                <w:rFonts w:hint="eastAsia" w:ascii="仿宋" w:hAnsi="仿宋" w:eastAsia="仿宋" w:cs="仿宋"/>
                <w:color w:val="000000"/>
                <w:kern w:val="0"/>
                <w:sz w:val="24"/>
              </w:rPr>
              <w:t>（基本分100分）</w:t>
            </w:r>
          </w:p>
        </w:tc>
        <w:tc>
          <w:tcPr>
            <w:tcW w:w="255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rPr>
            </w:pPr>
            <w:r>
              <w:rPr>
                <w:rFonts w:hint="eastAsia" w:ascii="仿宋" w:hAnsi="仿宋" w:eastAsia="仿宋" w:cs="仿宋"/>
                <w:color w:val="000000"/>
                <w:kern w:val="0"/>
                <w:sz w:val="24"/>
              </w:rPr>
              <w:t>得分（A）</w:t>
            </w:r>
          </w:p>
        </w:tc>
        <w:tc>
          <w:tcPr>
            <w:tcW w:w="11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5" w:hRule="atLeast"/>
          <w:jc w:val="center"/>
        </w:trPr>
        <w:tc>
          <w:tcPr>
            <w:tcW w:w="2553"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000000"/>
                <w:kern w:val="0"/>
                <w:sz w:val="24"/>
              </w:rPr>
            </w:pPr>
          </w:p>
        </w:tc>
        <w:tc>
          <w:tcPr>
            <w:tcW w:w="255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rPr>
            </w:pPr>
            <w:r>
              <w:rPr>
                <w:rFonts w:hint="eastAsia" w:ascii="仿宋" w:hAnsi="仿宋" w:eastAsia="仿宋" w:cs="仿宋"/>
                <w:color w:val="000000"/>
                <w:kern w:val="0"/>
                <w:sz w:val="24"/>
              </w:rPr>
              <w:t>加权得分（A╳K</w:t>
            </w:r>
            <w:r>
              <w:rPr>
                <w:rFonts w:hint="eastAsia" w:ascii="仿宋" w:hAnsi="仿宋" w:eastAsia="仿宋" w:cs="仿宋"/>
                <w:color w:val="000000"/>
                <w:kern w:val="0"/>
                <w:sz w:val="24"/>
                <w:vertAlign w:val="subscript"/>
              </w:rPr>
              <w:t>1</w:t>
            </w:r>
            <w:r>
              <w:rPr>
                <w:rFonts w:hint="eastAsia" w:ascii="仿宋" w:hAnsi="仿宋" w:eastAsia="仿宋" w:cs="仿宋"/>
                <w:color w:val="000000"/>
                <w:kern w:val="0"/>
                <w:sz w:val="24"/>
              </w:rPr>
              <w:t>）</w:t>
            </w:r>
          </w:p>
        </w:tc>
        <w:tc>
          <w:tcPr>
            <w:tcW w:w="1171" w:type="dxa"/>
            <w:tcBorders>
              <w:top w:val="single" w:color="auto" w:sz="4" w:space="0"/>
              <w:left w:val="single" w:color="auto" w:sz="4" w:space="0"/>
              <w:bottom w:val="single" w:color="auto" w:sz="4" w:space="0"/>
              <w:right w:val="single" w:color="auto" w:sz="4" w:space="0"/>
            </w:tcBorders>
            <w:noWrap w:val="0"/>
            <w:vAlign w:val="center"/>
          </w:tcPr>
          <w:p>
            <w:pPr>
              <w:jc w:val="right"/>
              <w:rPr>
                <w:rFonts w:hint="eastAsia" w:ascii="仿宋" w:hAnsi="仿宋" w:eastAsia="仿宋" w:cs="仿宋"/>
                <w:i/>
                <w:iCs/>
                <w:color w:val="000000"/>
                <w:kern w:val="0"/>
                <w:sz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right"/>
              <w:rPr>
                <w:rFonts w:hint="eastAsia" w:ascii="仿宋" w:hAnsi="仿宋" w:eastAsia="仿宋" w:cs="仿宋"/>
                <w:i/>
                <w:iCs/>
                <w:color w:val="000000"/>
                <w:kern w:val="0"/>
                <w:sz w:val="24"/>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pPr>
              <w:jc w:val="right"/>
              <w:rPr>
                <w:rFonts w:hint="eastAsia" w:ascii="仿宋" w:hAnsi="仿宋" w:eastAsia="仿宋" w:cs="仿宋"/>
                <w:i/>
                <w:iCs/>
                <w:color w:val="000000"/>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2553" w:type="dxa"/>
            <w:vMerge w:val="restart"/>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000000"/>
                <w:kern w:val="0"/>
                <w:sz w:val="24"/>
              </w:rPr>
            </w:pPr>
            <w:r>
              <w:rPr>
                <w:rFonts w:hint="eastAsia" w:ascii="仿宋" w:hAnsi="仿宋" w:eastAsia="仿宋" w:cs="仿宋"/>
                <w:color w:val="000000"/>
                <w:kern w:val="0"/>
                <w:sz w:val="24"/>
              </w:rPr>
              <w:t>2.项目管理机构</w:t>
            </w:r>
          </w:p>
          <w:p>
            <w:pPr>
              <w:jc w:val="left"/>
              <w:rPr>
                <w:rFonts w:hint="eastAsia" w:ascii="仿宋" w:hAnsi="仿宋" w:eastAsia="仿宋" w:cs="仿宋"/>
                <w:color w:val="000000"/>
                <w:kern w:val="0"/>
                <w:sz w:val="24"/>
              </w:rPr>
            </w:pPr>
            <w:r>
              <w:rPr>
                <w:rFonts w:hint="eastAsia" w:ascii="仿宋" w:hAnsi="仿宋" w:eastAsia="仿宋" w:cs="仿宋"/>
                <w:color w:val="000000"/>
                <w:kern w:val="0"/>
                <w:sz w:val="24"/>
              </w:rPr>
              <w:t>（基本分100分）</w:t>
            </w:r>
          </w:p>
        </w:tc>
        <w:tc>
          <w:tcPr>
            <w:tcW w:w="255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rPr>
            </w:pPr>
            <w:r>
              <w:rPr>
                <w:rFonts w:hint="eastAsia" w:ascii="仿宋" w:hAnsi="仿宋" w:eastAsia="仿宋" w:cs="仿宋"/>
                <w:color w:val="000000"/>
                <w:kern w:val="0"/>
                <w:sz w:val="24"/>
              </w:rPr>
              <w:t>得分（B）</w:t>
            </w:r>
          </w:p>
        </w:tc>
        <w:tc>
          <w:tcPr>
            <w:tcW w:w="11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2553"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000000"/>
                <w:kern w:val="0"/>
                <w:sz w:val="24"/>
              </w:rPr>
            </w:pPr>
          </w:p>
        </w:tc>
        <w:tc>
          <w:tcPr>
            <w:tcW w:w="255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rPr>
            </w:pPr>
            <w:r>
              <w:rPr>
                <w:rFonts w:hint="eastAsia" w:ascii="仿宋" w:hAnsi="仿宋" w:eastAsia="仿宋" w:cs="仿宋"/>
                <w:color w:val="000000"/>
                <w:kern w:val="0"/>
                <w:sz w:val="24"/>
              </w:rPr>
              <w:t>加权得分（B╳K</w:t>
            </w:r>
            <w:r>
              <w:rPr>
                <w:rFonts w:hint="eastAsia" w:ascii="仿宋" w:hAnsi="仿宋" w:eastAsia="仿宋" w:cs="仿宋"/>
                <w:color w:val="000000"/>
                <w:kern w:val="0"/>
                <w:sz w:val="24"/>
                <w:vertAlign w:val="subscript"/>
              </w:rPr>
              <w:t>2</w:t>
            </w:r>
            <w:r>
              <w:rPr>
                <w:rFonts w:hint="eastAsia" w:ascii="仿宋" w:hAnsi="仿宋" w:eastAsia="仿宋" w:cs="仿宋"/>
                <w:color w:val="000000"/>
                <w:kern w:val="0"/>
                <w:sz w:val="24"/>
              </w:rPr>
              <w:t>）</w:t>
            </w:r>
          </w:p>
        </w:tc>
        <w:tc>
          <w:tcPr>
            <w:tcW w:w="1171" w:type="dxa"/>
            <w:tcBorders>
              <w:top w:val="single" w:color="auto" w:sz="4" w:space="0"/>
              <w:left w:val="single" w:color="auto" w:sz="4" w:space="0"/>
              <w:bottom w:val="single" w:color="auto" w:sz="4" w:space="0"/>
              <w:right w:val="single" w:color="auto" w:sz="4" w:space="0"/>
            </w:tcBorders>
            <w:noWrap w:val="0"/>
            <w:vAlign w:val="center"/>
          </w:tcPr>
          <w:p>
            <w:pPr>
              <w:jc w:val="right"/>
              <w:rPr>
                <w:rFonts w:hint="eastAsia" w:ascii="仿宋" w:hAnsi="仿宋" w:eastAsia="仿宋" w:cs="仿宋"/>
                <w:i/>
                <w:iCs/>
                <w:color w:val="000000"/>
                <w:kern w:val="0"/>
                <w:sz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right"/>
              <w:rPr>
                <w:rFonts w:hint="eastAsia" w:ascii="仿宋" w:hAnsi="仿宋" w:eastAsia="仿宋" w:cs="仿宋"/>
                <w:i/>
                <w:iCs/>
                <w:color w:val="000000"/>
                <w:kern w:val="0"/>
                <w:sz w:val="24"/>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pPr>
              <w:jc w:val="right"/>
              <w:rPr>
                <w:rFonts w:hint="eastAsia" w:ascii="仿宋" w:hAnsi="仿宋" w:eastAsia="仿宋" w:cs="仿宋"/>
                <w:i/>
                <w:iCs/>
                <w:color w:val="000000"/>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8" w:hRule="atLeast"/>
          <w:jc w:val="center"/>
        </w:trPr>
        <w:tc>
          <w:tcPr>
            <w:tcW w:w="2553" w:type="dxa"/>
            <w:vMerge w:val="restart"/>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000000"/>
                <w:kern w:val="0"/>
                <w:sz w:val="24"/>
              </w:rPr>
            </w:pPr>
            <w:r>
              <w:rPr>
                <w:rFonts w:hint="eastAsia" w:ascii="仿宋" w:hAnsi="仿宋" w:eastAsia="仿宋" w:cs="仿宋"/>
                <w:color w:val="000000"/>
                <w:kern w:val="0"/>
                <w:sz w:val="24"/>
              </w:rPr>
              <w:t>3.信誉等其他评分</w:t>
            </w:r>
          </w:p>
          <w:p>
            <w:pPr>
              <w:jc w:val="left"/>
              <w:rPr>
                <w:rFonts w:hint="eastAsia" w:ascii="仿宋" w:hAnsi="仿宋" w:eastAsia="仿宋" w:cs="仿宋"/>
                <w:color w:val="000000"/>
                <w:kern w:val="0"/>
                <w:sz w:val="24"/>
              </w:rPr>
            </w:pPr>
            <w:r>
              <w:rPr>
                <w:rFonts w:hint="eastAsia" w:ascii="仿宋" w:hAnsi="仿宋" w:eastAsia="仿宋" w:cs="仿宋"/>
                <w:color w:val="000000"/>
                <w:kern w:val="0"/>
                <w:sz w:val="24"/>
              </w:rPr>
              <w:t>（基本分100分）</w:t>
            </w:r>
          </w:p>
        </w:tc>
        <w:tc>
          <w:tcPr>
            <w:tcW w:w="255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rPr>
            </w:pPr>
            <w:r>
              <w:rPr>
                <w:rFonts w:hint="eastAsia" w:ascii="仿宋" w:hAnsi="仿宋" w:eastAsia="仿宋" w:cs="仿宋"/>
                <w:color w:val="000000"/>
                <w:kern w:val="0"/>
                <w:sz w:val="24"/>
              </w:rPr>
              <w:t>得分（C）</w:t>
            </w:r>
          </w:p>
        </w:tc>
        <w:tc>
          <w:tcPr>
            <w:tcW w:w="11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2553"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000000"/>
                <w:kern w:val="0"/>
                <w:sz w:val="24"/>
              </w:rPr>
            </w:pPr>
          </w:p>
        </w:tc>
        <w:tc>
          <w:tcPr>
            <w:tcW w:w="255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rPr>
            </w:pPr>
            <w:r>
              <w:rPr>
                <w:rFonts w:hint="eastAsia" w:ascii="仿宋" w:hAnsi="仿宋" w:eastAsia="仿宋" w:cs="仿宋"/>
                <w:color w:val="000000"/>
                <w:kern w:val="0"/>
                <w:sz w:val="24"/>
              </w:rPr>
              <w:t>加权得分（C╳K</w:t>
            </w:r>
            <w:r>
              <w:rPr>
                <w:rFonts w:hint="eastAsia" w:ascii="仿宋" w:hAnsi="仿宋" w:eastAsia="仿宋" w:cs="仿宋"/>
                <w:color w:val="000000"/>
                <w:kern w:val="0"/>
                <w:sz w:val="24"/>
                <w:vertAlign w:val="subscript"/>
              </w:rPr>
              <w:t>3</w:t>
            </w:r>
            <w:r>
              <w:rPr>
                <w:rFonts w:hint="eastAsia" w:ascii="仿宋" w:hAnsi="仿宋" w:eastAsia="仿宋" w:cs="仿宋"/>
                <w:color w:val="000000"/>
                <w:kern w:val="0"/>
                <w:sz w:val="24"/>
              </w:rPr>
              <w:t>）</w:t>
            </w:r>
          </w:p>
        </w:tc>
        <w:tc>
          <w:tcPr>
            <w:tcW w:w="1171" w:type="dxa"/>
            <w:tcBorders>
              <w:top w:val="single" w:color="auto" w:sz="4" w:space="0"/>
              <w:left w:val="single" w:color="auto" w:sz="4" w:space="0"/>
              <w:bottom w:val="single" w:color="auto" w:sz="4" w:space="0"/>
              <w:right w:val="single" w:color="auto" w:sz="4" w:space="0"/>
            </w:tcBorders>
            <w:noWrap w:val="0"/>
            <w:vAlign w:val="center"/>
          </w:tcPr>
          <w:p>
            <w:pPr>
              <w:jc w:val="right"/>
              <w:rPr>
                <w:rFonts w:hint="eastAsia" w:ascii="仿宋" w:hAnsi="仿宋" w:eastAsia="仿宋" w:cs="仿宋"/>
                <w:i/>
                <w:iCs/>
                <w:color w:val="000000"/>
                <w:kern w:val="0"/>
                <w:sz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right"/>
              <w:rPr>
                <w:rFonts w:hint="eastAsia" w:ascii="仿宋" w:hAnsi="仿宋" w:eastAsia="仿宋" w:cs="仿宋"/>
                <w:i/>
                <w:iCs/>
                <w:color w:val="000000"/>
                <w:kern w:val="0"/>
                <w:sz w:val="24"/>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pPr>
              <w:jc w:val="right"/>
              <w:rPr>
                <w:rFonts w:hint="eastAsia" w:ascii="仿宋" w:hAnsi="仿宋" w:eastAsia="仿宋" w:cs="仿宋"/>
                <w:i/>
                <w:iCs/>
                <w:color w:val="000000"/>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2553" w:type="dxa"/>
            <w:vMerge w:val="restart"/>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000000"/>
                <w:kern w:val="0"/>
                <w:sz w:val="24"/>
              </w:rPr>
            </w:pPr>
            <w:r>
              <w:rPr>
                <w:rFonts w:hint="eastAsia" w:ascii="仿宋" w:hAnsi="仿宋" w:eastAsia="仿宋" w:cs="仿宋"/>
                <w:color w:val="000000"/>
                <w:kern w:val="0"/>
                <w:sz w:val="24"/>
              </w:rPr>
              <w:t>4.投标报价</w:t>
            </w:r>
          </w:p>
          <w:p>
            <w:pPr>
              <w:jc w:val="left"/>
              <w:rPr>
                <w:rFonts w:hint="eastAsia" w:ascii="仿宋" w:hAnsi="仿宋" w:eastAsia="仿宋" w:cs="仿宋"/>
                <w:color w:val="000000"/>
                <w:kern w:val="0"/>
                <w:sz w:val="24"/>
              </w:rPr>
            </w:pPr>
            <w:r>
              <w:rPr>
                <w:rFonts w:hint="eastAsia" w:ascii="仿宋" w:hAnsi="仿宋" w:eastAsia="仿宋" w:cs="仿宋"/>
                <w:color w:val="000000"/>
                <w:kern w:val="0"/>
                <w:sz w:val="24"/>
              </w:rPr>
              <w:t>（基本分100分）</w:t>
            </w:r>
          </w:p>
        </w:tc>
        <w:tc>
          <w:tcPr>
            <w:tcW w:w="255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rPr>
            </w:pPr>
            <w:r>
              <w:rPr>
                <w:rFonts w:hint="eastAsia" w:ascii="仿宋" w:hAnsi="仿宋" w:eastAsia="仿宋" w:cs="仿宋"/>
                <w:color w:val="000000"/>
                <w:kern w:val="0"/>
                <w:sz w:val="24"/>
              </w:rPr>
              <w:t>得分（D）</w:t>
            </w:r>
          </w:p>
        </w:tc>
        <w:tc>
          <w:tcPr>
            <w:tcW w:w="11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2553"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000000"/>
                <w:kern w:val="0"/>
                <w:sz w:val="24"/>
              </w:rPr>
            </w:pPr>
          </w:p>
        </w:tc>
        <w:tc>
          <w:tcPr>
            <w:tcW w:w="255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rPr>
            </w:pPr>
            <w:r>
              <w:rPr>
                <w:rFonts w:hint="eastAsia" w:ascii="仿宋" w:hAnsi="仿宋" w:eastAsia="仿宋" w:cs="仿宋"/>
                <w:color w:val="000000"/>
                <w:kern w:val="0"/>
                <w:sz w:val="24"/>
              </w:rPr>
              <w:t>加权得分（D╳K</w:t>
            </w:r>
            <w:r>
              <w:rPr>
                <w:rFonts w:hint="eastAsia" w:ascii="仿宋" w:hAnsi="仿宋" w:eastAsia="仿宋" w:cs="仿宋"/>
                <w:color w:val="000000"/>
                <w:kern w:val="0"/>
                <w:sz w:val="24"/>
                <w:vertAlign w:val="subscript"/>
              </w:rPr>
              <w:t>4</w:t>
            </w:r>
            <w:r>
              <w:rPr>
                <w:rFonts w:hint="eastAsia" w:ascii="仿宋" w:hAnsi="仿宋" w:eastAsia="仿宋" w:cs="仿宋"/>
                <w:color w:val="000000"/>
                <w:kern w:val="0"/>
                <w:sz w:val="24"/>
              </w:rPr>
              <w:t>）</w:t>
            </w:r>
          </w:p>
        </w:tc>
        <w:tc>
          <w:tcPr>
            <w:tcW w:w="11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510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r>
              <w:rPr>
                <w:rFonts w:hint="eastAsia" w:ascii="仿宋" w:hAnsi="仿宋" w:eastAsia="仿宋" w:cs="仿宋"/>
                <w:color w:val="000000"/>
                <w:sz w:val="24"/>
              </w:rPr>
              <w:t>～</w:t>
            </w:r>
            <w:r>
              <w:rPr>
                <w:rFonts w:hint="eastAsia" w:ascii="仿宋" w:hAnsi="仿宋" w:eastAsia="仿宋" w:cs="仿宋"/>
                <w:color w:val="000000"/>
                <w:kern w:val="0"/>
                <w:sz w:val="24"/>
              </w:rPr>
              <w:t>4项加权得分</w:t>
            </w:r>
          </w:p>
        </w:tc>
        <w:tc>
          <w:tcPr>
            <w:tcW w:w="11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2552" w:type="dxa"/>
            <w:vMerge w:val="restart"/>
            <w:tcBorders>
              <w:top w:val="single" w:color="auto" w:sz="4" w:space="0"/>
              <w:left w:val="single" w:color="auto" w:sz="4" w:space="0"/>
              <w:right w:val="single" w:color="auto" w:sz="4" w:space="0"/>
            </w:tcBorders>
            <w:noWrap w:val="0"/>
            <w:vAlign w:val="center"/>
          </w:tcPr>
          <w:p>
            <w:pPr>
              <w:numPr>
                <w:ilvl w:val="0"/>
                <w:numId w:val="2"/>
              </w:numPr>
              <w:jc w:val="center"/>
              <w:rPr>
                <w:rFonts w:hint="eastAsia" w:ascii="仿宋" w:hAnsi="仿宋" w:eastAsia="仿宋" w:cs="仿宋"/>
                <w:sz w:val="24"/>
              </w:rPr>
            </w:pPr>
            <w:r>
              <w:rPr>
                <w:rFonts w:hint="eastAsia" w:ascii="仿宋" w:hAnsi="仿宋" w:eastAsia="仿宋" w:cs="仿宋"/>
                <w:sz w:val="24"/>
              </w:rPr>
              <w:t>不良行为记录扣分</w:t>
            </w:r>
          </w:p>
          <w:p>
            <w:pPr>
              <w:pStyle w:val="2"/>
              <w:jc w:val="center"/>
              <w:rPr>
                <w:rFonts w:hint="eastAsia"/>
                <w:lang w:val="en-US" w:eastAsia="zh-CN"/>
              </w:rPr>
            </w:pPr>
            <w:r>
              <w:rPr>
                <w:rFonts w:hint="eastAsia" w:ascii="仿宋" w:hAnsi="仿宋" w:eastAsia="仿宋" w:cs="仿宋"/>
                <w:sz w:val="24"/>
                <w:lang w:val="en-US" w:eastAsia="zh-CN"/>
              </w:rPr>
              <w:t>（扣分项）</w:t>
            </w:r>
          </w:p>
        </w:tc>
        <w:tc>
          <w:tcPr>
            <w:tcW w:w="255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rPr>
            </w:pPr>
            <w:r>
              <w:rPr>
                <w:rFonts w:hint="eastAsia" w:ascii="仿宋" w:hAnsi="仿宋" w:eastAsia="仿宋" w:cs="仿宋"/>
                <w:color w:val="000000"/>
                <w:kern w:val="0"/>
                <w:sz w:val="24"/>
              </w:rPr>
              <w:t>得分（E）</w:t>
            </w:r>
          </w:p>
        </w:tc>
        <w:tc>
          <w:tcPr>
            <w:tcW w:w="11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2552" w:type="dxa"/>
            <w:vMerge w:val="continue"/>
            <w:tcBorders>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000000"/>
                <w:kern w:val="0"/>
                <w:sz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rPr>
            </w:pPr>
            <w:r>
              <w:rPr>
                <w:rFonts w:hint="eastAsia" w:ascii="仿宋" w:hAnsi="仿宋" w:eastAsia="仿宋" w:cs="仿宋"/>
                <w:color w:val="000000"/>
                <w:kern w:val="0"/>
                <w:sz w:val="24"/>
              </w:rPr>
              <w:t>扣分项</w:t>
            </w:r>
          </w:p>
        </w:tc>
        <w:tc>
          <w:tcPr>
            <w:tcW w:w="11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FF0000"/>
                <w:kern w:val="0"/>
                <w:sz w:val="24"/>
                <w:shd w:val="clear" w:color="FFFFFF" w:fill="D9D9D9"/>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510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rPr>
            </w:pPr>
            <w:r>
              <w:rPr>
                <w:rFonts w:hint="eastAsia" w:ascii="仿宋" w:hAnsi="仿宋" w:eastAsia="仿宋" w:cs="仿宋"/>
                <w:color w:val="000000"/>
                <w:kern w:val="0"/>
                <w:sz w:val="24"/>
              </w:rPr>
              <w:t>最终得分</w:t>
            </w:r>
          </w:p>
        </w:tc>
        <w:tc>
          <w:tcPr>
            <w:tcW w:w="11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10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rPr>
            </w:pPr>
            <w:r>
              <w:rPr>
                <w:rFonts w:hint="eastAsia" w:ascii="仿宋" w:hAnsi="仿宋" w:eastAsia="仿宋" w:cs="仿宋"/>
                <w:color w:val="000000"/>
                <w:kern w:val="0"/>
                <w:sz w:val="24"/>
              </w:rPr>
              <w:t>按最终得分排名（</w:t>
            </w:r>
            <w:r>
              <w:rPr>
                <w:rFonts w:hint="eastAsia" w:ascii="仿宋" w:hAnsi="仿宋" w:eastAsia="仿宋" w:cs="仿宋"/>
                <w:color w:val="000000"/>
                <w:sz w:val="24"/>
              </w:rPr>
              <w:t>得分由高到低顺序</w:t>
            </w:r>
            <w:r>
              <w:rPr>
                <w:rFonts w:hint="eastAsia" w:ascii="仿宋" w:hAnsi="仿宋" w:eastAsia="仿宋" w:cs="仿宋"/>
                <w:color w:val="000000"/>
                <w:kern w:val="0"/>
                <w:sz w:val="24"/>
              </w:rPr>
              <w:t>）</w:t>
            </w:r>
          </w:p>
        </w:tc>
        <w:tc>
          <w:tcPr>
            <w:tcW w:w="11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rPr>
            </w:pPr>
          </w:p>
        </w:tc>
      </w:tr>
    </w:tbl>
    <w:p>
      <w:pPr>
        <w:spacing w:line="240" w:lineRule="exact"/>
        <w:rPr>
          <w:rFonts w:hint="eastAsia" w:ascii="仿宋" w:hAnsi="仿宋" w:eastAsia="仿宋" w:cs="仿宋"/>
          <w:color w:val="000000"/>
          <w:sz w:val="18"/>
          <w:szCs w:val="18"/>
        </w:rPr>
      </w:pPr>
      <w:r>
        <w:rPr>
          <w:rFonts w:hint="eastAsia" w:ascii="仿宋" w:hAnsi="仿宋" w:eastAsia="仿宋" w:cs="仿宋"/>
          <w:color w:val="000000"/>
          <w:szCs w:val="21"/>
        </w:rPr>
        <w:t>备注：</w:t>
      </w:r>
      <w:r>
        <w:rPr>
          <w:rFonts w:hint="eastAsia" w:ascii="仿宋" w:hAnsi="仿宋" w:eastAsia="仿宋" w:cs="仿宋"/>
          <w:color w:val="000000"/>
          <w:sz w:val="18"/>
          <w:szCs w:val="18"/>
        </w:rPr>
        <w:t>1.综合得分计算保留2位小数（百分比亦取2位小数），第3位小数4舍5入。</w:t>
      </w:r>
    </w:p>
    <w:p>
      <w:pPr>
        <w:spacing w:line="240" w:lineRule="exact"/>
        <w:ind w:firstLine="597" w:firstLineChars="332"/>
        <w:rPr>
          <w:rFonts w:hint="eastAsia" w:ascii="仿宋" w:hAnsi="仿宋" w:eastAsia="仿宋" w:cs="仿宋"/>
          <w:color w:val="000000"/>
          <w:sz w:val="18"/>
          <w:szCs w:val="18"/>
        </w:rPr>
      </w:pPr>
      <w:r>
        <w:rPr>
          <w:rFonts w:hint="eastAsia" w:ascii="仿宋" w:hAnsi="仿宋" w:eastAsia="仿宋" w:cs="仿宋"/>
          <w:color w:val="000000"/>
          <w:sz w:val="18"/>
          <w:szCs w:val="18"/>
        </w:rPr>
        <w:t>2.技术投标文件单项得分为评标委员会成员个人评审计分去掉一个最高分和一个最低分后的算术平均值。</w:t>
      </w:r>
    </w:p>
    <w:p>
      <w:pPr>
        <w:spacing w:line="240" w:lineRule="exact"/>
        <w:ind w:firstLine="597" w:firstLineChars="332"/>
        <w:rPr>
          <w:rFonts w:hint="eastAsia" w:ascii="仿宋" w:hAnsi="仿宋" w:eastAsia="仿宋" w:cs="仿宋"/>
          <w:color w:val="000000"/>
          <w:sz w:val="18"/>
          <w:szCs w:val="18"/>
        </w:rPr>
      </w:pPr>
      <w:r>
        <w:rPr>
          <w:rFonts w:hint="eastAsia" w:ascii="仿宋" w:hAnsi="仿宋" w:eastAsia="仿宋" w:cs="仿宋"/>
          <w:color w:val="000000"/>
          <w:sz w:val="18"/>
          <w:szCs w:val="18"/>
        </w:rPr>
        <w:t>3.投标人综合得分为技术投标文件、项目管理机构、信誉等其他、投标报价的单项得分乘以相应的权数取值之和加</w:t>
      </w:r>
      <w:r>
        <w:rPr>
          <w:rFonts w:hint="eastAsia" w:ascii="仿宋" w:hAnsi="仿宋" w:eastAsia="仿宋" w:cs="仿宋"/>
          <w:color w:val="000000"/>
          <w:kern w:val="0"/>
          <w:sz w:val="18"/>
          <w:szCs w:val="18"/>
        </w:rPr>
        <w:t>不良行为记录扣分</w:t>
      </w:r>
      <w:r>
        <w:rPr>
          <w:rFonts w:hint="eastAsia" w:ascii="仿宋" w:hAnsi="仿宋" w:eastAsia="仿宋" w:cs="仿宋"/>
          <w:color w:val="000000"/>
          <w:sz w:val="18"/>
          <w:szCs w:val="18"/>
        </w:rPr>
        <w:t>。</w:t>
      </w:r>
    </w:p>
    <w:p>
      <w:pPr>
        <w:spacing w:line="240" w:lineRule="exact"/>
        <w:ind w:firstLine="597" w:firstLineChars="332"/>
        <w:rPr>
          <w:rFonts w:hint="eastAsia" w:ascii="仿宋" w:hAnsi="仿宋" w:eastAsia="仿宋" w:cs="仿宋"/>
          <w:color w:val="000000"/>
          <w:kern w:val="0"/>
          <w:sz w:val="18"/>
          <w:szCs w:val="18"/>
        </w:rPr>
      </w:pPr>
      <w:r>
        <w:rPr>
          <w:rFonts w:hint="eastAsia" w:ascii="仿宋" w:hAnsi="仿宋" w:eastAsia="仿宋" w:cs="仿宋"/>
          <w:color w:val="000000"/>
          <w:sz w:val="18"/>
          <w:szCs w:val="18"/>
        </w:rPr>
        <w:t>4.</w:t>
      </w:r>
      <w:r>
        <w:rPr>
          <w:rFonts w:hint="eastAsia" w:ascii="仿宋" w:hAnsi="仿宋" w:eastAsia="仿宋" w:cs="仿宋"/>
          <w:color w:val="000000"/>
          <w:kern w:val="0"/>
          <w:sz w:val="18"/>
          <w:szCs w:val="18"/>
        </w:rPr>
        <w:t>不良行为记录扣分：湖南省农业农村厅、市州级农业农村局正在处罚或在公告期内的不良行为记录，每项扣1分；县市区级农业农村部门正在处罚或在公告期内的不良行为记录，每项扣0.25分；从事建设工程项目被湖南省相关行政主管部门正在处罚或在公告期内的不良行为记录，每项扣0.25分；累计扣分不超过资格审查或评标办法确定的投标人信誉分值权重。不良行为扣分应为负值。</w:t>
      </w:r>
    </w:p>
    <w:p>
      <w:pPr>
        <w:spacing w:line="240" w:lineRule="exact"/>
        <w:ind w:firstLine="597" w:firstLineChars="332"/>
        <w:rPr>
          <w:rFonts w:hint="eastAsia" w:ascii="仿宋" w:hAnsi="仿宋" w:eastAsia="仿宋" w:cs="仿宋"/>
          <w:color w:val="000000"/>
          <w:kern w:val="0"/>
          <w:sz w:val="18"/>
          <w:szCs w:val="18"/>
        </w:rPr>
      </w:pPr>
    </w:p>
    <w:p>
      <w:pPr>
        <w:spacing w:line="360" w:lineRule="auto"/>
        <w:rPr>
          <w:rFonts w:hint="eastAsia" w:ascii="仿宋" w:hAnsi="仿宋" w:eastAsia="仿宋" w:cs="仿宋"/>
          <w:b/>
          <w:color w:val="000000"/>
          <w:szCs w:val="21"/>
        </w:rPr>
      </w:pPr>
    </w:p>
    <w:p>
      <w:pPr>
        <w:snapToGrid w:val="0"/>
        <w:spacing w:line="400" w:lineRule="exact"/>
        <w:rPr>
          <w:rFonts w:hint="eastAsia" w:ascii="仿宋" w:hAnsi="仿宋" w:eastAsia="仿宋" w:cs="仿宋"/>
          <w:color w:val="000000"/>
          <w:sz w:val="24"/>
        </w:rPr>
      </w:pPr>
      <w:r>
        <w:rPr>
          <w:rFonts w:hint="eastAsia" w:ascii="仿宋" w:hAnsi="仿宋" w:eastAsia="仿宋" w:cs="仿宋"/>
          <w:color w:val="000000"/>
          <w:sz w:val="24"/>
        </w:rPr>
        <w:t>评标委员会全体成员签字：</w:t>
      </w:r>
    </w:p>
    <w:p>
      <w:pPr>
        <w:pStyle w:val="32"/>
        <w:spacing w:line="490" w:lineRule="exact"/>
        <w:ind w:left="0" w:firstLine="0" w:firstLineChars="0"/>
        <w:outlineLvl w:val="4"/>
        <w:rPr>
          <w:rFonts w:eastAsia="黑体"/>
          <w:bCs/>
          <w:color w:val="000000"/>
          <w:sz w:val="28"/>
          <w:szCs w:val="20"/>
        </w:rPr>
      </w:pPr>
      <w:r>
        <w:rPr>
          <w:rFonts w:hint="eastAsia" w:ascii="仿宋" w:hAnsi="仿宋" w:eastAsia="仿宋" w:cs="仿宋"/>
          <w:color w:val="000000"/>
        </w:rPr>
        <w:br w:type="page"/>
      </w:r>
      <w:bookmarkStart w:id="899" w:name="_Toc300678159"/>
      <w:bookmarkStart w:id="900" w:name="_Toc511317270"/>
      <w:bookmarkStart w:id="901" w:name="_Toc511318019"/>
      <w:r>
        <w:rPr>
          <w:rFonts w:eastAsia="黑体"/>
          <w:bCs/>
          <w:color w:val="000000"/>
          <w:sz w:val="28"/>
          <w:szCs w:val="28"/>
        </w:rPr>
        <w:t>附表3-10：经评审的投标人排序表</w:t>
      </w:r>
      <w:bookmarkEnd w:id="899"/>
      <w:bookmarkEnd w:id="900"/>
      <w:bookmarkEnd w:id="901"/>
    </w:p>
    <w:p>
      <w:pPr>
        <w:pStyle w:val="32"/>
        <w:spacing w:line="490" w:lineRule="exact"/>
        <w:ind w:left="0" w:firstLine="0" w:firstLineChars="0"/>
        <w:jc w:val="center"/>
        <w:rPr>
          <w:rFonts w:eastAsia="方正小标宋_GBK"/>
          <w:b/>
          <w:bCs/>
          <w:color w:val="000000"/>
          <w:sz w:val="36"/>
          <w:szCs w:val="36"/>
        </w:rPr>
      </w:pPr>
    </w:p>
    <w:p>
      <w:pPr>
        <w:pStyle w:val="32"/>
        <w:spacing w:line="490" w:lineRule="exact"/>
        <w:ind w:left="0" w:firstLine="0" w:firstLineChars="0"/>
        <w:jc w:val="center"/>
        <w:rPr>
          <w:rFonts w:eastAsia="方正小标宋_GBK"/>
          <w:b/>
          <w:bCs/>
          <w:color w:val="000000"/>
          <w:sz w:val="36"/>
          <w:szCs w:val="36"/>
        </w:rPr>
      </w:pPr>
      <w:r>
        <w:rPr>
          <w:rFonts w:eastAsia="方正小标宋_GBK"/>
          <w:b/>
          <w:bCs/>
          <w:color w:val="000000"/>
          <w:sz w:val="36"/>
          <w:szCs w:val="36"/>
        </w:rPr>
        <w:t>经评审的投标人排序表</w:t>
      </w:r>
    </w:p>
    <w:p>
      <w:pPr>
        <w:pStyle w:val="32"/>
        <w:spacing w:line="490" w:lineRule="exact"/>
        <w:ind w:left="0" w:firstLine="0" w:firstLineChars="0"/>
        <w:jc w:val="center"/>
        <w:rPr>
          <w:rFonts w:eastAsia="方正小标宋_GBK"/>
          <w:b/>
          <w:bCs/>
          <w:color w:val="000000"/>
          <w:sz w:val="36"/>
          <w:szCs w:val="36"/>
        </w:rPr>
      </w:pPr>
    </w:p>
    <w:p>
      <w:pPr>
        <w:snapToGrid w:val="0"/>
        <w:spacing w:line="600" w:lineRule="exact"/>
        <w:rPr>
          <w:rFonts w:hint="eastAsia" w:ascii="仿宋" w:hAnsi="仿宋" w:eastAsia="仿宋" w:cs="仿宋"/>
          <w:color w:val="000000"/>
          <w:sz w:val="24"/>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（标段名称）</w:t>
      </w:r>
      <w:r>
        <w:rPr>
          <w:rFonts w:hint="eastAsia" w:ascii="仿宋" w:hAnsi="仿宋" w:eastAsia="仿宋" w:cs="仿宋"/>
          <w:color w:val="000000"/>
          <w:sz w:val="24"/>
          <w:u w:val="single"/>
        </w:rPr>
        <w:t xml:space="preserve">                     </w:t>
      </w:r>
    </w:p>
    <w:p>
      <w:pPr>
        <w:snapToGrid w:val="0"/>
        <w:spacing w:line="600" w:lineRule="exact"/>
        <w:rPr>
          <w:rFonts w:hint="eastAsia" w:ascii="仿宋" w:hAnsi="仿宋" w:eastAsia="仿宋" w:cs="仿宋"/>
          <w:color w:val="000000"/>
          <w:sz w:val="24"/>
        </w:rPr>
      </w:pPr>
      <w:r>
        <w:rPr>
          <w:rFonts w:hint="eastAsia" w:ascii="仿宋" w:hAnsi="仿宋" w:eastAsia="仿宋" w:cs="仿宋"/>
          <w:color w:val="000000"/>
          <w:sz w:val="24"/>
        </w:rPr>
        <w:t>项目管理编号：</w:t>
      </w:r>
      <w:r>
        <w:rPr>
          <w:rFonts w:hint="eastAsia" w:ascii="仿宋" w:hAnsi="仿宋" w:eastAsia="仿宋" w:cs="仿宋"/>
          <w:color w:val="000000"/>
          <w:sz w:val="24"/>
          <w:u w:val="single"/>
        </w:rPr>
        <w:t xml:space="preserve">                    </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6"/>
        <w:gridCol w:w="4871"/>
        <w:gridCol w:w="3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406" w:type="dxa"/>
            <w:noWrap w:val="0"/>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排  序</w:t>
            </w:r>
          </w:p>
        </w:tc>
        <w:tc>
          <w:tcPr>
            <w:tcW w:w="4871" w:type="dxa"/>
            <w:noWrap w:val="0"/>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投标人名称</w:t>
            </w:r>
          </w:p>
        </w:tc>
        <w:tc>
          <w:tcPr>
            <w:tcW w:w="3009" w:type="dxa"/>
            <w:noWrap w:val="0"/>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406" w:type="dxa"/>
            <w:noWrap w:val="0"/>
            <w:vAlign w:val="center"/>
          </w:tcPr>
          <w:p>
            <w:pPr>
              <w:jc w:val="center"/>
              <w:rPr>
                <w:rFonts w:hint="eastAsia" w:ascii="仿宋" w:hAnsi="仿宋" w:eastAsia="仿宋" w:cs="仿宋"/>
                <w:color w:val="000000"/>
                <w:szCs w:val="21"/>
              </w:rPr>
            </w:pPr>
          </w:p>
        </w:tc>
        <w:tc>
          <w:tcPr>
            <w:tcW w:w="4871" w:type="dxa"/>
            <w:noWrap w:val="0"/>
            <w:vAlign w:val="center"/>
          </w:tcPr>
          <w:p>
            <w:pPr>
              <w:jc w:val="center"/>
              <w:rPr>
                <w:rFonts w:hint="eastAsia" w:ascii="仿宋" w:hAnsi="仿宋" w:eastAsia="仿宋" w:cs="仿宋"/>
                <w:color w:val="000000"/>
                <w:szCs w:val="21"/>
              </w:rPr>
            </w:pPr>
          </w:p>
        </w:tc>
        <w:tc>
          <w:tcPr>
            <w:tcW w:w="3009" w:type="dxa"/>
            <w:noWrap w:val="0"/>
            <w:vAlign w:val="center"/>
          </w:tcPr>
          <w:p>
            <w:pPr>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406" w:type="dxa"/>
            <w:noWrap w:val="0"/>
            <w:vAlign w:val="center"/>
          </w:tcPr>
          <w:p>
            <w:pPr>
              <w:jc w:val="center"/>
              <w:rPr>
                <w:rFonts w:hint="eastAsia" w:ascii="仿宋" w:hAnsi="仿宋" w:eastAsia="仿宋" w:cs="仿宋"/>
                <w:color w:val="000000"/>
                <w:szCs w:val="21"/>
              </w:rPr>
            </w:pPr>
          </w:p>
        </w:tc>
        <w:tc>
          <w:tcPr>
            <w:tcW w:w="4871" w:type="dxa"/>
            <w:noWrap w:val="0"/>
            <w:vAlign w:val="center"/>
          </w:tcPr>
          <w:p>
            <w:pPr>
              <w:jc w:val="center"/>
              <w:rPr>
                <w:rFonts w:hint="eastAsia" w:ascii="仿宋" w:hAnsi="仿宋" w:eastAsia="仿宋" w:cs="仿宋"/>
                <w:color w:val="000000"/>
                <w:szCs w:val="21"/>
              </w:rPr>
            </w:pPr>
          </w:p>
        </w:tc>
        <w:tc>
          <w:tcPr>
            <w:tcW w:w="3009" w:type="dxa"/>
            <w:noWrap w:val="0"/>
            <w:vAlign w:val="center"/>
          </w:tcPr>
          <w:p>
            <w:pPr>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06" w:type="dxa"/>
            <w:noWrap w:val="0"/>
            <w:vAlign w:val="center"/>
          </w:tcPr>
          <w:p>
            <w:pPr>
              <w:jc w:val="center"/>
              <w:rPr>
                <w:rFonts w:hint="eastAsia" w:ascii="仿宋" w:hAnsi="仿宋" w:eastAsia="仿宋" w:cs="仿宋"/>
                <w:color w:val="000000"/>
                <w:szCs w:val="21"/>
              </w:rPr>
            </w:pPr>
          </w:p>
        </w:tc>
        <w:tc>
          <w:tcPr>
            <w:tcW w:w="4871" w:type="dxa"/>
            <w:noWrap w:val="0"/>
            <w:vAlign w:val="center"/>
          </w:tcPr>
          <w:p>
            <w:pPr>
              <w:jc w:val="center"/>
              <w:rPr>
                <w:rFonts w:hint="eastAsia" w:ascii="仿宋" w:hAnsi="仿宋" w:eastAsia="仿宋" w:cs="仿宋"/>
                <w:color w:val="000000"/>
                <w:szCs w:val="21"/>
              </w:rPr>
            </w:pPr>
          </w:p>
        </w:tc>
        <w:tc>
          <w:tcPr>
            <w:tcW w:w="3009" w:type="dxa"/>
            <w:noWrap w:val="0"/>
            <w:vAlign w:val="center"/>
          </w:tcPr>
          <w:p>
            <w:pPr>
              <w:jc w:val="center"/>
              <w:rPr>
                <w:rFonts w:hint="eastAsia" w:ascii="仿宋" w:hAnsi="仿宋" w:eastAsia="仿宋" w:cs="仿宋"/>
                <w:color w:val="000000"/>
                <w:szCs w:val="21"/>
              </w:rPr>
            </w:pPr>
          </w:p>
        </w:tc>
      </w:tr>
    </w:tbl>
    <w:p>
      <w:pPr>
        <w:snapToGrid w:val="0"/>
        <w:spacing w:line="600" w:lineRule="exact"/>
        <w:rPr>
          <w:rFonts w:hint="eastAsia" w:ascii="仿宋" w:hAnsi="仿宋" w:eastAsia="仿宋" w:cs="仿宋"/>
          <w:color w:val="000000"/>
          <w:sz w:val="32"/>
        </w:rPr>
      </w:pPr>
    </w:p>
    <w:p>
      <w:pPr>
        <w:snapToGrid w:val="0"/>
        <w:spacing w:line="400" w:lineRule="exact"/>
        <w:rPr>
          <w:rFonts w:hint="eastAsia" w:ascii="仿宋" w:hAnsi="仿宋" w:eastAsia="仿宋" w:cs="仿宋"/>
          <w:color w:val="000000"/>
          <w:sz w:val="24"/>
        </w:rPr>
      </w:pPr>
      <w:r>
        <w:rPr>
          <w:rFonts w:hint="eastAsia" w:ascii="仿宋" w:hAnsi="仿宋" w:eastAsia="仿宋" w:cs="仿宋"/>
          <w:color w:val="000000"/>
          <w:sz w:val="24"/>
        </w:rPr>
        <w:t>评标委员会全体成员签字：</w:t>
      </w:r>
    </w:p>
    <w:p>
      <w:pPr>
        <w:jc w:val="left"/>
        <w:rPr>
          <w:rFonts w:hint="eastAsia" w:ascii="仿宋" w:hAnsi="仿宋" w:eastAsia="仿宋" w:cs="仿宋"/>
          <w:color w:val="000000"/>
          <w:sz w:val="28"/>
          <w:szCs w:val="28"/>
        </w:rPr>
      </w:pPr>
    </w:p>
    <w:p>
      <w:pPr>
        <w:pStyle w:val="32"/>
        <w:spacing w:line="490" w:lineRule="exact"/>
        <w:ind w:left="0" w:firstLine="0" w:firstLineChars="0"/>
        <w:outlineLvl w:val="4"/>
        <w:rPr>
          <w:rFonts w:eastAsia="黑体"/>
          <w:bCs/>
          <w:color w:val="000000"/>
          <w:sz w:val="28"/>
          <w:szCs w:val="20"/>
        </w:rPr>
      </w:pPr>
      <w:r>
        <w:rPr>
          <w:rFonts w:hint="eastAsia" w:ascii="宋体" w:hAnsi="宋体" w:cs="宋体"/>
          <w:color w:val="000000"/>
        </w:rPr>
        <w:br w:type="page"/>
      </w:r>
      <w:bookmarkStart w:id="902" w:name="_Toc511318020"/>
      <w:bookmarkStart w:id="903" w:name="_Toc511317271"/>
      <w:bookmarkStart w:id="904" w:name="_Toc300678160"/>
      <w:r>
        <w:rPr>
          <w:rFonts w:eastAsia="黑体"/>
          <w:bCs/>
          <w:color w:val="000000"/>
          <w:sz w:val="28"/>
          <w:szCs w:val="28"/>
        </w:rPr>
        <w:t>附表3-11：中标候选人表</w:t>
      </w:r>
      <w:bookmarkEnd w:id="902"/>
      <w:bookmarkEnd w:id="903"/>
      <w:bookmarkEnd w:id="904"/>
    </w:p>
    <w:p>
      <w:pPr>
        <w:pStyle w:val="32"/>
        <w:spacing w:line="490" w:lineRule="exact"/>
        <w:ind w:left="0" w:firstLine="0" w:firstLineChars="0"/>
        <w:jc w:val="center"/>
        <w:rPr>
          <w:rFonts w:eastAsia="方正小标宋_GBK"/>
          <w:b/>
          <w:bCs/>
          <w:color w:val="000000"/>
          <w:sz w:val="36"/>
          <w:szCs w:val="36"/>
        </w:rPr>
      </w:pPr>
    </w:p>
    <w:p>
      <w:pPr>
        <w:pStyle w:val="32"/>
        <w:spacing w:line="490" w:lineRule="exact"/>
        <w:ind w:left="0" w:firstLine="0" w:firstLineChars="0"/>
        <w:jc w:val="center"/>
        <w:rPr>
          <w:rFonts w:eastAsia="方正小标宋_GBK"/>
          <w:b/>
          <w:bCs/>
          <w:color w:val="000000"/>
          <w:sz w:val="36"/>
          <w:szCs w:val="36"/>
        </w:rPr>
      </w:pPr>
      <w:r>
        <w:rPr>
          <w:rFonts w:eastAsia="方正小标宋_GBK"/>
          <w:b/>
          <w:bCs/>
          <w:color w:val="000000"/>
          <w:sz w:val="36"/>
          <w:szCs w:val="36"/>
        </w:rPr>
        <w:t>中标候选人表</w:t>
      </w:r>
    </w:p>
    <w:p>
      <w:pPr>
        <w:pStyle w:val="32"/>
        <w:spacing w:line="490" w:lineRule="exact"/>
        <w:ind w:left="0" w:firstLine="0" w:firstLineChars="0"/>
        <w:jc w:val="center"/>
        <w:rPr>
          <w:rFonts w:eastAsia="方正小标宋_GBK"/>
          <w:b/>
          <w:bCs/>
          <w:color w:val="000000"/>
          <w:sz w:val="36"/>
          <w:szCs w:val="36"/>
        </w:rPr>
      </w:pPr>
    </w:p>
    <w:p>
      <w:pPr>
        <w:snapToGrid w:val="0"/>
        <w:spacing w:line="600" w:lineRule="exact"/>
        <w:rPr>
          <w:rFonts w:hint="eastAsia" w:ascii="仿宋" w:hAnsi="仿宋" w:eastAsia="仿宋" w:cs="仿宋"/>
          <w:color w:val="000000"/>
          <w:sz w:val="24"/>
          <w:u w:val="single"/>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（标段名称）</w:t>
      </w:r>
      <w:r>
        <w:rPr>
          <w:rFonts w:hint="eastAsia" w:ascii="仿宋" w:hAnsi="仿宋" w:eastAsia="仿宋" w:cs="仿宋"/>
          <w:color w:val="000000"/>
          <w:sz w:val="24"/>
          <w:u w:val="single"/>
        </w:rPr>
        <w:t xml:space="preserve">                      </w:t>
      </w:r>
    </w:p>
    <w:p>
      <w:pPr>
        <w:snapToGrid w:val="0"/>
        <w:spacing w:line="600" w:lineRule="exact"/>
        <w:rPr>
          <w:rFonts w:hint="eastAsia" w:ascii="仿宋" w:hAnsi="仿宋" w:eastAsia="仿宋" w:cs="仿宋"/>
          <w:color w:val="000000"/>
          <w:sz w:val="24"/>
        </w:rPr>
      </w:pPr>
      <w:r>
        <w:rPr>
          <w:rFonts w:hint="eastAsia" w:ascii="仿宋" w:hAnsi="仿宋" w:eastAsia="仿宋" w:cs="仿宋"/>
          <w:color w:val="000000"/>
          <w:sz w:val="24"/>
        </w:rPr>
        <w:t>项目管理编号：</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4660"/>
        <w:gridCol w:w="3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0" w:type="dxa"/>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排  序</w:t>
            </w:r>
          </w:p>
        </w:tc>
        <w:tc>
          <w:tcPr>
            <w:tcW w:w="4660" w:type="dxa"/>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 xml:space="preserve"> 中标候选人</w:t>
            </w:r>
          </w:p>
        </w:tc>
        <w:tc>
          <w:tcPr>
            <w:tcW w:w="3466" w:type="dxa"/>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0" w:type="dxa"/>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第一名</w:t>
            </w:r>
          </w:p>
        </w:tc>
        <w:tc>
          <w:tcPr>
            <w:tcW w:w="4660" w:type="dxa"/>
            <w:noWrap w:val="0"/>
            <w:vAlign w:val="center"/>
          </w:tcPr>
          <w:p>
            <w:pPr>
              <w:jc w:val="center"/>
              <w:rPr>
                <w:rFonts w:hint="eastAsia" w:ascii="仿宋" w:hAnsi="仿宋" w:eastAsia="仿宋" w:cs="仿宋"/>
                <w:color w:val="000000"/>
                <w:sz w:val="24"/>
                <w:szCs w:val="21"/>
              </w:rPr>
            </w:pPr>
          </w:p>
        </w:tc>
        <w:tc>
          <w:tcPr>
            <w:tcW w:w="3466" w:type="dxa"/>
            <w:noWrap w:val="0"/>
            <w:vAlign w:val="center"/>
          </w:tcPr>
          <w:p>
            <w:pPr>
              <w:jc w:val="center"/>
              <w:rPr>
                <w:rFonts w:hint="eastAsia" w:ascii="仿宋" w:hAnsi="仿宋" w:eastAsia="仿宋" w:cs="仿宋"/>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0" w:type="dxa"/>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第二名</w:t>
            </w:r>
          </w:p>
        </w:tc>
        <w:tc>
          <w:tcPr>
            <w:tcW w:w="4660" w:type="dxa"/>
            <w:noWrap w:val="0"/>
            <w:vAlign w:val="center"/>
          </w:tcPr>
          <w:p>
            <w:pPr>
              <w:jc w:val="center"/>
              <w:rPr>
                <w:rFonts w:hint="eastAsia" w:ascii="仿宋" w:hAnsi="仿宋" w:eastAsia="仿宋" w:cs="仿宋"/>
                <w:color w:val="000000"/>
                <w:sz w:val="24"/>
                <w:szCs w:val="21"/>
              </w:rPr>
            </w:pPr>
          </w:p>
        </w:tc>
        <w:tc>
          <w:tcPr>
            <w:tcW w:w="3466" w:type="dxa"/>
            <w:noWrap w:val="0"/>
            <w:vAlign w:val="center"/>
          </w:tcPr>
          <w:p>
            <w:pPr>
              <w:jc w:val="center"/>
              <w:rPr>
                <w:rFonts w:hint="eastAsia" w:ascii="仿宋" w:hAnsi="仿宋" w:eastAsia="仿宋" w:cs="仿宋"/>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0" w:type="dxa"/>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第三名</w:t>
            </w:r>
          </w:p>
        </w:tc>
        <w:tc>
          <w:tcPr>
            <w:tcW w:w="4660" w:type="dxa"/>
            <w:noWrap w:val="0"/>
            <w:vAlign w:val="center"/>
          </w:tcPr>
          <w:p>
            <w:pPr>
              <w:jc w:val="center"/>
              <w:rPr>
                <w:rFonts w:hint="eastAsia" w:ascii="仿宋" w:hAnsi="仿宋" w:eastAsia="仿宋" w:cs="仿宋"/>
                <w:color w:val="000000"/>
                <w:sz w:val="24"/>
                <w:szCs w:val="21"/>
              </w:rPr>
            </w:pPr>
          </w:p>
        </w:tc>
        <w:tc>
          <w:tcPr>
            <w:tcW w:w="3466" w:type="dxa"/>
            <w:noWrap w:val="0"/>
            <w:vAlign w:val="center"/>
          </w:tcPr>
          <w:p>
            <w:pPr>
              <w:jc w:val="center"/>
              <w:rPr>
                <w:rFonts w:hint="eastAsia" w:ascii="仿宋" w:hAnsi="仿宋" w:eastAsia="仿宋" w:cs="仿宋"/>
                <w:color w:val="000000"/>
                <w:sz w:val="24"/>
                <w:szCs w:val="21"/>
              </w:rPr>
            </w:pPr>
          </w:p>
        </w:tc>
      </w:tr>
    </w:tbl>
    <w:p>
      <w:pPr>
        <w:spacing w:line="600" w:lineRule="exact"/>
        <w:jc w:val="left"/>
        <w:rPr>
          <w:rFonts w:hint="eastAsia" w:ascii="仿宋" w:hAnsi="仿宋" w:eastAsia="仿宋" w:cs="仿宋"/>
          <w:color w:val="000000"/>
          <w:sz w:val="32"/>
          <w:szCs w:val="21"/>
        </w:rPr>
      </w:pPr>
    </w:p>
    <w:p>
      <w:pPr>
        <w:snapToGrid w:val="0"/>
        <w:spacing w:line="400" w:lineRule="exact"/>
        <w:rPr>
          <w:rFonts w:hint="eastAsia" w:ascii="仿宋" w:hAnsi="仿宋" w:eastAsia="仿宋" w:cs="仿宋"/>
          <w:color w:val="000000"/>
          <w:sz w:val="24"/>
        </w:rPr>
      </w:pPr>
      <w:r>
        <w:rPr>
          <w:rFonts w:hint="eastAsia" w:ascii="仿宋" w:hAnsi="仿宋" w:eastAsia="仿宋" w:cs="仿宋"/>
          <w:color w:val="000000"/>
          <w:sz w:val="24"/>
        </w:rPr>
        <w:t>签订合同前要处理的事宜：</w:t>
      </w:r>
    </w:p>
    <w:p>
      <w:pPr>
        <w:snapToGrid w:val="0"/>
        <w:spacing w:line="400" w:lineRule="exact"/>
        <w:rPr>
          <w:rFonts w:hint="eastAsia" w:ascii="仿宋" w:hAnsi="仿宋" w:eastAsia="仿宋" w:cs="仿宋"/>
          <w:color w:val="000000"/>
          <w:sz w:val="24"/>
        </w:rPr>
      </w:pPr>
    </w:p>
    <w:p>
      <w:pPr>
        <w:snapToGrid w:val="0"/>
        <w:spacing w:line="400" w:lineRule="exact"/>
        <w:rPr>
          <w:rFonts w:hint="eastAsia" w:ascii="仿宋" w:hAnsi="仿宋" w:eastAsia="仿宋" w:cs="仿宋"/>
          <w:color w:val="000000"/>
          <w:sz w:val="24"/>
        </w:rPr>
      </w:pPr>
      <w:r>
        <w:rPr>
          <w:rFonts w:hint="eastAsia" w:ascii="仿宋" w:hAnsi="仿宋" w:eastAsia="仿宋" w:cs="仿宋"/>
          <w:color w:val="000000"/>
          <w:sz w:val="24"/>
        </w:rPr>
        <w:t>评标委员会全体成员签字：</w:t>
      </w:r>
    </w:p>
    <w:p>
      <w:pPr>
        <w:spacing w:line="600" w:lineRule="exact"/>
        <w:jc w:val="left"/>
        <w:rPr>
          <w:rFonts w:hint="eastAsia" w:ascii="仿宋" w:hAnsi="仿宋" w:eastAsia="仿宋" w:cs="仿宋"/>
          <w:color w:val="000000"/>
          <w:sz w:val="32"/>
          <w:szCs w:val="28"/>
        </w:rPr>
      </w:pPr>
    </w:p>
    <w:p>
      <w:pPr>
        <w:spacing w:line="600" w:lineRule="exact"/>
        <w:jc w:val="left"/>
        <w:rPr>
          <w:rFonts w:hint="eastAsia" w:ascii="仿宋" w:hAnsi="仿宋" w:eastAsia="仿宋" w:cs="仿宋"/>
          <w:color w:val="000000"/>
          <w:sz w:val="32"/>
          <w:szCs w:val="28"/>
        </w:rPr>
      </w:pPr>
    </w:p>
    <w:p>
      <w:pPr>
        <w:spacing w:line="600" w:lineRule="exact"/>
        <w:jc w:val="left"/>
        <w:rPr>
          <w:rFonts w:hint="eastAsia" w:ascii="仿宋" w:hAnsi="仿宋" w:eastAsia="仿宋" w:cs="仿宋"/>
          <w:color w:val="000000"/>
          <w:sz w:val="32"/>
          <w:szCs w:val="28"/>
        </w:rPr>
      </w:pPr>
    </w:p>
    <w:p>
      <w:pPr>
        <w:spacing w:line="600" w:lineRule="exact"/>
        <w:rPr>
          <w:rFonts w:hint="eastAsia" w:ascii="仿宋" w:hAnsi="仿宋" w:eastAsia="仿宋" w:cs="仿宋"/>
          <w:color w:val="000000"/>
          <w:sz w:val="24"/>
          <w:szCs w:val="20"/>
        </w:rPr>
      </w:pPr>
      <w:r>
        <w:rPr>
          <w:rFonts w:hint="eastAsia" w:ascii="仿宋" w:hAnsi="仿宋" w:eastAsia="仿宋" w:cs="仿宋"/>
          <w:color w:val="000000"/>
          <w:sz w:val="28"/>
          <w:szCs w:val="28"/>
        </w:rPr>
        <w:t xml:space="preserve">                              日期：</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年</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月</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日</w:t>
      </w:r>
    </w:p>
    <w:p>
      <w:pPr>
        <w:ind w:firstLine="360" w:firstLineChars="200"/>
        <w:rPr>
          <w:rFonts w:hint="eastAsia" w:ascii="仿宋" w:hAnsi="仿宋" w:eastAsia="仿宋" w:cs="仿宋"/>
          <w:color w:val="000000"/>
          <w:kern w:val="0"/>
          <w:sz w:val="18"/>
          <w:szCs w:val="18"/>
        </w:rPr>
      </w:pPr>
    </w:p>
    <w:p>
      <w:pPr>
        <w:pStyle w:val="85"/>
        <w:rPr>
          <w:rFonts w:hint="eastAsia" w:ascii="方正小标宋简体" w:hAnsi="Times New Roman" w:eastAsia="方正小标宋简体"/>
          <w:b w:val="0"/>
          <w:color w:val="000000"/>
          <w:kern w:val="2"/>
          <w:sz w:val="36"/>
          <w:szCs w:val="36"/>
          <w:lang w:val="en-US" w:eastAsia="zh-CN"/>
        </w:rPr>
      </w:pPr>
      <w:r>
        <w:rPr>
          <w:color w:val="000000"/>
        </w:rPr>
        <w:br w:type="page"/>
      </w:r>
      <w:bookmarkStart w:id="905" w:name="_Toc27992"/>
      <w:bookmarkStart w:id="906" w:name="_Toc1662"/>
      <w:bookmarkStart w:id="907" w:name="_Toc269742762"/>
      <w:bookmarkStart w:id="908" w:name="_Toc51091876"/>
      <w:r>
        <w:rPr>
          <w:rFonts w:hint="eastAsia" w:ascii="方正小标宋简体" w:hAnsi="Times New Roman" w:eastAsia="方正小标宋简体"/>
          <w:b w:val="0"/>
          <w:color w:val="000000"/>
          <w:kern w:val="2"/>
          <w:sz w:val="36"/>
          <w:szCs w:val="36"/>
          <w:lang w:val="en-US" w:eastAsia="zh-CN"/>
        </w:rPr>
        <w:t>第三章 评标办法（经评审的最低投标价法）</w:t>
      </w:r>
      <w:bookmarkEnd w:id="905"/>
      <w:bookmarkEnd w:id="906"/>
    </w:p>
    <w:p>
      <w:pPr>
        <w:pStyle w:val="40"/>
        <w:snapToGrid w:val="0"/>
        <w:spacing w:before="0" w:beforeAutospacing="0" w:after="0" w:afterAutospacing="0" w:line="600" w:lineRule="exact"/>
        <w:jc w:val="center"/>
        <w:outlineLvl w:val="1"/>
        <w:rPr>
          <w:rFonts w:hint="eastAsia" w:eastAsia="黑体"/>
          <w:b/>
          <w:color w:val="000000"/>
          <w:sz w:val="32"/>
          <w:szCs w:val="32"/>
        </w:rPr>
      </w:pPr>
      <w:bookmarkStart w:id="909" w:name="_Toc22755"/>
      <w:bookmarkStart w:id="910" w:name="_Toc16770"/>
      <w:r>
        <w:rPr>
          <w:rFonts w:hint="eastAsia" w:eastAsia="黑体"/>
          <w:b/>
          <w:color w:val="000000"/>
          <w:sz w:val="32"/>
          <w:szCs w:val="32"/>
        </w:rPr>
        <w:t>评标办法前附表</w:t>
      </w:r>
      <w:bookmarkEnd w:id="909"/>
      <w:bookmarkEnd w:id="910"/>
    </w:p>
    <w:tbl>
      <w:tblPr>
        <w:tblStyle w:val="47"/>
        <w:tblW w:w="97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2"/>
        <w:gridCol w:w="872"/>
        <w:gridCol w:w="2300"/>
        <w:gridCol w:w="22"/>
        <w:gridCol w:w="5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39" w:hRule="exact"/>
          <w:tblHeader/>
          <w:jc w:val="center"/>
        </w:trPr>
        <w:tc>
          <w:tcPr>
            <w:tcW w:w="2354" w:type="dxa"/>
            <w:gridSpan w:val="2"/>
            <w:noWrap w:val="0"/>
            <w:vAlign w:val="center"/>
          </w:tcPr>
          <w:p>
            <w:pPr>
              <w:pStyle w:val="124"/>
              <w:spacing w:line="240" w:lineRule="exact"/>
              <w:ind w:firstLine="0" w:firstLineChars="0"/>
              <w:jc w:val="center"/>
              <w:rPr>
                <w:rFonts w:hint="eastAsia" w:ascii="仿宋" w:hAnsi="仿宋" w:eastAsia="仿宋" w:cs="仿宋"/>
                <w:color w:val="000000"/>
                <w:sz w:val="24"/>
                <w:szCs w:val="24"/>
                <w:u w:val="none"/>
              </w:rPr>
            </w:pPr>
            <w:bookmarkStart w:id="911" w:name="_Toc6056"/>
            <w:bookmarkStart w:id="912" w:name="_Toc10637"/>
            <w:r>
              <w:rPr>
                <w:rFonts w:hint="eastAsia" w:ascii="仿宋" w:hAnsi="仿宋" w:eastAsia="仿宋" w:cs="仿宋"/>
                <w:color w:val="000000"/>
                <w:sz w:val="24"/>
                <w:szCs w:val="24"/>
                <w:u w:val="none"/>
              </w:rPr>
              <w:t>条  款  号</w:t>
            </w:r>
            <w:bookmarkEnd w:id="911"/>
            <w:bookmarkEnd w:id="912"/>
          </w:p>
        </w:tc>
        <w:tc>
          <w:tcPr>
            <w:tcW w:w="2322" w:type="dxa"/>
            <w:gridSpan w:val="2"/>
            <w:noWrap w:val="0"/>
            <w:vAlign w:val="center"/>
          </w:tcPr>
          <w:p>
            <w:pPr>
              <w:pStyle w:val="124"/>
              <w:spacing w:line="240" w:lineRule="exact"/>
              <w:ind w:firstLine="0" w:firstLineChars="0"/>
              <w:jc w:val="center"/>
              <w:rPr>
                <w:rFonts w:hint="eastAsia" w:ascii="仿宋" w:hAnsi="仿宋" w:eastAsia="仿宋" w:cs="仿宋"/>
                <w:color w:val="000000"/>
                <w:sz w:val="24"/>
                <w:szCs w:val="24"/>
                <w:u w:val="none"/>
              </w:rPr>
            </w:pPr>
            <w:bookmarkStart w:id="913" w:name="_Toc13149"/>
            <w:bookmarkStart w:id="914" w:name="_Toc16197"/>
            <w:r>
              <w:rPr>
                <w:rFonts w:hint="eastAsia" w:ascii="仿宋" w:hAnsi="仿宋" w:eastAsia="仿宋" w:cs="仿宋"/>
                <w:color w:val="000000"/>
                <w:sz w:val="24"/>
                <w:szCs w:val="24"/>
                <w:u w:val="none"/>
              </w:rPr>
              <w:t>评  审  因  素</w:t>
            </w:r>
            <w:bookmarkEnd w:id="913"/>
            <w:bookmarkEnd w:id="914"/>
          </w:p>
        </w:tc>
        <w:tc>
          <w:tcPr>
            <w:tcW w:w="5090" w:type="dxa"/>
            <w:noWrap w:val="0"/>
            <w:vAlign w:val="center"/>
          </w:tcPr>
          <w:p>
            <w:pPr>
              <w:pStyle w:val="124"/>
              <w:spacing w:line="240" w:lineRule="exact"/>
              <w:ind w:firstLine="0" w:firstLineChars="0"/>
              <w:jc w:val="center"/>
              <w:rPr>
                <w:rFonts w:hint="eastAsia" w:ascii="仿宋" w:hAnsi="仿宋" w:eastAsia="仿宋" w:cs="仿宋"/>
                <w:color w:val="000000"/>
                <w:sz w:val="24"/>
                <w:szCs w:val="24"/>
                <w:u w:val="none"/>
              </w:rPr>
            </w:pPr>
            <w:bookmarkStart w:id="915" w:name="_Toc23358"/>
            <w:bookmarkStart w:id="916" w:name="_Toc25156"/>
            <w:r>
              <w:rPr>
                <w:rFonts w:hint="eastAsia" w:ascii="仿宋" w:hAnsi="仿宋" w:eastAsia="仿宋" w:cs="仿宋"/>
                <w:color w:val="000000"/>
                <w:sz w:val="24"/>
                <w:szCs w:val="24"/>
                <w:u w:val="none"/>
              </w:rPr>
              <w:t>评  审  标  准</w:t>
            </w:r>
            <w:bookmarkEnd w:id="915"/>
            <w:bookmarkEnd w:id="91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39" w:hRule="exact"/>
          <w:jc w:val="center"/>
        </w:trPr>
        <w:tc>
          <w:tcPr>
            <w:tcW w:w="1482" w:type="dxa"/>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917" w:name="_Toc1932"/>
            <w:bookmarkStart w:id="918" w:name="_Toc9148"/>
            <w:r>
              <w:rPr>
                <w:rFonts w:hint="eastAsia" w:ascii="仿宋" w:hAnsi="仿宋" w:eastAsia="仿宋" w:cs="仿宋"/>
                <w:color w:val="000000"/>
                <w:sz w:val="24"/>
                <w:szCs w:val="24"/>
                <w:u w:val="none"/>
              </w:rPr>
              <w:t>2.1.1（1）</w:t>
            </w:r>
            <w:bookmarkEnd w:id="917"/>
            <w:bookmarkEnd w:id="918"/>
          </w:p>
        </w:tc>
        <w:tc>
          <w:tcPr>
            <w:tcW w:w="872" w:type="dxa"/>
            <w:vMerge w:val="restart"/>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919" w:name="_Toc6950"/>
            <w:bookmarkStart w:id="920" w:name="_Toc6150"/>
            <w:r>
              <w:rPr>
                <w:rFonts w:hint="eastAsia" w:ascii="仿宋" w:hAnsi="仿宋" w:eastAsia="仿宋" w:cs="仿宋"/>
                <w:color w:val="000000"/>
                <w:sz w:val="24"/>
                <w:szCs w:val="24"/>
                <w:u w:val="none"/>
              </w:rPr>
              <w:t>形式评审标准</w:t>
            </w:r>
            <w:bookmarkEnd w:id="919"/>
            <w:bookmarkEnd w:id="920"/>
          </w:p>
        </w:tc>
        <w:tc>
          <w:tcPr>
            <w:tcW w:w="2322" w:type="dxa"/>
            <w:gridSpan w:val="2"/>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921" w:name="_Toc4070"/>
            <w:bookmarkStart w:id="922" w:name="_Toc25306"/>
            <w:r>
              <w:rPr>
                <w:rFonts w:hint="eastAsia" w:ascii="仿宋" w:hAnsi="仿宋" w:eastAsia="仿宋" w:cs="仿宋"/>
                <w:color w:val="000000"/>
                <w:sz w:val="24"/>
                <w:szCs w:val="24"/>
                <w:u w:val="none"/>
              </w:rPr>
              <w:t>投标人名称</w:t>
            </w:r>
            <w:bookmarkEnd w:id="921"/>
            <w:bookmarkEnd w:id="922"/>
          </w:p>
        </w:tc>
        <w:tc>
          <w:tcPr>
            <w:tcW w:w="5090" w:type="dxa"/>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923" w:name="_Toc13662"/>
            <w:bookmarkStart w:id="924" w:name="_Toc6214"/>
            <w:r>
              <w:rPr>
                <w:rFonts w:hint="eastAsia" w:ascii="仿宋" w:hAnsi="仿宋" w:eastAsia="仿宋" w:cs="仿宋"/>
                <w:color w:val="000000"/>
                <w:sz w:val="24"/>
                <w:szCs w:val="24"/>
                <w:u w:val="none"/>
              </w:rPr>
              <w:t>投标人名称应与营业执照、资质证书、安全生产许可证一致</w:t>
            </w:r>
            <w:bookmarkEnd w:id="923"/>
            <w:bookmarkEnd w:id="92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39" w:hRule="exact"/>
          <w:jc w:val="center"/>
        </w:trPr>
        <w:tc>
          <w:tcPr>
            <w:tcW w:w="1482" w:type="dxa"/>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925" w:name="_Toc22074"/>
            <w:bookmarkStart w:id="926" w:name="_Toc15293"/>
            <w:r>
              <w:rPr>
                <w:rFonts w:hint="eastAsia" w:ascii="仿宋" w:hAnsi="仿宋" w:eastAsia="仿宋" w:cs="仿宋"/>
                <w:color w:val="000000"/>
                <w:sz w:val="24"/>
                <w:szCs w:val="24"/>
                <w:u w:val="none"/>
              </w:rPr>
              <w:t>2.1.1（2）</w:t>
            </w:r>
            <w:bookmarkEnd w:id="925"/>
            <w:bookmarkEnd w:id="926"/>
          </w:p>
        </w:tc>
        <w:tc>
          <w:tcPr>
            <w:tcW w:w="872"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4"/>
                <w:szCs w:val="24"/>
                <w:u w:val="none"/>
              </w:rPr>
            </w:pPr>
          </w:p>
        </w:tc>
        <w:tc>
          <w:tcPr>
            <w:tcW w:w="2322" w:type="dxa"/>
            <w:gridSpan w:val="2"/>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927" w:name="_Toc25056"/>
            <w:bookmarkStart w:id="928" w:name="_Toc32374"/>
            <w:r>
              <w:rPr>
                <w:rFonts w:hint="eastAsia" w:ascii="仿宋" w:hAnsi="仿宋" w:eastAsia="仿宋" w:cs="仿宋"/>
                <w:color w:val="000000"/>
                <w:sz w:val="24"/>
                <w:szCs w:val="24"/>
                <w:u w:val="none"/>
              </w:rPr>
              <w:t>投标文件的签字盖章</w:t>
            </w:r>
            <w:bookmarkEnd w:id="927"/>
            <w:bookmarkEnd w:id="928"/>
          </w:p>
        </w:tc>
        <w:tc>
          <w:tcPr>
            <w:tcW w:w="5090" w:type="dxa"/>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929" w:name="_Toc3548"/>
            <w:bookmarkStart w:id="930" w:name="_Toc17978"/>
            <w:r>
              <w:rPr>
                <w:rFonts w:hint="eastAsia" w:ascii="仿宋" w:hAnsi="仿宋" w:eastAsia="仿宋" w:cs="仿宋"/>
                <w:color w:val="000000"/>
                <w:sz w:val="24"/>
                <w:szCs w:val="24"/>
                <w:u w:val="none"/>
              </w:rPr>
              <w:t>投标文件的签字盖章符合第二章投标人须知第3.7.3项规定</w:t>
            </w:r>
            <w:bookmarkEnd w:id="929"/>
            <w:bookmarkEnd w:id="93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10" w:hRule="exact"/>
          <w:jc w:val="center"/>
        </w:trPr>
        <w:tc>
          <w:tcPr>
            <w:tcW w:w="1482" w:type="dxa"/>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931" w:name="_Toc32466"/>
            <w:bookmarkStart w:id="932" w:name="_Toc19152"/>
            <w:r>
              <w:rPr>
                <w:rFonts w:hint="eastAsia" w:ascii="仿宋" w:hAnsi="仿宋" w:eastAsia="仿宋" w:cs="仿宋"/>
                <w:color w:val="000000"/>
                <w:sz w:val="24"/>
                <w:szCs w:val="24"/>
                <w:u w:val="none"/>
              </w:rPr>
              <w:t>2.1.1（3）</w:t>
            </w:r>
            <w:bookmarkEnd w:id="931"/>
            <w:bookmarkEnd w:id="932"/>
          </w:p>
        </w:tc>
        <w:tc>
          <w:tcPr>
            <w:tcW w:w="872"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4"/>
                <w:szCs w:val="24"/>
                <w:u w:val="none"/>
              </w:rPr>
            </w:pPr>
          </w:p>
        </w:tc>
        <w:tc>
          <w:tcPr>
            <w:tcW w:w="2322" w:type="dxa"/>
            <w:gridSpan w:val="2"/>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933" w:name="_Toc18008"/>
            <w:bookmarkStart w:id="934" w:name="_Toc26657"/>
            <w:r>
              <w:rPr>
                <w:rFonts w:hint="eastAsia" w:ascii="仿宋" w:hAnsi="仿宋" w:eastAsia="仿宋" w:cs="仿宋"/>
                <w:color w:val="000000"/>
                <w:sz w:val="24"/>
                <w:szCs w:val="24"/>
                <w:u w:val="none"/>
              </w:rPr>
              <w:t>投标文件完整性</w:t>
            </w:r>
            <w:bookmarkEnd w:id="933"/>
            <w:bookmarkEnd w:id="934"/>
          </w:p>
        </w:tc>
        <w:tc>
          <w:tcPr>
            <w:tcW w:w="5090" w:type="dxa"/>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935" w:name="_Toc26318"/>
            <w:bookmarkStart w:id="936" w:name="_Toc8472"/>
            <w:r>
              <w:rPr>
                <w:rFonts w:hint="eastAsia" w:ascii="仿宋" w:hAnsi="仿宋" w:eastAsia="仿宋" w:cs="仿宋"/>
                <w:color w:val="000000"/>
                <w:sz w:val="24"/>
                <w:szCs w:val="24"/>
                <w:u w:val="none"/>
              </w:rPr>
              <w:t>符合第八章投标文件格式的要求</w:t>
            </w:r>
            <w:bookmarkEnd w:id="935"/>
            <w:bookmarkEnd w:id="93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10" w:hRule="exact"/>
          <w:jc w:val="center"/>
        </w:trPr>
        <w:tc>
          <w:tcPr>
            <w:tcW w:w="1482" w:type="dxa"/>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937" w:name="_Toc11587"/>
            <w:bookmarkStart w:id="938" w:name="_Toc11624"/>
            <w:r>
              <w:rPr>
                <w:rFonts w:hint="eastAsia" w:ascii="仿宋" w:hAnsi="仿宋" w:eastAsia="仿宋" w:cs="仿宋"/>
                <w:color w:val="000000"/>
                <w:sz w:val="24"/>
                <w:szCs w:val="24"/>
                <w:u w:val="none"/>
              </w:rPr>
              <w:t>2.1.1（4）</w:t>
            </w:r>
            <w:bookmarkEnd w:id="937"/>
            <w:bookmarkEnd w:id="938"/>
          </w:p>
        </w:tc>
        <w:tc>
          <w:tcPr>
            <w:tcW w:w="872"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4"/>
                <w:szCs w:val="24"/>
                <w:u w:val="none"/>
              </w:rPr>
            </w:pPr>
          </w:p>
        </w:tc>
        <w:tc>
          <w:tcPr>
            <w:tcW w:w="2322" w:type="dxa"/>
            <w:gridSpan w:val="2"/>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939" w:name="_Toc26154"/>
            <w:bookmarkStart w:id="940" w:name="_Toc31332"/>
            <w:r>
              <w:rPr>
                <w:rFonts w:hint="eastAsia" w:ascii="仿宋" w:hAnsi="仿宋" w:eastAsia="仿宋" w:cs="仿宋"/>
                <w:color w:val="000000"/>
                <w:sz w:val="24"/>
                <w:szCs w:val="24"/>
                <w:u w:val="none"/>
              </w:rPr>
              <w:t>投标报价</w:t>
            </w:r>
            <w:bookmarkEnd w:id="939"/>
            <w:bookmarkEnd w:id="940"/>
          </w:p>
        </w:tc>
        <w:tc>
          <w:tcPr>
            <w:tcW w:w="5090" w:type="dxa"/>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941" w:name="_Toc14087"/>
            <w:bookmarkStart w:id="942" w:name="_Toc19242"/>
            <w:r>
              <w:rPr>
                <w:rFonts w:hint="eastAsia" w:ascii="仿宋" w:hAnsi="仿宋" w:eastAsia="仿宋" w:cs="仿宋"/>
                <w:color w:val="000000"/>
                <w:sz w:val="24"/>
                <w:szCs w:val="24"/>
                <w:u w:val="none"/>
              </w:rPr>
              <w:t>只能有一个报价</w:t>
            </w:r>
            <w:bookmarkEnd w:id="941"/>
            <w:bookmarkEnd w:id="94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39" w:hRule="exact"/>
          <w:jc w:val="center"/>
        </w:trPr>
        <w:tc>
          <w:tcPr>
            <w:tcW w:w="1482" w:type="dxa"/>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943" w:name="_Toc13630"/>
            <w:bookmarkStart w:id="944" w:name="_Toc17547"/>
            <w:r>
              <w:rPr>
                <w:rFonts w:hint="eastAsia" w:ascii="仿宋" w:hAnsi="仿宋" w:eastAsia="仿宋" w:cs="仿宋"/>
                <w:color w:val="000000"/>
                <w:sz w:val="24"/>
                <w:szCs w:val="24"/>
                <w:u w:val="none"/>
              </w:rPr>
              <w:t>2.1.1（5）</w:t>
            </w:r>
            <w:bookmarkEnd w:id="943"/>
            <w:bookmarkEnd w:id="944"/>
          </w:p>
        </w:tc>
        <w:tc>
          <w:tcPr>
            <w:tcW w:w="872"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4"/>
                <w:szCs w:val="24"/>
                <w:u w:val="none"/>
              </w:rPr>
            </w:pPr>
          </w:p>
        </w:tc>
        <w:tc>
          <w:tcPr>
            <w:tcW w:w="2322" w:type="dxa"/>
            <w:gridSpan w:val="2"/>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945" w:name="_Toc4920"/>
            <w:bookmarkStart w:id="946" w:name="_Toc1827"/>
            <w:r>
              <w:rPr>
                <w:rFonts w:hint="eastAsia" w:ascii="仿宋" w:hAnsi="仿宋" w:eastAsia="仿宋" w:cs="仿宋"/>
                <w:color w:val="000000"/>
                <w:sz w:val="24"/>
                <w:szCs w:val="24"/>
                <w:u w:val="none"/>
              </w:rPr>
              <w:t>联合体协议书（如有）</w:t>
            </w:r>
            <w:bookmarkEnd w:id="945"/>
            <w:bookmarkEnd w:id="946"/>
          </w:p>
        </w:tc>
        <w:tc>
          <w:tcPr>
            <w:tcW w:w="5090" w:type="dxa"/>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947" w:name="_Toc7584"/>
            <w:bookmarkStart w:id="948" w:name="_Toc11863"/>
            <w:r>
              <w:rPr>
                <w:rFonts w:hint="eastAsia" w:ascii="仿宋" w:hAnsi="仿宋" w:eastAsia="仿宋" w:cs="仿宋"/>
                <w:color w:val="000000"/>
                <w:sz w:val="24"/>
                <w:szCs w:val="24"/>
                <w:u w:val="none"/>
              </w:rPr>
              <w:t>联合体投标人应提交联合体协议书，并明确联合体牵头人</w:t>
            </w:r>
            <w:bookmarkEnd w:id="947"/>
            <w:bookmarkEnd w:id="94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39" w:hRule="exact"/>
          <w:jc w:val="center"/>
        </w:trPr>
        <w:tc>
          <w:tcPr>
            <w:tcW w:w="1482" w:type="dxa"/>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949" w:name="_Toc24773"/>
            <w:bookmarkStart w:id="950" w:name="_Toc8270"/>
            <w:r>
              <w:rPr>
                <w:rFonts w:hint="eastAsia" w:ascii="仿宋" w:hAnsi="仿宋" w:eastAsia="仿宋" w:cs="仿宋"/>
                <w:color w:val="000000"/>
                <w:sz w:val="24"/>
                <w:szCs w:val="24"/>
                <w:u w:val="none"/>
              </w:rPr>
              <w:t>2.1.1（6）</w:t>
            </w:r>
            <w:bookmarkEnd w:id="949"/>
            <w:bookmarkEnd w:id="950"/>
          </w:p>
        </w:tc>
        <w:tc>
          <w:tcPr>
            <w:tcW w:w="872"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4"/>
                <w:szCs w:val="24"/>
                <w:u w:val="none"/>
              </w:rPr>
            </w:pPr>
          </w:p>
        </w:tc>
        <w:tc>
          <w:tcPr>
            <w:tcW w:w="2322" w:type="dxa"/>
            <w:gridSpan w:val="2"/>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951" w:name="_Toc5448"/>
            <w:bookmarkStart w:id="952" w:name="_Toc25348"/>
            <w:r>
              <w:rPr>
                <w:rFonts w:hint="eastAsia" w:ascii="仿宋" w:hAnsi="仿宋" w:eastAsia="仿宋" w:cs="仿宋"/>
                <w:color w:val="000000"/>
                <w:sz w:val="24"/>
                <w:szCs w:val="24"/>
                <w:u w:val="none"/>
              </w:rPr>
              <w:t>技术投标文件暗标的制作要求</w:t>
            </w:r>
            <w:bookmarkEnd w:id="951"/>
            <w:bookmarkEnd w:id="952"/>
          </w:p>
        </w:tc>
        <w:tc>
          <w:tcPr>
            <w:tcW w:w="5090" w:type="dxa"/>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953" w:name="_Toc8978"/>
            <w:bookmarkStart w:id="954" w:name="_Toc20170"/>
            <w:r>
              <w:rPr>
                <w:rFonts w:hint="eastAsia" w:ascii="仿宋" w:hAnsi="仿宋" w:eastAsia="仿宋" w:cs="仿宋"/>
                <w:color w:val="000000"/>
                <w:sz w:val="24"/>
                <w:szCs w:val="24"/>
                <w:u w:val="none"/>
              </w:rPr>
              <w:t>符合第二章投标人须知第3.7.5项规定</w:t>
            </w:r>
            <w:bookmarkEnd w:id="953"/>
            <w:bookmarkEnd w:id="95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1482" w:type="dxa"/>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955" w:name="_Toc11728"/>
            <w:bookmarkStart w:id="956" w:name="_Toc20739"/>
            <w:r>
              <w:rPr>
                <w:rFonts w:hint="eastAsia" w:ascii="仿宋" w:hAnsi="仿宋" w:eastAsia="仿宋" w:cs="仿宋"/>
                <w:color w:val="000000"/>
                <w:sz w:val="24"/>
                <w:szCs w:val="24"/>
                <w:u w:val="none"/>
              </w:rPr>
              <w:t>2.1.1（7）</w:t>
            </w:r>
            <w:bookmarkEnd w:id="955"/>
            <w:bookmarkEnd w:id="956"/>
          </w:p>
        </w:tc>
        <w:tc>
          <w:tcPr>
            <w:tcW w:w="872"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4"/>
                <w:szCs w:val="24"/>
                <w:u w:val="none"/>
              </w:rPr>
            </w:pPr>
          </w:p>
        </w:tc>
        <w:tc>
          <w:tcPr>
            <w:tcW w:w="2322" w:type="dxa"/>
            <w:gridSpan w:val="2"/>
            <w:noWrap w:val="0"/>
            <w:vAlign w:val="center"/>
          </w:tcPr>
          <w:p>
            <w:pPr>
              <w:pStyle w:val="124"/>
              <w:spacing w:line="240" w:lineRule="exact"/>
              <w:ind w:firstLine="0" w:firstLineChars="0"/>
              <w:rPr>
                <w:rFonts w:hint="eastAsia" w:ascii="仿宋" w:hAnsi="仿宋" w:eastAsia="仿宋" w:cs="仿宋"/>
                <w:color w:val="000000"/>
                <w:sz w:val="24"/>
                <w:szCs w:val="24"/>
                <w:u w:val="none"/>
              </w:rPr>
            </w:pPr>
            <w:r>
              <w:rPr>
                <w:rFonts w:hint="eastAsia" w:ascii="仿宋" w:hAnsi="仿宋" w:eastAsia="仿宋" w:cs="仿宋"/>
                <w:color w:val="000000"/>
                <w:sz w:val="24"/>
                <w:szCs w:val="24"/>
                <w:u w:val="none"/>
              </w:rPr>
              <w:t>其它标准</w:t>
            </w:r>
          </w:p>
        </w:tc>
        <w:tc>
          <w:tcPr>
            <w:tcW w:w="5090" w:type="dxa"/>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957" w:name="_Toc26006"/>
            <w:bookmarkStart w:id="958" w:name="_Toc14511"/>
            <w:r>
              <w:rPr>
                <w:rFonts w:hint="eastAsia" w:ascii="仿宋" w:hAnsi="仿宋" w:eastAsia="仿宋" w:cs="仿宋"/>
                <w:color w:val="000000"/>
                <w:sz w:val="24"/>
                <w:szCs w:val="24"/>
                <w:u w:val="none"/>
              </w:rPr>
              <w:t>……</w:t>
            </w:r>
            <w:bookmarkEnd w:id="957"/>
            <w:bookmarkEnd w:id="95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1482" w:type="dxa"/>
            <w:noWrap w:val="0"/>
            <w:vAlign w:val="center"/>
          </w:tcPr>
          <w:p>
            <w:pPr>
              <w:pStyle w:val="124"/>
              <w:spacing w:line="240" w:lineRule="exact"/>
              <w:ind w:firstLine="0" w:firstLineChars="0"/>
              <w:outlineLvl w:val="9"/>
              <w:rPr>
                <w:rFonts w:hint="eastAsia" w:ascii="仿宋" w:hAnsi="仿宋" w:eastAsia="仿宋" w:cs="仿宋"/>
                <w:color w:val="000000"/>
                <w:sz w:val="24"/>
                <w:szCs w:val="24"/>
                <w:u w:val="none"/>
              </w:rPr>
            </w:pPr>
          </w:p>
        </w:tc>
        <w:tc>
          <w:tcPr>
            <w:tcW w:w="872"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4"/>
                <w:szCs w:val="24"/>
                <w:u w:val="none"/>
              </w:rPr>
            </w:pPr>
          </w:p>
        </w:tc>
        <w:tc>
          <w:tcPr>
            <w:tcW w:w="7412" w:type="dxa"/>
            <w:gridSpan w:val="3"/>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959" w:name="_Toc10667"/>
            <w:bookmarkStart w:id="960" w:name="_Toc20133"/>
            <w:r>
              <w:rPr>
                <w:rFonts w:hint="eastAsia" w:ascii="仿宋" w:hAnsi="仿宋" w:eastAsia="仿宋" w:cs="仿宋"/>
                <w:color w:val="000000"/>
                <w:sz w:val="24"/>
                <w:szCs w:val="24"/>
                <w:u w:val="none"/>
              </w:rPr>
              <w:t>详见本章附表3-3（1）</w:t>
            </w:r>
            <w:bookmarkEnd w:id="959"/>
            <w:bookmarkEnd w:id="96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1482" w:type="dxa"/>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961" w:name="_Toc8975"/>
            <w:bookmarkStart w:id="962" w:name="_Toc22993"/>
            <w:r>
              <w:rPr>
                <w:rFonts w:hint="eastAsia" w:ascii="仿宋" w:hAnsi="仿宋" w:eastAsia="仿宋" w:cs="仿宋"/>
                <w:color w:val="000000"/>
                <w:sz w:val="24"/>
                <w:szCs w:val="24"/>
                <w:u w:val="none"/>
              </w:rPr>
              <w:t>2.1.2（1）</w:t>
            </w:r>
            <w:bookmarkEnd w:id="961"/>
            <w:bookmarkEnd w:id="962"/>
          </w:p>
        </w:tc>
        <w:tc>
          <w:tcPr>
            <w:tcW w:w="872" w:type="dxa"/>
            <w:vMerge w:val="restart"/>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963" w:name="_Toc20195"/>
            <w:bookmarkStart w:id="964" w:name="_Toc14357"/>
            <w:r>
              <w:rPr>
                <w:rFonts w:hint="eastAsia" w:ascii="仿宋" w:hAnsi="仿宋" w:eastAsia="仿宋" w:cs="仿宋"/>
                <w:color w:val="000000"/>
                <w:sz w:val="24"/>
                <w:szCs w:val="24"/>
                <w:u w:val="none"/>
              </w:rPr>
              <w:t>资格评审标准</w:t>
            </w:r>
            <w:bookmarkEnd w:id="963"/>
            <w:bookmarkEnd w:id="964"/>
          </w:p>
        </w:tc>
        <w:tc>
          <w:tcPr>
            <w:tcW w:w="2322" w:type="dxa"/>
            <w:gridSpan w:val="2"/>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965" w:name="_Toc2202"/>
            <w:bookmarkStart w:id="966" w:name="_Toc10526"/>
            <w:r>
              <w:rPr>
                <w:rFonts w:hint="eastAsia" w:ascii="仿宋" w:hAnsi="仿宋" w:eastAsia="仿宋" w:cs="仿宋"/>
                <w:color w:val="000000"/>
                <w:sz w:val="24"/>
                <w:szCs w:val="24"/>
                <w:u w:val="none"/>
              </w:rPr>
              <w:t>营业执照</w:t>
            </w:r>
            <w:bookmarkEnd w:id="965"/>
            <w:bookmarkEnd w:id="966"/>
          </w:p>
        </w:tc>
        <w:tc>
          <w:tcPr>
            <w:tcW w:w="5090" w:type="dxa"/>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967" w:name="_Toc20724"/>
            <w:bookmarkStart w:id="968" w:name="_Toc21585"/>
            <w:r>
              <w:rPr>
                <w:rFonts w:hint="eastAsia" w:ascii="仿宋" w:hAnsi="仿宋" w:eastAsia="仿宋" w:cs="仿宋"/>
                <w:color w:val="000000"/>
                <w:sz w:val="24"/>
                <w:szCs w:val="24"/>
                <w:u w:val="none"/>
              </w:rPr>
              <w:t>具备有效的营业执照</w:t>
            </w:r>
            <w:bookmarkEnd w:id="967"/>
            <w:bookmarkEnd w:id="96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exact"/>
          <w:jc w:val="center"/>
        </w:trPr>
        <w:tc>
          <w:tcPr>
            <w:tcW w:w="1482" w:type="dxa"/>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969" w:name="_Toc19791"/>
            <w:bookmarkStart w:id="970" w:name="_Toc13639"/>
            <w:r>
              <w:rPr>
                <w:rFonts w:hint="eastAsia" w:ascii="仿宋" w:hAnsi="仿宋" w:eastAsia="仿宋" w:cs="仿宋"/>
                <w:color w:val="000000"/>
                <w:sz w:val="24"/>
                <w:szCs w:val="24"/>
                <w:u w:val="none"/>
              </w:rPr>
              <w:t>2.1.2（2）</w:t>
            </w:r>
            <w:bookmarkEnd w:id="969"/>
            <w:bookmarkEnd w:id="970"/>
          </w:p>
        </w:tc>
        <w:tc>
          <w:tcPr>
            <w:tcW w:w="872"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4"/>
                <w:szCs w:val="24"/>
                <w:u w:val="none"/>
              </w:rPr>
            </w:pPr>
          </w:p>
        </w:tc>
        <w:tc>
          <w:tcPr>
            <w:tcW w:w="2322" w:type="dxa"/>
            <w:gridSpan w:val="2"/>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971" w:name="_Toc3738"/>
            <w:bookmarkStart w:id="972" w:name="_Toc31233"/>
            <w:r>
              <w:rPr>
                <w:rFonts w:hint="eastAsia" w:ascii="仿宋" w:hAnsi="仿宋" w:eastAsia="仿宋" w:cs="仿宋"/>
                <w:color w:val="000000"/>
                <w:sz w:val="24"/>
                <w:szCs w:val="24"/>
                <w:u w:val="none"/>
              </w:rPr>
              <w:t>安全生产许可证</w:t>
            </w:r>
            <w:bookmarkEnd w:id="971"/>
            <w:bookmarkEnd w:id="972"/>
          </w:p>
        </w:tc>
        <w:tc>
          <w:tcPr>
            <w:tcW w:w="5090" w:type="dxa"/>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973" w:name="_Toc6449"/>
            <w:bookmarkStart w:id="974" w:name="_Toc12756"/>
            <w:r>
              <w:rPr>
                <w:rFonts w:hint="eastAsia" w:ascii="仿宋" w:hAnsi="仿宋" w:eastAsia="仿宋" w:cs="仿宋"/>
                <w:color w:val="000000"/>
                <w:sz w:val="24"/>
                <w:szCs w:val="24"/>
                <w:u w:val="none"/>
              </w:rPr>
              <w:t>具备有效的安全生产许可证</w:t>
            </w:r>
            <w:bookmarkEnd w:id="973"/>
            <w:bookmarkEnd w:id="97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39" w:hRule="exact"/>
          <w:jc w:val="center"/>
        </w:trPr>
        <w:tc>
          <w:tcPr>
            <w:tcW w:w="1482" w:type="dxa"/>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975" w:name="_Toc18168"/>
            <w:bookmarkStart w:id="976" w:name="_Toc13384"/>
            <w:r>
              <w:rPr>
                <w:rFonts w:hint="eastAsia" w:ascii="仿宋" w:hAnsi="仿宋" w:eastAsia="仿宋" w:cs="仿宋"/>
                <w:color w:val="000000"/>
                <w:sz w:val="24"/>
                <w:szCs w:val="24"/>
                <w:u w:val="none"/>
              </w:rPr>
              <w:t>2.1.2（3）</w:t>
            </w:r>
            <w:bookmarkEnd w:id="975"/>
            <w:bookmarkEnd w:id="976"/>
          </w:p>
        </w:tc>
        <w:tc>
          <w:tcPr>
            <w:tcW w:w="872"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4"/>
                <w:szCs w:val="24"/>
                <w:u w:val="none"/>
              </w:rPr>
            </w:pPr>
          </w:p>
        </w:tc>
        <w:tc>
          <w:tcPr>
            <w:tcW w:w="2322" w:type="dxa"/>
            <w:gridSpan w:val="2"/>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977" w:name="_Toc17459"/>
            <w:bookmarkStart w:id="978" w:name="_Toc24914"/>
            <w:r>
              <w:rPr>
                <w:rFonts w:hint="eastAsia" w:ascii="仿宋" w:hAnsi="仿宋" w:eastAsia="仿宋" w:cs="仿宋"/>
                <w:color w:val="000000"/>
                <w:sz w:val="24"/>
                <w:szCs w:val="24"/>
                <w:u w:val="none"/>
              </w:rPr>
              <w:t>资质证书</w:t>
            </w:r>
            <w:bookmarkEnd w:id="977"/>
            <w:bookmarkEnd w:id="978"/>
          </w:p>
        </w:tc>
        <w:tc>
          <w:tcPr>
            <w:tcW w:w="5090" w:type="dxa"/>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979" w:name="_Toc31630"/>
            <w:bookmarkStart w:id="980" w:name="_Toc5669"/>
            <w:r>
              <w:rPr>
                <w:rFonts w:hint="eastAsia" w:ascii="仿宋" w:hAnsi="仿宋" w:eastAsia="仿宋" w:cs="仿宋"/>
                <w:color w:val="000000"/>
                <w:sz w:val="24"/>
                <w:szCs w:val="24"/>
                <w:u w:val="none"/>
              </w:rPr>
              <w:t>具备有效的资质证书且资质等级符合第二章投标人须知第1.4.1项规定</w:t>
            </w:r>
            <w:bookmarkEnd w:id="979"/>
            <w:bookmarkEnd w:id="98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39" w:hRule="exact"/>
          <w:jc w:val="center"/>
        </w:trPr>
        <w:tc>
          <w:tcPr>
            <w:tcW w:w="1482" w:type="dxa"/>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981" w:name="_Toc24371"/>
            <w:bookmarkStart w:id="982" w:name="_Toc22871"/>
            <w:r>
              <w:rPr>
                <w:rFonts w:hint="eastAsia" w:ascii="仿宋" w:hAnsi="仿宋" w:eastAsia="仿宋" w:cs="仿宋"/>
                <w:color w:val="000000"/>
                <w:sz w:val="24"/>
                <w:szCs w:val="24"/>
                <w:u w:val="none"/>
              </w:rPr>
              <w:t>2.1.2（4）</w:t>
            </w:r>
            <w:bookmarkEnd w:id="981"/>
            <w:bookmarkEnd w:id="982"/>
          </w:p>
        </w:tc>
        <w:tc>
          <w:tcPr>
            <w:tcW w:w="872"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4"/>
                <w:szCs w:val="24"/>
                <w:u w:val="none"/>
              </w:rPr>
            </w:pPr>
          </w:p>
        </w:tc>
        <w:tc>
          <w:tcPr>
            <w:tcW w:w="2322" w:type="dxa"/>
            <w:gridSpan w:val="2"/>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983" w:name="_Toc13286"/>
            <w:bookmarkStart w:id="984" w:name="_Toc18653"/>
            <w:r>
              <w:rPr>
                <w:rFonts w:hint="eastAsia" w:ascii="仿宋" w:hAnsi="仿宋" w:eastAsia="仿宋" w:cs="仿宋"/>
                <w:color w:val="000000"/>
                <w:sz w:val="24"/>
                <w:szCs w:val="24"/>
                <w:u w:val="none"/>
              </w:rPr>
              <w:t>业绩</w:t>
            </w:r>
            <w:bookmarkEnd w:id="983"/>
            <w:bookmarkEnd w:id="984"/>
          </w:p>
          <w:p>
            <w:pPr>
              <w:pStyle w:val="124"/>
              <w:spacing w:line="240" w:lineRule="exact"/>
              <w:ind w:firstLine="0" w:firstLineChars="0"/>
              <w:rPr>
                <w:rFonts w:hint="eastAsia" w:ascii="仿宋" w:hAnsi="仿宋" w:eastAsia="仿宋" w:cs="仿宋"/>
                <w:color w:val="000000"/>
                <w:sz w:val="24"/>
                <w:szCs w:val="24"/>
                <w:u w:val="none"/>
              </w:rPr>
            </w:pPr>
            <w:bookmarkStart w:id="985" w:name="_Toc25177"/>
            <w:bookmarkStart w:id="986" w:name="_Toc13035"/>
            <w:r>
              <w:rPr>
                <w:rFonts w:hint="eastAsia" w:ascii="仿宋" w:hAnsi="仿宋" w:eastAsia="仿宋" w:cs="仿宋"/>
                <w:color w:val="000000"/>
                <w:sz w:val="24"/>
                <w:szCs w:val="24"/>
                <w:u w:val="none"/>
              </w:rPr>
              <w:t>（如作为资格条件）</w:t>
            </w:r>
            <w:bookmarkEnd w:id="985"/>
            <w:bookmarkEnd w:id="986"/>
          </w:p>
        </w:tc>
        <w:tc>
          <w:tcPr>
            <w:tcW w:w="5090" w:type="dxa"/>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987" w:name="_Toc29256"/>
            <w:bookmarkStart w:id="988" w:name="_Toc5550"/>
            <w:r>
              <w:rPr>
                <w:rFonts w:hint="eastAsia" w:ascii="仿宋" w:hAnsi="仿宋" w:eastAsia="仿宋" w:cs="仿宋"/>
                <w:color w:val="000000"/>
                <w:sz w:val="24"/>
                <w:szCs w:val="24"/>
                <w:u w:val="none"/>
              </w:rPr>
              <w:t>业绩符合第二章投标人须知第1.4.1项规定</w:t>
            </w:r>
            <w:bookmarkEnd w:id="987"/>
            <w:bookmarkEnd w:id="98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10" w:hRule="exact"/>
          <w:jc w:val="center"/>
        </w:trPr>
        <w:tc>
          <w:tcPr>
            <w:tcW w:w="1482" w:type="dxa"/>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989" w:name="_Toc28402"/>
            <w:bookmarkStart w:id="990" w:name="_Toc5255"/>
            <w:r>
              <w:rPr>
                <w:rFonts w:hint="eastAsia" w:ascii="仿宋" w:hAnsi="仿宋" w:eastAsia="仿宋" w:cs="仿宋"/>
                <w:color w:val="000000"/>
                <w:sz w:val="24"/>
                <w:szCs w:val="24"/>
                <w:u w:val="none"/>
              </w:rPr>
              <w:t>2.1.2（5）</w:t>
            </w:r>
            <w:bookmarkEnd w:id="989"/>
            <w:bookmarkEnd w:id="990"/>
          </w:p>
        </w:tc>
        <w:tc>
          <w:tcPr>
            <w:tcW w:w="872"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4"/>
                <w:szCs w:val="24"/>
                <w:u w:val="none"/>
              </w:rPr>
            </w:pPr>
          </w:p>
        </w:tc>
        <w:tc>
          <w:tcPr>
            <w:tcW w:w="2322" w:type="dxa"/>
            <w:gridSpan w:val="2"/>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991" w:name="_Toc7709"/>
            <w:bookmarkStart w:id="992" w:name="_Toc17638"/>
            <w:r>
              <w:rPr>
                <w:rFonts w:hint="eastAsia" w:ascii="仿宋" w:hAnsi="仿宋" w:eastAsia="仿宋" w:cs="仿宋"/>
                <w:color w:val="000000"/>
                <w:sz w:val="24"/>
                <w:szCs w:val="24"/>
                <w:u w:val="none"/>
              </w:rPr>
              <w:t>信誉</w:t>
            </w:r>
            <w:bookmarkEnd w:id="991"/>
            <w:bookmarkEnd w:id="992"/>
          </w:p>
        </w:tc>
        <w:tc>
          <w:tcPr>
            <w:tcW w:w="5090" w:type="dxa"/>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993" w:name="_Toc22035"/>
            <w:bookmarkStart w:id="994" w:name="_Toc1719"/>
            <w:r>
              <w:rPr>
                <w:rFonts w:hint="eastAsia" w:ascii="仿宋" w:hAnsi="仿宋" w:eastAsia="仿宋" w:cs="仿宋"/>
                <w:color w:val="000000"/>
                <w:sz w:val="24"/>
                <w:szCs w:val="24"/>
                <w:u w:val="none"/>
              </w:rPr>
              <w:t>信誉符合第二章投标人须知第1.4.1项规定</w:t>
            </w:r>
            <w:bookmarkEnd w:id="993"/>
            <w:bookmarkEnd w:id="99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10" w:hRule="exact"/>
          <w:jc w:val="center"/>
        </w:trPr>
        <w:tc>
          <w:tcPr>
            <w:tcW w:w="1482" w:type="dxa"/>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995" w:name="_Toc32510"/>
            <w:bookmarkStart w:id="996" w:name="_Toc31588"/>
            <w:r>
              <w:rPr>
                <w:rFonts w:hint="eastAsia" w:ascii="仿宋" w:hAnsi="仿宋" w:eastAsia="仿宋" w:cs="仿宋"/>
                <w:color w:val="000000"/>
                <w:sz w:val="24"/>
                <w:szCs w:val="24"/>
                <w:u w:val="none"/>
              </w:rPr>
              <w:t>2.1.2（6）</w:t>
            </w:r>
            <w:bookmarkEnd w:id="995"/>
            <w:bookmarkEnd w:id="996"/>
          </w:p>
        </w:tc>
        <w:tc>
          <w:tcPr>
            <w:tcW w:w="872"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4"/>
                <w:szCs w:val="24"/>
                <w:u w:val="none"/>
              </w:rPr>
            </w:pPr>
          </w:p>
        </w:tc>
        <w:tc>
          <w:tcPr>
            <w:tcW w:w="2322" w:type="dxa"/>
            <w:gridSpan w:val="2"/>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997" w:name="_Toc28231"/>
            <w:bookmarkStart w:id="998" w:name="_Toc5677"/>
            <w:r>
              <w:rPr>
                <w:rFonts w:hint="eastAsia" w:ascii="仿宋" w:hAnsi="仿宋" w:eastAsia="仿宋" w:cs="仿宋"/>
                <w:color w:val="000000"/>
                <w:sz w:val="24"/>
                <w:szCs w:val="24"/>
                <w:u w:val="none"/>
              </w:rPr>
              <w:t>项目负责人</w:t>
            </w:r>
            <w:bookmarkEnd w:id="997"/>
            <w:bookmarkEnd w:id="998"/>
          </w:p>
        </w:tc>
        <w:tc>
          <w:tcPr>
            <w:tcW w:w="5090" w:type="dxa"/>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999" w:name="_Toc3323"/>
            <w:bookmarkStart w:id="1000" w:name="_Toc9682"/>
            <w:r>
              <w:rPr>
                <w:rFonts w:hint="eastAsia" w:ascii="仿宋" w:hAnsi="仿宋" w:eastAsia="仿宋" w:cs="仿宋"/>
                <w:color w:val="000000"/>
                <w:sz w:val="24"/>
                <w:szCs w:val="24"/>
                <w:u w:val="none"/>
              </w:rPr>
              <w:t>项目负责人资格符合第二章投标人须知第1.4.1项规定</w:t>
            </w:r>
            <w:bookmarkEnd w:id="999"/>
            <w:bookmarkEnd w:id="100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39" w:hRule="exact"/>
          <w:jc w:val="center"/>
        </w:trPr>
        <w:tc>
          <w:tcPr>
            <w:tcW w:w="1482" w:type="dxa"/>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1001" w:name="_Toc14227"/>
            <w:bookmarkStart w:id="1002" w:name="_Toc11041"/>
            <w:r>
              <w:rPr>
                <w:rFonts w:hint="eastAsia" w:ascii="仿宋" w:hAnsi="仿宋" w:eastAsia="仿宋" w:cs="仿宋"/>
                <w:color w:val="000000"/>
                <w:sz w:val="24"/>
                <w:szCs w:val="24"/>
                <w:u w:val="none"/>
              </w:rPr>
              <w:t>2.1.2（7）</w:t>
            </w:r>
            <w:bookmarkEnd w:id="1001"/>
            <w:bookmarkEnd w:id="1002"/>
          </w:p>
        </w:tc>
        <w:tc>
          <w:tcPr>
            <w:tcW w:w="872"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4"/>
                <w:szCs w:val="24"/>
                <w:u w:val="none"/>
              </w:rPr>
            </w:pPr>
          </w:p>
        </w:tc>
        <w:tc>
          <w:tcPr>
            <w:tcW w:w="2322" w:type="dxa"/>
            <w:gridSpan w:val="2"/>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1003" w:name="_Toc24115"/>
            <w:bookmarkStart w:id="1004" w:name="_Toc25113"/>
            <w:r>
              <w:rPr>
                <w:rFonts w:hint="eastAsia" w:ascii="仿宋" w:hAnsi="仿宋" w:eastAsia="仿宋" w:cs="仿宋"/>
                <w:color w:val="000000"/>
                <w:sz w:val="24"/>
                <w:szCs w:val="24"/>
                <w:u w:val="none"/>
              </w:rPr>
              <w:t>企业负责人</w:t>
            </w:r>
            <w:bookmarkEnd w:id="1003"/>
            <w:bookmarkEnd w:id="1004"/>
          </w:p>
        </w:tc>
        <w:tc>
          <w:tcPr>
            <w:tcW w:w="5090" w:type="dxa"/>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1005" w:name="_Toc30098"/>
            <w:bookmarkStart w:id="1006" w:name="_Toc15575"/>
            <w:r>
              <w:rPr>
                <w:rFonts w:hint="eastAsia" w:ascii="仿宋" w:hAnsi="仿宋" w:eastAsia="仿宋" w:cs="仿宋"/>
                <w:color w:val="000000"/>
                <w:sz w:val="24"/>
                <w:szCs w:val="24"/>
                <w:u w:val="none"/>
              </w:rPr>
              <w:t>企业负责人具备有效的建设或水行政主管部门颁发的安全生产考核合格证书</w:t>
            </w:r>
            <w:bookmarkEnd w:id="1005"/>
            <w:bookmarkEnd w:id="100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10" w:hRule="exact"/>
          <w:jc w:val="center"/>
        </w:trPr>
        <w:tc>
          <w:tcPr>
            <w:tcW w:w="1482" w:type="dxa"/>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1007" w:name="_Toc14030"/>
            <w:bookmarkStart w:id="1008" w:name="_Toc2247"/>
            <w:r>
              <w:rPr>
                <w:rFonts w:hint="eastAsia" w:ascii="仿宋" w:hAnsi="仿宋" w:eastAsia="仿宋" w:cs="仿宋"/>
                <w:color w:val="000000"/>
                <w:sz w:val="24"/>
                <w:szCs w:val="24"/>
                <w:u w:val="none"/>
              </w:rPr>
              <w:t>2.1.2（8）</w:t>
            </w:r>
            <w:bookmarkEnd w:id="1007"/>
            <w:bookmarkEnd w:id="1008"/>
          </w:p>
        </w:tc>
        <w:tc>
          <w:tcPr>
            <w:tcW w:w="872"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4"/>
                <w:szCs w:val="24"/>
                <w:u w:val="none"/>
              </w:rPr>
            </w:pPr>
          </w:p>
        </w:tc>
        <w:tc>
          <w:tcPr>
            <w:tcW w:w="2322" w:type="dxa"/>
            <w:gridSpan w:val="2"/>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1009" w:name="_Toc7923"/>
            <w:bookmarkStart w:id="1010" w:name="_Toc3627"/>
            <w:r>
              <w:rPr>
                <w:rFonts w:hint="eastAsia" w:ascii="仿宋" w:hAnsi="仿宋" w:eastAsia="仿宋" w:cs="仿宋"/>
                <w:color w:val="000000"/>
                <w:sz w:val="24"/>
                <w:szCs w:val="24"/>
                <w:u w:val="none"/>
              </w:rPr>
              <w:t>技术负责人</w:t>
            </w:r>
            <w:bookmarkEnd w:id="1009"/>
            <w:bookmarkEnd w:id="1010"/>
          </w:p>
        </w:tc>
        <w:tc>
          <w:tcPr>
            <w:tcW w:w="5090" w:type="dxa"/>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1011" w:name="_Toc21354"/>
            <w:bookmarkStart w:id="1012" w:name="_Toc23894"/>
            <w:r>
              <w:rPr>
                <w:rFonts w:hint="eastAsia" w:ascii="仿宋" w:hAnsi="仿宋" w:eastAsia="仿宋" w:cs="仿宋"/>
                <w:color w:val="000000"/>
                <w:sz w:val="24"/>
                <w:szCs w:val="24"/>
                <w:u w:val="none"/>
              </w:rPr>
              <w:t>技术负责人资格符合第二章投标人须知第1.4.1项规定</w:t>
            </w:r>
            <w:bookmarkEnd w:id="1011"/>
            <w:bookmarkEnd w:id="101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10" w:hRule="exact"/>
          <w:jc w:val="center"/>
        </w:trPr>
        <w:tc>
          <w:tcPr>
            <w:tcW w:w="1482" w:type="dxa"/>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1013" w:name="_Toc3100"/>
            <w:bookmarkStart w:id="1014" w:name="_Toc4836"/>
            <w:r>
              <w:rPr>
                <w:rFonts w:hint="eastAsia" w:ascii="仿宋" w:hAnsi="仿宋" w:eastAsia="仿宋" w:cs="仿宋"/>
                <w:color w:val="000000"/>
                <w:sz w:val="24"/>
                <w:szCs w:val="24"/>
                <w:u w:val="none"/>
              </w:rPr>
              <w:t>2.1.2（9）</w:t>
            </w:r>
            <w:bookmarkEnd w:id="1013"/>
            <w:bookmarkEnd w:id="1014"/>
          </w:p>
        </w:tc>
        <w:tc>
          <w:tcPr>
            <w:tcW w:w="872"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4"/>
                <w:szCs w:val="24"/>
                <w:u w:val="none"/>
              </w:rPr>
            </w:pPr>
          </w:p>
        </w:tc>
        <w:tc>
          <w:tcPr>
            <w:tcW w:w="2322" w:type="dxa"/>
            <w:gridSpan w:val="2"/>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1015" w:name="_Toc24715"/>
            <w:bookmarkStart w:id="1016" w:name="_Toc28324"/>
            <w:r>
              <w:rPr>
                <w:rFonts w:hint="eastAsia" w:ascii="仿宋" w:hAnsi="仿宋" w:eastAsia="仿宋" w:cs="仿宋"/>
                <w:color w:val="000000"/>
                <w:sz w:val="24"/>
                <w:szCs w:val="24"/>
                <w:u w:val="none"/>
              </w:rPr>
              <w:t>专职安全员</w:t>
            </w:r>
            <w:bookmarkEnd w:id="1015"/>
            <w:bookmarkEnd w:id="1016"/>
          </w:p>
        </w:tc>
        <w:tc>
          <w:tcPr>
            <w:tcW w:w="5090" w:type="dxa"/>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1017" w:name="_Toc28516"/>
            <w:bookmarkStart w:id="1018" w:name="_Toc11094"/>
            <w:r>
              <w:rPr>
                <w:rFonts w:hint="eastAsia" w:ascii="仿宋" w:hAnsi="仿宋" w:eastAsia="仿宋" w:cs="仿宋"/>
                <w:color w:val="000000"/>
                <w:sz w:val="24"/>
                <w:szCs w:val="24"/>
                <w:u w:val="none"/>
              </w:rPr>
              <w:t>专职安全员资格符合第二章投标人须知第1.4.1项规定</w:t>
            </w:r>
            <w:bookmarkEnd w:id="1017"/>
            <w:bookmarkEnd w:id="101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39" w:hRule="exact"/>
          <w:jc w:val="center"/>
        </w:trPr>
        <w:tc>
          <w:tcPr>
            <w:tcW w:w="1482" w:type="dxa"/>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1019" w:name="_Toc29604"/>
            <w:bookmarkStart w:id="1020" w:name="_Toc18832"/>
            <w:r>
              <w:rPr>
                <w:rFonts w:hint="eastAsia" w:ascii="仿宋" w:hAnsi="仿宋" w:eastAsia="仿宋" w:cs="仿宋"/>
                <w:color w:val="000000"/>
                <w:sz w:val="24"/>
                <w:szCs w:val="24"/>
                <w:u w:val="none"/>
              </w:rPr>
              <w:t>2.1.2（10）</w:t>
            </w:r>
            <w:bookmarkEnd w:id="1019"/>
            <w:bookmarkEnd w:id="1020"/>
          </w:p>
        </w:tc>
        <w:tc>
          <w:tcPr>
            <w:tcW w:w="872"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4"/>
                <w:szCs w:val="24"/>
                <w:u w:val="none"/>
              </w:rPr>
            </w:pPr>
          </w:p>
        </w:tc>
        <w:tc>
          <w:tcPr>
            <w:tcW w:w="2322" w:type="dxa"/>
            <w:gridSpan w:val="2"/>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1021" w:name="_Toc25975"/>
            <w:bookmarkStart w:id="1022" w:name="_Toc5339"/>
            <w:r>
              <w:rPr>
                <w:rFonts w:hint="eastAsia" w:ascii="仿宋" w:hAnsi="仿宋" w:eastAsia="仿宋" w:cs="仿宋"/>
                <w:color w:val="000000"/>
                <w:sz w:val="24"/>
                <w:szCs w:val="24"/>
                <w:u w:val="none"/>
              </w:rPr>
              <w:t>其他要求</w:t>
            </w:r>
            <w:bookmarkEnd w:id="1021"/>
            <w:bookmarkEnd w:id="1022"/>
          </w:p>
        </w:tc>
        <w:tc>
          <w:tcPr>
            <w:tcW w:w="5090" w:type="dxa"/>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1023" w:name="_Toc9793"/>
            <w:bookmarkStart w:id="1024" w:name="_Toc4976"/>
            <w:r>
              <w:rPr>
                <w:rFonts w:hint="eastAsia" w:ascii="仿宋" w:hAnsi="仿宋" w:eastAsia="仿宋" w:cs="仿宋"/>
                <w:color w:val="000000"/>
                <w:sz w:val="24"/>
                <w:szCs w:val="24"/>
                <w:u w:val="none"/>
              </w:rPr>
              <w:t>其他要求符合第二章投标人须知第1.4.1项规定</w:t>
            </w:r>
            <w:bookmarkEnd w:id="1023"/>
            <w:bookmarkEnd w:id="102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39" w:hRule="exact"/>
          <w:jc w:val="center"/>
        </w:trPr>
        <w:tc>
          <w:tcPr>
            <w:tcW w:w="1482" w:type="dxa"/>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1025" w:name="_Toc16810"/>
            <w:bookmarkStart w:id="1026" w:name="_Toc10401"/>
            <w:r>
              <w:rPr>
                <w:rFonts w:hint="eastAsia" w:ascii="仿宋" w:hAnsi="仿宋" w:eastAsia="仿宋" w:cs="仿宋"/>
                <w:color w:val="000000"/>
                <w:sz w:val="24"/>
                <w:szCs w:val="24"/>
                <w:u w:val="none"/>
              </w:rPr>
              <w:t>2.1.2（11）</w:t>
            </w:r>
            <w:bookmarkEnd w:id="1025"/>
            <w:bookmarkEnd w:id="1026"/>
          </w:p>
        </w:tc>
        <w:tc>
          <w:tcPr>
            <w:tcW w:w="872"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4"/>
                <w:szCs w:val="24"/>
                <w:u w:val="none"/>
              </w:rPr>
            </w:pPr>
          </w:p>
        </w:tc>
        <w:tc>
          <w:tcPr>
            <w:tcW w:w="2322" w:type="dxa"/>
            <w:gridSpan w:val="2"/>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1027" w:name="_Toc31927"/>
            <w:bookmarkStart w:id="1028" w:name="_Toc5878"/>
            <w:r>
              <w:rPr>
                <w:rFonts w:hint="eastAsia" w:ascii="仿宋" w:hAnsi="仿宋" w:eastAsia="仿宋" w:cs="仿宋"/>
                <w:color w:val="000000"/>
                <w:sz w:val="24"/>
                <w:szCs w:val="24"/>
                <w:u w:val="none"/>
              </w:rPr>
              <w:t>联合体投标人（如有）</w:t>
            </w:r>
            <w:bookmarkEnd w:id="1027"/>
            <w:bookmarkEnd w:id="1028"/>
          </w:p>
        </w:tc>
        <w:tc>
          <w:tcPr>
            <w:tcW w:w="5090" w:type="dxa"/>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1029" w:name="_Toc7637"/>
            <w:bookmarkStart w:id="1030" w:name="_Toc12801"/>
            <w:r>
              <w:rPr>
                <w:rFonts w:hint="eastAsia" w:ascii="仿宋" w:hAnsi="仿宋" w:eastAsia="仿宋" w:cs="仿宋"/>
                <w:color w:val="000000"/>
                <w:sz w:val="24"/>
                <w:szCs w:val="24"/>
                <w:u w:val="none"/>
              </w:rPr>
              <w:t>联合体投标人符合第二章投标人须知第1.4.2项规定</w:t>
            </w:r>
            <w:bookmarkEnd w:id="1029"/>
            <w:bookmarkEnd w:id="103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39" w:hRule="exact"/>
          <w:jc w:val="center"/>
        </w:trPr>
        <w:tc>
          <w:tcPr>
            <w:tcW w:w="1482" w:type="dxa"/>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1031" w:name="_Toc16611"/>
            <w:bookmarkStart w:id="1032" w:name="_Toc29684"/>
            <w:r>
              <w:rPr>
                <w:rFonts w:hint="eastAsia" w:ascii="仿宋" w:hAnsi="仿宋" w:eastAsia="仿宋" w:cs="仿宋"/>
                <w:color w:val="000000"/>
                <w:sz w:val="24"/>
                <w:szCs w:val="24"/>
                <w:u w:val="none"/>
              </w:rPr>
              <w:t>2.1.2（12）</w:t>
            </w:r>
            <w:bookmarkEnd w:id="1031"/>
            <w:bookmarkEnd w:id="1032"/>
          </w:p>
        </w:tc>
        <w:tc>
          <w:tcPr>
            <w:tcW w:w="872"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4"/>
                <w:szCs w:val="24"/>
                <w:u w:val="none"/>
              </w:rPr>
            </w:pPr>
          </w:p>
        </w:tc>
        <w:tc>
          <w:tcPr>
            <w:tcW w:w="2322" w:type="dxa"/>
            <w:gridSpan w:val="2"/>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1033" w:name="_Toc3308"/>
            <w:bookmarkStart w:id="1034" w:name="_Toc25948"/>
            <w:r>
              <w:rPr>
                <w:rFonts w:hint="eastAsia" w:ascii="仿宋" w:hAnsi="仿宋" w:eastAsia="仿宋" w:cs="仿宋"/>
                <w:color w:val="000000"/>
                <w:sz w:val="24"/>
                <w:szCs w:val="24"/>
                <w:u w:val="none"/>
              </w:rPr>
              <w:t>其它标准</w:t>
            </w:r>
            <w:bookmarkEnd w:id="1033"/>
            <w:bookmarkEnd w:id="1034"/>
          </w:p>
        </w:tc>
        <w:tc>
          <w:tcPr>
            <w:tcW w:w="5090" w:type="dxa"/>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1035" w:name="_Toc5453"/>
            <w:bookmarkStart w:id="1036" w:name="_Toc13475"/>
            <w:r>
              <w:rPr>
                <w:rFonts w:hint="eastAsia" w:ascii="仿宋" w:hAnsi="仿宋" w:eastAsia="仿宋" w:cs="仿宋"/>
                <w:color w:val="000000"/>
                <w:sz w:val="24"/>
                <w:szCs w:val="24"/>
                <w:u w:val="none"/>
              </w:rPr>
              <w:t>不存在第二章“投标人须知”第1.4.3项规定的任何一种情形</w:t>
            </w:r>
            <w:bookmarkEnd w:id="1035"/>
            <w:bookmarkEnd w:id="103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39" w:hRule="exact"/>
          <w:jc w:val="center"/>
        </w:trPr>
        <w:tc>
          <w:tcPr>
            <w:tcW w:w="1482" w:type="dxa"/>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1037" w:name="_Toc22452"/>
            <w:bookmarkStart w:id="1038" w:name="_Toc15146"/>
            <w:r>
              <w:rPr>
                <w:rFonts w:hint="eastAsia" w:ascii="仿宋" w:hAnsi="仿宋" w:eastAsia="仿宋" w:cs="仿宋"/>
                <w:color w:val="000000"/>
                <w:sz w:val="24"/>
                <w:szCs w:val="24"/>
                <w:u w:val="none"/>
              </w:rPr>
              <w:t>2.1.2（13）</w:t>
            </w:r>
            <w:bookmarkEnd w:id="1037"/>
            <w:bookmarkEnd w:id="1038"/>
          </w:p>
        </w:tc>
        <w:tc>
          <w:tcPr>
            <w:tcW w:w="872"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4"/>
                <w:szCs w:val="24"/>
                <w:u w:val="none"/>
              </w:rPr>
            </w:pPr>
          </w:p>
        </w:tc>
        <w:tc>
          <w:tcPr>
            <w:tcW w:w="2322" w:type="dxa"/>
            <w:gridSpan w:val="2"/>
            <w:noWrap w:val="0"/>
            <w:vAlign w:val="center"/>
          </w:tcPr>
          <w:p>
            <w:pPr>
              <w:pStyle w:val="124"/>
              <w:spacing w:line="240" w:lineRule="exact"/>
              <w:ind w:firstLine="0" w:firstLineChars="0"/>
              <w:rPr>
                <w:rFonts w:hint="eastAsia" w:ascii="仿宋" w:hAnsi="仿宋" w:eastAsia="仿宋" w:cs="仿宋"/>
                <w:color w:val="000000"/>
                <w:sz w:val="24"/>
                <w:szCs w:val="24"/>
                <w:u w:val="none"/>
              </w:rPr>
            </w:pPr>
            <w:r>
              <w:rPr>
                <w:rFonts w:hint="eastAsia" w:ascii="仿宋" w:hAnsi="仿宋" w:eastAsia="仿宋" w:cs="仿宋"/>
                <w:color w:val="000000"/>
                <w:sz w:val="24"/>
                <w:szCs w:val="24"/>
                <w:u w:val="none"/>
              </w:rPr>
              <w:t>其它标准</w:t>
            </w:r>
          </w:p>
        </w:tc>
        <w:tc>
          <w:tcPr>
            <w:tcW w:w="5090" w:type="dxa"/>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1039" w:name="_Toc15284"/>
            <w:bookmarkStart w:id="1040" w:name="_Toc14366"/>
            <w:r>
              <w:rPr>
                <w:rFonts w:hint="eastAsia" w:ascii="仿宋" w:hAnsi="仿宋" w:eastAsia="仿宋" w:cs="仿宋"/>
                <w:color w:val="000000"/>
                <w:sz w:val="24"/>
                <w:szCs w:val="24"/>
                <w:u w:val="none"/>
              </w:rPr>
              <w:t>……</w:t>
            </w:r>
            <w:bookmarkEnd w:id="1039"/>
            <w:bookmarkEnd w:id="104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39" w:hRule="exact"/>
          <w:jc w:val="center"/>
        </w:trPr>
        <w:tc>
          <w:tcPr>
            <w:tcW w:w="1482" w:type="dxa"/>
            <w:noWrap w:val="0"/>
            <w:vAlign w:val="center"/>
          </w:tcPr>
          <w:p>
            <w:pPr>
              <w:pStyle w:val="124"/>
              <w:spacing w:line="240" w:lineRule="exact"/>
              <w:ind w:firstLine="0" w:firstLineChars="0"/>
              <w:outlineLvl w:val="9"/>
              <w:rPr>
                <w:rFonts w:hint="eastAsia" w:ascii="仿宋" w:hAnsi="仿宋" w:eastAsia="仿宋" w:cs="仿宋"/>
                <w:color w:val="000000"/>
                <w:sz w:val="24"/>
                <w:szCs w:val="24"/>
                <w:u w:val="none"/>
              </w:rPr>
            </w:pPr>
          </w:p>
        </w:tc>
        <w:tc>
          <w:tcPr>
            <w:tcW w:w="872" w:type="dxa"/>
            <w:vMerge w:val="continue"/>
            <w:noWrap w:val="0"/>
            <w:vAlign w:val="center"/>
          </w:tcPr>
          <w:p>
            <w:pPr>
              <w:pStyle w:val="124"/>
              <w:spacing w:line="240" w:lineRule="exact"/>
              <w:ind w:firstLine="0" w:firstLineChars="0"/>
              <w:outlineLvl w:val="9"/>
              <w:rPr>
                <w:rFonts w:hint="eastAsia" w:ascii="仿宋" w:hAnsi="仿宋" w:eastAsia="仿宋" w:cs="仿宋"/>
                <w:color w:val="000000"/>
                <w:sz w:val="24"/>
                <w:szCs w:val="24"/>
                <w:u w:val="none"/>
              </w:rPr>
            </w:pPr>
          </w:p>
        </w:tc>
        <w:tc>
          <w:tcPr>
            <w:tcW w:w="7412" w:type="dxa"/>
            <w:gridSpan w:val="3"/>
            <w:noWrap w:val="0"/>
            <w:vAlign w:val="center"/>
          </w:tcPr>
          <w:p>
            <w:pPr>
              <w:pStyle w:val="124"/>
              <w:spacing w:line="240" w:lineRule="exact"/>
              <w:ind w:firstLine="0" w:firstLineChars="0"/>
              <w:rPr>
                <w:rFonts w:hint="eastAsia" w:ascii="仿宋" w:hAnsi="仿宋" w:eastAsia="仿宋" w:cs="仿宋"/>
                <w:color w:val="000000"/>
                <w:sz w:val="24"/>
                <w:szCs w:val="24"/>
                <w:u w:val="none"/>
              </w:rPr>
            </w:pPr>
            <w:bookmarkStart w:id="1041" w:name="_Toc23278"/>
            <w:bookmarkStart w:id="1042" w:name="_Toc13512"/>
            <w:r>
              <w:rPr>
                <w:rFonts w:hint="eastAsia" w:ascii="仿宋" w:hAnsi="仿宋" w:eastAsia="仿宋" w:cs="仿宋"/>
                <w:color w:val="000000"/>
                <w:sz w:val="24"/>
                <w:szCs w:val="24"/>
                <w:u w:val="none"/>
              </w:rPr>
              <w:t>详见本章附表3-3（2）</w:t>
            </w:r>
            <w:bookmarkEnd w:id="1041"/>
            <w:bookmarkEnd w:id="104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exact"/>
          <w:jc w:val="center"/>
        </w:trPr>
        <w:tc>
          <w:tcPr>
            <w:tcW w:w="1482"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043" w:name="_Toc13263"/>
            <w:bookmarkStart w:id="1044" w:name="_Toc10001"/>
            <w:r>
              <w:rPr>
                <w:rFonts w:hint="eastAsia" w:ascii="仿宋" w:hAnsi="仿宋" w:eastAsia="仿宋" w:cs="仿宋"/>
                <w:color w:val="000000"/>
                <w:sz w:val="24"/>
                <w:szCs w:val="24"/>
                <w:u w:val="none"/>
              </w:rPr>
              <w:t>2.1.3（1）</w:t>
            </w:r>
            <w:bookmarkEnd w:id="1043"/>
            <w:bookmarkEnd w:id="1044"/>
          </w:p>
        </w:tc>
        <w:tc>
          <w:tcPr>
            <w:tcW w:w="872" w:type="dxa"/>
            <w:vMerge w:val="restart"/>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045" w:name="_Toc27036"/>
            <w:bookmarkStart w:id="1046" w:name="_Toc20909"/>
            <w:r>
              <w:rPr>
                <w:rFonts w:hint="eastAsia" w:ascii="仿宋" w:hAnsi="仿宋" w:eastAsia="仿宋" w:cs="仿宋"/>
                <w:color w:val="000000"/>
                <w:sz w:val="24"/>
                <w:szCs w:val="24"/>
                <w:u w:val="none"/>
              </w:rPr>
              <w:t>响应性评审标准</w:t>
            </w:r>
            <w:bookmarkEnd w:id="1045"/>
            <w:bookmarkEnd w:id="1046"/>
          </w:p>
        </w:tc>
        <w:tc>
          <w:tcPr>
            <w:tcW w:w="2322" w:type="dxa"/>
            <w:gridSpan w:val="2"/>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047" w:name="_Toc32764"/>
            <w:bookmarkStart w:id="1048" w:name="_Toc20176"/>
            <w:r>
              <w:rPr>
                <w:rFonts w:hint="eastAsia" w:ascii="仿宋" w:hAnsi="仿宋" w:eastAsia="仿宋" w:cs="仿宋"/>
                <w:color w:val="000000"/>
                <w:sz w:val="24"/>
                <w:szCs w:val="24"/>
                <w:u w:val="none"/>
              </w:rPr>
              <w:t>投标范围</w:t>
            </w:r>
            <w:bookmarkEnd w:id="1047"/>
            <w:bookmarkEnd w:id="1048"/>
          </w:p>
        </w:tc>
        <w:tc>
          <w:tcPr>
            <w:tcW w:w="5090"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049" w:name="_Toc25669"/>
            <w:bookmarkStart w:id="1050" w:name="_Toc14689"/>
            <w:r>
              <w:rPr>
                <w:rFonts w:hint="eastAsia" w:ascii="仿宋" w:hAnsi="仿宋" w:eastAsia="仿宋" w:cs="仿宋"/>
                <w:color w:val="000000"/>
                <w:sz w:val="24"/>
                <w:szCs w:val="24"/>
                <w:u w:val="none"/>
              </w:rPr>
              <w:t>投标范围符合第二章投标人须知第1.3.1项规定</w:t>
            </w:r>
            <w:bookmarkEnd w:id="1049"/>
            <w:bookmarkEnd w:id="105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exact"/>
          <w:jc w:val="center"/>
        </w:trPr>
        <w:tc>
          <w:tcPr>
            <w:tcW w:w="1482"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051" w:name="_Toc1942"/>
            <w:bookmarkStart w:id="1052" w:name="_Toc15576"/>
            <w:r>
              <w:rPr>
                <w:rFonts w:hint="eastAsia" w:ascii="仿宋" w:hAnsi="仿宋" w:eastAsia="仿宋" w:cs="仿宋"/>
                <w:color w:val="000000"/>
                <w:sz w:val="24"/>
                <w:szCs w:val="24"/>
                <w:u w:val="none"/>
              </w:rPr>
              <w:t>2.1.3（2）</w:t>
            </w:r>
            <w:bookmarkEnd w:id="1051"/>
            <w:bookmarkEnd w:id="1052"/>
          </w:p>
        </w:tc>
        <w:tc>
          <w:tcPr>
            <w:tcW w:w="872" w:type="dxa"/>
            <w:vMerge w:val="continue"/>
            <w:noWrap w:val="0"/>
            <w:vAlign w:val="center"/>
          </w:tcPr>
          <w:p>
            <w:pPr>
              <w:pStyle w:val="124"/>
              <w:spacing w:line="250" w:lineRule="exact"/>
              <w:ind w:firstLine="0" w:firstLineChars="0"/>
              <w:outlineLvl w:val="9"/>
              <w:rPr>
                <w:rFonts w:hint="eastAsia" w:ascii="仿宋" w:hAnsi="仿宋" w:eastAsia="仿宋" w:cs="仿宋"/>
                <w:color w:val="000000"/>
                <w:sz w:val="24"/>
                <w:szCs w:val="24"/>
                <w:u w:val="none"/>
              </w:rPr>
            </w:pPr>
          </w:p>
        </w:tc>
        <w:tc>
          <w:tcPr>
            <w:tcW w:w="2322" w:type="dxa"/>
            <w:gridSpan w:val="2"/>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053" w:name="_Toc17644"/>
            <w:bookmarkStart w:id="1054" w:name="_Toc28612"/>
            <w:r>
              <w:rPr>
                <w:rFonts w:hint="eastAsia" w:ascii="仿宋" w:hAnsi="仿宋" w:eastAsia="仿宋" w:cs="仿宋"/>
                <w:color w:val="000000"/>
                <w:sz w:val="24"/>
                <w:szCs w:val="24"/>
                <w:u w:val="none"/>
              </w:rPr>
              <w:t>工期</w:t>
            </w:r>
            <w:bookmarkEnd w:id="1053"/>
            <w:bookmarkEnd w:id="1054"/>
          </w:p>
        </w:tc>
        <w:tc>
          <w:tcPr>
            <w:tcW w:w="5090"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055" w:name="_Toc24567"/>
            <w:bookmarkStart w:id="1056" w:name="_Toc31299"/>
            <w:r>
              <w:rPr>
                <w:rFonts w:hint="eastAsia" w:ascii="仿宋" w:hAnsi="仿宋" w:eastAsia="仿宋" w:cs="仿宋"/>
                <w:color w:val="000000"/>
                <w:sz w:val="24"/>
                <w:szCs w:val="24"/>
                <w:u w:val="none"/>
              </w:rPr>
              <w:t>计划工期符合第二章投标人须知第1.3.2项规定</w:t>
            </w:r>
            <w:bookmarkEnd w:id="1055"/>
            <w:bookmarkEnd w:id="105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exact"/>
          <w:jc w:val="center"/>
        </w:trPr>
        <w:tc>
          <w:tcPr>
            <w:tcW w:w="1482"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057" w:name="_Toc9583"/>
            <w:bookmarkStart w:id="1058" w:name="_Toc29917"/>
            <w:r>
              <w:rPr>
                <w:rFonts w:hint="eastAsia" w:ascii="仿宋" w:hAnsi="仿宋" w:eastAsia="仿宋" w:cs="仿宋"/>
                <w:color w:val="000000"/>
                <w:sz w:val="24"/>
                <w:szCs w:val="24"/>
                <w:u w:val="none"/>
              </w:rPr>
              <w:t>2.1.3（3）</w:t>
            </w:r>
            <w:bookmarkEnd w:id="1057"/>
            <w:bookmarkEnd w:id="1058"/>
          </w:p>
        </w:tc>
        <w:tc>
          <w:tcPr>
            <w:tcW w:w="872" w:type="dxa"/>
            <w:vMerge w:val="continue"/>
            <w:noWrap w:val="0"/>
            <w:vAlign w:val="center"/>
          </w:tcPr>
          <w:p>
            <w:pPr>
              <w:pStyle w:val="124"/>
              <w:spacing w:line="250" w:lineRule="exact"/>
              <w:ind w:firstLine="0" w:firstLineChars="0"/>
              <w:outlineLvl w:val="9"/>
              <w:rPr>
                <w:rFonts w:hint="eastAsia" w:ascii="仿宋" w:hAnsi="仿宋" w:eastAsia="仿宋" w:cs="仿宋"/>
                <w:color w:val="000000"/>
                <w:sz w:val="24"/>
                <w:szCs w:val="24"/>
                <w:u w:val="none"/>
              </w:rPr>
            </w:pPr>
          </w:p>
        </w:tc>
        <w:tc>
          <w:tcPr>
            <w:tcW w:w="2322" w:type="dxa"/>
            <w:gridSpan w:val="2"/>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059" w:name="_Toc9866"/>
            <w:bookmarkStart w:id="1060" w:name="_Toc26272"/>
            <w:r>
              <w:rPr>
                <w:rFonts w:hint="eastAsia" w:ascii="仿宋" w:hAnsi="仿宋" w:eastAsia="仿宋" w:cs="仿宋"/>
                <w:color w:val="000000"/>
                <w:sz w:val="24"/>
                <w:szCs w:val="24"/>
                <w:u w:val="none"/>
              </w:rPr>
              <w:t>工程质量</w:t>
            </w:r>
            <w:bookmarkEnd w:id="1059"/>
            <w:bookmarkEnd w:id="1060"/>
          </w:p>
        </w:tc>
        <w:tc>
          <w:tcPr>
            <w:tcW w:w="5090"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061" w:name="_Toc13023"/>
            <w:bookmarkStart w:id="1062" w:name="_Toc6424"/>
            <w:r>
              <w:rPr>
                <w:rFonts w:hint="eastAsia" w:ascii="仿宋" w:hAnsi="仿宋" w:eastAsia="仿宋" w:cs="仿宋"/>
                <w:color w:val="000000"/>
                <w:sz w:val="24"/>
                <w:szCs w:val="24"/>
                <w:u w:val="none"/>
              </w:rPr>
              <w:t>工程质量符合第二章投标人须知第1.3.3项规定</w:t>
            </w:r>
            <w:bookmarkEnd w:id="1061"/>
            <w:bookmarkEnd w:id="106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exact"/>
          <w:jc w:val="center"/>
        </w:trPr>
        <w:tc>
          <w:tcPr>
            <w:tcW w:w="1482"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063" w:name="_Toc24736"/>
            <w:bookmarkStart w:id="1064" w:name="_Toc22240"/>
            <w:r>
              <w:rPr>
                <w:rFonts w:hint="eastAsia" w:ascii="仿宋" w:hAnsi="仿宋" w:eastAsia="仿宋" w:cs="仿宋"/>
                <w:color w:val="000000"/>
                <w:sz w:val="24"/>
                <w:szCs w:val="24"/>
                <w:u w:val="none"/>
              </w:rPr>
              <w:t>2.1.3（4）</w:t>
            </w:r>
            <w:bookmarkEnd w:id="1063"/>
            <w:bookmarkEnd w:id="1064"/>
          </w:p>
        </w:tc>
        <w:tc>
          <w:tcPr>
            <w:tcW w:w="872" w:type="dxa"/>
            <w:vMerge w:val="continue"/>
            <w:noWrap w:val="0"/>
            <w:vAlign w:val="center"/>
          </w:tcPr>
          <w:p>
            <w:pPr>
              <w:pStyle w:val="124"/>
              <w:spacing w:line="250" w:lineRule="exact"/>
              <w:ind w:firstLine="0" w:firstLineChars="0"/>
              <w:outlineLvl w:val="9"/>
              <w:rPr>
                <w:rFonts w:hint="eastAsia" w:ascii="仿宋" w:hAnsi="仿宋" w:eastAsia="仿宋" w:cs="仿宋"/>
                <w:color w:val="000000"/>
                <w:sz w:val="24"/>
                <w:szCs w:val="24"/>
                <w:u w:val="none"/>
              </w:rPr>
            </w:pPr>
          </w:p>
        </w:tc>
        <w:tc>
          <w:tcPr>
            <w:tcW w:w="2322" w:type="dxa"/>
            <w:gridSpan w:val="2"/>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065" w:name="_Toc26641"/>
            <w:bookmarkStart w:id="1066" w:name="_Toc19105"/>
            <w:r>
              <w:rPr>
                <w:rFonts w:hint="eastAsia" w:ascii="仿宋" w:hAnsi="仿宋" w:eastAsia="仿宋" w:cs="仿宋"/>
                <w:color w:val="000000"/>
                <w:sz w:val="24"/>
                <w:szCs w:val="24"/>
                <w:u w:val="none"/>
              </w:rPr>
              <w:t>投标有效期</w:t>
            </w:r>
            <w:bookmarkEnd w:id="1065"/>
            <w:bookmarkEnd w:id="1066"/>
          </w:p>
        </w:tc>
        <w:tc>
          <w:tcPr>
            <w:tcW w:w="5090"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067" w:name="_Toc13973"/>
            <w:bookmarkStart w:id="1068" w:name="_Toc12352"/>
            <w:r>
              <w:rPr>
                <w:rFonts w:hint="eastAsia" w:ascii="仿宋" w:hAnsi="仿宋" w:eastAsia="仿宋" w:cs="仿宋"/>
                <w:color w:val="000000"/>
                <w:sz w:val="24"/>
                <w:szCs w:val="24"/>
                <w:u w:val="none"/>
              </w:rPr>
              <w:t>投标有效期符合第二章投标人须知第3.3.1项规定</w:t>
            </w:r>
            <w:bookmarkEnd w:id="1067"/>
            <w:bookmarkEnd w:id="106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exact"/>
          <w:jc w:val="center"/>
        </w:trPr>
        <w:tc>
          <w:tcPr>
            <w:tcW w:w="1482"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069" w:name="_Toc9265"/>
            <w:bookmarkStart w:id="1070" w:name="_Toc6065"/>
            <w:r>
              <w:rPr>
                <w:rFonts w:hint="eastAsia" w:ascii="仿宋" w:hAnsi="仿宋" w:eastAsia="仿宋" w:cs="仿宋"/>
                <w:color w:val="000000"/>
                <w:sz w:val="24"/>
                <w:szCs w:val="24"/>
                <w:u w:val="none"/>
              </w:rPr>
              <w:t>2.1.3（5）</w:t>
            </w:r>
            <w:bookmarkEnd w:id="1069"/>
            <w:bookmarkEnd w:id="1070"/>
          </w:p>
        </w:tc>
        <w:tc>
          <w:tcPr>
            <w:tcW w:w="872" w:type="dxa"/>
            <w:vMerge w:val="continue"/>
            <w:noWrap w:val="0"/>
            <w:vAlign w:val="center"/>
          </w:tcPr>
          <w:p>
            <w:pPr>
              <w:pStyle w:val="124"/>
              <w:spacing w:line="250" w:lineRule="exact"/>
              <w:ind w:firstLine="0" w:firstLineChars="0"/>
              <w:outlineLvl w:val="9"/>
              <w:rPr>
                <w:rFonts w:hint="eastAsia" w:ascii="仿宋" w:hAnsi="仿宋" w:eastAsia="仿宋" w:cs="仿宋"/>
                <w:color w:val="000000"/>
                <w:sz w:val="24"/>
                <w:szCs w:val="24"/>
                <w:u w:val="none"/>
              </w:rPr>
            </w:pPr>
          </w:p>
        </w:tc>
        <w:tc>
          <w:tcPr>
            <w:tcW w:w="2322" w:type="dxa"/>
            <w:gridSpan w:val="2"/>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071" w:name="_Toc21909"/>
            <w:bookmarkStart w:id="1072" w:name="_Toc27360"/>
            <w:r>
              <w:rPr>
                <w:rFonts w:hint="eastAsia" w:ascii="仿宋" w:hAnsi="仿宋" w:eastAsia="仿宋" w:cs="仿宋"/>
                <w:color w:val="000000"/>
                <w:sz w:val="24"/>
                <w:szCs w:val="24"/>
                <w:u w:val="none"/>
              </w:rPr>
              <w:t>投标担保</w:t>
            </w:r>
            <w:bookmarkEnd w:id="1071"/>
            <w:bookmarkEnd w:id="1072"/>
          </w:p>
        </w:tc>
        <w:tc>
          <w:tcPr>
            <w:tcW w:w="5090"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073" w:name="_Toc15486"/>
            <w:bookmarkStart w:id="1074" w:name="_Toc25265"/>
            <w:r>
              <w:rPr>
                <w:rFonts w:hint="eastAsia" w:ascii="仿宋" w:hAnsi="仿宋" w:eastAsia="仿宋" w:cs="仿宋"/>
                <w:color w:val="000000"/>
                <w:sz w:val="24"/>
                <w:szCs w:val="24"/>
                <w:u w:val="none"/>
              </w:rPr>
              <w:t>投标担保符合第二章投标人须知第3.4款规定</w:t>
            </w:r>
            <w:bookmarkEnd w:id="1073"/>
            <w:bookmarkEnd w:id="107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exact"/>
          <w:jc w:val="center"/>
        </w:trPr>
        <w:tc>
          <w:tcPr>
            <w:tcW w:w="1482"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075" w:name="_Toc26549"/>
            <w:bookmarkStart w:id="1076" w:name="_Toc28436"/>
            <w:r>
              <w:rPr>
                <w:rFonts w:hint="eastAsia" w:ascii="仿宋" w:hAnsi="仿宋" w:eastAsia="仿宋" w:cs="仿宋"/>
                <w:color w:val="000000"/>
                <w:sz w:val="24"/>
                <w:szCs w:val="24"/>
                <w:u w:val="none"/>
              </w:rPr>
              <w:t>2.1.3（6）</w:t>
            </w:r>
            <w:bookmarkEnd w:id="1075"/>
            <w:bookmarkEnd w:id="1076"/>
          </w:p>
        </w:tc>
        <w:tc>
          <w:tcPr>
            <w:tcW w:w="872" w:type="dxa"/>
            <w:vMerge w:val="continue"/>
            <w:noWrap w:val="0"/>
            <w:vAlign w:val="center"/>
          </w:tcPr>
          <w:p>
            <w:pPr>
              <w:pStyle w:val="124"/>
              <w:spacing w:line="250" w:lineRule="exact"/>
              <w:ind w:firstLine="0" w:firstLineChars="0"/>
              <w:outlineLvl w:val="9"/>
              <w:rPr>
                <w:rFonts w:hint="eastAsia" w:ascii="仿宋" w:hAnsi="仿宋" w:eastAsia="仿宋" w:cs="仿宋"/>
                <w:color w:val="000000"/>
                <w:sz w:val="24"/>
                <w:szCs w:val="24"/>
                <w:u w:val="none"/>
              </w:rPr>
            </w:pPr>
          </w:p>
        </w:tc>
        <w:tc>
          <w:tcPr>
            <w:tcW w:w="2322" w:type="dxa"/>
            <w:gridSpan w:val="2"/>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077" w:name="_Toc4499"/>
            <w:bookmarkStart w:id="1078" w:name="_Toc22456"/>
            <w:r>
              <w:rPr>
                <w:rFonts w:hint="eastAsia" w:ascii="仿宋" w:hAnsi="仿宋" w:eastAsia="仿宋" w:cs="仿宋"/>
                <w:color w:val="000000"/>
                <w:sz w:val="24"/>
                <w:szCs w:val="24"/>
                <w:u w:val="none"/>
              </w:rPr>
              <w:t>权利义务</w:t>
            </w:r>
            <w:bookmarkEnd w:id="1077"/>
            <w:bookmarkEnd w:id="1078"/>
          </w:p>
        </w:tc>
        <w:tc>
          <w:tcPr>
            <w:tcW w:w="5090"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079" w:name="_Toc28519"/>
            <w:bookmarkStart w:id="1080" w:name="_Toc30857"/>
            <w:r>
              <w:rPr>
                <w:rFonts w:hint="eastAsia" w:ascii="仿宋" w:hAnsi="仿宋" w:eastAsia="仿宋" w:cs="仿宋"/>
                <w:color w:val="000000"/>
                <w:sz w:val="24"/>
                <w:szCs w:val="24"/>
                <w:u w:val="none"/>
              </w:rPr>
              <w:t>权利义务符合第四章合同条款及格式规定的权利义务</w:t>
            </w:r>
            <w:bookmarkEnd w:id="1079"/>
            <w:bookmarkEnd w:id="108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exact"/>
          <w:jc w:val="center"/>
        </w:trPr>
        <w:tc>
          <w:tcPr>
            <w:tcW w:w="1482"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081" w:name="_Toc12814"/>
            <w:bookmarkStart w:id="1082" w:name="_Toc28948"/>
            <w:r>
              <w:rPr>
                <w:rFonts w:hint="eastAsia" w:ascii="仿宋" w:hAnsi="仿宋" w:eastAsia="仿宋" w:cs="仿宋"/>
                <w:color w:val="000000"/>
                <w:sz w:val="24"/>
                <w:szCs w:val="24"/>
                <w:u w:val="none"/>
              </w:rPr>
              <w:t>2.1.3（7）</w:t>
            </w:r>
            <w:bookmarkEnd w:id="1081"/>
            <w:bookmarkEnd w:id="1082"/>
          </w:p>
        </w:tc>
        <w:tc>
          <w:tcPr>
            <w:tcW w:w="872" w:type="dxa"/>
            <w:vMerge w:val="continue"/>
            <w:noWrap w:val="0"/>
            <w:vAlign w:val="center"/>
          </w:tcPr>
          <w:p>
            <w:pPr>
              <w:pStyle w:val="124"/>
              <w:spacing w:line="250" w:lineRule="exact"/>
              <w:ind w:firstLine="0" w:firstLineChars="0"/>
              <w:outlineLvl w:val="9"/>
              <w:rPr>
                <w:rFonts w:hint="eastAsia" w:ascii="仿宋" w:hAnsi="仿宋" w:eastAsia="仿宋" w:cs="仿宋"/>
                <w:color w:val="000000"/>
                <w:sz w:val="24"/>
                <w:szCs w:val="24"/>
                <w:u w:val="none"/>
              </w:rPr>
            </w:pPr>
          </w:p>
        </w:tc>
        <w:tc>
          <w:tcPr>
            <w:tcW w:w="2322" w:type="dxa"/>
            <w:gridSpan w:val="2"/>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083" w:name="_Toc21056"/>
            <w:bookmarkStart w:id="1084" w:name="_Toc27910"/>
            <w:r>
              <w:rPr>
                <w:rFonts w:hint="eastAsia" w:ascii="仿宋" w:hAnsi="仿宋" w:eastAsia="仿宋" w:cs="仿宋"/>
                <w:color w:val="000000"/>
                <w:sz w:val="24"/>
                <w:szCs w:val="24"/>
                <w:u w:val="none"/>
              </w:rPr>
              <w:t>工程量清单</w:t>
            </w:r>
            <w:bookmarkEnd w:id="1083"/>
            <w:bookmarkEnd w:id="1084"/>
          </w:p>
        </w:tc>
        <w:tc>
          <w:tcPr>
            <w:tcW w:w="5090"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085" w:name="_Toc4918"/>
            <w:bookmarkStart w:id="1086" w:name="_Toc5399"/>
            <w:r>
              <w:rPr>
                <w:rFonts w:hint="eastAsia" w:ascii="仿宋" w:hAnsi="仿宋" w:eastAsia="仿宋" w:cs="仿宋"/>
                <w:color w:val="000000"/>
                <w:sz w:val="24"/>
                <w:szCs w:val="24"/>
                <w:u w:val="none"/>
              </w:rPr>
              <w:t>已标价工程量清单符合第五章工程量清单的有关要求</w:t>
            </w:r>
            <w:bookmarkEnd w:id="1085"/>
            <w:bookmarkEnd w:id="108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exact"/>
          <w:jc w:val="center"/>
        </w:trPr>
        <w:tc>
          <w:tcPr>
            <w:tcW w:w="1482"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087" w:name="_Toc12877"/>
            <w:bookmarkStart w:id="1088" w:name="_Toc3757"/>
            <w:r>
              <w:rPr>
                <w:rFonts w:hint="eastAsia" w:ascii="仿宋" w:hAnsi="仿宋" w:eastAsia="仿宋" w:cs="仿宋"/>
                <w:color w:val="000000"/>
                <w:sz w:val="24"/>
                <w:szCs w:val="24"/>
                <w:u w:val="none"/>
              </w:rPr>
              <w:t>2.1.3（8）</w:t>
            </w:r>
            <w:bookmarkEnd w:id="1087"/>
            <w:bookmarkEnd w:id="1088"/>
          </w:p>
        </w:tc>
        <w:tc>
          <w:tcPr>
            <w:tcW w:w="872" w:type="dxa"/>
            <w:vMerge w:val="continue"/>
            <w:noWrap w:val="0"/>
            <w:vAlign w:val="center"/>
          </w:tcPr>
          <w:p>
            <w:pPr>
              <w:pStyle w:val="124"/>
              <w:spacing w:line="250" w:lineRule="exact"/>
              <w:ind w:firstLine="0" w:firstLineChars="0"/>
              <w:outlineLvl w:val="9"/>
              <w:rPr>
                <w:rFonts w:hint="eastAsia" w:ascii="仿宋" w:hAnsi="仿宋" w:eastAsia="仿宋" w:cs="仿宋"/>
                <w:color w:val="000000"/>
                <w:sz w:val="24"/>
                <w:szCs w:val="24"/>
                <w:u w:val="none"/>
              </w:rPr>
            </w:pPr>
          </w:p>
        </w:tc>
        <w:tc>
          <w:tcPr>
            <w:tcW w:w="2322" w:type="dxa"/>
            <w:gridSpan w:val="2"/>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089" w:name="_Toc15364"/>
            <w:bookmarkStart w:id="1090" w:name="_Toc6983"/>
            <w:r>
              <w:rPr>
                <w:rFonts w:hint="eastAsia" w:ascii="仿宋" w:hAnsi="仿宋" w:eastAsia="仿宋" w:cs="仿宋"/>
                <w:color w:val="000000"/>
                <w:sz w:val="24"/>
                <w:szCs w:val="24"/>
                <w:u w:val="none"/>
              </w:rPr>
              <w:t>技术标准和要求</w:t>
            </w:r>
            <w:bookmarkEnd w:id="1089"/>
            <w:bookmarkEnd w:id="1090"/>
          </w:p>
        </w:tc>
        <w:tc>
          <w:tcPr>
            <w:tcW w:w="5090"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091" w:name="_Toc1129"/>
            <w:bookmarkStart w:id="1092" w:name="_Toc23558"/>
            <w:r>
              <w:rPr>
                <w:rFonts w:hint="eastAsia" w:ascii="仿宋" w:hAnsi="仿宋" w:eastAsia="仿宋" w:cs="仿宋"/>
                <w:color w:val="000000"/>
                <w:sz w:val="24"/>
                <w:szCs w:val="24"/>
                <w:u w:val="none"/>
              </w:rPr>
              <w:t>技术标准和要求符合第七章技术标准和要求</w:t>
            </w:r>
            <w:bookmarkEnd w:id="1091"/>
            <w:bookmarkEnd w:id="1092"/>
          </w:p>
          <w:p>
            <w:pPr>
              <w:pStyle w:val="124"/>
              <w:spacing w:line="250" w:lineRule="exact"/>
              <w:ind w:firstLine="0" w:firstLineChars="0"/>
              <w:rPr>
                <w:rFonts w:hint="eastAsia" w:ascii="仿宋" w:hAnsi="仿宋" w:eastAsia="仿宋" w:cs="仿宋"/>
                <w:color w:val="000000"/>
                <w:sz w:val="24"/>
                <w:szCs w:val="24"/>
                <w:u w:val="none"/>
              </w:rPr>
            </w:pPr>
            <w:bookmarkStart w:id="1093" w:name="_Toc7663"/>
            <w:bookmarkStart w:id="1094" w:name="_Toc31602"/>
            <w:r>
              <w:rPr>
                <w:rFonts w:hint="eastAsia" w:ascii="仿宋" w:hAnsi="仿宋" w:eastAsia="仿宋" w:cs="仿宋"/>
                <w:color w:val="000000"/>
                <w:sz w:val="24"/>
                <w:szCs w:val="24"/>
                <w:u w:val="none"/>
              </w:rPr>
              <w:t>（合同技术条款）的规定</w:t>
            </w:r>
            <w:bookmarkEnd w:id="1093"/>
            <w:bookmarkEnd w:id="109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exact"/>
          <w:jc w:val="center"/>
        </w:trPr>
        <w:tc>
          <w:tcPr>
            <w:tcW w:w="1482"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095" w:name="_Toc14886"/>
            <w:bookmarkStart w:id="1096" w:name="_Toc3432"/>
            <w:r>
              <w:rPr>
                <w:rFonts w:hint="eastAsia" w:ascii="仿宋" w:hAnsi="仿宋" w:eastAsia="仿宋" w:cs="仿宋"/>
                <w:color w:val="000000"/>
                <w:sz w:val="24"/>
                <w:szCs w:val="24"/>
                <w:u w:val="none"/>
              </w:rPr>
              <w:t>2.1.3（9）</w:t>
            </w:r>
            <w:bookmarkEnd w:id="1095"/>
            <w:bookmarkEnd w:id="1096"/>
          </w:p>
        </w:tc>
        <w:tc>
          <w:tcPr>
            <w:tcW w:w="872" w:type="dxa"/>
            <w:vMerge w:val="continue"/>
            <w:noWrap w:val="0"/>
            <w:vAlign w:val="center"/>
          </w:tcPr>
          <w:p>
            <w:pPr>
              <w:pStyle w:val="124"/>
              <w:spacing w:line="250" w:lineRule="exact"/>
              <w:ind w:firstLine="0" w:firstLineChars="0"/>
              <w:outlineLvl w:val="9"/>
              <w:rPr>
                <w:rFonts w:hint="eastAsia" w:ascii="仿宋" w:hAnsi="仿宋" w:eastAsia="仿宋" w:cs="仿宋"/>
                <w:color w:val="000000"/>
                <w:sz w:val="24"/>
                <w:szCs w:val="24"/>
                <w:u w:val="none"/>
              </w:rPr>
            </w:pPr>
          </w:p>
        </w:tc>
        <w:tc>
          <w:tcPr>
            <w:tcW w:w="2322" w:type="dxa"/>
            <w:gridSpan w:val="2"/>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097" w:name="_Toc3664"/>
            <w:bookmarkStart w:id="1098" w:name="_Toc8529"/>
            <w:r>
              <w:rPr>
                <w:rFonts w:hint="eastAsia" w:ascii="仿宋" w:hAnsi="仿宋" w:eastAsia="仿宋" w:cs="仿宋"/>
                <w:color w:val="000000"/>
                <w:sz w:val="24"/>
                <w:szCs w:val="24"/>
                <w:u w:val="none"/>
              </w:rPr>
              <w:t>对投标人的纪律要求</w:t>
            </w:r>
            <w:bookmarkEnd w:id="1097"/>
            <w:bookmarkEnd w:id="1098"/>
          </w:p>
        </w:tc>
        <w:tc>
          <w:tcPr>
            <w:tcW w:w="5090"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099" w:name="_Toc21359"/>
            <w:bookmarkStart w:id="1100" w:name="_Toc21330"/>
            <w:r>
              <w:rPr>
                <w:rFonts w:hint="eastAsia" w:ascii="仿宋" w:hAnsi="仿宋" w:eastAsia="仿宋" w:cs="仿宋"/>
                <w:color w:val="000000"/>
                <w:sz w:val="24"/>
                <w:szCs w:val="24"/>
                <w:u w:val="none"/>
              </w:rPr>
              <w:t>符合第二章“投标人须知”第9.2款规定</w:t>
            </w:r>
            <w:bookmarkEnd w:id="1099"/>
            <w:bookmarkEnd w:id="110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exact"/>
          <w:jc w:val="center"/>
        </w:trPr>
        <w:tc>
          <w:tcPr>
            <w:tcW w:w="1482"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01" w:name="_Toc20968"/>
            <w:bookmarkStart w:id="1102" w:name="_Toc19467"/>
            <w:r>
              <w:rPr>
                <w:rFonts w:hint="eastAsia" w:ascii="仿宋" w:hAnsi="仿宋" w:eastAsia="仿宋" w:cs="仿宋"/>
                <w:color w:val="000000"/>
                <w:sz w:val="24"/>
                <w:szCs w:val="24"/>
                <w:u w:val="none"/>
              </w:rPr>
              <w:t>2.1.3（10）</w:t>
            </w:r>
            <w:bookmarkEnd w:id="1101"/>
            <w:bookmarkEnd w:id="1102"/>
          </w:p>
        </w:tc>
        <w:tc>
          <w:tcPr>
            <w:tcW w:w="872" w:type="dxa"/>
            <w:vMerge w:val="continue"/>
            <w:noWrap w:val="0"/>
            <w:vAlign w:val="center"/>
          </w:tcPr>
          <w:p>
            <w:pPr>
              <w:pStyle w:val="124"/>
              <w:spacing w:line="250" w:lineRule="exact"/>
              <w:ind w:firstLine="0" w:firstLineChars="0"/>
              <w:outlineLvl w:val="9"/>
              <w:rPr>
                <w:rFonts w:hint="eastAsia" w:ascii="仿宋" w:hAnsi="仿宋" w:eastAsia="仿宋" w:cs="仿宋"/>
                <w:color w:val="000000"/>
                <w:sz w:val="24"/>
                <w:szCs w:val="24"/>
                <w:u w:val="none"/>
              </w:rPr>
            </w:pPr>
          </w:p>
        </w:tc>
        <w:tc>
          <w:tcPr>
            <w:tcW w:w="2322" w:type="dxa"/>
            <w:gridSpan w:val="2"/>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03" w:name="_Toc28114"/>
            <w:bookmarkStart w:id="1104" w:name="_Toc29941"/>
            <w:r>
              <w:rPr>
                <w:rFonts w:hint="eastAsia" w:ascii="仿宋" w:hAnsi="仿宋" w:eastAsia="仿宋" w:cs="仿宋"/>
                <w:color w:val="000000"/>
                <w:sz w:val="24"/>
                <w:szCs w:val="24"/>
                <w:u w:val="none"/>
              </w:rPr>
              <w:t>工程结算款支付账户</w:t>
            </w:r>
            <w:bookmarkEnd w:id="1103"/>
            <w:bookmarkEnd w:id="1104"/>
          </w:p>
        </w:tc>
        <w:tc>
          <w:tcPr>
            <w:tcW w:w="5090"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05" w:name="_Toc22933"/>
            <w:bookmarkStart w:id="1106" w:name="_Toc31509"/>
            <w:r>
              <w:rPr>
                <w:rFonts w:hint="eastAsia" w:ascii="仿宋" w:hAnsi="仿宋" w:eastAsia="仿宋" w:cs="仿宋"/>
                <w:color w:val="000000"/>
                <w:sz w:val="24"/>
                <w:szCs w:val="24"/>
                <w:u w:val="none"/>
              </w:rPr>
              <w:t>符合第二章“投标人须知”第10.3款规定</w:t>
            </w:r>
            <w:bookmarkEnd w:id="1105"/>
            <w:bookmarkEnd w:id="110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exact"/>
          <w:jc w:val="center"/>
        </w:trPr>
        <w:tc>
          <w:tcPr>
            <w:tcW w:w="1482"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07" w:name="_Toc30775"/>
            <w:bookmarkStart w:id="1108" w:name="_Toc1745"/>
            <w:r>
              <w:rPr>
                <w:rFonts w:hint="eastAsia" w:ascii="仿宋" w:hAnsi="仿宋" w:eastAsia="仿宋" w:cs="仿宋"/>
                <w:color w:val="000000"/>
                <w:sz w:val="24"/>
                <w:szCs w:val="24"/>
                <w:u w:val="none"/>
              </w:rPr>
              <w:t>2.1.3（11）</w:t>
            </w:r>
            <w:bookmarkEnd w:id="1107"/>
            <w:bookmarkEnd w:id="1108"/>
          </w:p>
        </w:tc>
        <w:tc>
          <w:tcPr>
            <w:tcW w:w="872" w:type="dxa"/>
            <w:vMerge w:val="continue"/>
            <w:noWrap w:val="0"/>
            <w:vAlign w:val="center"/>
          </w:tcPr>
          <w:p>
            <w:pPr>
              <w:pStyle w:val="124"/>
              <w:spacing w:line="250" w:lineRule="exact"/>
              <w:ind w:firstLine="0" w:firstLineChars="0"/>
              <w:outlineLvl w:val="9"/>
              <w:rPr>
                <w:rFonts w:hint="eastAsia" w:ascii="仿宋" w:hAnsi="仿宋" w:eastAsia="仿宋" w:cs="仿宋"/>
                <w:color w:val="000000"/>
                <w:sz w:val="24"/>
                <w:szCs w:val="24"/>
                <w:u w:val="none"/>
              </w:rPr>
            </w:pPr>
          </w:p>
        </w:tc>
        <w:tc>
          <w:tcPr>
            <w:tcW w:w="2322" w:type="dxa"/>
            <w:gridSpan w:val="2"/>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09" w:name="_Toc24695"/>
            <w:bookmarkStart w:id="1110" w:name="_Toc23554"/>
            <w:r>
              <w:rPr>
                <w:rFonts w:hint="eastAsia" w:ascii="仿宋" w:hAnsi="仿宋" w:eastAsia="仿宋" w:cs="仿宋"/>
                <w:color w:val="000000"/>
                <w:sz w:val="24"/>
                <w:szCs w:val="24"/>
                <w:u w:val="none"/>
              </w:rPr>
              <w:t>最高投标限价</w:t>
            </w:r>
            <w:bookmarkEnd w:id="1109"/>
            <w:bookmarkEnd w:id="1110"/>
          </w:p>
        </w:tc>
        <w:tc>
          <w:tcPr>
            <w:tcW w:w="5090"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11" w:name="_Toc314"/>
            <w:bookmarkStart w:id="1112" w:name="_Toc5993"/>
            <w:r>
              <w:rPr>
                <w:rFonts w:hint="eastAsia" w:ascii="仿宋" w:hAnsi="仿宋" w:eastAsia="仿宋" w:cs="仿宋"/>
                <w:color w:val="000000"/>
                <w:sz w:val="24"/>
                <w:szCs w:val="24"/>
                <w:u w:val="none"/>
              </w:rPr>
              <w:t>符合第二章“投标人须知”第10.5款规定</w:t>
            </w:r>
            <w:bookmarkEnd w:id="1111"/>
            <w:bookmarkEnd w:id="111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exact"/>
          <w:jc w:val="center"/>
        </w:trPr>
        <w:tc>
          <w:tcPr>
            <w:tcW w:w="1482"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13" w:name="_Toc12055"/>
            <w:bookmarkStart w:id="1114" w:name="_Toc14652"/>
            <w:r>
              <w:rPr>
                <w:rFonts w:hint="eastAsia" w:ascii="仿宋" w:hAnsi="仿宋" w:eastAsia="仿宋" w:cs="仿宋"/>
                <w:color w:val="000000"/>
                <w:sz w:val="24"/>
                <w:szCs w:val="24"/>
                <w:u w:val="none"/>
              </w:rPr>
              <w:t>2.1.3（12）</w:t>
            </w:r>
            <w:bookmarkEnd w:id="1113"/>
            <w:bookmarkEnd w:id="1114"/>
          </w:p>
        </w:tc>
        <w:tc>
          <w:tcPr>
            <w:tcW w:w="872" w:type="dxa"/>
            <w:vMerge w:val="continue"/>
            <w:noWrap w:val="0"/>
            <w:vAlign w:val="center"/>
          </w:tcPr>
          <w:p>
            <w:pPr>
              <w:pStyle w:val="124"/>
              <w:spacing w:line="250" w:lineRule="exact"/>
              <w:ind w:firstLine="0" w:firstLineChars="0"/>
              <w:outlineLvl w:val="9"/>
              <w:rPr>
                <w:rFonts w:hint="eastAsia" w:ascii="仿宋" w:hAnsi="仿宋" w:eastAsia="仿宋" w:cs="仿宋"/>
                <w:color w:val="000000"/>
                <w:sz w:val="24"/>
                <w:szCs w:val="24"/>
                <w:u w:val="none"/>
              </w:rPr>
            </w:pPr>
          </w:p>
        </w:tc>
        <w:tc>
          <w:tcPr>
            <w:tcW w:w="2322" w:type="dxa"/>
            <w:gridSpan w:val="2"/>
            <w:noWrap w:val="0"/>
            <w:vAlign w:val="center"/>
          </w:tcPr>
          <w:p>
            <w:pPr>
              <w:pStyle w:val="124"/>
              <w:spacing w:line="250" w:lineRule="exact"/>
              <w:ind w:firstLine="0" w:firstLineChars="0"/>
              <w:rPr>
                <w:rFonts w:hint="eastAsia" w:ascii="仿宋" w:hAnsi="仿宋" w:eastAsia="仿宋" w:cs="仿宋"/>
                <w:color w:val="000000"/>
                <w:sz w:val="24"/>
                <w:szCs w:val="24"/>
                <w:u w:val="none"/>
              </w:rPr>
            </w:pPr>
            <w:r>
              <w:rPr>
                <w:rFonts w:hint="eastAsia" w:ascii="仿宋" w:hAnsi="仿宋" w:eastAsia="仿宋" w:cs="仿宋"/>
                <w:color w:val="000000"/>
                <w:sz w:val="24"/>
                <w:szCs w:val="24"/>
                <w:u w:val="none"/>
              </w:rPr>
              <w:t>其它标准</w:t>
            </w:r>
          </w:p>
        </w:tc>
        <w:tc>
          <w:tcPr>
            <w:tcW w:w="5090"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15" w:name="_Toc19802"/>
            <w:bookmarkStart w:id="1116" w:name="_Toc32435"/>
            <w:r>
              <w:rPr>
                <w:rFonts w:hint="eastAsia" w:ascii="仿宋" w:hAnsi="仿宋" w:eastAsia="仿宋" w:cs="仿宋"/>
                <w:color w:val="000000"/>
                <w:sz w:val="24"/>
                <w:szCs w:val="24"/>
                <w:u w:val="none"/>
              </w:rPr>
              <w:t>……</w:t>
            </w:r>
            <w:bookmarkEnd w:id="1115"/>
            <w:bookmarkEnd w:id="111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exact"/>
          <w:jc w:val="center"/>
        </w:trPr>
        <w:tc>
          <w:tcPr>
            <w:tcW w:w="1482" w:type="dxa"/>
            <w:noWrap w:val="0"/>
            <w:vAlign w:val="center"/>
          </w:tcPr>
          <w:p>
            <w:pPr>
              <w:pStyle w:val="124"/>
              <w:spacing w:line="250" w:lineRule="exact"/>
              <w:ind w:firstLine="0" w:firstLineChars="0"/>
              <w:outlineLvl w:val="9"/>
              <w:rPr>
                <w:rFonts w:hint="eastAsia" w:ascii="仿宋" w:hAnsi="仿宋" w:eastAsia="仿宋" w:cs="仿宋"/>
                <w:color w:val="000000"/>
                <w:sz w:val="24"/>
                <w:szCs w:val="24"/>
                <w:u w:val="none"/>
              </w:rPr>
            </w:pPr>
          </w:p>
        </w:tc>
        <w:tc>
          <w:tcPr>
            <w:tcW w:w="872" w:type="dxa"/>
            <w:vMerge w:val="continue"/>
            <w:noWrap w:val="0"/>
            <w:vAlign w:val="center"/>
          </w:tcPr>
          <w:p>
            <w:pPr>
              <w:pStyle w:val="124"/>
              <w:spacing w:line="250" w:lineRule="exact"/>
              <w:ind w:firstLine="0" w:firstLineChars="0"/>
              <w:outlineLvl w:val="9"/>
              <w:rPr>
                <w:rFonts w:hint="eastAsia" w:ascii="仿宋" w:hAnsi="仿宋" w:eastAsia="仿宋" w:cs="仿宋"/>
                <w:color w:val="000000"/>
                <w:sz w:val="24"/>
                <w:szCs w:val="24"/>
                <w:u w:val="none"/>
              </w:rPr>
            </w:pPr>
          </w:p>
        </w:tc>
        <w:tc>
          <w:tcPr>
            <w:tcW w:w="7412" w:type="dxa"/>
            <w:gridSpan w:val="3"/>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17" w:name="_Toc28942"/>
            <w:bookmarkStart w:id="1118" w:name="_Toc31266"/>
            <w:r>
              <w:rPr>
                <w:rFonts w:hint="eastAsia" w:ascii="仿宋" w:hAnsi="仿宋" w:eastAsia="仿宋" w:cs="仿宋"/>
                <w:color w:val="000000"/>
                <w:sz w:val="24"/>
                <w:szCs w:val="24"/>
                <w:u w:val="none"/>
              </w:rPr>
              <w:t>详见本章附表3-3（3）</w:t>
            </w:r>
            <w:bookmarkEnd w:id="1117"/>
            <w:bookmarkEnd w:id="111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exact"/>
          <w:jc w:val="center"/>
        </w:trPr>
        <w:tc>
          <w:tcPr>
            <w:tcW w:w="1482"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19" w:name="_Toc22596"/>
            <w:bookmarkStart w:id="1120" w:name="_Toc30213"/>
            <w:r>
              <w:rPr>
                <w:rFonts w:hint="eastAsia" w:ascii="仿宋" w:hAnsi="仿宋" w:eastAsia="仿宋" w:cs="仿宋"/>
                <w:color w:val="000000"/>
                <w:sz w:val="24"/>
                <w:szCs w:val="24"/>
                <w:u w:val="none"/>
              </w:rPr>
              <w:t>2.1.4（1）</w:t>
            </w:r>
            <w:bookmarkEnd w:id="1119"/>
            <w:bookmarkEnd w:id="1120"/>
          </w:p>
        </w:tc>
        <w:tc>
          <w:tcPr>
            <w:tcW w:w="872" w:type="dxa"/>
            <w:vMerge w:val="restart"/>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21" w:name="_Toc30232"/>
            <w:bookmarkStart w:id="1122" w:name="_Toc639"/>
            <w:r>
              <w:rPr>
                <w:rFonts w:hint="eastAsia" w:ascii="仿宋" w:hAnsi="仿宋" w:eastAsia="仿宋" w:cs="仿宋"/>
                <w:color w:val="000000"/>
                <w:sz w:val="24"/>
                <w:szCs w:val="24"/>
                <w:u w:val="none"/>
              </w:rPr>
              <w:t>技术投标文件评审标准</w:t>
            </w:r>
            <w:bookmarkEnd w:id="1121"/>
            <w:bookmarkEnd w:id="1122"/>
          </w:p>
        </w:tc>
        <w:tc>
          <w:tcPr>
            <w:tcW w:w="2322" w:type="dxa"/>
            <w:gridSpan w:val="2"/>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23" w:name="_Toc27481"/>
            <w:bookmarkStart w:id="1124" w:name="_Toc21548"/>
            <w:r>
              <w:rPr>
                <w:rFonts w:hint="eastAsia" w:ascii="仿宋" w:hAnsi="仿宋" w:eastAsia="仿宋" w:cs="仿宋"/>
                <w:color w:val="000000"/>
                <w:sz w:val="24"/>
                <w:szCs w:val="24"/>
                <w:u w:val="none"/>
              </w:rPr>
              <w:t>内容完整性和编制水平</w:t>
            </w:r>
            <w:bookmarkEnd w:id="1123"/>
            <w:bookmarkEnd w:id="1124"/>
          </w:p>
        </w:tc>
        <w:tc>
          <w:tcPr>
            <w:tcW w:w="5090"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25" w:name="_Toc30998"/>
            <w:bookmarkStart w:id="1126" w:name="_Toc24122"/>
            <w:r>
              <w:rPr>
                <w:rFonts w:hint="eastAsia" w:ascii="仿宋" w:hAnsi="仿宋" w:eastAsia="仿宋" w:cs="仿宋"/>
                <w:color w:val="000000"/>
                <w:sz w:val="24"/>
                <w:szCs w:val="24"/>
                <w:u w:val="none"/>
              </w:rPr>
              <w:t>合格或不合格</w:t>
            </w:r>
            <w:bookmarkEnd w:id="1125"/>
            <w:bookmarkEnd w:id="112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exact"/>
          <w:jc w:val="center"/>
        </w:trPr>
        <w:tc>
          <w:tcPr>
            <w:tcW w:w="1482"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27" w:name="_Toc12865"/>
            <w:bookmarkStart w:id="1128" w:name="_Toc23952"/>
            <w:r>
              <w:rPr>
                <w:rFonts w:hint="eastAsia" w:ascii="仿宋" w:hAnsi="仿宋" w:eastAsia="仿宋" w:cs="仿宋"/>
                <w:color w:val="000000"/>
                <w:sz w:val="24"/>
                <w:szCs w:val="24"/>
                <w:u w:val="none"/>
              </w:rPr>
              <w:t>2.1.4（2）</w:t>
            </w:r>
            <w:bookmarkEnd w:id="1127"/>
            <w:bookmarkEnd w:id="1128"/>
          </w:p>
        </w:tc>
        <w:tc>
          <w:tcPr>
            <w:tcW w:w="872" w:type="dxa"/>
            <w:vMerge w:val="continue"/>
            <w:noWrap w:val="0"/>
            <w:vAlign w:val="center"/>
          </w:tcPr>
          <w:p>
            <w:pPr>
              <w:pStyle w:val="124"/>
              <w:spacing w:line="250" w:lineRule="exact"/>
              <w:ind w:firstLine="0" w:firstLineChars="0"/>
              <w:outlineLvl w:val="9"/>
              <w:rPr>
                <w:rFonts w:hint="eastAsia" w:ascii="仿宋" w:hAnsi="仿宋" w:eastAsia="仿宋" w:cs="仿宋"/>
                <w:color w:val="000000"/>
                <w:sz w:val="24"/>
                <w:szCs w:val="24"/>
                <w:u w:val="none"/>
              </w:rPr>
            </w:pPr>
          </w:p>
        </w:tc>
        <w:tc>
          <w:tcPr>
            <w:tcW w:w="2322" w:type="dxa"/>
            <w:gridSpan w:val="2"/>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29" w:name="_Toc17538"/>
            <w:bookmarkStart w:id="1130" w:name="_Toc20808"/>
            <w:r>
              <w:rPr>
                <w:rFonts w:hint="eastAsia" w:ascii="仿宋" w:hAnsi="仿宋" w:eastAsia="仿宋" w:cs="仿宋"/>
                <w:color w:val="000000"/>
                <w:sz w:val="24"/>
                <w:szCs w:val="24"/>
                <w:u w:val="none"/>
              </w:rPr>
              <w:t>施工方案与技术措施</w:t>
            </w:r>
            <w:bookmarkEnd w:id="1129"/>
            <w:bookmarkEnd w:id="1130"/>
          </w:p>
        </w:tc>
        <w:tc>
          <w:tcPr>
            <w:tcW w:w="5090"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31" w:name="_Toc23104"/>
            <w:bookmarkStart w:id="1132" w:name="_Toc3531"/>
            <w:r>
              <w:rPr>
                <w:rFonts w:hint="eastAsia" w:ascii="仿宋" w:hAnsi="仿宋" w:eastAsia="仿宋" w:cs="仿宋"/>
                <w:color w:val="000000"/>
                <w:sz w:val="24"/>
                <w:szCs w:val="24"/>
                <w:u w:val="none"/>
              </w:rPr>
              <w:t>合格或不合格</w:t>
            </w:r>
            <w:bookmarkEnd w:id="1131"/>
            <w:bookmarkEnd w:id="113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exact"/>
          <w:jc w:val="center"/>
        </w:trPr>
        <w:tc>
          <w:tcPr>
            <w:tcW w:w="1482"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33" w:name="_Toc2736"/>
            <w:bookmarkStart w:id="1134" w:name="_Toc25140"/>
            <w:r>
              <w:rPr>
                <w:rFonts w:hint="eastAsia" w:ascii="仿宋" w:hAnsi="仿宋" w:eastAsia="仿宋" w:cs="仿宋"/>
                <w:color w:val="000000"/>
                <w:sz w:val="24"/>
                <w:szCs w:val="24"/>
                <w:u w:val="none"/>
              </w:rPr>
              <w:t>2.1.4（3）</w:t>
            </w:r>
            <w:bookmarkEnd w:id="1133"/>
            <w:bookmarkEnd w:id="1134"/>
          </w:p>
        </w:tc>
        <w:tc>
          <w:tcPr>
            <w:tcW w:w="872" w:type="dxa"/>
            <w:vMerge w:val="continue"/>
            <w:noWrap w:val="0"/>
            <w:vAlign w:val="center"/>
          </w:tcPr>
          <w:p>
            <w:pPr>
              <w:pStyle w:val="124"/>
              <w:spacing w:line="250" w:lineRule="exact"/>
              <w:ind w:firstLine="0" w:firstLineChars="0"/>
              <w:outlineLvl w:val="9"/>
              <w:rPr>
                <w:rFonts w:hint="eastAsia" w:ascii="仿宋" w:hAnsi="仿宋" w:eastAsia="仿宋" w:cs="仿宋"/>
                <w:color w:val="000000"/>
                <w:sz w:val="24"/>
                <w:szCs w:val="24"/>
                <w:u w:val="none"/>
              </w:rPr>
            </w:pPr>
          </w:p>
        </w:tc>
        <w:tc>
          <w:tcPr>
            <w:tcW w:w="2322" w:type="dxa"/>
            <w:gridSpan w:val="2"/>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35" w:name="_Toc13306"/>
            <w:bookmarkStart w:id="1136" w:name="_Toc16165"/>
            <w:r>
              <w:rPr>
                <w:rFonts w:hint="eastAsia" w:ascii="仿宋" w:hAnsi="仿宋" w:eastAsia="仿宋" w:cs="仿宋"/>
                <w:color w:val="000000"/>
                <w:sz w:val="24"/>
                <w:szCs w:val="24"/>
                <w:u w:val="none"/>
              </w:rPr>
              <w:t>质量管理体系与措施</w:t>
            </w:r>
            <w:bookmarkEnd w:id="1135"/>
            <w:bookmarkEnd w:id="1136"/>
          </w:p>
        </w:tc>
        <w:tc>
          <w:tcPr>
            <w:tcW w:w="5090"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37" w:name="_Toc29237"/>
            <w:bookmarkStart w:id="1138" w:name="_Toc6404"/>
            <w:r>
              <w:rPr>
                <w:rFonts w:hint="eastAsia" w:ascii="仿宋" w:hAnsi="仿宋" w:eastAsia="仿宋" w:cs="仿宋"/>
                <w:color w:val="000000"/>
                <w:sz w:val="24"/>
                <w:szCs w:val="24"/>
                <w:u w:val="none"/>
              </w:rPr>
              <w:t>合格或不合格</w:t>
            </w:r>
            <w:bookmarkEnd w:id="1137"/>
            <w:bookmarkEnd w:id="113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exact"/>
          <w:jc w:val="center"/>
        </w:trPr>
        <w:tc>
          <w:tcPr>
            <w:tcW w:w="1482"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39" w:name="_Toc2961"/>
            <w:bookmarkStart w:id="1140" w:name="_Toc16712"/>
            <w:r>
              <w:rPr>
                <w:rFonts w:hint="eastAsia" w:ascii="仿宋" w:hAnsi="仿宋" w:eastAsia="仿宋" w:cs="仿宋"/>
                <w:color w:val="000000"/>
                <w:sz w:val="24"/>
                <w:szCs w:val="24"/>
                <w:u w:val="none"/>
              </w:rPr>
              <w:t>2.1.4（4）</w:t>
            </w:r>
            <w:bookmarkEnd w:id="1139"/>
            <w:bookmarkEnd w:id="1140"/>
          </w:p>
        </w:tc>
        <w:tc>
          <w:tcPr>
            <w:tcW w:w="872" w:type="dxa"/>
            <w:vMerge w:val="continue"/>
            <w:noWrap w:val="0"/>
            <w:vAlign w:val="center"/>
          </w:tcPr>
          <w:p>
            <w:pPr>
              <w:pStyle w:val="124"/>
              <w:spacing w:line="250" w:lineRule="exact"/>
              <w:ind w:firstLine="0" w:firstLineChars="0"/>
              <w:outlineLvl w:val="9"/>
              <w:rPr>
                <w:rFonts w:hint="eastAsia" w:ascii="仿宋" w:hAnsi="仿宋" w:eastAsia="仿宋" w:cs="仿宋"/>
                <w:color w:val="000000"/>
                <w:sz w:val="24"/>
                <w:szCs w:val="24"/>
                <w:u w:val="none"/>
              </w:rPr>
            </w:pPr>
          </w:p>
        </w:tc>
        <w:tc>
          <w:tcPr>
            <w:tcW w:w="2322" w:type="dxa"/>
            <w:gridSpan w:val="2"/>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41" w:name="_Toc11583"/>
            <w:bookmarkStart w:id="1142" w:name="_Toc14152"/>
            <w:r>
              <w:rPr>
                <w:rFonts w:hint="eastAsia" w:ascii="仿宋" w:hAnsi="仿宋" w:eastAsia="仿宋" w:cs="仿宋"/>
                <w:color w:val="000000"/>
                <w:sz w:val="24"/>
                <w:szCs w:val="24"/>
                <w:u w:val="none"/>
              </w:rPr>
              <w:t>安全管理体系与措施</w:t>
            </w:r>
            <w:bookmarkEnd w:id="1141"/>
            <w:bookmarkEnd w:id="1142"/>
          </w:p>
        </w:tc>
        <w:tc>
          <w:tcPr>
            <w:tcW w:w="5090"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43" w:name="_Toc25171"/>
            <w:bookmarkStart w:id="1144" w:name="_Toc12528"/>
            <w:r>
              <w:rPr>
                <w:rFonts w:hint="eastAsia" w:ascii="仿宋" w:hAnsi="仿宋" w:eastAsia="仿宋" w:cs="仿宋"/>
                <w:color w:val="000000"/>
                <w:sz w:val="24"/>
                <w:szCs w:val="24"/>
                <w:u w:val="none"/>
              </w:rPr>
              <w:t>合格或不合格</w:t>
            </w:r>
            <w:bookmarkEnd w:id="1143"/>
            <w:bookmarkEnd w:id="114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exact"/>
          <w:jc w:val="center"/>
        </w:trPr>
        <w:tc>
          <w:tcPr>
            <w:tcW w:w="1482"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45" w:name="_Toc2336"/>
            <w:bookmarkStart w:id="1146" w:name="_Toc24829"/>
            <w:r>
              <w:rPr>
                <w:rFonts w:hint="eastAsia" w:ascii="仿宋" w:hAnsi="仿宋" w:eastAsia="仿宋" w:cs="仿宋"/>
                <w:color w:val="000000"/>
                <w:sz w:val="24"/>
                <w:szCs w:val="24"/>
                <w:u w:val="none"/>
              </w:rPr>
              <w:t>2.1.4（5）</w:t>
            </w:r>
            <w:bookmarkEnd w:id="1145"/>
            <w:bookmarkEnd w:id="1146"/>
          </w:p>
        </w:tc>
        <w:tc>
          <w:tcPr>
            <w:tcW w:w="872" w:type="dxa"/>
            <w:vMerge w:val="continue"/>
            <w:noWrap w:val="0"/>
            <w:vAlign w:val="center"/>
          </w:tcPr>
          <w:p>
            <w:pPr>
              <w:pStyle w:val="124"/>
              <w:spacing w:line="250" w:lineRule="exact"/>
              <w:ind w:firstLine="0" w:firstLineChars="0"/>
              <w:outlineLvl w:val="9"/>
              <w:rPr>
                <w:rFonts w:hint="eastAsia" w:ascii="仿宋" w:hAnsi="仿宋" w:eastAsia="仿宋" w:cs="仿宋"/>
                <w:color w:val="000000"/>
                <w:sz w:val="24"/>
                <w:szCs w:val="24"/>
                <w:u w:val="none"/>
              </w:rPr>
            </w:pPr>
          </w:p>
        </w:tc>
        <w:tc>
          <w:tcPr>
            <w:tcW w:w="2322" w:type="dxa"/>
            <w:gridSpan w:val="2"/>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47" w:name="_Toc32630"/>
            <w:bookmarkStart w:id="1148" w:name="_Toc28619"/>
            <w:r>
              <w:rPr>
                <w:rFonts w:hint="eastAsia" w:ascii="仿宋" w:hAnsi="仿宋" w:eastAsia="仿宋" w:cs="仿宋"/>
                <w:color w:val="000000"/>
                <w:sz w:val="24"/>
                <w:szCs w:val="24"/>
                <w:u w:val="none"/>
              </w:rPr>
              <w:t>环保管理体系与措施</w:t>
            </w:r>
            <w:bookmarkEnd w:id="1147"/>
            <w:bookmarkEnd w:id="1148"/>
          </w:p>
        </w:tc>
        <w:tc>
          <w:tcPr>
            <w:tcW w:w="5090"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49" w:name="_Toc25345"/>
            <w:bookmarkStart w:id="1150" w:name="_Toc18207"/>
            <w:r>
              <w:rPr>
                <w:rFonts w:hint="eastAsia" w:ascii="仿宋" w:hAnsi="仿宋" w:eastAsia="仿宋" w:cs="仿宋"/>
                <w:color w:val="000000"/>
                <w:sz w:val="24"/>
                <w:szCs w:val="24"/>
                <w:u w:val="none"/>
              </w:rPr>
              <w:t>合格或不合格</w:t>
            </w:r>
            <w:bookmarkEnd w:id="1149"/>
            <w:bookmarkEnd w:id="115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exact"/>
          <w:jc w:val="center"/>
        </w:trPr>
        <w:tc>
          <w:tcPr>
            <w:tcW w:w="1482"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51" w:name="_Toc10861"/>
            <w:bookmarkStart w:id="1152" w:name="_Toc14875"/>
            <w:r>
              <w:rPr>
                <w:rFonts w:hint="eastAsia" w:ascii="仿宋" w:hAnsi="仿宋" w:eastAsia="仿宋" w:cs="仿宋"/>
                <w:color w:val="000000"/>
                <w:sz w:val="24"/>
                <w:szCs w:val="24"/>
                <w:u w:val="none"/>
              </w:rPr>
              <w:t>2.1.4（6）</w:t>
            </w:r>
            <w:bookmarkEnd w:id="1151"/>
            <w:bookmarkEnd w:id="1152"/>
          </w:p>
        </w:tc>
        <w:tc>
          <w:tcPr>
            <w:tcW w:w="872" w:type="dxa"/>
            <w:vMerge w:val="continue"/>
            <w:noWrap w:val="0"/>
            <w:vAlign w:val="center"/>
          </w:tcPr>
          <w:p>
            <w:pPr>
              <w:pStyle w:val="124"/>
              <w:spacing w:line="250" w:lineRule="exact"/>
              <w:ind w:firstLine="0" w:firstLineChars="0"/>
              <w:outlineLvl w:val="9"/>
              <w:rPr>
                <w:rFonts w:hint="eastAsia" w:ascii="仿宋" w:hAnsi="仿宋" w:eastAsia="仿宋" w:cs="仿宋"/>
                <w:color w:val="000000"/>
                <w:sz w:val="24"/>
                <w:szCs w:val="24"/>
                <w:u w:val="none"/>
              </w:rPr>
            </w:pPr>
          </w:p>
        </w:tc>
        <w:tc>
          <w:tcPr>
            <w:tcW w:w="2322" w:type="dxa"/>
            <w:gridSpan w:val="2"/>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53" w:name="_Toc27886"/>
            <w:bookmarkStart w:id="1154" w:name="_Toc10674"/>
            <w:r>
              <w:rPr>
                <w:rFonts w:hint="eastAsia" w:ascii="仿宋" w:hAnsi="仿宋" w:eastAsia="仿宋" w:cs="仿宋"/>
                <w:color w:val="000000"/>
                <w:sz w:val="24"/>
                <w:szCs w:val="24"/>
                <w:u w:val="none"/>
              </w:rPr>
              <w:t>工程进度计划与措施</w:t>
            </w:r>
            <w:bookmarkEnd w:id="1153"/>
            <w:bookmarkEnd w:id="1154"/>
          </w:p>
        </w:tc>
        <w:tc>
          <w:tcPr>
            <w:tcW w:w="5090"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55" w:name="_Toc19961"/>
            <w:bookmarkStart w:id="1156" w:name="_Toc10058"/>
            <w:r>
              <w:rPr>
                <w:rFonts w:hint="eastAsia" w:ascii="仿宋" w:hAnsi="仿宋" w:eastAsia="仿宋" w:cs="仿宋"/>
                <w:color w:val="000000"/>
                <w:sz w:val="24"/>
                <w:szCs w:val="24"/>
                <w:u w:val="none"/>
              </w:rPr>
              <w:t>合格或不合格</w:t>
            </w:r>
            <w:bookmarkEnd w:id="1155"/>
            <w:bookmarkEnd w:id="115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exact"/>
          <w:jc w:val="center"/>
        </w:trPr>
        <w:tc>
          <w:tcPr>
            <w:tcW w:w="1482"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57" w:name="_Toc19974"/>
            <w:bookmarkStart w:id="1158" w:name="_Toc25067"/>
            <w:r>
              <w:rPr>
                <w:rFonts w:hint="eastAsia" w:ascii="仿宋" w:hAnsi="仿宋" w:eastAsia="仿宋" w:cs="仿宋"/>
                <w:color w:val="000000"/>
                <w:sz w:val="24"/>
                <w:szCs w:val="24"/>
                <w:u w:val="none"/>
              </w:rPr>
              <w:t>2.1.4（7）</w:t>
            </w:r>
            <w:bookmarkEnd w:id="1157"/>
            <w:bookmarkEnd w:id="1158"/>
          </w:p>
        </w:tc>
        <w:tc>
          <w:tcPr>
            <w:tcW w:w="872" w:type="dxa"/>
            <w:vMerge w:val="continue"/>
            <w:noWrap w:val="0"/>
            <w:vAlign w:val="center"/>
          </w:tcPr>
          <w:p>
            <w:pPr>
              <w:pStyle w:val="124"/>
              <w:spacing w:line="250" w:lineRule="exact"/>
              <w:ind w:firstLine="0" w:firstLineChars="0"/>
              <w:outlineLvl w:val="9"/>
              <w:rPr>
                <w:rFonts w:hint="eastAsia" w:ascii="仿宋" w:hAnsi="仿宋" w:eastAsia="仿宋" w:cs="仿宋"/>
                <w:color w:val="000000"/>
                <w:sz w:val="24"/>
                <w:szCs w:val="24"/>
                <w:u w:val="none"/>
              </w:rPr>
            </w:pPr>
          </w:p>
        </w:tc>
        <w:tc>
          <w:tcPr>
            <w:tcW w:w="2322" w:type="dxa"/>
            <w:gridSpan w:val="2"/>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59" w:name="_Toc1556"/>
            <w:bookmarkStart w:id="1160" w:name="_Toc22002"/>
            <w:r>
              <w:rPr>
                <w:rFonts w:hint="eastAsia" w:ascii="仿宋" w:hAnsi="仿宋" w:eastAsia="仿宋" w:cs="仿宋"/>
                <w:color w:val="000000"/>
                <w:sz w:val="24"/>
                <w:szCs w:val="24"/>
                <w:u w:val="none"/>
              </w:rPr>
              <w:t>施工总布置</w:t>
            </w:r>
            <w:bookmarkEnd w:id="1159"/>
            <w:bookmarkEnd w:id="1160"/>
          </w:p>
        </w:tc>
        <w:tc>
          <w:tcPr>
            <w:tcW w:w="5090"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61" w:name="_Toc5051"/>
            <w:bookmarkStart w:id="1162" w:name="_Toc4120"/>
            <w:r>
              <w:rPr>
                <w:rFonts w:hint="eastAsia" w:ascii="仿宋" w:hAnsi="仿宋" w:eastAsia="仿宋" w:cs="仿宋"/>
                <w:color w:val="000000"/>
                <w:sz w:val="24"/>
                <w:szCs w:val="24"/>
                <w:u w:val="none"/>
              </w:rPr>
              <w:t>合格或不合格</w:t>
            </w:r>
            <w:bookmarkEnd w:id="1161"/>
            <w:bookmarkEnd w:id="116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exact"/>
          <w:jc w:val="center"/>
        </w:trPr>
        <w:tc>
          <w:tcPr>
            <w:tcW w:w="1482"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63" w:name="_Toc20599"/>
            <w:bookmarkStart w:id="1164" w:name="_Toc30389"/>
            <w:r>
              <w:rPr>
                <w:rFonts w:hint="eastAsia" w:ascii="仿宋" w:hAnsi="仿宋" w:eastAsia="仿宋" w:cs="仿宋"/>
                <w:color w:val="000000"/>
                <w:sz w:val="24"/>
                <w:szCs w:val="24"/>
                <w:u w:val="none"/>
              </w:rPr>
              <w:t>2.1.4（8）</w:t>
            </w:r>
            <w:bookmarkEnd w:id="1163"/>
            <w:bookmarkEnd w:id="1164"/>
          </w:p>
        </w:tc>
        <w:tc>
          <w:tcPr>
            <w:tcW w:w="872" w:type="dxa"/>
            <w:vMerge w:val="continue"/>
            <w:noWrap w:val="0"/>
            <w:vAlign w:val="center"/>
          </w:tcPr>
          <w:p>
            <w:pPr>
              <w:pStyle w:val="124"/>
              <w:spacing w:line="250" w:lineRule="exact"/>
              <w:ind w:firstLine="0" w:firstLineChars="0"/>
              <w:outlineLvl w:val="9"/>
              <w:rPr>
                <w:rFonts w:hint="eastAsia" w:ascii="仿宋" w:hAnsi="仿宋" w:eastAsia="仿宋" w:cs="仿宋"/>
                <w:color w:val="000000"/>
                <w:sz w:val="24"/>
                <w:szCs w:val="24"/>
                <w:u w:val="none"/>
              </w:rPr>
            </w:pPr>
          </w:p>
        </w:tc>
        <w:tc>
          <w:tcPr>
            <w:tcW w:w="2322" w:type="dxa"/>
            <w:gridSpan w:val="2"/>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65" w:name="_Toc9044"/>
            <w:bookmarkStart w:id="1166" w:name="_Toc11496"/>
            <w:r>
              <w:rPr>
                <w:rFonts w:hint="eastAsia" w:ascii="仿宋" w:hAnsi="仿宋" w:eastAsia="仿宋" w:cs="仿宋"/>
                <w:color w:val="000000"/>
                <w:sz w:val="24"/>
                <w:szCs w:val="24"/>
                <w:u w:val="none"/>
              </w:rPr>
              <w:t>资源配备计划</w:t>
            </w:r>
            <w:bookmarkEnd w:id="1165"/>
            <w:bookmarkEnd w:id="1166"/>
          </w:p>
        </w:tc>
        <w:tc>
          <w:tcPr>
            <w:tcW w:w="5090"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67" w:name="_Toc16594"/>
            <w:bookmarkStart w:id="1168" w:name="_Toc28871"/>
            <w:r>
              <w:rPr>
                <w:rFonts w:hint="eastAsia" w:ascii="仿宋" w:hAnsi="仿宋" w:eastAsia="仿宋" w:cs="仿宋"/>
                <w:color w:val="000000"/>
                <w:sz w:val="24"/>
                <w:szCs w:val="24"/>
                <w:u w:val="none"/>
              </w:rPr>
              <w:t>合格或不合格</w:t>
            </w:r>
            <w:bookmarkEnd w:id="1167"/>
            <w:bookmarkEnd w:id="116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exact"/>
          <w:jc w:val="center"/>
        </w:trPr>
        <w:tc>
          <w:tcPr>
            <w:tcW w:w="1482" w:type="dxa"/>
            <w:noWrap w:val="0"/>
            <w:vAlign w:val="center"/>
          </w:tcPr>
          <w:p>
            <w:pPr>
              <w:pStyle w:val="124"/>
              <w:spacing w:line="250" w:lineRule="exact"/>
              <w:ind w:firstLine="0" w:firstLineChars="0"/>
              <w:outlineLvl w:val="9"/>
              <w:rPr>
                <w:rFonts w:hint="eastAsia" w:ascii="仿宋" w:hAnsi="仿宋" w:eastAsia="仿宋" w:cs="仿宋"/>
                <w:color w:val="000000"/>
                <w:sz w:val="24"/>
                <w:szCs w:val="24"/>
                <w:u w:val="none"/>
              </w:rPr>
            </w:pPr>
          </w:p>
        </w:tc>
        <w:tc>
          <w:tcPr>
            <w:tcW w:w="872" w:type="dxa"/>
            <w:vMerge w:val="continue"/>
            <w:noWrap w:val="0"/>
            <w:vAlign w:val="center"/>
          </w:tcPr>
          <w:p>
            <w:pPr>
              <w:pStyle w:val="124"/>
              <w:spacing w:line="250" w:lineRule="exact"/>
              <w:ind w:firstLine="0" w:firstLineChars="0"/>
              <w:outlineLvl w:val="9"/>
              <w:rPr>
                <w:rFonts w:hint="eastAsia" w:ascii="仿宋" w:hAnsi="仿宋" w:eastAsia="仿宋" w:cs="仿宋"/>
                <w:color w:val="000000"/>
                <w:sz w:val="24"/>
                <w:szCs w:val="24"/>
                <w:u w:val="none"/>
              </w:rPr>
            </w:pPr>
          </w:p>
        </w:tc>
        <w:tc>
          <w:tcPr>
            <w:tcW w:w="7412" w:type="dxa"/>
            <w:gridSpan w:val="3"/>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69" w:name="_Toc9681"/>
            <w:bookmarkStart w:id="1170" w:name="_Toc28781"/>
            <w:r>
              <w:rPr>
                <w:rFonts w:hint="eastAsia" w:ascii="仿宋" w:hAnsi="仿宋" w:eastAsia="仿宋" w:cs="仿宋"/>
                <w:color w:val="000000"/>
                <w:sz w:val="24"/>
                <w:szCs w:val="24"/>
                <w:u w:val="none"/>
              </w:rPr>
              <w:t>详见本章附表3-3（4）</w:t>
            </w:r>
            <w:bookmarkEnd w:id="1169"/>
            <w:bookmarkEnd w:id="117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39" w:hRule="exact"/>
          <w:jc w:val="center"/>
        </w:trPr>
        <w:tc>
          <w:tcPr>
            <w:tcW w:w="2354" w:type="dxa"/>
            <w:gridSpan w:val="2"/>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71" w:name="_Toc32594"/>
            <w:bookmarkStart w:id="1172" w:name="_Toc21417"/>
            <w:r>
              <w:rPr>
                <w:rFonts w:hint="eastAsia" w:ascii="仿宋" w:hAnsi="仿宋" w:eastAsia="仿宋" w:cs="仿宋"/>
                <w:color w:val="000000"/>
                <w:sz w:val="24"/>
                <w:szCs w:val="24"/>
                <w:u w:val="none"/>
              </w:rPr>
              <w:t>条款号</w:t>
            </w:r>
            <w:bookmarkEnd w:id="1171"/>
            <w:bookmarkEnd w:id="1172"/>
          </w:p>
        </w:tc>
        <w:tc>
          <w:tcPr>
            <w:tcW w:w="2300"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73" w:name="_Toc29918"/>
            <w:bookmarkStart w:id="1174" w:name="_Toc22848"/>
            <w:r>
              <w:rPr>
                <w:rFonts w:hint="eastAsia" w:ascii="仿宋" w:hAnsi="仿宋" w:eastAsia="仿宋" w:cs="仿宋"/>
                <w:color w:val="000000"/>
                <w:sz w:val="24"/>
                <w:szCs w:val="24"/>
                <w:u w:val="none"/>
              </w:rPr>
              <w:t>条款内容</w:t>
            </w:r>
            <w:bookmarkEnd w:id="1173"/>
            <w:bookmarkEnd w:id="1174"/>
          </w:p>
        </w:tc>
        <w:tc>
          <w:tcPr>
            <w:tcW w:w="5112" w:type="dxa"/>
            <w:gridSpan w:val="2"/>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75" w:name="_Toc22608"/>
            <w:bookmarkStart w:id="1176" w:name="_Toc7225"/>
            <w:r>
              <w:rPr>
                <w:rFonts w:hint="eastAsia" w:ascii="仿宋" w:hAnsi="仿宋" w:eastAsia="仿宋" w:cs="仿宋"/>
                <w:color w:val="000000"/>
                <w:sz w:val="24"/>
                <w:szCs w:val="24"/>
                <w:u w:val="none"/>
              </w:rPr>
              <w:t>编列内容</w:t>
            </w:r>
            <w:bookmarkEnd w:id="1175"/>
            <w:bookmarkEnd w:id="117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38" w:hRule="exact"/>
          <w:jc w:val="center"/>
        </w:trPr>
        <w:tc>
          <w:tcPr>
            <w:tcW w:w="2354" w:type="dxa"/>
            <w:gridSpan w:val="2"/>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77" w:name="_Toc552"/>
            <w:bookmarkStart w:id="1178" w:name="_Toc13317"/>
            <w:r>
              <w:rPr>
                <w:rFonts w:hint="eastAsia" w:ascii="仿宋" w:hAnsi="仿宋" w:eastAsia="仿宋" w:cs="仿宋"/>
                <w:color w:val="000000"/>
                <w:sz w:val="24"/>
                <w:szCs w:val="24"/>
                <w:u w:val="none"/>
              </w:rPr>
              <w:t>2.2.1</w:t>
            </w:r>
            <w:bookmarkEnd w:id="1177"/>
            <w:bookmarkEnd w:id="1178"/>
            <w:r>
              <w:rPr>
                <w:rFonts w:hint="eastAsia" w:ascii="仿宋" w:hAnsi="仿宋" w:eastAsia="仿宋" w:cs="仿宋"/>
                <w:color w:val="000000"/>
                <w:sz w:val="24"/>
                <w:szCs w:val="24"/>
                <w:u w:val="none"/>
              </w:rPr>
              <w:t>（1）</w:t>
            </w:r>
          </w:p>
        </w:tc>
        <w:tc>
          <w:tcPr>
            <w:tcW w:w="2300" w:type="dxa"/>
            <w:vMerge w:val="restart"/>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79" w:name="_Toc22503"/>
            <w:bookmarkStart w:id="1180" w:name="_Toc1416"/>
            <w:r>
              <w:rPr>
                <w:rFonts w:hint="eastAsia" w:ascii="仿宋" w:hAnsi="仿宋" w:eastAsia="仿宋" w:cs="仿宋"/>
                <w:color w:val="000000"/>
                <w:sz w:val="24"/>
                <w:szCs w:val="24"/>
                <w:u w:val="none"/>
              </w:rPr>
              <w:t>分值构成</w:t>
            </w:r>
            <w:bookmarkEnd w:id="1179"/>
            <w:bookmarkEnd w:id="1180"/>
          </w:p>
          <w:p>
            <w:pPr>
              <w:pStyle w:val="124"/>
              <w:spacing w:line="250" w:lineRule="exact"/>
              <w:ind w:firstLine="0" w:firstLineChars="0"/>
              <w:rPr>
                <w:rFonts w:hint="eastAsia" w:ascii="仿宋" w:hAnsi="仿宋" w:eastAsia="仿宋" w:cs="仿宋"/>
                <w:color w:val="000000"/>
                <w:sz w:val="24"/>
                <w:szCs w:val="24"/>
                <w:u w:val="none"/>
              </w:rPr>
            </w:pPr>
            <w:bookmarkStart w:id="1181" w:name="_Toc16461"/>
            <w:bookmarkStart w:id="1182" w:name="_Toc16941"/>
            <w:r>
              <w:rPr>
                <w:rFonts w:hint="eastAsia" w:ascii="仿宋" w:hAnsi="仿宋" w:eastAsia="仿宋" w:cs="仿宋"/>
                <w:color w:val="000000"/>
                <w:sz w:val="24"/>
                <w:szCs w:val="24"/>
                <w:u w:val="none"/>
              </w:rPr>
              <w:t>（总分100分，在总分得分基础上单独进行不良行为记录扣分）</w:t>
            </w:r>
            <w:bookmarkEnd w:id="1181"/>
            <w:bookmarkEnd w:id="1182"/>
          </w:p>
        </w:tc>
        <w:tc>
          <w:tcPr>
            <w:tcW w:w="5112" w:type="dxa"/>
            <w:gridSpan w:val="2"/>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83" w:name="_Toc21505"/>
            <w:bookmarkStart w:id="1184" w:name="_Toc20686"/>
            <w:r>
              <w:rPr>
                <w:rFonts w:hint="eastAsia" w:ascii="仿宋" w:hAnsi="仿宋" w:eastAsia="仿宋" w:cs="仿宋"/>
                <w:color w:val="000000"/>
                <w:sz w:val="24"/>
                <w:szCs w:val="24"/>
                <w:u w:val="none"/>
              </w:rPr>
              <w:t>信誉等其他评分因素：5～20 分</w:t>
            </w:r>
            <w:bookmarkEnd w:id="1183"/>
            <w:bookmarkEnd w:id="118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48" w:hRule="exact"/>
          <w:jc w:val="center"/>
        </w:trPr>
        <w:tc>
          <w:tcPr>
            <w:tcW w:w="2354" w:type="dxa"/>
            <w:gridSpan w:val="2"/>
            <w:noWrap w:val="0"/>
            <w:vAlign w:val="center"/>
          </w:tcPr>
          <w:p>
            <w:pPr>
              <w:pStyle w:val="124"/>
              <w:spacing w:line="250" w:lineRule="exact"/>
              <w:ind w:firstLine="0" w:firstLineChars="0"/>
              <w:rPr>
                <w:rFonts w:hint="eastAsia" w:ascii="仿宋" w:hAnsi="仿宋" w:eastAsia="仿宋" w:cs="仿宋"/>
                <w:color w:val="000000"/>
                <w:sz w:val="24"/>
                <w:szCs w:val="24"/>
                <w:u w:val="none"/>
              </w:rPr>
            </w:pPr>
            <w:r>
              <w:rPr>
                <w:rFonts w:hint="eastAsia" w:ascii="仿宋" w:hAnsi="仿宋" w:eastAsia="仿宋" w:cs="仿宋"/>
                <w:color w:val="000000"/>
                <w:sz w:val="24"/>
                <w:szCs w:val="24"/>
                <w:u w:val="none"/>
              </w:rPr>
              <w:t>2.2.1（2）</w:t>
            </w:r>
          </w:p>
        </w:tc>
        <w:tc>
          <w:tcPr>
            <w:tcW w:w="2300" w:type="dxa"/>
            <w:vMerge w:val="continue"/>
            <w:noWrap w:val="0"/>
            <w:vAlign w:val="center"/>
          </w:tcPr>
          <w:p>
            <w:pPr>
              <w:pStyle w:val="124"/>
              <w:spacing w:line="250" w:lineRule="exact"/>
              <w:ind w:firstLine="0" w:firstLineChars="0"/>
              <w:rPr>
                <w:rFonts w:hint="eastAsia" w:ascii="仿宋" w:hAnsi="仿宋" w:eastAsia="仿宋" w:cs="仿宋"/>
                <w:color w:val="000000"/>
                <w:sz w:val="24"/>
                <w:szCs w:val="24"/>
                <w:u w:val="none"/>
              </w:rPr>
            </w:pPr>
          </w:p>
        </w:tc>
        <w:tc>
          <w:tcPr>
            <w:tcW w:w="5112" w:type="dxa"/>
            <w:gridSpan w:val="2"/>
            <w:noWrap w:val="0"/>
            <w:vAlign w:val="center"/>
          </w:tcPr>
          <w:p>
            <w:pPr>
              <w:pStyle w:val="124"/>
              <w:spacing w:line="250" w:lineRule="exact"/>
              <w:ind w:firstLine="0" w:firstLineChars="0"/>
              <w:rPr>
                <w:rFonts w:hint="eastAsia" w:ascii="仿宋" w:hAnsi="仿宋" w:eastAsia="仿宋" w:cs="仿宋"/>
                <w:color w:val="000000"/>
                <w:sz w:val="24"/>
                <w:szCs w:val="24"/>
                <w:u w:val="none"/>
              </w:rPr>
            </w:pPr>
            <w:r>
              <w:rPr>
                <w:rFonts w:hint="eastAsia" w:ascii="仿宋" w:hAnsi="仿宋" w:eastAsia="仿宋" w:cs="仿宋"/>
                <w:color w:val="000000"/>
                <w:sz w:val="24"/>
                <w:szCs w:val="24"/>
                <w:u w:val="none"/>
              </w:rPr>
              <w:t>投标报价： 80～95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48" w:hRule="exact"/>
          <w:jc w:val="center"/>
        </w:trPr>
        <w:tc>
          <w:tcPr>
            <w:tcW w:w="2354" w:type="dxa"/>
            <w:gridSpan w:val="2"/>
            <w:noWrap w:val="0"/>
            <w:vAlign w:val="center"/>
          </w:tcPr>
          <w:p>
            <w:pPr>
              <w:pStyle w:val="124"/>
              <w:spacing w:line="250" w:lineRule="exact"/>
              <w:ind w:firstLine="0" w:firstLineChars="0"/>
              <w:rPr>
                <w:rFonts w:hint="eastAsia" w:ascii="仿宋" w:hAnsi="仿宋" w:eastAsia="仿宋" w:cs="仿宋"/>
                <w:color w:val="000000"/>
                <w:sz w:val="24"/>
                <w:szCs w:val="24"/>
                <w:u w:val="none"/>
              </w:rPr>
            </w:pPr>
            <w:r>
              <w:rPr>
                <w:rFonts w:hint="eastAsia" w:ascii="仿宋" w:hAnsi="仿宋" w:eastAsia="仿宋" w:cs="仿宋"/>
                <w:color w:val="000000"/>
                <w:sz w:val="24"/>
                <w:szCs w:val="24"/>
                <w:u w:val="none"/>
              </w:rPr>
              <w:t>2.2.1（3）</w:t>
            </w:r>
          </w:p>
        </w:tc>
        <w:tc>
          <w:tcPr>
            <w:tcW w:w="2300" w:type="dxa"/>
            <w:vMerge w:val="continue"/>
            <w:noWrap w:val="0"/>
            <w:vAlign w:val="center"/>
          </w:tcPr>
          <w:p>
            <w:pPr>
              <w:pStyle w:val="124"/>
              <w:spacing w:line="250" w:lineRule="exact"/>
              <w:ind w:firstLine="0" w:firstLineChars="0"/>
              <w:rPr>
                <w:rFonts w:hint="eastAsia" w:ascii="仿宋" w:hAnsi="仿宋" w:eastAsia="仿宋" w:cs="仿宋"/>
                <w:color w:val="000000"/>
                <w:sz w:val="24"/>
                <w:szCs w:val="24"/>
                <w:u w:val="none"/>
              </w:rPr>
            </w:pPr>
          </w:p>
        </w:tc>
        <w:tc>
          <w:tcPr>
            <w:tcW w:w="5112" w:type="dxa"/>
            <w:gridSpan w:val="2"/>
            <w:noWrap w:val="0"/>
            <w:vAlign w:val="center"/>
          </w:tcPr>
          <w:p>
            <w:pPr>
              <w:pStyle w:val="124"/>
              <w:spacing w:line="250" w:lineRule="exact"/>
              <w:ind w:firstLine="0" w:firstLineChars="0"/>
              <w:rPr>
                <w:rFonts w:hint="eastAsia" w:ascii="仿宋" w:hAnsi="仿宋" w:eastAsia="仿宋" w:cs="仿宋"/>
                <w:color w:val="000000"/>
                <w:sz w:val="24"/>
                <w:szCs w:val="24"/>
                <w:u w:val="none"/>
              </w:rPr>
            </w:pPr>
            <w:r>
              <w:rPr>
                <w:rFonts w:hint="eastAsia" w:ascii="仿宋" w:hAnsi="仿宋" w:eastAsia="仿宋" w:cs="仿宋"/>
                <w:color w:val="000000"/>
                <w:sz w:val="24"/>
                <w:szCs w:val="24"/>
                <w:u w:val="none"/>
              </w:rPr>
              <w:t>不良行为记录扣分：每项扣1分或0.25分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35" w:hRule="atLeast"/>
          <w:jc w:val="center"/>
        </w:trPr>
        <w:tc>
          <w:tcPr>
            <w:tcW w:w="2354" w:type="dxa"/>
            <w:gridSpan w:val="2"/>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85" w:name="_Toc13917"/>
            <w:bookmarkStart w:id="1186" w:name="_Toc23295"/>
            <w:r>
              <w:rPr>
                <w:rFonts w:hint="eastAsia" w:ascii="仿宋" w:hAnsi="仿宋" w:eastAsia="仿宋" w:cs="仿宋"/>
                <w:color w:val="000000"/>
                <w:sz w:val="24"/>
                <w:szCs w:val="24"/>
                <w:u w:val="none"/>
              </w:rPr>
              <w:t>2.2.2</w:t>
            </w:r>
            <w:bookmarkEnd w:id="1185"/>
            <w:bookmarkEnd w:id="1186"/>
          </w:p>
        </w:tc>
        <w:tc>
          <w:tcPr>
            <w:tcW w:w="2300"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87" w:name="_Toc18835"/>
            <w:bookmarkStart w:id="1188" w:name="_Toc26956"/>
            <w:r>
              <w:rPr>
                <w:rFonts w:hint="eastAsia" w:ascii="仿宋" w:hAnsi="仿宋" w:eastAsia="仿宋" w:cs="仿宋"/>
                <w:color w:val="000000"/>
                <w:sz w:val="24"/>
                <w:szCs w:val="24"/>
                <w:u w:val="none"/>
              </w:rPr>
              <w:t>评标基准价计算方法</w:t>
            </w:r>
            <w:bookmarkEnd w:id="1187"/>
            <w:bookmarkEnd w:id="1188"/>
          </w:p>
        </w:tc>
        <w:tc>
          <w:tcPr>
            <w:tcW w:w="5112" w:type="dxa"/>
            <w:gridSpan w:val="2"/>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89" w:name="_Toc14491"/>
            <w:bookmarkStart w:id="1190" w:name="_Toc32604"/>
            <w:r>
              <w:rPr>
                <w:rFonts w:hint="eastAsia" w:ascii="仿宋" w:hAnsi="仿宋" w:eastAsia="仿宋" w:cs="仿宋"/>
                <w:color w:val="000000"/>
                <w:sz w:val="24"/>
                <w:szCs w:val="24"/>
                <w:u w:val="none"/>
              </w:rPr>
              <w:t>详见本章正文“2.2.2 评标基准价计算”。</w:t>
            </w:r>
            <w:bookmarkEnd w:id="1189"/>
            <w:bookmarkEnd w:id="119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39" w:hRule="exact"/>
          <w:jc w:val="center"/>
        </w:trPr>
        <w:tc>
          <w:tcPr>
            <w:tcW w:w="2354" w:type="dxa"/>
            <w:gridSpan w:val="2"/>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91" w:name="_Toc4618"/>
            <w:bookmarkStart w:id="1192" w:name="_Toc4260"/>
            <w:r>
              <w:rPr>
                <w:rFonts w:hint="eastAsia" w:ascii="仿宋" w:hAnsi="仿宋" w:eastAsia="仿宋" w:cs="仿宋"/>
                <w:color w:val="000000"/>
                <w:sz w:val="24"/>
                <w:szCs w:val="24"/>
                <w:u w:val="none"/>
              </w:rPr>
              <w:t>2.2.3</w:t>
            </w:r>
            <w:bookmarkEnd w:id="1191"/>
            <w:bookmarkEnd w:id="1192"/>
          </w:p>
        </w:tc>
        <w:tc>
          <w:tcPr>
            <w:tcW w:w="2300"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93" w:name="_Toc24400"/>
            <w:bookmarkStart w:id="1194" w:name="_Toc28826"/>
            <w:r>
              <w:rPr>
                <w:rFonts w:hint="eastAsia" w:ascii="仿宋" w:hAnsi="仿宋" w:eastAsia="仿宋" w:cs="仿宋"/>
                <w:color w:val="000000"/>
                <w:sz w:val="24"/>
                <w:szCs w:val="24"/>
                <w:u w:val="none"/>
              </w:rPr>
              <w:t>投标报价的偏差率</w:t>
            </w:r>
            <w:bookmarkEnd w:id="1193"/>
            <w:bookmarkEnd w:id="1194"/>
          </w:p>
          <w:p>
            <w:pPr>
              <w:pStyle w:val="124"/>
              <w:spacing w:line="250" w:lineRule="exact"/>
              <w:ind w:firstLine="0" w:firstLineChars="0"/>
              <w:rPr>
                <w:rFonts w:hint="eastAsia" w:ascii="仿宋" w:hAnsi="仿宋" w:eastAsia="仿宋" w:cs="仿宋"/>
                <w:color w:val="000000"/>
                <w:sz w:val="24"/>
                <w:szCs w:val="24"/>
                <w:u w:val="none"/>
              </w:rPr>
            </w:pPr>
            <w:bookmarkStart w:id="1195" w:name="_Toc4481"/>
            <w:bookmarkStart w:id="1196" w:name="_Toc23663"/>
            <w:r>
              <w:rPr>
                <w:rFonts w:hint="eastAsia" w:ascii="仿宋" w:hAnsi="仿宋" w:eastAsia="仿宋" w:cs="仿宋"/>
                <w:color w:val="000000"/>
                <w:sz w:val="24"/>
                <w:szCs w:val="24"/>
                <w:u w:val="none"/>
              </w:rPr>
              <w:t>计算公式</w:t>
            </w:r>
            <w:bookmarkEnd w:id="1195"/>
            <w:bookmarkEnd w:id="1196"/>
          </w:p>
        </w:tc>
        <w:tc>
          <w:tcPr>
            <w:tcW w:w="5112" w:type="dxa"/>
            <w:gridSpan w:val="2"/>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97" w:name="_Toc16758"/>
            <w:bookmarkStart w:id="1198" w:name="_Toc6043"/>
            <w:r>
              <w:rPr>
                <w:rFonts w:hint="eastAsia" w:ascii="仿宋" w:hAnsi="仿宋" w:eastAsia="仿宋" w:cs="仿宋"/>
                <w:color w:val="000000"/>
                <w:sz w:val="24"/>
                <w:szCs w:val="24"/>
                <w:u w:val="none"/>
              </w:rPr>
              <w:t>详见本章正文“2.2.3 投标报价的偏差率计算”。</w:t>
            </w:r>
            <w:bookmarkEnd w:id="1197"/>
            <w:bookmarkEnd w:id="119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25" w:hRule="exact"/>
          <w:jc w:val="center"/>
        </w:trPr>
        <w:tc>
          <w:tcPr>
            <w:tcW w:w="2354" w:type="dxa"/>
            <w:gridSpan w:val="2"/>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199" w:name="_Toc14547"/>
            <w:bookmarkStart w:id="1200" w:name="_Toc13357"/>
            <w:r>
              <w:rPr>
                <w:rFonts w:hint="eastAsia" w:ascii="仿宋" w:hAnsi="仿宋" w:eastAsia="仿宋" w:cs="仿宋"/>
                <w:color w:val="000000"/>
                <w:sz w:val="24"/>
                <w:szCs w:val="24"/>
                <w:u w:val="none"/>
              </w:rPr>
              <w:t>2.2.4（1）</w:t>
            </w:r>
            <w:bookmarkEnd w:id="1199"/>
            <w:bookmarkEnd w:id="1200"/>
          </w:p>
        </w:tc>
        <w:tc>
          <w:tcPr>
            <w:tcW w:w="2300"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201" w:name="_Toc30538"/>
            <w:bookmarkStart w:id="1202" w:name="_Toc10539"/>
            <w:r>
              <w:rPr>
                <w:rFonts w:hint="eastAsia" w:ascii="仿宋" w:hAnsi="仿宋" w:eastAsia="仿宋" w:cs="仿宋"/>
                <w:color w:val="000000"/>
                <w:sz w:val="24"/>
                <w:szCs w:val="24"/>
                <w:u w:val="none"/>
              </w:rPr>
              <w:t>项目管理机构评分标准</w:t>
            </w:r>
            <w:bookmarkEnd w:id="1201"/>
            <w:bookmarkEnd w:id="1202"/>
          </w:p>
        </w:tc>
        <w:tc>
          <w:tcPr>
            <w:tcW w:w="5112" w:type="dxa"/>
            <w:gridSpan w:val="2"/>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203" w:name="_Toc24439"/>
            <w:bookmarkStart w:id="1204" w:name="_Toc15732"/>
            <w:r>
              <w:rPr>
                <w:rFonts w:hint="eastAsia" w:ascii="仿宋" w:hAnsi="仿宋" w:eastAsia="仿宋" w:cs="仿宋"/>
                <w:color w:val="000000"/>
                <w:sz w:val="24"/>
                <w:szCs w:val="24"/>
                <w:u w:val="none"/>
              </w:rPr>
              <w:t>详见本章附表3-7（1）</w:t>
            </w:r>
            <w:bookmarkEnd w:id="1203"/>
            <w:bookmarkEnd w:id="120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exact"/>
          <w:jc w:val="center"/>
        </w:trPr>
        <w:tc>
          <w:tcPr>
            <w:tcW w:w="2354" w:type="dxa"/>
            <w:gridSpan w:val="2"/>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205" w:name="_Toc13640"/>
            <w:bookmarkStart w:id="1206" w:name="_Toc10147"/>
            <w:r>
              <w:rPr>
                <w:rFonts w:hint="eastAsia" w:ascii="仿宋" w:hAnsi="仿宋" w:eastAsia="仿宋" w:cs="仿宋"/>
                <w:color w:val="000000"/>
                <w:sz w:val="24"/>
                <w:szCs w:val="24"/>
                <w:u w:val="none"/>
              </w:rPr>
              <w:t>2.2.4（2）</w:t>
            </w:r>
            <w:bookmarkEnd w:id="1205"/>
            <w:bookmarkEnd w:id="1206"/>
          </w:p>
        </w:tc>
        <w:tc>
          <w:tcPr>
            <w:tcW w:w="2300"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207" w:name="_Toc23977"/>
            <w:bookmarkStart w:id="1208" w:name="_Toc12673"/>
            <w:r>
              <w:rPr>
                <w:rFonts w:hint="eastAsia" w:ascii="仿宋" w:hAnsi="仿宋" w:eastAsia="仿宋" w:cs="仿宋"/>
                <w:color w:val="000000"/>
                <w:sz w:val="24"/>
                <w:szCs w:val="24"/>
                <w:u w:val="none"/>
              </w:rPr>
              <w:t>信誉等其他评分标准</w:t>
            </w:r>
            <w:bookmarkEnd w:id="1207"/>
            <w:bookmarkEnd w:id="1208"/>
          </w:p>
        </w:tc>
        <w:tc>
          <w:tcPr>
            <w:tcW w:w="5112" w:type="dxa"/>
            <w:gridSpan w:val="2"/>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209" w:name="_Toc27453"/>
            <w:bookmarkStart w:id="1210" w:name="_Toc32601"/>
            <w:r>
              <w:rPr>
                <w:rFonts w:hint="eastAsia" w:ascii="仿宋" w:hAnsi="仿宋" w:eastAsia="仿宋" w:cs="仿宋"/>
                <w:color w:val="000000"/>
                <w:sz w:val="24"/>
                <w:szCs w:val="24"/>
                <w:u w:val="none"/>
              </w:rPr>
              <w:t>详见本章附表3-7（2）</w:t>
            </w:r>
            <w:bookmarkEnd w:id="1209"/>
            <w:bookmarkEnd w:id="121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exact"/>
          <w:jc w:val="center"/>
        </w:trPr>
        <w:tc>
          <w:tcPr>
            <w:tcW w:w="2354" w:type="dxa"/>
            <w:gridSpan w:val="2"/>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211" w:name="_Toc17765"/>
            <w:bookmarkStart w:id="1212" w:name="_Toc25038"/>
            <w:r>
              <w:rPr>
                <w:rFonts w:hint="eastAsia" w:ascii="仿宋" w:hAnsi="仿宋" w:eastAsia="仿宋" w:cs="仿宋"/>
                <w:color w:val="000000"/>
                <w:sz w:val="24"/>
                <w:szCs w:val="24"/>
                <w:u w:val="none"/>
              </w:rPr>
              <w:t>2.2.4（3）</w:t>
            </w:r>
            <w:bookmarkEnd w:id="1211"/>
            <w:bookmarkEnd w:id="1212"/>
          </w:p>
        </w:tc>
        <w:tc>
          <w:tcPr>
            <w:tcW w:w="2300"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213" w:name="_Toc17890"/>
            <w:bookmarkStart w:id="1214" w:name="_Toc20148"/>
            <w:r>
              <w:rPr>
                <w:rFonts w:hint="eastAsia" w:ascii="仿宋" w:hAnsi="仿宋" w:eastAsia="仿宋" w:cs="仿宋"/>
                <w:color w:val="000000"/>
                <w:sz w:val="24"/>
                <w:szCs w:val="24"/>
                <w:u w:val="none"/>
              </w:rPr>
              <w:t>投标报价评分标准</w:t>
            </w:r>
            <w:bookmarkEnd w:id="1213"/>
            <w:bookmarkEnd w:id="1214"/>
          </w:p>
        </w:tc>
        <w:tc>
          <w:tcPr>
            <w:tcW w:w="5112" w:type="dxa"/>
            <w:gridSpan w:val="2"/>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215" w:name="_Toc7044"/>
            <w:bookmarkStart w:id="1216" w:name="_Toc8675"/>
            <w:r>
              <w:rPr>
                <w:rFonts w:hint="eastAsia" w:ascii="仿宋" w:hAnsi="仿宋" w:eastAsia="仿宋" w:cs="仿宋"/>
                <w:color w:val="000000"/>
                <w:sz w:val="24"/>
                <w:szCs w:val="24"/>
                <w:u w:val="none"/>
              </w:rPr>
              <w:t>详见本章附表3-7（3）</w:t>
            </w:r>
            <w:bookmarkEnd w:id="1215"/>
            <w:bookmarkEnd w:id="121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409" w:hRule="atLeast"/>
          <w:jc w:val="center"/>
        </w:trPr>
        <w:tc>
          <w:tcPr>
            <w:tcW w:w="2354" w:type="dxa"/>
            <w:gridSpan w:val="2"/>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217" w:name="_Toc32269"/>
            <w:bookmarkStart w:id="1218" w:name="_Toc5813"/>
            <w:r>
              <w:rPr>
                <w:rFonts w:hint="eastAsia" w:ascii="仿宋" w:hAnsi="仿宋" w:eastAsia="仿宋" w:cs="仿宋"/>
                <w:color w:val="000000"/>
                <w:sz w:val="24"/>
                <w:szCs w:val="24"/>
                <w:u w:val="none"/>
              </w:rPr>
              <w:t>2.2.4（4）</w:t>
            </w:r>
            <w:bookmarkEnd w:id="1217"/>
            <w:bookmarkEnd w:id="1218"/>
          </w:p>
        </w:tc>
        <w:tc>
          <w:tcPr>
            <w:tcW w:w="2300"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219" w:name="_Toc31250"/>
            <w:bookmarkStart w:id="1220" w:name="_Toc16168"/>
            <w:r>
              <w:rPr>
                <w:rFonts w:hint="eastAsia" w:ascii="仿宋" w:hAnsi="仿宋" w:eastAsia="仿宋" w:cs="仿宋"/>
                <w:color w:val="000000"/>
                <w:sz w:val="24"/>
                <w:szCs w:val="24"/>
                <w:u w:val="none"/>
              </w:rPr>
              <w:t>不良行为记录</w:t>
            </w:r>
            <w:bookmarkEnd w:id="1219"/>
            <w:bookmarkEnd w:id="1220"/>
            <w:r>
              <w:rPr>
                <w:rFonts w:hint="eastAsia" w:ascii="仿宋" w:hAnsi="仿宋" w:eastAsia="仿宋" w:cs="仿宋"/>
                <w:color w:val="000000"/>
                <w:sz w:val="24"/>
                <w:szCs w:val="24"/>
                <w:u w:val="none"/>
              </w:rPr>
              <w:t>扣分</w:t>
            </w:r>
          </w:p>
        </w:tc>
        <w:tc>
          <w:tcPr>
            <w:tcW w:w="5112" w:type="dxa"/>
            <w:gridSpan w:val="2"/>
            <w:noWrap w:val="0"/>
            <w:vAlign w:val="center"/>
          </w:tcPr>
          <w:p>
            <w:pPr>
              <w:pStyle w:val="124"/>
              <w:spacing w:line="250" w:lineRule="exact"/>
              <w:ind w:firstLine="0" w:firstLineChars="0"/>
              <w:rPr>
                <w:rFonts w:hint="eastAsia" w:ascii="仿宋" w:hAnsi="仿宋" w:eastAsia="仿宋" w:cs="仿宋"/>
                <w:color w:val="000000"/>
                <w:sz w:val="24"/>
                <w:szCs w:val="24"/>
                <w:u w:val="none"/>
              </w:rPr>
            </w:pPr>
            <w:r>
              <w:rPr>
                <w:rFonts w:hint="eastAsia" w:ascii="汉仪书宋二S" w:hAnsi="汉仪书宋二S" w:eastAsia="汉仪书宋二S" w:cs="汉仪书宋二S"/>
                <w:color w:val="000000"/>
                <w:sz w:val="24"/>
                <w:szCs w:val="24"/>
                <w:u w:val="none"/>
              </w:rPr>
              <w:t>①</w:t>
            </w:r>
            <w:r>
              <w:rPr>
                <w:rFonts w:hint="eastAsia" w:ascii="仿宋" w:hAnsi="仿宋" w:eastAsia="仿宋" w:cs="仿宋"/>
                <w:color w:val="000000"/>
                <w:sz w:val="24"/>
                <w:szCs w:val="24"/>
                <w:u w:val="none"/>
              </w:rPr>
              <w:t>湖南省农业农村厅、市州级农业农村局正在处罚或在公告期内的不良行为记录，每项扣1分；县市区级农业农村部门正在处罚或在公告期内的不良行为记录，每项扣0.25分；</w:t>
            </w:r>
          </w:p>
          <w:p>
            <w:pPr>
              <w:pStyle w:val="124"/>
              <w:spacing w:line="250" w:lineRule="exact"/>
              <w:ind w:firstLine="0" w:firstLineChars="0"/>
              <w:rPr>
                <w:rFonts w:hint="eastAsia" w:ascii="仿宋" w:hAnsi="仿宋" w:eastAsia="仿宋" w:cs="仿宋"/>
                <w:color w:val="000000"/>
                <w:sz w:val="24"/>
                <w:szCs w:val="24"/>
                <w:u w:val="none"/>
              </w:rPr>
            </w:pPr>
            <w:r>
              <w:rPr>
                <w:rFonts w:hint="eastAsia" w:ascii="汉仪书宋二S" w:hAnsi="汉仪书宋二S" w:eastAsia="汉仪书宋二S" w:cs="汉仪书宋二S"/>
                <w:color w:val="000000"/>
                <w:sz w:val="24"/>
                <w:szCs w:val="24"/>
                <w:u w:val="none"/>
              </w:rPr>
              <w:t>②</w:t>
            </w:r>
            <w:r>
              <w:rPr>
                <w:rFonts w:hint="eastAsia" w:ascii="仿宋" w:hAnsi="仿宋" w:eastAsia="仿宋" w:cs="仿宋"/>
                <w:color w:val="000000"/>
                <w:sz w:val="24"/>
                <w:szCs w:val="24"/>
                <w:u w:val="none"/>
              </w:rPr>
              <w:t>从事建设工程项目被湖南省相关行政主管部门正在处罚或在公告期内的不良行为记录，每项扣0.25分；</w:t>
            </w:r>
          </w:p>
          <w:p>
            <w:pPr>
              <w:pStyle w:val="124"/>
              <w:spacing w:line="250" w:lineRule="exact"/>
              <w:ind w:firstLine="0" w:firstLineChars="0"/>
              <w:rPr>
                <w:rFonts w:hint="eastAsia" w:ascii="仿宋" w:hAnsi="仿宋" w:eastAsia="仿宋" w:cs="仿宋"/>
                <w:color w:val="000000"/>
                <w:sz w:val="24"/>
                <w:szCs w:val="24"/>
                <w:u w:val="none"/>
              </w:rPr>
            </w:pPr>
            <w:r>
              <w:rPr>
                <w:rFonts w:hint="eastAsia" w:ascii="汉仪书宋二S" w:hAnsi="汉仪书宋二S" w:eastAsia="汉仪书宋二S" w:cs="汉仪书宋二S"/>
                <w:color w:val="000000"/>
                <w:sz w:val="24"/>
                <w:szCs w:val="24"/>
                <w:u w:val="none"/>
              </w:rPr>
              <w:t>③</w:t>
            </w:r>
            <w:r>
              <w:rPr>
                <w:rFonts w:hint="eastAsia" w:ascii="仿宋" w:hAnsi="仿宋" w:eastAsia="仿宋" w:cs="仿宋"/>
                <w:color w:val="000000"/>
                <w:sz w:val="24"/>
                <w:szCs w:val="24"/>
                <w:u w:val="none"/>
              </w:rPr>
              <w:t>处罚或不良行为记录累计扣分不超过投标人信誉分值。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85" w:hRule="exact"/>
          <w:jc w:val="center"/>
        </w:trPr>
        <w:tc>
          <w:tcPr>
            <w:tcW w:w="2354" w:type="dxa"/>
            <w:gridSpan w:val="2"/>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221" w:name="_Toc5806"/>
            <w:bookmarkStart w:id="1222" w:name="_Toc21023"/>
            <w:r>
              <w:rPr>
                <w:rFonts w:hint="eastAsia" w:ascii="仿宋" w:hAnsi="仿宋" w:eastAsia="仿宋" w:cs="仿宋"/>
                <w:color w:val="000000"/>
                <w:sz w:val="24"/>
                <w:szCs w:val="24"/>
                <w:u w:val="none"/>
              </w:rPr>
              <w:t>3.4.1</w:t>
            </w:r>
            <w:bookmarkEnd w:id="1221"/>
            <w:bookmarkEnd w:id="1222"/>
            <w:r>
              <w:rPr>
                <w:rFonts w:hint="eastAsia" w:ascii="仿宋" w:hAnsi="仿宋" w:eastAsia="仿宋" w:cs="仿宋"/>
                <w:color w:val="000000"/>
                <w:sz w:val="24"/>
                <w:szCs w:val="24"/>
                <w:u w:val="none"/>
              </w:rPr>
              <w:t xml:space="preserve"> </w:t>
            </w:r>
          </w:p>
        </w:tc>
        <w:tc>
          <w:tcPr>
            <w:tcW w:w="2300" w:type="dxa"/>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223" w:name="_Toc7093"/>
            <w:bookmarkStart w:id="1224" w:name="_Toc3435"/>
            <w:r>
              <w:rPr>
                <w:rFonts w:hint="eastAsia" w:ascii="仿宋" w:hAnsi="仿宋" w:eastAsia="仿宋" w:cs="仿宋"/>
                <w:color w:val="000000"/>
                <w:sz w:val="24"/>
                <w:szCs w:val="24"/>
                <w:u w:val="none"/>
              </w:rPr>
              <w:t>投标人最终得分的计算方法</w:t>
            </w:r>
            <w:bookmarkEnd w:id="1223"/>
            <w:bookmarkEnd w:id="1224"/>
          </w:p>
        </w:tc>
        <w:tc>
          <w:tcPr>
            <w:tcW w:w="5112" w:type="dxa"/>
            <w:gridSpan w:val="2"/>
            <w:noWrap w:val="0"/>
            <w:vAlign w:val="center"/>
          </w:tcPr>
          <w:p>
            <w:pPr>
              <w:pStyle w:val="124"/>
              <w:spacing w:line="250" w:lineRule="exact"/>
              <w:ind w:firstLine="0" w:firstLineChars="0"/>
              <w:rPr>
                <w:rFonts w:hint="eastAsia" w:ascii="仿宋" w:hAnsi="仿宋" w:eastAsia="仿宋" w:cs="仿宋"/>
                <w:color w:val="000000"/>
                <w:sz w:val="24"/>
                <w:szCs w:val="24"/>
                <w:u w:val="none"/>
              </w:rPr>
            </w:pPr>
            <w:bookmarkStart w:id="1225" w:name="_Toc7641"/>
            <w:bookmarkStart w:id="1226" w:name="_Toc469"/>
            <w:r>
              <w:rPr>
                <w:rFonts w:hint="eastAsia" w:ascii="仿宋" w:hAnsi="仿宋" w:eastAsia="仿宋" w:cs="仿宋"/>
                <w:color w:val="000000"/>
                <w:sz w:val="24"/>
                <w:szCs w:val="24"/>
                <w:u w:val="none"/>
              </w:rPr>
              <w:t>投标人最终得分为信誉等其他评分因素、投标报价和不良行为扣分项3个方面评价得分之和。</w:t>
            </w:r>
            <w:bookmarkEnd w:id="1225"/>
            <w:bookmarkEnd w:id="1226"/>
          </w:p>
        </w:tc>
      </w:tr>
    </w:tbl>
    <w:p>
      <w:pPr>
        <w:pStyle w:val="124"/>
        <w:spacing w:line="340" w:lineRule="exact"/>
        <w:ind w:firstLine="0" w:firstLineChars="0"/>
        <w:outlineLvl w:val="9"/>
        <w:rPr>
          <w:rFonts w:hint="eastAsia" w:ascii="仿宋" w:hAnsi="仿宋" w:eastAsia="仿宋" w:cs="仿宋"/>
          <w:color w:val="000000"/>
          <w:sz w:val="21"/>
          <w:szCs w:val="21"/>
          <w:u w:val="none"/>
        </w:rPr>
      </w:pPr>
      <w:bookmarkStart w:id="1227" w:name="_Toc19218"/>
      <w:bookmarkStart w:id="1228" w:name="_Toc16508"/>
      <w:r>
        <w:rPr>
          <w:rFonts w:hint="eastAsia" w:ascii="仿宋" w:hAnsi="仿宋" w:eastAsia="仿宋" w:cs="仿宋"/>
          <w:color w:val="000000"/>
          <w:sz w:val="21"/>
          <w:szCs w:val="21"/>
          <w:u w:val="none"/>
        </w:rPr>
        <w:t>备注：1.相关专业最低资质等级单位承担的工程，类似工程业绩不作为投标人资格审查条件。</w:t>
      </w:r>
      <w:bookmarkEnd w:id="1227"/>
      <w:bookmarkEnd w:id="1228"/>
    </w:p>
    <w:p>
      <w:pPr>
        <w:pStyle w:val="124"/>
        <w:spacing w:line="340" w:lineRule="exact"/>
        <w:ind w:firstLine="630"/>
        <w:outlineLvl w:val="9"/>
        <w:rPr>
          <w:rFonts w:hint="eastAsia" w:ascii="仿宋" w:hAnsi="仿宋" w:eastAsia="仿宋" w:cs="仿宋"/>
          <w:color w:val="000000"/>
          <w:sz w:val="21"/>
          <w:szCs w:val="21"/>
          <w:u w:val="none"/>
        </w:rPr>
      </w:pPr>
      <w:bookmarkStart w:id="1229" w:name="_Toc17503"/>
      <w:bookmarkStart w:id="1230" w:name="_Toc12942"/>
      <w:r>
        <w:rPr>
          <w:rFonts w:hint="eastAsia" w:ascii="仿宋" w:hAnsi="仿宋" w:eastAsia="仿宋" w:cs="仿宋"/>
          <w:color w:val="000000"/>
          <w:sz w:val="21"/>
          <w:szCs w:val="21"/>
          <w:u w:val="none"/>
        </w:rPr>
        <w:t>2.类似工程业绩见投标人须知前附表第1.4.1项、第10.1款的规定和投标人须知第3.5.3项的要求。</w:t>
      </w:r>
      <w:bookmarkEnd w:id="1229"/>
      <w:bookmarkEnd w:id="1230"/>
    </w:p>
    <w:p>
      <w:pPr>
        <w:pStyle w:val="124"/>
        <w:spacing w:line="340" w:lineRule="exact"/>
        <w:ind w:firstLine="630"/>
        <w:outlineLvl w:val="9"/>
        <w:rPr>
          <w:rFonts w:hint="eastAsia" w:ascii="仿宋" w:hAnsi="仿宋" w:eastAsia="仿宋" w:cs="仿宋"/>
          <w:color w:val="000000"/>
          <w:sz w:val="21"/>
          <w:szCs w:val="21"/>
          <w:u w:val="none"/>
        </w:rPr>
      </w:pPr>
      <w:r>
        <w:rPr>
          <w:rFonts w:hint="eastAsia" w:ascii="仿宋" w:hAnsi="仿宋" w:eastAsia="仿宋" w:cs="仿宋"/>
          <w:color w:val="000000"/>
          <w:sz w:val="21"/>
          <w:szCs w:val="21"/>
          <w:u w:val="none"/>
        </w:rPr>
        <w:t>3.不良行为记录：住建部门以“全国建筑市场监管公共服务平台”或“湖南省智慧住建云”发布的《湖南省建筑市场责任主体不良行为记录》为准；水利部门以“水利部水利建设市场监管平台”或“湖南省水利建设市场综合监管系统”公示的不良行为为准；其他不良行为记录以相关行政主管部门文件为准。</w:t>
      </w:r>
    </w:p>
    <w:p>
      <w:pPr>
        <w:pStyle w:val="124"/>
        <w:ind w:firstLine="630"/>
        <w:outlineLvl w:val="9"/>
        <w:rPr>
          <w:rFonts w:hint="eastAsia" w:ascii="仿宋" w:hAnsi="仿宋" w:eastAsia="仿宋" w:cs="仿宋"/>
          <w:color w:val="000000"/>
          <w:sz w:val="21"/>
          <w:szCs w:val="21"/>
          <w:u w:val="none"/>
        </w:rPr>
      </w:pPr>
    </w:p>
    <w:p>
      <w:pPr>
        <w:pStyle w:val="124"/>
        <w:ind w:firstLine="630"/>
        <w:outlineLvl w:val="9"/>
        <w:rPr>
          <w:rFonts w:hint="eastAsia" w:ascii="仿宋" w:hAnsi="仿宋" w:eastAsia="仿宋" w:cs="仿宋"/>
          <w:color w:val="000000"/>
          <w:sz w:val="21"/>
          <w:szCs w:val="21"/>
          <w:u w:val="none"/>
        </w:rPr>
      </w:pPr>
    </w:p>
    <w:p>
      <w:pPr>
        <w:rPr>
          <w:rFonts w:hint="eastAsia" w:ascii="仿宋" w:hAnsi="仿宋" w:eastAsia="仿宋" w:cs="仿宋"/>
          <w:color w:val="000000"/>
          <w:szCs w:val="21"/>
        </w:rPr>
      </w:pPr>
    </w:p>
    <w:p>
      <w:pPr>
        <w:pStyle w:val="124"/>
        <w:ind w:firstLine="630"/>
        <w:outlineLvl w:val="2"/>
        <w:rPr>
          <w:rFonts w:hint="eastAsia" w:ascii="仿宋" w:hAnsi="仿宋" w:eastAsia="仿宋" w:cs="仿宋"/>
          <w:color w:val="000000"/>
          <w:sz w:val="24"/>
          <w:szCs w:val="24"/>
          <w:u w:val="none"/>
        </w:rPr>
      </w:pPr>
      <w:r>
        <w:rPr>
          <w:rFonts w:hint="eastAsia" w:ascii="仿宋" w:hAnsi="仿宋" w:eastAsia="仿宋" w:cs="仿宋"/>
          <w:color w:val="000000"/>
          <w:sz w:val="21"/>
          <w:szCs w:val="21"/>
        </w:rPr>
        <w:br w:type="page"/>
      </w:r>
      <w:bookmarkStart w:id="1231" w:name="_Toc20114"/>
      <w:bookmarkStart w:id="1232" w:name="_Toc95"/>
      <w:r>
        <w:rPr>
          <w:rFonts w:hint="eastAsia" w:ascii="仿宋" w:hAnsi="仿宋" w:eastAsia="仿宋" w:cs="仿宋"/>
          <w:b/>
          <w:bCs/>
          <w:color w:val="000000"/>
          <w:sz w:val="24"/>
          <w:szCs w:val="24"/>
          <w:u w:val="none"/>
        </w:rPr>
        <w:t>1．评标方法</w:t>
      </w:r>
      <w:bookmarkEnd w:id="1231"/>
      <w:bookmarkEnd w:id="1232"/>
    </w:p>
    <w:p>
      <w:pPr>
        <w:pStyle w:val="124"/>
        <w:ind w:firstLine="720"/>
        <w:outlineLvl w:val="9"/>
        <w:rPr>
          <w:rFonts w:hint="eastAsia" w:ascii="仿宋" w:hAnsi="仿宋" w:eastAsia="仿宋" w:cs="仿宋"/>
          <w:color w:val="000000"/>
          <w:sz w:val="24"/>
          <w:szCs w:val="24"/>
          <w:u w:val="none"/>
        </w:rPr>
      </w:pPr>
      <w:bookmarkStart w:id="1233" w:name="_Toc25416"/>
      <w:bookmarkStart w:id="1234" w:name="_Toc8152"/>
      <w:r>
        <w:rPr>
          <w:rFonts w:hint="eastAsia" w:ascii="仿宋" w:hAnsi="仿宋" w:eastAsia="仿宋" w:cs="仿宋"/>
          <w:color w:val="000000"/>
          <w:sz w:val="24"/>
          <w:szCs w:val="24"/>
          <w:u w:val="none"/>
        </w:rPr>
        <w:t>本次评标采用经评审的最低投标价法，技术投标文件（施工组织设计，下同）采用暗标评审方式。评标委员会对满足招标文件实质性要求的投标文件，按照本章第2.2款规定的评分标准进行打分，并按得分由高到低顺序推荐中标候选人，或根据招标人授权直接确定中标人，但投标报价低于其成本的除外。综合评分相等时，以投标报价低的优先；投标报价也相等的，由招标人自行确定。</w:t>
      </w:r>
      <w:bookmarkEnd w:id="1233"/>
      <w:bookmarkEnd w:id="1234"/>
    </w:p>
    <w:p>
      <w:pPr>
        <w:pStyle w:val="124"/>
        <w:ind w:firstLine="723"/>
        <w:outlineLvl w:val="2"/>
        <w:rPr>
          <w:rFonts w:hint="eastAsia" w:ascii="仿宋" w:hAnsi="仿宋" w:eastAsia="仿宋" w:cs="仿宋"/>
          <w:b/>
          <w:bCs/>
          <w:color w:val="000000"/>
          <w:sz w:val="24"/>
          <w:szCs w:val="24"/>
          <w:u w:val="none"/>
        </w:rPr>
      </w:pPr>
      <w:bookmarkStart w:id="1235" w:name="_Toc1971"/>
      <w:bookmarkStart w:id="1236" w:name="_Toc2642"/>
      <w:r>
        <w:rPr>
          <w:rFonts w:hint="eastAsia" w:ascii="仿宋" w:hAnsi="仿宋" w:eastAsia="仿宋" w:cs="仿宋"/>
          <w:b/>
          <w:bCs/>
          <w:color w:val="000000"/>
          <w:sz w:val="24"/>
          <w:szCs w:val="24"/>
          <w:u w:val="none"/>
        </w:rPr>
        <w:t>2．评审标准</w:t>
      </w:r>
      <w:bookmarkEnd w:id="1235"/>
      <w:bookmarkEnd w:id="1236"/>
    </w:p>
    <w:p>
      <w:pPr>
        <w:pStyle w:val="124"/>
        <w:ind w:firstLine="720"/>
        <w:outlineLvl w:val="3"/>
        <w:rPr>
          <w:rFonts w:hint="eastAsia" w:ascii="仿宋" w:hAnsi="仿宋" w:eastAsia="仿宋" w:cs="仿宋"/>
          <w:color w:val="000000"/>
          <w:sz w:val="24"/>
          <w:szCs w:val="24"/>
          <w:u w:val="none"/>
        </w:rPr>
      </w:pPr>
      <w:bookmarkStart w:id="1237" w:name="_Toc31548"/>
      <w:bookmarkStart w:id="1238" w:name="_Toc18270"/>
      <w:r>
        <w:rPr>
          <w:rFonts w:hint="eastAsia" w:ascii="仿宋" w:hAnsi="仿宋" w:eastAsia="仿宋" w:cs="仿宋"/>
          <w:color w:val="000000"/>
          <w:sz w:val="24"/>
          <w:szCs w:val="24"/>
          <w:u w:val="none"/>
        </w:rPr>
        <w:t>2.1初步评审标准</w:t>
      </w:r>
      <w:bookmarkEnd w:id="1237"/>
      <w:bookmarkEnd w:id="1238"/>
    </w:p>
    <w:p>
      <w:pPr>
        <w:pStyle w:val="124"/>
        <w:ind w:firstLine="720"/>
        <w:outlineLvl w:val="9"/>
        <w:rPr>
          <w:rFonts w:hint="eastAsia" w:ascii="仿宋" w:hAnsi="仿宋" w:eastAsia="仿宋" w:cs="仿宋"/>
          <w:color w:val="000000"/>
          <w:sz w:val="24"/>
          <w:szCs w:val="24"/>
          <w:u w:val="none"/>
        </w:rPr>
      </w:pPr>
      <w:bookmarkStart w:id="1239" w:name="_Toc5294"/>
      <w:bookmarkStart w:id="1240" w:name="_Toc25982"/>
      <w:r>
        <w:rPr>
          <w:rFonts w:hint="eastAsia" w:ascii="仿宋" w:hAnsi="仿宋" w:eastAsia="仿宋" w:cs="仿宋"/>
          <w:color w:val="000000"/>
          <w:sz w:val="24"/>
          <w:szCs w:val="24"/>
          <w:u w:val="none"/>
        </w:rPr>
        <w:t>2.1.1  形式评审标准：</w:t>
      </w:r>
      <w:bookmarkEnd w:id="1239"/>
      <w:bookmarkEnd w:id="1240"/>
    </w:p>
    <w:p>
      <w:pPr>
        <w:pStyle w:val="124"/>
        <w:ind w:firstLine="720"/>
        <w:outlineLvl w:val="9"/>
        <w:rPr>
          <w:rFonts w:hint="eastAsia" w:ascii="仿宋" w:hAnsi="仿宋" w:eastAsia="仿宋" w:cs="仿宋"/>
          <w:color w:val="000000"/>
          <w:sz w:val="24"/>
          <w:szCs w:val="24"/>
          <w:u w:val="none"/>
        </w:rPr>
      </w:pPr>
      <w:bookmarkStart w:id="1241" w:name="_Toc3737"/>
      <w:bookmarkStart w:id="1242" w:name="_Toc17811"/>
      <w:r>
        <w:rPr>
          <w:rFonts w:hint="eastAsia" w:ascii="仿宋" w:hAnsi="仿宋" w:eastAsia="仿宋" w:cs="仿宋"/>
          <w:color w:val="000000"/>
          <w:sz w:val="24"/>
          <w:szCs w:val="24"/>
          <w:u w:val="none"/>
        </w:rPr>
        <w:t>（1）投标人名称应与营业执照、资质证书、安全生产许可证一致；</w:t>
      </w:r>
      <w:bookmarkEnd w:id="1241"/>
      <w:bookmarkEnd w:id="1242"/>
    </w:p>
    <w:p>
      <w:pPr>
        <w:pStyle w:val="124"/>
        <w:ind w:firstLine="720"/>
        <w:outlineLvl w:val="9"/>
        <w:rPr>
          <w:rFonts w:hint="eastAsia" w:ascii="仿宋" w:hAnsi="仿宋" w:eastAsia="仿宋" w:cs="仿宋"/>
          <w:color w:val="000000"/>
          <w:sz w:val="24"/>
          <w:szCs w:val="24"/>
          <w:u w:val="none"/>
        </w:rPr>
      </w:pPr>
      <w:bookmarkStart w:id="1243" w:name="_Toc28090"/>
      <w:bookmarkStart w:id="1244" w:name="_Toc16502"/>
      <w:r>
        <w:rPr>
          <w:rFonts w:hint="eastAsia" w:ascii="仿宋" w:hAnsi="仿宋" w:eastAsia="仿宋" w:cs="仿宋"/>
          <w:color w:val="000000"/>
          <w:sz w:val="24"/>
          <w:szCs w:val="24"/>
          <w:u w:val="none"/>
        </w:rPr>
        <w:t>（2）投标文件的签字盖章符合第二章投标人须知第3.7.3项规定；</w:t>
      </w:r>
      <w:bookmarkEnd w:id="1243"/>
      <w:bookmarkEnd w:id="1244"/>
    </w:p>
    <w:p>
      <w:pPr>
        <w:pStyle w:val="124"/>
        <w:ind w:firstLine="720"/>
        <w:outlineLvl w:val="9"/>
        <w:rPr>
          <w:rFonts w:hint="eastAsia" w:ascii="仿宋" w:hAnsi="仿宋" w:eastAsia="仿宋" w:cs="仿宋"/>
          <w:color w:val="000000"/>
          <w:sz w:val="24"/>
          <w:szCs w:val="24"/>
          <w:u w:val="none"/>
        </w:rPr>
      </w:pPr>
      <w:bookmarkStart w:id="1245" w:name="_Toc22362"/>
      <w:bookmarkStart w:id="1246" w:name="_Toc21087"/>
      <w:r>
        <w:rPr>
          <w:rFonts w:hint="eastAsia" w:ascii="仿宋" w:hAnsi="仿宋" w:eastAsia="仿宋" w:cs="仿宋"/>
          <w:color w:val="000000"/>
          <w:sz w:val="24"/>
          <w:szCs w:val="24"/>
          <w:u w:val="none"/>
        </w:rPr>
        <w:t>（3）投标文件完整性符合第八章投标文件格式的要求；</w:t>
      </w:r>
      <w:bookmarkEnd w:id="1245"/>
      <w:bookmarkEnd w:id="1246"/>
    </w:p>
    <w:p>
      <w:pPr>
        <w:pStyle w:val="124"/>
        <w:ind w:firstLine="720"/>
        <w:outlineLvl w:val="9"/>
        <w:rPr>
          <w:rFonts w:hint="eastAsia" w:ascii="仿宋" w:hAnsi="仿宋" w:eastAsia="仿宋" w:cs="仿宋"/>
          <w:color w:val="000000"/>
          <w:sz w:val="24"/>
          <w:szCs w:val="24"/>
          <w:u w:val="none"/>
        </w:rPr>
      </w:pPr>
      <w:bookmarkStart w:id="1247" w:name="_Toc9284"/>
      <w:bookmarkStart w:id="1248" w:name="_Toc12603"/>
      <w:r>
        <w:rPr>
          <w:rFonts w:hint="eastAsia" w:ascii="仿宋" w:hAnsi="仿宋" w:eastAsia="仿宋" w:cs="仿宋"/>
          <w:color w:val="000000"/>
          <w:sz w:val="24"/>
          <w:szCs w:val="24"/>
          <w:u w:val="none"/>
        </w:rPr>
        <w:t>（4）只能有一个报价；</w:t>
      </w:r>
      <w:bookmarkEnd w:id="1247"/>
      <w:bookmarkEnd w:id="1248"/>
    </w:p>
    <w:p>
      <w:pPr>
        <w:pStyle w:val="124"/>
        <w:ind w:firstLine="720"/>
        <w:outlineLvl w:val="9"/>
        <w:rPr>
          <w:rFonts w:hint="eastAsia" w:ascii="仿宋" w:hAnsi="仿宋" w:eastAsia="仿宋" w:cs="仿宋"/>
          <w:color w:val="000000"/>
          <w:sz w:val="24"/>
          <w:szCs w:val="24"/>
          <w:u w:val="none"/>
        </w:rPr>
      </w:pPr>
      <w:bookmarkStart w:id="1249" w:name="_Toc26720"/>
      <w:bookmarkStart w:id="1250" w:name="_Toc23875"/>
      <w:r>
        <w:rPr>
          <w:rFonts w:hint="eastAsia" w:ascii="仿宋" w:hAnsi="仿宋" w:eastAsia="仿宋" w:cs="仿宋"/>
          <w:color w:val="000000"/>
          <w:sz w:val="24"/>
          <w:szCs w:val="24"/>
          <w:u w:val="none"/>
        </w:rPr>
        <w:t>（5）联合体投标人应提交联合体协议书，并明确联合体牵头人；</w:t>
      </w:r>
      <w:bookmarkEnd w:id="1249"/>
      <w:bookmarkEnd w:id="1250"/>
    </w:p>
    <w:p>
      <w:pPr>
        <w:pStyle w:val="124"/>
        <w:ind w:firstLine="720"/>
        <w:outlineLvl w:val="9"/>
        <w:rPr>
          <w:rFonts w:hint="eastAsia" w:ascii="仿宋" w:hAnsi="仿宋" w:eastAsia="仿宋" w:cs="仿宋"/>
          <w:color w:val="000000"/>
          <w:sz w:val="24"/>
          <w:szCs w:val="24"/>
          <w:u w:val="none"/>
        </w:rPr>
      </w:pPr>
      <w:bookmarkStart w:id="1251" w:name="_Toc23467"/>
      <w:bookmarkStart w:id="1252" w:name="_Toc21320"/>
      <w:r>
        <w:rPr>
          <w:rFonts w:hint="eastAsia" w:ascii="仿宋" w:hAnsi="仿宋" w:eastAsia="仿宋" w:cs="仿宋"/>
          <w:color w:val="000000"/>
          <w:sz w:val="24"/>
          <w:szCs w:val="24"/>
          <w:u w:val="none"/>
        </w:rPr>
        <w:t>（6）技术投标文件暗标的制作要求符合第二章投标人须知第3.7.5项规定；</w:t>
      </w:r>
      <w:bookmarkEnd w:id="1251"/>
      <w:bookmarkEnd w:id="1252"/>
    </w:p>
    <w:p>
      <w:pPr>
        <w:pStyle w:val="124"/>
        <w:ind w:firstLine="720"/>
        <w:outlineLvl w:val="9"/>
        <w:rPr>
          <w:rFonts w:hint="eastAsia" w:ascii="仿宋" w:hAnsi="仿宋" w:eastAsia="仿宋" w:cs="仿宋"/>
          <w:color w:val="000000"/>
          <w:sz w:val="24"/>
          <w:szCs w:val="24"/>
          <w:u w:val="none"/>
        </w:rPr>
      </w:pPr>
      <w:bookmarkStart w:id="1253" w:name="_Toc1399"/>
      <w:bookmarkStart w:id="1254" w:name="_Toc1015"/>
      <w:r>
        <w:rPr>
          <w:rFonts w:hint="eastAsia" w:ascii="仿宋" w:hAnsi="仿宋" w:eastAsia="仿宋" w:cs="仿宋"/>
          <w:color w:val="000000"/>
          <w:sz w:val="24"/>
          <w:szCs w:val="24"/>
          <w:u w:val="none"/>
        </w:rPr>
        <w:t>（7）形式评审其它标准见评标办法前附表。</w:t>
      </w:r>
      <w:bookmarkEnd w:id="1253"/>
      <w:bookmarkEnd w:id="1254"/>
    </w:p>
    <w:p>
      <w:pPr>
        <w:pStyle w:val="124"/>
        <w:ind w:firstLine="720"/>
        <w:outlineLvl w:val="9"/>
        <w:rPr>
          <w:rFonts w:hint="eastAsia" w:ascii="仿宋" w:hAnsi="仿宋" w:eastAsia="仿宋" w:cs="仿宋"/>
          <w:color w:val="000000"/>
          <w:sz w:val="24"/>
          <w:szCs w:val="24"/>
          <w:u w:val="none"/>
        </w:rPr>
      </w:pPr>
      <w:bookmarkStart w:id="1255" w:name="_Toc27236"/>
      <w:bookmarkStart w:id="1256" w:name="_Toc17142"/>
      <w:r>
        <w:rPr>
          <w:rFonts w:hint="eastAsia" w:ascii="仿宋" w:hAnsi="仿宋" w:eastAsia="仿宋" w:cs="仿宋"/>
          <w:color w:val="000000"/>
          <w:sz w:val="24"/>
          <w:szCs w:val="24"/>
          <w:u w:val="none"/>
        </w:rPr>
        <w:t>2.1.2  资格评审标准：</w:t>
      </w:r>
      <w:bookmarkEnd w:id="1255"/>
      <w:bookmarkEnd w:id="1256"/>
    </w:p>
    <w:p>
      <w:pPr>
        <w:pStyle w:val="124"/>
        <w:ind w:firstLine="720"/>
        <w:outlineLvl w:val="9"/>
        <w:rPr>
          <w:rFonts w:hint="eastAsia" w:ascii="仿宋" w:hAnsi="仿宋" w:eastAsia="仿宋" w:cs="仿宋"/>
          <w:color w:val="000000"/>
          <w:sz w:val="24"/>
          <w:szCs w:val="24"/>
          <w:u w:val="none"/>
        </w:rPr>
      </w:pPr>
      <w:bookmarkStart w:id="1257" w:name="_Toc14573"/>
      <w:bookmarkStart w:id="1258" w:name="_Toc3231"/>
      <w:r>
        <w:rPr>
          <w:rFonts w:hint="eastAsia" w:ascii="仿宋" w:hAnsi="仿宋" w:eastAsia="仿宋" w:cs="仿宋"/>
          <w:color w:val="000000"/>
          <w:sz w:val="24"/>
          <w:szCs w:val="24"/>
          <w:u w:val="none"/>
        </w:rPr>
        <w:t>（1）具备有效的营业执照；</w:t>
      </w:r>
      <w:bookmarkEnd w:id="1257"/>
      <w:bookmarkEnd w:id="1258"/>
    </w:p>
    <w:p>
      <w:pPr>
        <w:pStyle w:val="124"/>
        <w:ind w:firstLine="720"/>
        <w:outlineLvl w:val="9"/>
        <w:rPr>
          <w:rFonts w:hint="eastAsia" w:ascii="仿宋" w:hAnsi="仿宋" w:eastAsia="仿宋" w:cs="仿宋"/>
          <w:color w:val="000000"/>
          <w:sz w:val="24"/>
          <w:szCs w:val="24"/>
          <w:u w:val="none"/>
        </w:rPr>
      </w:pPr>
      <w:bookmarkStart w:id="1259" w:name="_Toc10394"/>
      <w:bookmarkStart w:id="1260" w:name="_Toc11874"/>
      <w:r>
        <w:rPr>
          <w:rFonts w:hint="eastAsia" w:ascii="仿宋" w:hAnsi="仿宋" w:eastAsia="仿宋" w:cs="仿宋"/>
          <w:color w:val="000000"/>
          <w:sz w:val="24"/>
          <w:szCs w:val="24"/>
          <w:u w:val="none"/>
        </w:rPr>
        <w:t>（2）具备有效的安全生产许可证；</w:t>
      </w:r>
      <w:bookmarkEnd w:id="1259"/>
      <w:bookmarkEnd w:id="1260"/>
    </w:p>
    <w:p>
      <w:pPr>
        <w:pStyle w:val="124"/>
        <w:ind w:firstLine="720"/>
        <w:outlineLvl w:val="9"/>
        <w:rPr>
          <w:rFonts w:hint="eastAsia" w:ascii="仿宋" w:hAnsi="仿宋" w:eastAsia="仿宋" w:cs="仿宋"/>
          <w:color w:val="000000"/>
          <w:sz w:val="24"/>
          <w:szCs w:val="24"/>
          <w:u w:val="none"/>
        </w:rPr>
      </w:pPr>
      <w:bookmarkStart w:id="1261" w:name="_Toc29669"/>
      <w:bookmarkStart w:id="1262" w:name="_Toc11158"/>
      <w:r>
        <w:rPr>
          <w:rFonts w:hint="eastAsia" w:ascii="仿宋" w:hAnsi="仿宋" w:eastAsia="仿宋" w:cs="仿宋"/>
          <w:color w:val="000000"/>
          <w:sz w:val="24"/>
          <w:szCs w:val="24"/>
          <w:u w:val="none"/>
        </w:rPr>
        <w:t>（3）具备有效的资质证书且资质等级符合第二章投标人须知第1.4.1项规定；</w:t>
      </w:r>
      <w:bookmarkEnd w:id="1261"/>
      <w:bookmarkEnd w:id="1262"/>
    </w:p>
    <w:p>
      <w:pPr>
        <w:pStyle w:val="124"/>
        <w:ind w:firstLine="720"/>
        <w:outlineLvl w:val="9"/>
        <w:rPr>
          <w:rFonts w:hint="eastAsia" w:ascii="仿宋" w:hAnsi="仿宋" w:eastAsia="仿宋" w:cs="仿宋"/>
          <w:color w:val="000000"/>
          <w:sz w:val="24"/>
          <w:szCs w:val="24"/>
          <w:u w:val="none"/>
        </w:rPr>
      </w:pPr>
      <w:bookmarkStart w:id="1263" w:name="_Toc28135"/>
      <w:bookmarkStart w:id="1264" w:name="_Toc16647"/>
      <w:r>
        <w:rPr>
          <w:rFonts w:hint="eastAsia" w:ascii="仿宋" w:hAnsi="仿宋" w:eastAsia="仿宋" w:cs="仿宋"/>
          <w:color w:val="000000"/>
          <w:sz w:val="24"/>
          <w:szCs w:val="24"/>
          <w:u w:val="none"/>
        </w:rPr>
        <w:t>（4）业绩符合第二章投标人须知第1.4.1项规定；</w:t>
      </w:r>
      <w:bookmarkEnd w:id="1263"/>
      <w:bookmarkEnd w:id="1264"/>
    </w:p>
    <w:p>
      <w:pPr>
        <w:pStyle w:val="124"/>
        <w:ind w:firstLine="720"/>
        <w:outlineLvl w:val="9"/>
        <w:rPr>
          <w:rFonts w:hint="eastAsia" w:ascii="仿宋" w:hAnsi="仿宋" w:eastAsia="仿宋" w:cs="仿宋"/>
          <w:color w:val="000000"/>
          <w:sz w:val="24"/>
          <w:szCs w:val="24"/>
          <w:u w:val="none"/>
        </w:rPr>
      </w:pPr>
      <w:bookmarkStart w:id="1265" w:name="_Toc11183"/>
      <w:bookmarkStart w:id="1266" w:name="_Toc31738"/>
      <w:r>
        <w:rPr>
          <w:rFonts w:hint="eastAsia" w:ascii="仿宋" w:hAnsi="仿宋" w:eastAsia="仿宋" w:cs="仿宋"/>
          <w:color w:val="000000"/>
          <w:sz w:val="24"/>
          <w:szCs w:val="24"/>
          <w:u w:val="none"/>
        </w:rPr>
        <w:t>（5）信誉符合第二章投标人须知第1.4.1项规定；</w:t>
      </w:r>
      <w:bookmarkEnd w:id="1265"/>
      <w:bookmarkEnd w:id="1266"/>
    </w:p>
    <w:p>
      <w:pPr>
        <w:pStyle w:val="124"/>
        <w:ind w:firstLine="720"/>
        <w:outlineLvl w:val="9"/>
        <w:rPr>
          <w:rFonts w:hint="eastAsia" w:ascii="仿宋" w:hAnsi="仿宋" w:eastAsia="仿宋" w:cs="仿宋"/>
          <w:color w:val="000000"/>
          <w:sz w:val="24"/>
          <w:szCs w:val="24"/>
          <w:u w:val="none"/>
        </w:rPr>
      </w:pPr>
      <w:bookmarkStart w:id="1267" w:name="_Toc3236"/>
      <w:bookmarkStart w:id="1268" w:name="_Toc5627"/>
      <w:r>
        <w:rPr>
          <w:rFonts w:hint="eastAsia" w:ascii="仿宋" w:hAnsi="仿宋" w:eastAsia="仿宋" w:cs="仿宋"/>
          <w:color w:val="000000"/>
          <w:sz w:val="24"/>
          <w:szCs w:val="24"/>
          <w:u w:val="none"/>
        </w:rPr>
        <w:t>（6）项目负责人资格符合第二章投标人须知第1.4.1项规定；</w:t>
      </w:r>
      <w:bookmarkEnd w:id="1267"/>
      <w:bookmarkEnd w:id="1268"/>
    </w:p>
    <w:p>
      <w:pPr>
        <w:pStyle w:val="124"/>
        <w:ind w:firstLine="720"/>
        <w:outlineLvl w:val="9"/>
        <w:rPr>
          <w:rFonts w:hint="eastAsia" w:ascii="仿宋" w:hAnsi="仿宋" w:eastAsia="仿宋" w:cs="仿宋"/>
          <w:color w:val="000000"/>
          <w:sz w:val="24"/>
          <w:szCs w:val="24"/>
          <w:u w:val="none"/>
        </w:rPr>
      </w:pPr>
      <w:bookmarkStart w:id="1269" w:name="_Toc29020"/>
      <w:bookmarkStart w:id="1270" w:name="_Toc461"/>
      <w:r>
        <w:rPr>
          <w:rFonts w:hint="eastAsia" w:ascii="仿宋" w:hAnsi="仿宋" w:eastAsia="仿宋" w:cs="仿宋"/>
          <w:color w:val="000000"/>
          <w:sz w:val="24"/>
          <w:szCs w:val="24"/>
          <w:u w:val="none"/>
        </w:rPr>
        <w:t>（7）企业负责人具备有效的建设或水行政主管部门颁发的安全生产考核合格证书；</w:t>
      </w:r>
      <w:bookmarkEnd w:id="1269"/>
      <w:bookmarkEnd w:id="1270"/>
    </w:p>
    <w:p>
      <w:pPr>
        <w:pStyle w:val="124"/>
        <w:ind w:firstLine="720"/>
        <w:outlineLvl w:val="9"/>
        <w:rPr>
          <w:rFonts w:hint="eastAsia" w:ascii="仿宋" w:hAnsi="仿宋" w:eastAsia="仿宋" w:cs="仿宋"/>
          <w:color w:val="000000"/>
          <w:sz w:val="24"/>
          <w:szCs w:val="24"/>
          <w:u w:val="none"/>
        </w:rPr>
      </w:pPr>
      <w:bookmarkStart w:id="1271" w:name="_Toc25960"/>
      <w:bookmarkStart w:id="1272" w:name="_Toc1344"/>
      <w:r>
        <w:rPr>
          <w:rFonts w:hint="eastAsia" w:ascii="仿宋" w:hAnsi="仿宋" w:eastAsia="仿宋" w:cs="仿宋"/>
          <w:color w:val="000000"/>
          <w:sz w:val="24"/>
          <w:szCs w:val="24"/>
          <w:u w:val="none"/>
        </w:rPr>
        <w:t>（8）技术负责人资格符合第二章投标人须知第1.4.1项规定；</w:t>
      </w:r>
      <w:bookmarkEnd w:id="1271"/>
      <w:bookmarkEnd w:id="1272"/>
    </w:p>
    <w:p>
      <w:pPr>
        <w:pStyle w:val="124"/>
        <w:ind w:firstLine="720"/>
        <w:outlineLvl w:val="9"/>
        <w:rPr>
          <w:rFonts w:hint="eastAsia" w:ascii="仿宋" w:hAnsi="仿宋" w:eastAsia="仿宋" w:cs="仿宋"/>
          <w:color w:val="000000"/>
          <w:sz w:val="24"/>
          <w:szCs w:val="24"/>
          <w:u w:val="none"/>
        </w:rPr>
      </w:pPr>
      <w:bookmarkStart w:id="1273" w:name="_Toc4040"/>
      <w:bookmarkStart w:id="1274" w:name="_Toc12526"/>
      <w:r>
        <w:rPr>
          <w:rFonts w:hint="eastAsia" w:ascii="仿宋" w:hAnsi="仿宋" w:eastAsia="仿宋" w:cs="仿宋"/>
          <w:color w:val="000000"/>
          <w:sz w:val="24"/>
          <w:szCs w:val="24"/>
          <w:u w:val="none"/>
        </w:rPr>
        <w:t>（9）专职安全员资格符合第二章投标人须知第1.4.1项规定；</w:t>
      </w:r>
      <w:bookmarkEnd w:id="1273"/>
      <w:bookmarkEnd w:id="1274"/>
    </w:p>
    <w:p>
      <w:pPr>
        <w:pStyle w:val="124"/>
        <w:ind w:firstLine="720"/>
        <w:outlineLvl w:val="9"/>
        <w:rPr>
          <w:rFonts w:hint="eastAsia" w:ascii="仿宋" w:hAnsi="仿宋" w:eastAsia="仿宋" w:cs="仿宋"/>
          <w:color w:val="000000"/>
          <w:sz w:val="24"/>
          <w:szCs w:val="24"/>
          <w:u w:val="none"/>
        </w:rPr>
      </w:pPr>
      <w:bookmarkStart w:id="1275" w:name="_Toc11145"/>
      <w:bookmarkStart w:id="1276" w:name="_Toc30146"/>
      <w:r>
        <w:rPr>
          <w:rFonts w:hint="eastAsia" w:ascii="仿宋" w:hAnsi="仿宋" w:eastAsia="仿宋" w:cs="仿宋"/>
          <w:color w:val="000000"/>
          <w:sz w:val="24"/>
          <w:szCs w:val="24"/>
          <w:u w:val="none"/>
        </w:rPr>
        <w:t>（10）其它要求符合第二章投标人须知第1.4.1项规定；</w:t>
      </w:r>
      <w:bookmarkEnd w:id="1275"/>
      <w:bookmarkEnd w:id="1276"/>
    </w:p>
    <w:p>
      <w:pPr>
        <w:pStyle w:val="124"/>
        <w:ind w:firstLine="720"/>
        <w:outlineLvl w:val="9"/>
        <w:rPr>
          <w:rFonts w:hint="eastAsia" w:ascii="仿宋" w:hAnsi="仿宋" w:eastAsia="仿宋" w:cs="仿宋"/>
          <w:color w:val="000000"/>
          <w:sz w:val="24"/>
          <w:szCs w:val="24"/>
          <w:u w:val="none"/>
        </w:rPr>
      </w:pPr>
      <w:bookmarkStart w:id="1277" w:name="_Toc26554"/>
      <w:bookmarkStart w:id="1278" w:name="_Toc9842"/>
      <w:r>
        <w:rPr>
          <w:rFonts w:hint="eastAsia" w:ascii="仿宋" w:hAnsi="仿宋" w:eastAsia="仿宋" w:cs="仿宋"/>
          <w:color w:val="000000"/>
          <w:sz w:val="24"/>
          <w:szCs w:val="24"/>
          <w:u w:val="none"/>
        </w:rPr>
        <w:t>（11）联合体投标人符合第二章投标人须知第1.4.2项规定；</w:t>
      </w:r>
      <w:bookmarkEnd w:id="1277"/>
      <w:bookmarkEnd w:id="1278"/>
    </w:p>
    <w:p>
      <w:pPr>
        <w:pStyle w:val="124"/>
        <w:ind w:firstLine="720"/>
        <w:outlineLvl w:val="9"/>
        <w:rPr>
          <w:rFonts w:hint="eastAsia" w:ascii="仿宋" w:hAnsi="仿宋" w:eastAsia="仿宋" w:cs="仿宋"/>
          <w:color w:val="000000"/>
          <w:sz w:val="24"/>
          <w:szCs w:val="24"/>
          <w:u w:val="none"/>
        </w:rPr>
      </w:pPr>
      <w:bookmarkStart w:id="1279" w:name="_Toc30395"/>
      <w:bookmarkStart w:id="1280" w:name="_Toc79"/>
      <w:r>
        <w:rPr>
          <w:rFonts w:hint="eastAsia" w:ascii="仿宋" w:hAnsi="仿宋" w:eastAsia="仿宋" w:cs="仿宋"/>
          <w:color w:val="000000"/>
          <w:sz w:val="24"/>
          <w:szCs w:val="24"/>
          <w:u w:val="none"/>
        </w:rPr>
        <w:t>（12）其它标准不存在第二章投标人须知第1.4.3 项规定的任何一种情形；</w:t>
      </w:r>
      <w:bookmarkEnd w:id="1279"/>
      <w:bookmarkEnd w:id="1280"/>
    </w:p>
    <w:p>
      <w:pPr>
        <w:pStyle w:val="124"/>
        <w:ind w:firstLine="720"/>
        <w:outlineLvl w:val="9"/>
        <w:rPr>
          <w:rFonts w:hint="eastAsia" w:ascii="仿宋" w:hAnsi="仿宋" w:eastAsia="仿宋" w:cs="仿宋"/>
          <w:color w:val="000000"/>
          <w:sz w:val="24"/>
          <w:szCs w:val="24"/>
          <w:u w:val="none"/>
        </w:rPr>
      </w:pPr>
      <w:bookmarkStart w:id="1281" w:name="_Toc67"/>
      <w:bookmarkStart w:id="1282" w:name="_Toc7046"/>
      <w:r>
        <w:rPr>
          <w:rFonts w:hint="eastAsia" w:ascii="仿宋" w:hAnsi="仿宋" w:eastAsia="仿宋" w:cs="仿宋"/>
          <w:color w:val="000000"/>
          <w:sz w:val="24"/>
          <w:szCs w:val="24"/>
          <w:u w:val="none"/>
        </w:rPr>
        <w:t>（13）资格评审其它标准见评标办法前附表。</w:t>
      </w:r>
      <w:bookmarkEnd w:id="1281"/>
      <w:bookmarkEnd w:id="1282"/>
    </w:p>
    <w:p>
      <w:pPr>
        <w:pStyle w:val="124"/>
        <w:ind w:firstLine="720"/>
        <w:outlineLvl w:val="9"/>
        <w:rPr>
          <w:rFonts w:hint="eastAsia" w:ascii="仿宋" w:hAnsi="仿宋" w:eastAsia="仿宋" w:cs="仿宋"/>
          <w:color w:val="000000"/>
          <w:sz w:val="24"/>
          <w:szCs w:val="24"/>
          <w:u w:val="none"/>
        </w:rPr>
      </w:pPr>
      <w:bookmarkStart w:id="1283" w:name="_Toc30123"/>
      <w:bookmarkStart w:id="1284" w:name="_Toc20529"/>
      <w:r>
        <w:rPr>
          <w:rFonts w:hint="eastAsia" w:ascii="仿宋" w:hAnsi="仿宋" w:eastAsia="仿宋" w:cs="仿宋"/>
          <w:color w:val="000000"/>
          <w:sz w:val="24"/>
          <w:szCs w:val="24"/>
          <w:u w:val="none"/>
        </w:rPr>
        <w:t>2.1.3  响应性评审标准：</w:t>
      </w:r>
      <w:bookmarkEnd w:id="1283"/>
      <w:bookmarkEnd w:id="1284"/>
    </w:p>
    <w:p>
      <w:pPr>
        <w:pStyle w:val="124"/>
        <w:ind w:firstLine="720"/>
        <w:outlineLvl w:val="9"/>
        <w:rPr>
          <w:rFonts w:hint="eastAsia" w:ascii="仿宋" w:hAnsi="仿宋" w:eastAsia="仿宋" w:cs="仿宋"/>
          <w:color w:val="000000"/>
          <w:sz w:val="24"/>
          <w:szCs w:val="24"/>
          <w:u w:val="none"/>
        </w:rPr>
      </w:pPr>
      <w:bookmarkStart w:id="1285" w:name="_Toc5068"/>
      <w:bookmarkStart w:id="1286" w:name="_Toc18371"/>
      <w:r>
        <w:rPr>
          <w:rFonts w:hint="eastAsia" w:ascii="仿宋" w:hAnsi="仿宋" w:eastAsia="仿宋" w:cs="仿宋"/>
          <w:color w:val="000000"/>
          <w:sz w:val="24"/>
          <w:szCs w:val="24"/>
          <w:u w:val="none"/>
        </w:rPr>
        <w:t>（1）投标范围符合第二章投标人须知第1.3.1项规定；</w:t>
      </w:r>
      <w:bookmarkEnd w:id="1285"/>
      <w:bookmarkEnd w:id="1286"/>
    </w:p>
    <w:p>
      <w:pPr>
        <w:pStyle w:val="124"/>
        <w:ind w:firstLine="720"/>
        <w:outlineLvl w:val="9"/>
        <w:rPr>
          <w:rFonts w:hint="eastAsia" w:ascii="仿宋" w:hAnsi="仿宋" w:eastAsia="仿宋" w:cs="仿宋"/>
          <w:color w:val="000000"/>
          <w:sz w:val="24"/>
          <w:szCs w:val="24"/>
          <w:u w:val="none"/>
        </w:rPr>
      </w:pPr>
      <w:bookmarkStart w:id="1287" w:name="_Toc25581"/>
      <w:bookmarkStart w:id="1288" w:name="_Toc25640"/>
      <w:r>
        <w:rPr>
          <w:rFonts w:hint="eastAsia" w:ascii="仿宋" w:hAnsi="仿宋" w:eastAsia="仿宋" w:cs="仿宋"/>
          <w:color w:val="000000"/>
          <w:sz w:val="24"/>
          <w:szCs w:val="24"/>
          <w:u w:val="none"/>
        </w:rPr>
        <w:t>（2）计划工期符合第二章投标人须知第1.3.2项规定；</w:t>
      </w:r>
      <w:bookmarkEnd w:id="1287"/>
      <w:bookmarkEnd w:id="1288"/>
    </w:p>
    <w:p>
      <w:pPr>
        <w:pStyle w:val="124"/>
        <w:ind w:firstLine="720"/>
        <w:outlineLvl w:val="9"/>
        <w:rPr>
          <w:rFonts w:hint="eastAsia" w:ascii="仿宋" w:hAnsi="仿宋" w:eastAsia="仿宋" w:cs="仿宋"/>
          <w:color w:val="000000"/>
          <w:sz w:val="24"/>
          <w:szCs w:val="24"/>
          <w:u w:val="none"/>
        </w:rPr>
      </w:pPr>
      <w:bookmarkStart w:id="1289" w:name="_Toc6683"/>
      <w:bookmarkStart w:id="1290" w:name="_Toc9066"/>
      <w:r>
        <w:rPr>
          <w:rFonts w:hint="eastAsia" w:ascii="仿宋" w:hAnsi="仿宋" w:eastAsia="仿宋" w:cs="仿宋"/>
          <w:color w:val="000000"/>
          <w:sz w:val="24"/>
          <w:szCs w:val="24"/>
          <w:u w:val="none"/>
        </w:rPr>
        <w:t>（3）工程质量符合第二章投标人须知第1.3.3项规定；</w:t>
      </w:r>
      <w:bookmarkEnd w:id="1289"/>
      <w:bookmarkEnd w:id="1290"/>
    </w:p>
    <w:p>
      <w:pPr>
        <w:pStyle w:val="124"/>
        <w:ind w:firstLine="720"/>
        <w:outlineLvl w:val="9"/>
        <w:rPr>
          <w:rFonts w:hint="eastAsia" w:ascii="仿宋" w:hAnsi="仿宋" w:eastAsia="仿宋" w:cs="仿宋"/>
          <w:color w:val="000000"/>
          <w:sz w:val="24"/>
          <w:szCs w:val="24"/>
          <w:u w:val="none"/>
        </w:rPr>
      </w:pPr>
      <w:bookmarkStart w:id="1291" w:name="_Toc1794"/>
      <w:bookmarkStart w:id="1292" w:name="_Toc22927"/>
      <w:r>
        <w:rPr>
          <w:rFonts w:hint="eastAsia" w:ascii="仿宋" w:hAnsi="仿宋" w:eastAsia="仿宋" w:cs="仿宋"/>
          <w:color w:val="000000"/>
          <w:sz w:val="24"/>
          <w:szCs w:val="24"/>
          <w:u w:val="none"/>
        </w:rPr>
        <w:t>（4）投标有效期符合第二章投标人须知第3.3.1项规定；</w:t>
      </w:r>
      <w:bookmarkEnd w:id="1291"/>
      <w:bookmarkEnd w:id="1292"/>
    </w:p>
    <w:p>
      <w:pPr>
        <w:pStyle w:val="124"/>
        <w:ind w:firstLine="720"/>
        <w:outlineLvl w:val="9"/>
        <w:rPr>
          <w:rFonts w:hint="eastAsia" w:ascii="仿宋" w:hAnsi="仿宋" w:eastAsia="仿宋" w:cs="仿宋"/>
          <w:color w:val="000000"/>
          <w:sz w:val="24"/>
          <w:szCs w:val="24"/>
          <w:u w:val="none"/>
        </w:rPr>
      </w:pPr>
      <w:bookmarkStart w:id="1293" w:name="_Toc8449"/>
      <w:bookmarkStart w:id="1294" w:name="_Toc12091"/>
      <w:r>
        <w:rPr>
          <w:rFonts w:hint="eastAsia" w:ascii="仿宋" w:hAnsi="仿宋" w:eastAsia="仿宋" w:cs="仿宋"/>
          <w:color w:val="000000"/>
          <w:sz w:val="24"/>
          <w:szCs w:val="24"/>
          <w:u w:val="none"/>
        </w:rPr>
        <w:t>（5）投标担保符合第二章投标人须知第3.4款规定；</w:t>
      </w:r>
      <w:bookmarkEnd w:id="1293"/>
      <w:bookmarkEnd w:id="1294"/>
    </w:p>
    <w:p>
      <w:pPr>
        <w:pStyle w:val="124"/>
        <w:ind w:firstLine="720"/>
        <w:outlineLvl w:val="9"/>
        <w:rPr>
          <w:rFonts w:hint="eastAsia" w:ascii="仿宋" w:hAnsi="仿宋" w:eastAsia="仿宋" w:cs="仿宋"/>
          <w:color w:val="000000"/>
          <w:sz w:val="24"/>
          <w:szCs w:val="24"/>
          <w:u w:val="none"/>
        </w:rPr>
      </w:pPr>
      <w:bookmarkStart w:id="1295" w:name="_Toc17377"/>
      <w:bookmarkStart w:id="1296" w:name="_Toc2637"/>
      <w:r>
        <w:rPr>
          <w:rFonts w:hint="eastAsia" w:ascii="仿宋" w:hAnsi="仿宋" w:eastAsia="仿宋" w:cs="仿宋"/>
          <w:color w:val="000000"/>
          <w:sz w:val="24"/>
          <w:szCs w:val="24"/>
          <w:u w:val="none"/>
        </w:rPr>
        <w:t>（6）权利义务符合第四章合同条款及格式规定的权利义务；</w:t>
      </w:r>
      <w:bookmarkEnd w:id="1295"/>
      <w:bookmarkEnd w:id="1296"/>
    </w:p>
    <w:p>
      <w:pPr>
        <w:pStyle w:val="124"/>
        <w:ind w:firstLine="720"/>
        <w:outlineLvl w:val="9"/>
        <w:rPr>
          <w:rFonts w:hint="eastAsia" w:ascii="仿宋" w:hAnsi="仿宋" w:eastAsia="仿宋" w:cs="仿宋"/>
          <w:color w:val="000000"/>
          <w:sz w:val="24"/>
          <w:szCs w:val="24"/>
          <w:u w:val="none"/>
        </w:rPr>
      </w:pPr>
      <w:bookmarkStart w:id="1297" w:name="_Toc23619"/>
      <w:bookmarkStart w:id="1298" w:name="_Toc2841"/>
      <w:r>
        <w:rPr>
          <w:rFonts w:hint="eastAsia" w:ascii="仿宋" w:hAnsi="仿宋" w:eastAsia="仿宋" w:cs="仿宋"/>
          <w:color w:val="000000"/>
          <w:sz w:val="24"/>
          <w:szCs w:val="24"/>
          <w:u w:val="none"/>
        </w:rPr>
        <w:t>（7）已标价工程量清单符合第五章工程量清单的有关要求；</w:t>
      </w:r>
      <w:bookmarkEnd w:id="1297"/>
      <w:bookmarkEnd w:id="1298"/>
    </w:p>
    <w:p>
      <w:pPr>
        <w:pStyle w:val="124"/>
        <w:ind w:firstLine="720"/>
        <w:outlineLvl w:val="9"/>
        <w:rPr>
          <w:rFonts w:hint="eastAsia" w:ascii="仿宋" w:hAnsi="仿宋" w:eastAsia="仿宋" w:cs="仿宋"/>
          <w:color w:val="000000"/>
          <w:sz w:val="24"/>
          <w:szCs w:val="24"/>
          <w:u w:val="none"/>
        </w:rPr>
      </w:pPr>
      <w:bookmarkStart w:id="1299" w:name="_Toc5777"/>
      <w:bookmarkStart w:id="1300" w:name="_Toc24220"/>
      <w:r>
        <w:rPr>
          <w:rFonts w:hint="eastAsia" w:ascii="仿宋" w:hAnsi="仿宋" w:eastAsia="仿宋" w:cs="仿宋"/>
          <w:color w:val="000000"/>
          <w:sz w:val="24"/>
          <w:szCs w:val="24"/>
          <w:u w:val="none"/>
        </w:rPr>
        <w:t>（8）技术标准和要求符合第七章技术标准和要求（合同技术条款）的规定；</w:t>
      </w:r>
      <w:bookmarkEnd w:id="1299"/>
      <w:bookmarkEnd w:id="1300"/>
    </w:p>
    <w:p>
      <w:pPr>
        <w:pStyle w:val="124"/>
        <w:ind w:firstLine="720"/>
        <w:outlineLvl w:val="9"/>
        <w:rPr>
          <w:rFonts w:hint="eastAsia" w:ascii="仿宋" w:hAnsi="仿宋" w:eastAsia="仿宋" w:cs="仿宋"/>
          <w:color w:val="000000"/>
          <w:sz w:val="24"/>
          <w:szCs w:val="24"/>
          <w:u w:val="none"/>
        </w:rPr>
      </w:pPr>
      <w:bookmarkStart w:id="1301" w:name="_Toc28598"/>
      <w:bookmarkStart w:id="1302" w:name="_Toc32381"/>
      <w:r>
        <w:rPr>
          <w:rFonts w:hint="eastAsia" w:ascii="仿宋" w:hAnsi="仿宋" w:eastAsia="仿宋" w:cs="仿宋"/>
          <w:color w:val="000000"/>
          <w:sz w:val="24"/>
          <w:szCs w:val="24"/>
          <w:u w:val="none"/>
        </w:rPr>
        <w:t>（9）对投标人的纪律要求符合第二章“投标人须知”第9.2款规定；</w:t>
      </w:r>
      <w:bookmarkEnd w:id="1301"/>
      <w:bookmarkEnd w:id="1302"/>
    </w:p>
    <w:p>
      <w:pPr>
        <w:pStyle w:val="124"/>
        <w:ind w:firstLine="720"/>
        <w:outlineLvl w:val="9"/>
        <w:rPr>
          <w:rFonts w:hint="eastAsia" w:ascii="仿宋" w:hAnsi="仿宋" w:eastAsia="仿宋" w:cs="仿宋"/>
          <w:color w:val="000000"/>
          <w:sz w:val="24"/>
          <w:szCs w:val="24"/>
          <w:u w:val="none"/>
        </w:rPr>
      </w:pPr>
      <w:bookmarkStart w:id="1303" w:name="_Toc19918"/>
      <w:bookmarkStart w:id="1304" w:name="_Toc18665"/>
      <w:r>
        <w:rPr>
          <w:rFonts w:hint="eastAsia" w:ascii="仿宋" w:hAnsi="仿宋" w:eastAsia="仿宋" w:cs="仿宋"/>
          <w:color w:val="000000"/>
          <w:sz w:val="24"/>
          <w:szCs w:val="24"/>
          <w:u w:val="none"/>
        </w:rPr>
        <w:t>（10）工程结算款支付账户符合第二章投标人须知第10.3款规定；</w:t>
      </w:r>
      <w:bookmarkEnd w:id="1303"/>
      <w:bookmarkEnd w:id="1304"/>
    </w:p>
    <w:p>
      <w:pPr>
        <w:pStyle w:val="124"/>
        <w:ind w:firstLine="720"/>
        <w:outlineLvl w:val="9"/>
        <w:rPr>
          <w:rFonts w:hint="eastAsia" w:ascii="仿宋" w:hAnsi="仿宋" w:eastAsia="仿宋" w:cs="仿宋"/>
          <w:color w:val="000000"/>
          <w:sz w:val="24"/>
          <w:szCs w:val="24"/>
          <w:u w:val="none"/>
        </w:rPr>
      </w:pPr>
      <w:bookmarkStart w:id="1305" w:name="_Toc32573"/>
      <w:bookmarkStart w:id="1306" w:name="_Toc6259"/>
      <w:r>
        <w:rPr>
          <w:rFonts w:hint="eastAsia" w:ascii="仿宋" w:hAnsi="仿宋" w:eastAsia="仿宋" w:cs="仿宋"/>
          <w:color w:val="000000"/>
          <w:sz w:val="24"/>
          <w:szCs w:val="24"/>
          <w:u w:val="none"/>
        </w:rPr>
        <w:t>（11）最高投标限价符合第二章投标人须知第10.5款规定；</w:t>
      </w:r>
      <w:bookmarkEnd w:id="1305"/>
      <w:bookmarkEnd w:id="1306"/>
    </w:p>
    <w:p>
      <w:pPr>
        <w:pStyle w:val="124"/>
        <w:ind w:firstLine="720"/>
        <w:outlineLvl w:val="9"/>
        <w:rPr>
          <w:rFonts w:hint="eastAsia" w:ascii="仿宋" w:hAnsi="仿宋" w:eastAsia="仿宋" w:cs="仿宋"/>
          <w:color w:val="000000"/>
          <w:sz w:val="24"/>
          <w:szCs w:val="24"/>
          <w:u w:val="none"/>
        </w:rPr>
      </w:pPr>
      <w:bookmarkStart w:id="1307" w:name="_Toc32363"/>
      <w:bookmarkStart w:id="1308" w:name="_Toc13415"/>
      <w:r>
        <w:rPr>
          <w:rFonts w:hint="eastAsia" w:ascii="仿宋" w:hAnsi="仿宋" w:eastAsia="仿宋" w:cs="仿宋"/>
          <w:color w:val="000000"/>
          <w:sz w:val="24"/>
          <w:szCs w:val="24"/>
          <w:u w:val="none"/>
        </w:rPr>
        <w:t>（12）响应性评审其它标准见评标办法前附表。</w:t>
      </w:r>
      <w:bookmarkEnd w:id="1307"/>
      <w:bookmarkEnd w:id="1308"/>
    </w:p>
    <w:p>
      <w:pPr>
        <w:pStyle w:val="124"/>
        <w:ind w:firstLine="720"/>
        <w:outlineLvl w:val="9"/>
        <w:rPr>
          <w:rFonts w:hint="eastAsia" w:ascii="仿宋" w:hAnsi="仿宋" w:eastAsia="仿宋" w:cs="仿宋"/>
          <w:color w:val="000000"/>
          <w:sz w:val="24"/>
          <w:szCs w:val="24"/>
          <w:u w:val="none"/>
        </w:rPr>
      </w:pPr>
      <w:bookmarkStart w:id="1309" w:name="_Toc29357"/>
      <w:bookmarkStart w:id="1310" w:name="_Toc27579"/>
      <w:r>
        <w:rPr>
          <w:rFonts w:hint="eastAsia" w:ascii="仿宋" w:hAnsi="仿宋" w:eastAsia="仿宋" w:cs="仿宋"/>
          <w:color w:val="000000"/>
          <w:sz w:val="24"/>
          <w:szCs w:val="24"/>
          <w:u w:val="none"/>
        </w:rPr>
        <w:t>2.1.4  技术投标文件评审标准：见评标办法前附表2.1.4。</w:t>
      </w:r>
      <w:bookmarkEnd w:id="1309"/>
      <w:bookmarkEnd w:id="1310"/>
    </w:p>
    <w:p>
      <w:pPr>
        <w:pStyle w:val="124"/>
        <w:ind w:firstLine="720"/>
        <w:outlineLvl w:val="3"/>
        <w:rPr>
          <w:rFonts w:hint="eastAsia" w:ascii="仿宋" w:hAnsi="仿宋" w:eastAsia="仿宋" w:cs="仿宋"/>
          <w:color w:val="000000"/>
          <w:sz w:val="24"/>
          <w:szCs w:val="24"/>
          <w:u w:val="none"/>
        </w:rPr>
      </w:pPr>
      <w:bookmarkStart w:id="1311" w:name="_Toc11260"/>
      <w:bookmarkStart w:id="1312" w:name="_Toc13135"/>
      <w:r>
        <w:rPr>
          <w:rFonts w:hint="eastAsia" w:ascii="仿宋" w:hAnsi="仿宋" w:eastAsia="仿宋" w:cs="仿宋"/>
          <w:color w:val="000000"/>
          <w:sz w:val="24"/>
          <w:szCs w:val="24"/>
          <w:u w:val="none"/>
        </w:rPr>
        <w:t>2.2分值构成与评分标准</w:t>
      </w:r>
      <w:bookmarkEnd w:id="1311"/>
      <w:bookmarkEnd w:id="1312"/>
    </w:p>
    <w:p>
      <w:pPr>
        <w:pStyle w:val="124"/>
        <w:ind w:firstLine="720"/>
        <w:outlineLvl w:val="9"/>
        <w:rPr>
          <w:rFonts w:hint="eastAsia" w:ascii="仿宋" w:hAnsi="仿宋" w:eastAsia="仿宋" w:cs="仿宋"/>
          <w:color w:val="000000"/>
          <w:sz w:val="24"/>
          <w:szCs w:val="24"/>
          <w:u w:val="none"/>
        </w:rPr>
      </w:pPr>
      <w:bookmarkStart w:id="1313" w:name="_Toc15193"/>
      <w:bookmarkStart w:id="1314" w:name="_Toc9850"/>
      <w:r>
        <w:rPr>
          <w:rFonts w:hint="eastAsia" w:ascii="仿宋" w:hAnsi="仿宋" w:eastAsia="仿宋" w:cs="仿宋"/>
          <w:color w:val="000000"/>
          <w:sz w:val="24"/>
          <w:szCs w:val="24"/>
          <w:u w:val="none"/>
        </w:rPr>
        <w:t>2.2.1  分值构成</w:t>
      </w:r>
      <w:bookmarkEnd w:id="1313"/>
      <w:bookmarkEnd w:id="1314"/>
    </w:p>
    <w:p>
      <w:pPr>
        <w:pStyle w:val="124"/>
        <w:ind w:firstLine="720"/>
        <w:outlineLvl w:val="9"/>
        <w:rPr>
          <w:rFonts w:hint="eastAsia" w:ascii="仿宋" w:hAnsi="仿宋" w:eastAsia="仿宋" w:cs="仿宋"/>
          <w:color w:val="000000"/>
          <w:sz w:val="24"/>
          <w:szCs w:val="24"/>
          <w:u w:val="none"/>
        </w:rPr>
      </w:pPr>
      <w:bookmarkStart w:id="1315" w:name="_Toc21590"/>
      <w:bookmarkStart w:id="1316" w:name="_Toc17910"/>
      <w:r>
        <w:rPr>
          <w:rFonts w:hint="eastAsia" w:ascii="仿宋" w:hAnsi="仿宋" w:eastAsia="仿宋" w:cs="仿宋"/>
          <w:color w:val="000000"/>
          <w:sz w:val="24"/>
          <w:szCs w:val="24"/>
          <w:u w:val="none"/>
        </w:rPr>
        <w:t>（1）信誉等其他评分因素：见评标办法前附表；</w:t>
      </w:r>
      <w:bookmarkEnd w:id="1315"/>
      <w:bookmarkEnd w:id="1316"/>
    </w:p>
    <w:p>
      <w:pPr>
        <w:pStyle w:val="124"/>
        <w:ind w:firstLine="720"/>
        <w:outlineLvl w:val="9"/>
        <w:rPr>
          <w:rFonts w:hint="eastAsia" w:ascii="仿宋" w:hAnsi="仿宋" w:eastAsia="仿宋" w:cs="仿宋"/>
          <w:color w:val="000000"/>
          <w:sz w:val="24"/>
          <w:szCs w:val="24"/>
          <w:u w:val="none"/>
        </w:rPr>
      </w:pPr>
      <w:bookmarkStart w:id="1317" w:name="_Toc14455"/>
      <w:bookmarkStart w:id="1318" w:name="_Toc2387"/>
      <w:r>
        <w:rPr>
          <w:rFonts w:hint="eastAsia" w:ascii="仿宋" w:hAnsi="仿宋" w:eastAsia="仿宋" w:cs="仿宋"/>
          <w:color w:val="000000"/>
          <w:sz w:val="24"/>
          <w:szCs w:val="24"/>
          <w:u w:val="none"/>
        </w:rPr>
        <w:t>（2）投标报价：见评标办法前附表；</w:t>
      </w:r>
      <w:bookmarkEnd w:id="1317"/>
      <w:bookmarkEnd w:id="1318"/>
    </w:p>
    <w:p>
      <w:pPr>
        <w:pStyle w:val="124"/>
        <w:ind w:firstLine="720"/>
        <w:outlineLvl w:val="9"/>
        <w:rPr>
          <w:rFonts w:hint="eastAsia" w:ascii="仿宋" w:hAnsi="仿宋" w:eastAsia="仿宋" w:cs="仿宋"/>
          <w:color w:val="000000"/>
          <w:sz w:val="24"/>
          <w:szCs w:val="24"/>
          <w:u w:val="none"/>
        </w:rPr>
      </w:pPr>
      <w:bookmarkStart w:id="1319" w:name="_Toc10988"/>
      <w:bookmarkStart w:id="1320" w:name="_Toc31301"/>
      <w:r>
        <w:rPr>
          <w:rFonts w:hint="eastAsia" w:ascii="仿宋" w:hAnsi="仿宋" w:eastAsia="仿宋" w:cs="仿宋"/>
          <w:color w:val="000000"/>
          <w:sz w:val="24"/>
          <w:szCs w:val="24"/>
          <w:u w:val="none"/>
        </w:rPr>
        <w:t>（3）不良行为记录扣分：见评标办法前附表。</w:t>
      </w:r>
      <w:bookmarkEnd w:id="1319"/>
      <w:bookmarkEnd w:id="1320"/>
    </w:p>
    <w:p>
      <w:pPr>
        <w:pStyle w:val="124"/>
        <w:ind w:firstLine="720"/>
        <w:outlineLvl w:val="9"/>
        <w:rPr>
          <w:rFonts w:hint="eastAsia" w:ascii="仿宋" w:hAnsi="仿宋" w:eastAsia="仿宋" w:cs="仿宋"/>
          <w:color w:val="000000"/>
          <w:sz w:val="24"/>
          <w:szCs w:val="24"/>
          <w:u w:val="none"/>
        </w:rPr>
      </w:pPr>
      <w:bookmarkStart w:id="1321" w:name="_Toc1113"/>
      <w:bookmarkStart w:id="1322" w:name="_Toc803"/>
      <w:r>
        <w:rPr>
          <w:rFonts w:hint="eastAsia" w:ascii="仿宋" w:hAnsi="仿宋" w:eastAsia="仿宋" w:cs="仿宋"/>
          <w:color w:val="000000"/>
          <w:sz w:val="24"/>
          <w:szCs w:val="24"/>
          <w:u w:val="none"/>
        </w:rPr>
        <w:t>2.2.2  评标基准价计算</w:t>
      </w:r>
      <w:bookmarkEnd w:id="1321"/>
      <w:bookmarkEnd w:id="1322"/>
    </w:p>
    <w:p>
      <w:pPr>
        <w:pStyle w:val="124"/>
        <w:ind w:firstLine="720"/>
        <w:outlineLvl w:val="9"/>
        <w:rPr>
          <w:rFonts w:hint="eastAsia" w:ascii="仿宋" w:hAnsi="仿宋" w:eastAsia="仿宋" w:cs="仿宋"/>
          <w:color w:val="000000"/>
          <w:sz w:val="24"/>
          <w:u w:val="none"/>
        </w:rPr>
      </w:pPr>
      <w:r>
        <w:rPr>
          <w:rFonts w:hint="eastAsia" w:ascii="仿宋" w:hAnsi="仿宋" w:eastAsia="仿宋" w:cs="仿宋"/>
          <w:color w:val="000000"/>
          <w:sz w:val="24"/>
          <w:u w:val="none"/>
        </w:rPr>
        <w:t>（1）投标</w:t>
      </w:r>
      <w:r>
        <w:rPr>
          <w:rFonts w:hint="eastAsia" w:ascii="仿宋" w:hAnsi="仿宋" w:eastAsia="仿宋" w:cs="仿宋"/>
          <w:color w:val="000000"/>
          <w:sz w:val="24"/>
          <w:szCs w:val="24"/>
          <w:u w:val="none"/>
        </w:rPr>
        <w:t>报价</w:t>
      </w:r>
      <w:r>
        <w:rPr>
          <w:rFonts w:hint="eastAsia" w:ascii="仿宋" w:hAnsi="仿宋" w:eastAsia="仿宋" w:cs="仿宋"/>
          <w:color w:val="000000"/>
          <w:sz w:val="24"/>
          <w:u w:val="none"/>
        </w:rPr>
        <w:t>得分，基本分100分</w:t>
      </w:r>
    </w:p>
    <w:p>
      <w:pPr>
        <w:pStyle w:val="124"/>
        <w:ind w:firstLine="720"/>
        <w:outlineLvl w:val="9"/>
        <w:rPr>
          <w:rFonts w:hint="eastAsia" w:ascii="仿宋" w:hAnsi="仿宋" w:eastAsia="仿宋" w:cs="仿宋"/>
          <w:color w:val="000000"/>
          <w:sz w:val="24"/>
          <w:szCs w:val="24"/>
          <w:u w:val="none"/>
        </w:rPr>
      </w:pPr>
      <w:r>
        <w:rPr>
          <w:rFonts w:hint="eastAsia" w:ascii="仿宋" w:hAnsi="仿宋" w:eastAsia="仿宋" w:cs="仿宋"/>
          <w:color w:val="000000"/>
          <w:sz w:val="24"/>
          <w:szCs w:val="24"/>
          <w:u w:val="none"/>
        </w:rPr>
        <w:t>（2）基准价：Y=A</w:t>
      </w:r>
    </w:p>
    <w:p>
      <w:pPr>
        <w:pStyle w:val="124"/>
        <w:ind w:firstLine="720"/>
        <w:outlineLvl w:val="9"/>
        <w:rPr>
          <w:rFonts w:hint="eastAsia" w:ascii="仿宋" w:hAnsi="仿宋" w:eastAsia="仿宋" w:cs="仿宋"/>
          <w:color w:val="000000"/>
          <w:sz w:val="24"/>
          <w:szCs w:val="24"/>
          <w:u w:val="none"/>
        </w:rPr>
      </w:pPr>
      <w:r>
        <w:rPr>
          <w:rFonts w:hint="eastAsia" w:ascii="仿宋" w:hAnsi="仿宋" w:eastAsia="仿宋" w:cs="仿宋"/>
          <w:color w:val="000000"/>
          <w:sz w:val="24"/>
          <w:szCs w:val="24"/>
          <w:u w:val="none"/>
        </w:rPr>
        <w:t>其中：A——进入详细评审的有效投标报价中，未偏离X（1±10%）的报价的算术平均值</w:t>
      </w:r>
    </w:p>
    <w:p>
      <w:pPr>
        <w:pStyle w:val="124"/>
        <w:ind w:firstLine="720"/>
        <w:outlineLvl w:val="9"/>
        <w:rPr>
          <w:rFonts w:hint="eastAsia" w:ascii="仿宋" w:hAnsi="仿宋" w:eastAsia="仿宋" w:cs="仿宋"/>
          <w:color w:val="000000"/>
          <w:sz w:val="24"/>
          <w:szCs w:val="24"/>
          <w:u w:val="none"/>
        </w:rPr>
      </w:pPr>
      <w:r>
        <w:rPr>
          <w:rFonts w:hint="eastAsia" w:ascii="仿宋" w:hAnsi="仿宋" w:eastAsia="仿宋" w:cs="仿宋"/>
          <w:color w:val="000000"/>
          <w:sz w:val="24"/>
          <w:szCs w:val="24"/>
          <w:u w:val="none"/>
        </w:rPr>
        <w:t>X——进入详细评审的有效投标报价的算术平均值</w:t>
      </w:r>
    </w:p>
    <w:p>
      <w:pPr>
        <w:pStyle w:val="124"/>
        <w:ind w:firstLine="720"/>
        <w:outlineLvl w:val="9"/>
        <w:rPr>
          <w:rFonts w:hint="eastAsia" w:ascii="仿宋" w:hAnsi="仿宋" w:eastAsia="仿宋" w:cs="仿宋"/>
          <w:color w:val="000000"/>
          <w:sz w:val="24"/>
          <w:szCs w:val="24"/>
          <w:u w:val="none"/>
        </w:rPr>
      </w:pPr>
      <w:r>
        <w:rPr>
          <w:rFonts w:hint="eastAsia" w:ascii="仿宋" w:hAnsi="仿宋" w:eastAsia="仿宋" w:cs="仿宋"/>
          <w:color w:val="000000"/>
          <w:sz w:val="24"/>
          <w:szCs w:val="24"/>
          <w:u w:val="none"/>
        </w:rPr>
        <w:t>X=（X1 +X2+……Xn-1+Xn）／n</w:t>
      </w:r>
    </w:p>
    <w:p>
      <w:pPr>
        <w:pStyle w:val="124"/>
        <w:ind w:firstLine="720"/>
        <w:outlineLvl w:val="9"/>
        <w:rPr>
          <w:rFonts w:hint="eastAsia" w:ascii="仿宋" w:hAnsi="仿宋" w:eastAsia="仿宋" w:cs="仿宋"/>
          <w:color w:val="000000"/>
          <w:sz w:val="24"/>
          <w:szCs w:val="24"/>
          <w:u w:val="none"/>
        </w:rPr>
      </w:pPr>
      <w:r>
        <w:rPr>
          <w:rFonts w:hint="eastAsia" w:ascii="仿宋" w:hAnsi="仿宋" w:eastAsia="仿宋" w:cs="仿宋"/>
          <w:color w:val="000000"/>
          <w:sz w:val="24"/>
          <w:szCs w:val="24"/>
          <w:u w:val="none"/>
        </w:rPr>
        <w:t>n——进入详细评审的有效投标报价个数</w:t>
      </w:r>
    </w:p>
    <w:p>
      <w:pPr>
        <w:pStyle w:val="124"/>
        <w:ind w:firstLine="720"/>
        <w:outlineLvl w:val="9"/>
        <w:rPr>
          <w:rFonts w:hint="eastAsia" w:ascii="仿宋" w:hAnsi="仿宋" w:eastAsia="仿宋" w:cs="仿宋"/>
          <w:color w:val="000000"/>
          <w:sz w:val="24"/>
          <w:szCs w:val="24"/>
          <w:u w:val="none"/>
        </w:rPr>
      </w:pPr>
      <w:r>
        <w:rPr>
          <w:rFonts w:hint="eastAsia" w:ascii="仿宋" w:hAnsi="仿宋" w:eastAsia="仿宋" w:cs="仿宋"/>
          <w:color w:val="000000"/>
          <w:sz w:val="24"/>
          <w:szCs w:val="24"/>
          <w:u w:val="none"/>
        </w:rPr>
        <w:t>X1、X2、Xn-1、Xn——进入详细评审的有效投标报价</w:t>
      </w:r>
    </w:p>
    <w:p>
      <w:pPr>
        <w:pStyle w:val="124"/>
        <w:ind w:firstLine="720"/>
        <w:outlineLvl w:val="9"/>
        <w:rPr>
          <w:rFonts w:hint="eastAsia" w:ascii="仿宋" w:hAnsi="仿宋" w:eastAsia="仿宋" w:cs="仿宋"/>
          <w:color w:val="000000"/>
          <w:sz w:val="24"/>
          <w:szCs w:val="24"/>
          <w:u w:val="none"/>
        </w:rPr>
      </w:pPr>
      <w:r>
        <w:rPr>
          <w:rFonts w:hint="eastAsia" w:ascii="仿宋" w:hAnsi="仿宋" w:eastAsia="仿宋" w:cs="仿宋"/>
          <w:color w:val="000000"/>
          <w:sz w:val="24"/>
          <w:szCs w:val="24"/>
          <w:u w:val="none"/>
        </w:rPr>
        <w:t xml:space="preserve">（3）经评审的最低投标价，为进入详细评审的有效投标报价中大于或者等于X（1-P%）的投标报价中的最低报价，其中，P值为4≤P≤6 。招标人可以根据招标项目具体情况确定取值范围，并在招标文件中明确。 </w:t>
      </w:r>
    </w:p>
    <w:p>
      <w:pPr>
        <w:pStyle w:val="124"/>
        <w:ind w:firstLine="720"/>
        <w:outlineLvl w:val="9"/>
        <w:rPr>
          <w:rFonts w:hint="eastAsia" w:ascii="仿宋" w:hAnsi="仿宋" w:eastAsia="仿宋" w:cs="仿宋"/>
          <w:color w:val="000000"/>
          <w:sz w:val="24"/>
          <w:u w:val="none"/>
        </w:rPr>
      </w:pPr>
      <w:r>
        <w:rPr>
          <w:rFonts w:hint="eastAsia" w:ascii="仿宋" w:hAnsi="仿宋" w:eastAsia="仿宋" w:cs="仿宋"/>
          <w:color w:val="000000"/>
          <w:sz w:val="24"/>
          <w:u w:val="none"/>
        </w:rPr>
        <w:t>（4）投标报价＜经评审的最低投标价的，其报价分为0。</w:t>
      </w:r>
    </w:p>
    <w:p>
      <w:pPr>
        <w:pStyle w:val="124"/>
        <w:ind w:firstLine="720"/>
        <w:outlineLvl w:val="9"/>
        <w:rPr>
          <w:rFonts w:hint="eastAsia" w:ascii="仿宋" w:hAnsi="仿宋" w:eastAsia="仿宋" w:cs="仿宋"/>
          <w:color w:val="000000"/>
          <w:sz w:val="24"/>
          <w:szCs w:val="24"/>
          <w:u w:val="none"/>
        </w:rPr>
      </w:pPr>
    </w:p>
    <w:p>
      <w:pPr>
        <w:pStyle w:val="124"/>
        <w:ind w:firstLine="720"/>
        <w:outlineLvl w:val="9"/>
        <w:rPr>
          <w:rFonts w:hint="eastAsia" w:ascii="仿宋" w:hAnsi="仿宋" w:eastAsia="仿宋" w:cs="仿宋"/>
          <w:color w:val="000000"/>
          <w:sz w:val="24"/>
          <w:szCs w:val="24"/>
          <w:u w:val="none"/>
        </w:rPr>
      </w:pPr>
      <w:bookmarkStart w:id="1323" w:name="_Toc1901"/>
      <w:bookmarkStart w:id="1324" w:name="_Toc15307"/>
      <w:r>
        <w:rPr>
          <w:rFonts w:hint="eastAsia" w:ascii="仿宋" w:hAnsi="仿宋" w:eastAsia="仿宋" w:cs="仿宋"/>
          <w:color w:val="000000"/>
          <w:sz w:val="24"/>
          <w:szCs w:val="24"/>
          <w:u w:val="none"/>
        </w:rPr>
        <w:t>2.2.3  投标报价的偏差率计算</w:t>
      </w:r>
      <w:bookmarkEnd w:id="1323"/>
      <w:bookmarkEnd w:id="1324"/>
    </w:p>
    <w:p>
      <w:pPr>
        <w:rPr>
          <w:rFonts w:hint="eastAsia"/>
          <w:color w:val="000000"/>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2"/>
        <w:gridCol w:w="1794"/>
        <w:gridCol w:w="1791"/>
        <w:gridCol w:w="4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2" w:type="dxa"/>
            <w:noWrap w:val="0"/>
            <w:vAlign w:val="center"/>
          </w:tcPr>
          <w:p>
            <w:pPr>
              <w:spacing w:line="240" w:lineRule="exact"/>
              <w:jc w:val="center"/>
              <w:rPr>
                <w:rFonts w:hint="eastAsia" w:ascii="仿宋" w:hAnsi="仿宋" w:eastAsia="仿宋" w:cs="仿宋"/>
                <w:color w:val="000000"/>
                <w:sz w:val="18"/>
                <w:szCs w:val="18"/>
              </w:rPr>
            </w:pPr>
            <w:r>
              <w:rPr>
                <w:rFonts w:hint="eastAsia" w:ascii="仿宋" w:hAnsi="仿宋" w:eastAsia="仿宋" w:cs="仿宋"/>
                <w:color w:val="000000"/>
                <w:sz w:val="18"/>
                <w:szCs w:val="18"/>
              </w:rPr>
              <w:t>序号</w:t>
            </w:r>
          </w:p>
        </w:tc>
        <w:tc>
          <w:tcPr>
            <w:tcW w:w="1794" w:type="dxa"/>
            <w:noWrap w:val="0"/>
            <w:vAlign w:val="center"/>
          </w:tcPr>
          <w:p>
            <w:pPr>
              <w:ind w:firstLine="720" w:firstLineChars="400"/>
              <w:rPr>
                <w:rFonts w:hint="eastAsia" w:ascii="仿宋" w:hAnsi="仿宋" w:eastAsia="仿宋" w:cs="仿宋"/>
                <w:color w:val="000000"/>
              </w:rPr>
            </w:pPr>
            <w:r>
              <w:rPr>
                <w:rFonts w:hint="eastAsia" w:ascii="仿宋" w:hAnsi="仿宋" w:eastAsia="仿宋" w:cs="仿宋"/>
                <w:color w:val="000000"/>
                <w:sz w:val="18"/>
                <w:szCs w:val="21"/>
              </w:rPr>
              <w:t>评审标准</w:t>
            </w:r>
          </w:p>
        </w:tc>
        <w:tc>
          <w:tcPr>
            <w:tcW w:w="1791" w:type="dxa"/>
            <w:noWrap w:val="0"/>
            <w:vAlign w:val="center"/>
          </w:tcPr>
          <w:p>
            <w:pPr>
              <w:jc w:val="center"/>
              <w:rPr>
                <w:rFonts w:hint="eastAsia" w:ascii="仿宋" w:hAnsi="仿宋" w:eastAsia="仿宋" w:cs="仿宋"/>
                <w:color w:val="000000"/>
              </w:rPr>
            </w:pPr>
            <w:r>
              <w:rPr>
                <w:rFonts w:hint="eastAsia" w:ascii="仿宋" w:hAnsi="仿宋" w:eastAsia="仿宋" w:cs="仿宋"/>
                <w:color w:val="000000"/>
                <w:sz w:val="18"/>
                <w:szCs w:val="21"/>
              </w:rPr>
              <w:t>计分方式</w:t>
            </w:r>
          </w:p>
        </w:tc>
        <w:tc>
          <w:tcPr>
            <w:tcW w:w="4368" w:type="dxa"/>
            <w:noWrap w:val="0"/>
            <w:vAlign w:val="top"/>
          </w:tcPr>
          <w:p>
            <w:pPr>
              <w:pStyle w:val="2"/>
              <w:rPr>
                <w:rFonts w:hint="eastAsia" w:ascii="仿宋" w:hAnsi="仿宋" w:eastAsia="仿宋" w:cs="仿宋"/>
                <w:color w:val="000000"/>
                <w:lang w:val="en-US" w:eastAsia="zh-CN"/>
              </w:rPr>
            </w:pPr>
            <w:r>
              <w:rPr>
                <w:rFonts w:hint="eastAsia" w:ascii="仿宋" w:hAnsi="仿宋" w:eastAsia="仿宋" w:cs="仿宋"/>
                <w:color w:val="000000"/>
                <w:sz w:val="18"/>
                <w:szCs w:val="21"/>
                <w:lang w:val="en-US" w:eastAsia="zh-CN"/>
              </w:rPr>
              <w:t>偏差率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2" w:type="dxa"/>
            <w:vMerge w:val="restart"/>
            <w:noWrap w:val="0"/>
            <w:vAlign w:val="center"/>
          </w:tcPr>
          <w:p>
            <w:pPr>
              <w:spacing w:line="240" w:lineRule="exact"/>
              <w:jc w:val="center"/>
              <w:rPr>
                <w:rFonts w:hint="eastAsia" w:ascii="仿宋" w:hAnsi="仿宋" w:eastAsia="仿宋" w:cs="仿宋"/>
                <w:color w:val="000000"/>
                <w:sz w:val="18"/>
                <w:szCs w:val="18"/>
              </w:rPr>
            </w:pPr>
            <w:r>
              <w:rPr>
                <w:rFonts w:hint="eastAsia" w:ascii="仿宋" w:hAnsi="仿宋" w:eastAsia="仿宋" w:cs="仿宋"/>
                <w:color w:val="000000"/>
                <w:sz w:val="18"/>
                <w:szCs w:val="18"/>
              </w:rPr>
              <w:t>2.2.3  投标报价的偏差率计算</w:t>
            </w:r>
          </w:p>
          <w:p>
            <w:pPr>
              <w:spacing w:line="240" w:lineRule="exact"/>
              <w:jc w:val="center"/>
              <w:rPr>
                <w:rFonts w:hint="eastAsia" w:ascii="仿宋" w:hAnsi="仿宋" w:eastAsia="仿宋" w:cs="仿宋"/>
                <w:color w:val="000000"/>
                <w:sz w:val="18"/>
                <w:szCs w:val="18"/>
              </w:rPr>
            </w:pPr>
          </w:p>
        </w:tc>
        <w:tc>
          <w:tcPr>
            <w:tcW w:w="1794" w:type="dxa"/>
            <w:noWrap w:val="0"/>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sz w:val="18"/>
                <w:szCs w:val="18"/>
              </w:rPr>
              <w:t>投标报价＞基准价</w:t>
            </w:r>
          </w:p>
        </w:tc>
        <w:tc>
          <w:tcPr>
            <w:tcW w:w="1791" w:type="dxa"/>
            <w:noWrap w:val="0"/>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sz w:val="18"/>
                <w:szCs w:val="18"/>
              </w:rPr>
              <w:t>100-0.5×100L</w:t>
            </w:r>
            <w:r>
              <w:rPr>
                <w:rFonts w:hint="eastAsia" w:ascii="仿宋" w:hAnsi="仿宋" w:eastAsia="仿宋" w:cs="仿宋"/>
                <w:color w:val="000000"/>
                <w:sz w:val="18"/>
                <w:szCs w:val="18"/>
                <w:vertAlign w:val="subscript"/>
              </w:rPr>
              <w:t>1</w:t>
            </w:r>
            <w:r>
              <w:rPr>
                <w:rFonts w:hint="eastAsia" w:ascii="仿宋" w:hAnsi="仿宋" w:eastAsia="仿宋" w:cs="仿宋"/>
                <w:color w:val="000000"/>
                <w:sz w:val="18"/>
                <w:szCs w:val="18"/>
              </w:rPr>
              <w:t>-100 L</w:t>
            </w:r>
            <w:r>
              <w:rPr>
                <w:rFonts w:hint="eastAsia" w:ascii="仿宋" w:hAnsi="仿宋" w:eastAsia="仿宋" w:cs="仿宋"/>
                <w:color w:val="000000"/>
                <w:sz w:val="18"/>
                <w:szCs w:val="18"/>
                <w:vertAlign w:val="subscript"/>
              </w:rPr>
              <w:t>2</w:t>
            </w:r>
          </w:p>
        </w:tc>
        <w:tc>
          <w:tcPr>
            <w:tcW w:w="4368" w:type="dxa"/>
            <w:vMerge w:val="restart"/>
            <w:noWrap w:val="0"/>
            <w:vAlign w:val="top"/>
          </w:tcPr>
          <w:p>
            <w:pPr>
              <w:spacing w:before="120" w:beforeLines="50" w:line="240" w:lineRule="exact"/>
              <w:ind w:firstLine="180" w:firstLineChars="100"/>
              <w:rPr>
                <w:rFonts w:hint="eastAsia" w:ascii="仿宋" w:hAnsi="仿宋" w:eastAsia="仿宋" w:cs="仿宋"/>
                <w:color w:val="000000"/>
                <w:sz w:val="18"/>
                <w:szCs w:val="18"/>
              </w:rPr>
            </w:pPr>
            <w:r>
              <w:rPr>
                <w:rFonts w:hint="eastAsia" w:ascii="仿宋" w:hAnsi="仿宋" w:eastAsia="仿宋" w:cs="仿宋"/>
                <w:color w:val="000000"/>
                <w:sz w:val="18"/>
                <w:szCs w:val="18"/>
              </w:rPr>
              <w:t xml:space="preserve">  基准价-经评审的最低投标价</w:t>
            </w:r>
          </w:p>
          <w:p>
            <w:pPr>
              <w:spacing w:line="240" w:lineRule="exact"/>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659264" behindDoc="0" locked="0" layoutInCell="1" allowOverlap="1">
                      <wp:simplePos x="0" y="0"/>
                      <wp:positionH relativeFrom="column">
                        <wp:posOffset>254635</wp:posOffset>
                      </wp:positionH>
                      <wp:positionV relativeFrom="paragraph">
                        <wp:posOffset>78740</wp:posOffset>
                      </wp:positionV>
                      <wp:extent cx="1736090" cy="635"/>
                      <wp:effectExtent l="0" t="0" r="0" b="0"/>
                      <wp:wrapNone/>
                      <wp:docPr id="11" name="直接箭头连接符 11"/>
                      <wp:cNvGraphicFramePr/>
                      <a:graphic xmlns:a="http://schemas.openxmlformats.org/drawingml/2006/main">
                        <a:graphicData uri="http://schemas.microsoft.com/office/word/2010/wordprocessingShape">
                          <wps:wsp>
                            <wps:cNvCnPr>
                              <a:cxnSpLocks noChangeShapeType="1"/>
                            </wps:cNvCnPr>
                            <wps:spPr bwMode="auto">
                              <a:xfrm>
                                <a:off x="0" y="0"/>
                                <a:ext cx="1736090" cy="63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20.05pt;margin-top:6.2pt;height:0.05pt;width:136.7pt;z-index:251659264;mso-width-relative:page;mso-height-relative:page;" filled="f" stroked="t" coordsize="21600,21600" o:gfxdata="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erEnm1gAAAAgBAAAPAAAAAAAAAAEAIAAAACIAAABkcnMvZG93bnJldi54&#10;bWxQSwECFAAUAAAACACHTuJAlA0yAvwBAADQAwAADgAAAAAAAAABACAAAAAlAQAAZHJzL2Uyb0Rv&#10;Yy54bWxQSwUGAAAAAAYABgBZAQAAkwUAAAAA&#10;">
                      <v:fill on="f" focussize="0,0"/>
                      <v:stroke color="#000000" joinstyle="round"/>
                      <v:imagedata o:title=""/>
                      <o:lock v:ext="edit" aspectratio="f"/>
                    </v:shape>
                  </w:pict>
                </mc:Fallback>
              </mc:AlternateContent>
            </w:r>
            <w:r>
              <w:rPr>
                <w:rFonts w:hint="eastAsia" w:ascii="仿宋" w:hAnsi="仿宋" w:eastAsia="仿宋" w:cs="仿宋"/>
                <w:color w:val="000000"/>
                <w:sz w:val="18"/>
                <w:szCs w:val="18"/>
              </w:rPr>
              <w:t>L</w:t>
            </w:r>
            <w:r>
              <w:rPr>
                <w:rFonts w:hint="eastAsia" w:ascii="仿宋" w:hAnsi="仿宋" w:eastAsia="仿宋" w:cs="仿宋"/>
                <w:color w:val="000000"/>
                <w:sz w:val="18"/>
                <w:szCs w:val="18"/>
                <w:vertAlign w:val="subscript"/>
              </w:rPr>
              <w:t>1</w:t>
            </w:r>
            <w:r>
              <w:rPr>
                <w:rFonts w:hint="eastAsia" w:ascii="仿宋" w:hAnsi="仿宋" w:eastAsia="仿宋" w:cs="仿宋"/>
                <w:color w:val="000000"/>
                <w:sz w:val="18"/>
                <w:szCs w:val="18"/>
              </w:rPr>
              <w:t>＝                               ×100%</w:t>
            </w:r>
          </w:p>
          <w:p>
            <w:pPr>
              <w:spacing w:line="240" w:lineRule="exact"/>
              <w:ind w:firstLine="720" w:firstLineChars="400"/>
              <w:rPr>
                <w:rFonts w:hint="eastAsia" w:ascii="仿宋" w:hAnsi="仿宋" w:eastAsia="仿宋" w:cs="仿宋"/>
                <w:color w:val="000000"/>
                <w:sz w:val="18"/>
                <w:szCs w:val="18"/>
              </w:rPr>
            </w:pPr>
            <w:r>
              <w:rPr>
                <w:rFonts w:hint="eastAsia" w:ascii="仿宋" w:hAnsi="仿宋" w:eastAsia="仿宋" w:cs="仿宋"/>
                <w:color w:val="000000"/>
                <w:sz w:val="18"/>
                <w:szCs w:val="18"/>
              </w:rPr>
              <w:t>经评审的最低投标价</w:t>
            </w:r>
          </w:p>
          <w:p>
            <w:pPr>
              <w:spacing w:line="240" w:lineRule="exact"/>
              <w:jc w:val="left"/>
              <w:rPr>
                <w:rFonts w:hint="eastAsia" w:ascii="仿宋" w:hAnsi="仿宋" w:eastAsia="仿宋" w:cs="仿宋"/>
                <w:color w:val="000000"/>
                <w:sz w:val="18"/>
                <w:szCs w:val="18"/>
              </w:rPr>
            </w:pPr>
          </w:p>
          <w:p>
            <w:pPr>
              <w:spacing w:before="120" w:beforeLines="50" w:line="240" w:lineRule="exact"/>
              <w:ind w:firstLine="180" w:firstLineChars="100"/>
              <w:rPr>
                <w:rFonts w:hint="eastAsia" w:ascii="仿宋" w:hAnsi="仿宋" w:eastAsia="仿宋" w:cs="仿宋"/>
                <w:color w:val="000000"/>
                <w:sz w:val="18"/>
                <w:szCs w:val="18"/>
              </w:rPr>
            </w:pPr>
            <w:r>
              <w:rPr>
                <w:rFonts w:hint="eastAsia" w:ascii="仿宋" w:hAnsi="仿宋" w:eastAsia="仿宋" w:cs="仿宋"/>
                <w:color w:val="000000"/>
                <w:sz w:val="18"/>
                <w:szCs w:val="18"/>
              </w:rPr>
              <w:t xml:space="preserve">       投标报价-基准价</w:t>
            </w:r>
          </w:p>
          <w:p>
            <w:pPr>
              <w:spacing w:line="240" w:lineRule="exact"/>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660288" behindDoc="0" locked="0" layoutInCell="1" allowOverlap="1">
                      <wp:simplePos x="0" y="0"/>
                      <wp:positionH relativeFrom="column">
                        <wp:posOffset>254635</wp:posOffset>
                      </wp:positionH>
                      <wp:positionV relativeFrom="paragraph">
                        <wp:posOffset>78740</wp:posOffset>
                      </wp:positionV>
                      <wp:extent cx="1736090" cy="635"/>
                      <wp:effectExtent l="0" t="0" r="0" b="0"/>
                      <wp:wrapNone/>
                      <wp:docPr id="12" name="直接箭头连接符 12"/>
                      <wp:cNvGraphicFramePr/>
                      <a:graphic xmlns:a="http://schemas.openxmlformats.org/drawingml/2006/main">
                        <a:graphicData uri="http://schemas.microsoft.com/office/word/2010/wordprocessingShape">
                          <wps:wsp>
                            <wps:cNvCnPr>
                              <a:cxnSpLocks noChangeShapeType="1"/>
                            </wps:cNvCnPr>
                            <wps:spPr bwMode="auto">
                              <a:xfrm>
                                <a:off x="0" y="0"/>
                                <a:ext cx="1736090" cy="63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20.05pt;margin-top:6.2pt;height:0.05pt;width:136.7pt;z-index:251660288;mso-width-relative:page;mso-height-relative:page;" filled="f" stroked="t" coordsize="21600,21600" o:gfxdata="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6sSebWAAAACAEAAA8AAAAAAAAAAQAgAAAAIgAAAGRycy9kb3ducmV2&#10;LnhtbFBLAQIUABQAAAAIAIdO4kBnst0O/gEAANADAAAOAAAAAAAAAAEAIAAAACUBAABkcnMvZTJv&#10;RG9jLnhtbFBLBQYAAAAABgAGAFkBAACVBQAAAAA=&#10;">
                      <v:fill on="f" focussize="0,0"/>
                      <v:stroke color="#000000" joinstyle="round"/>
                      <v:imagedata o:title=""/>
                      <o:lock v:ext="edit" aspectratio="f"/>
                    </v:shape>
                  </w:pict>
                </mc:Fallback>
              </mc:AlternateContent>
            </w:r>
            <w:r>
              <w:rPr>
                <w:rFonts w:hint="eastAsia" w:ascii="仿宋" w:hAnsi="仿宋" w:eastAsia="仿宋" w:cs="仿宋"/>
                <w:color w:val="000000"/>
                <w:sz w:val="18"/>
                <w:szCs w:val="18"/>
              </w:rPr>
              <w:t>L</w:t>
            </w:r>
            <w:r>
              <w:rPr>
                <w:rFonts w:hint="eastAsia" w:ascii="仿宋" w:hAnsi="仿宋" w:eastAsia="仿宋" w:cs="仿宋"/>
                <w:color w:val="000000"/>
                <w:sz w:val="18"/>
                <w:szCs w:val="18"/>
                <w:vertAlign w:val="subscript"/>
              </w:rPr>
              <w:t>2</w:t>
            </w:r>
            <w:r>
              <w:rPr>
                <w:rFonts w:hint="eastAsia" w:ascii="仿宋" w:hAnsi="仿宋" w:eastAsia="仿宋" w:cs="仿宋"/>
                <w:color w:val="000000"/>
                <w:sz w:val="18"/>
                <w:szCs w:val="18"/>
              </w:rPr>
              <w:t>＝                               ×100%</w:t>
            </w:r>
          </w:p>
          <w:p>
            <w:pPr>
              <w:spacing w:line="240" w:lineRule="exact"/>
              <w:ind w:firstLine="720" w:firstLineChars="400"/>
              <w:rPr>
                <w:rFonts w:hint="eastAsia" w:ascii="仿宋" w:hAnsi="仿宋" w:eastAsia="仿宋" w:cs="仿宋"/>
                <w:color w:val="000000"/>
                <w:sz w:val="18"/>
                <w:szCs w:val="18"/>
              </w:rPr>
            </w:pPr>
            <w:r>
              <w:rPr>
                <w:rFonts w:hint="eastAsia" w:ascii="仿宋" w:hAnsi="仿宋" w:eastAsia="仿宋" w:cs="仿宋"/>
                <w:color w:val="000000"/>
                <w:sz w:val="18"/>
                <w:szCs w:val="18"/>
              </w:rPr>
              <w:t>经评审的最低投标价</w:t>
            </w:r>
          </w:p>
          <w:p>
            <w:pPr>
              <w:spacing w:line="240" w:lineRule="exact"/>
              <w:ind w:firstLine="720" w:firstLineChars="400"/>
              <w:rPr>
                <w:rFonts w:hint="eastAsia" w:ascii="仿宋" w:hAnsi="仿宋" w:eastAsia="仿宋" w:cs="仿宋"/>
                <w:color w:val="000000"/>
                <w:sz w:val="18"/>
                <w:szCs w:val="18"/>
              </w:rPr>
            </w:pPr>
          </w:p>
          <w:p>
            <w:pPr>
              <w:spacing w:before="120" w:beforeLines="50" w:line="240" w:lineRule="exact"/>
              <w:ind w:firstLine="180" w:firstLineChars="100"/>
              <w:rPr>
                <w:rFonts w:hint="eastAsia" w:ascii="仿宋" w:hAnsi="仿宋" w:eastAsia="仿宋" w:cs="仿宋"/>
                <w:color w:val="000000"/>
                <w:sz w:val="18"/>
                <w:szCs w:val="18"/>
              </w:rPr>
            </w:pPr>
            <w:r>
              <w:rPr>
                <w:rFonts w:hint="eastAsia" w:ascii="仿宋" w:hAnsi="仿宋" w:eastAsia="仿宋" w:cs="仿宋"/>
                <w:color w:val="000000"/>
                <w:sz w:val="18"/>
                <w:szCs w:val="18"/>
              </w:rPr>
              <w:t xml:space="preserve"> 投标报价-经评审的最低投标价</w:t>
            </w:r>
          </w:p>
          <w:p>
            <w:pPr>
              <w:spacing w:line="240" w:lineRule="exact"/>
              <w:rPr>
                <w:rFonts w:hint="eastAsia" w:ascii="仿宋" w:hAnsi="仿宋" w:eastAsia="仿宋" w:cs="仿宋"/>
                <w:color w:val="000000"/>
                <w:sz w:val="18"/>
                <w:szCs w:val="18"/>
              </w:rPr>
            </w:pPr>
            <w:r>
              <w:rPr>
                <w:rFonts w:hint="eastAsia" w:ascii="仿宋" w:hAnsi="仿宋" w:eastAsia="仿宋" w:cs="仿宋"/>
                <w:color w:val="000000"/>
                <w:sz w:val="18"/>
                <w:szCs w:val="18"/>
              </w:rPr>
              <mc:AlternateContent>
                <mc:Choice Requires="wps">
                  <w:drawing>
                    <wp:anchor distT="0" distB="0" distL="114300" distR="114300" simplePos="0" relativeHeight="251661312" behindDoc="0" locked="0" layoutInCell="1" allowOverlap="1">
                      <wp:simplePos x="0" y="0"/>
                      <wp:positionH relativeFrom="column">
                        <wp:posOffset>254635</wp:posOffset>
                      </wp:positionH>
                      <wp:positionV relativeFrom="paragraph">
                        <wp:posOffset>78740</wp:posOffset>
                      </wp:positionV>
                      <wp:extent cx="1736090" cy="635"/>
                      <wp:effectExtent l="0" t="0" r="0" b="0"/>
                      <wp:wrapNone/>
                      <wp:docPr id="13" name="直接箭头连接符 13"/>
                      <wp:cNvGraphicFramePr/>
                      <a:graphic xmlns:a="http://schemas.openxmlformats.org/drawingml/2006/main">
                        <a:graphicData uri="http://schemas.microsoft.com/office/word/2010/wordprocessingShape">
                          <wps:wsp>
                            <wps:cNvCnPr>
                              <a:cxnSpLocks noChangeShapeType="1"/>
                            </wps:cNvCnPr>
                            <wps:spPr bwMode="auto">
                              <a:xfrm>
                                <a:off x="0" y="0"/>
                                <a:ext cx="1736090" cy="63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20.05pt;margin-top:6.2pt;height:0.05pt;width:136.7pt;z-index:251661312;mso-width-relative:page;mso-height-relative:page;" filled="f" stroked="t" coordsize="21600,21600" o:gfxdata="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qxJ5tYAAAAIAQAADwAAAAAAAAABACAAAAAiAAAAZHJzL2Rvd25yZXYu&#10;eG1sUEsBAhQAFAAAAAgAh07iQDYnhwr9AQAA0AMAAA4AAAAAAAAAAQAgAAAAJQEAAGRycy9lMm9E&#10;b2MueG1sUEsFBgAAAAAGAAYAWQEAAJQFAAAAAA==&#10;">
                      <v:fill on="f" focussize="0,0"/>
                      <v:stroke color="#000000" joinstyle="round"/>
                      <v:imagedata o:title=""/>
                      <o:lock v:ext="edit" aspectratio="f"/>
                    </v:shape>
                  </w:pict>
                </mc:Fallback>
              </mc:AlternateContent>
            </w:r>
            <w:r>
              <w:rPr>
                <w:rFonts w:hint="eastAsia" w:ascii="仿宋" w:hAnsi="仿宋" w:eastAsia="仿宋" w:cs="仿宋"/>
                <w:color w:val="000000"/>
                <w:sz w:val="18"/>
                <w:szCs w:val="18"/>
              </w:rPr>
              <w:t>L</w:t>
            </w:r>
            <w:r>
              <w:rPr>
                <w:rFonts w:hint="eastAsia" w:ascii="仿宋" w:hAnsi="仿宋" w:eastAsia="仿宋" w:cs="仿宋"/>
                <w:color w:val="000000"/>
                <w:sz w:val="18"/>
                <w:szCs w:val="18"/>
                <w:vertAlign w:val="subscript"/>
              </w:rPr>
              <w:t>3</w:t>
            </w:r>
            <w:r>
              <w:rPr>
                <w:rFonts w:hint="eastAsia" w:ascii="仿宋" w:hAnsi="仿宋" w:eastAsia="仿宋" w:cs="仿宋"/>
                <w:color w:val="000000"/>
                <w:sz w:val="18"/>
                <w:szCs w:val="18"/>
              </w:rPr>
              <w:t>＝                                ×100%</w:t>
            </w:r>
          </w:p>
          <w:p>
            <w:pPr>
              <w:pStyle w:val="2"/>
              <w:ind w:firstLine="720" w:firstLineChars="400"/>
              <w:rPr>
                <w:rFonts w:hint="eastAsia" w:ascii="仿宋" w:hAnsi="仿宋" w:eastAsia="仿宋" w:cs="仿宋"/>
                <w:color w:val="000000"/>
                <w:lang w:val="en-US" w:eastAsia="zh-CN"/>
              </w:rPr>
            </w:pPr>
            <w:r>
              <w:rPr>
                <w:rFonts w:hint="eastAsia" w:ascii="仿宋" w:hAnsi="仿宋" w:eastAsia="仿宋" w:cs="仿宋"/>
                <w:color w:val="000000"/>
                <w:sz w:val="18"/>
                <w:szCs w:val="18"/>
                <w:lang w:val="en-US" w:eastAsia="zh-CN"/>
              </w:rPr>
              <w:t>经评审的最低投标价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2" w:type="dxa"/>
            <w:vMerge w:val="continue"/>
            <w:noWrap w:val="0"/>
            <w:vAlign w:val="top"/>
          </w:tcPr>
          <w:p>
            <w:pPr>
              <w:pStyle w:val="2"/>
              <w:rPr>
                <w:rFonts w:hint="eastAsia" w:ascii="仿宋" w:hAnsi="仿宋" w:eastAsia="仿宋" w:cs="仿宋"/>
                <w:color w:val="000000"/>
                <w:lang w:val="en-US" w:eastAsia="zh-CN"/>
              </w:rPr>
            </w:pPr>
          </w:p>
        </w:tc>
        <w:tc>
          <w:tcPr>
            <w:tcW w:w="1794" w:type="dxa"/>
            <w:noWrap w:val="0"/>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sz w:val="18"/>
                <w:szCs w:val="18"/>
              </w:rPr>
              <w:t>投标报价＝经评审的最低投标价</w:t>
            </w:r>
          </w:p>
        </w:tc>
        <w:tc>
          <w:tcPr>
            <w:tcW w:w="1791" w:type="dxa"/>
            <w:noWrap w:val="0"/>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sz w:val="18"/>
                <w:szCs w:val="18"/>
              </w:rPr>
              <w:t>100</w:t>
            </w:r>
          </w:p>
        </w:tc>
        <w:tc>
          <w:tcPr>
            <w:tcW w:w="4368" w:type="dxa"/>
            <w:vMerge w:val="continue"/>
            <w:noWrap w:val="0"/>
            <w:vAlign w:val="top"/>
          </w:tcPr>
          <w:p>
            <w:pPr>
              <w:pStyle w:val="2"/>
              <w:rPr>
                <w:color w:val="00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2" w:type="dxa"/>
            <w:vMerge w:val="continue"/>
            <w:noWrap w:val="0"/>
            <w:vAlign w:val="top"/>
          </w:tcPr>
          <w:p>
            <w:pPr>
              <w:pStyle w:val="2"/>
              <w:rPr>
                <w:rFonts w:hint="eastAsia" w:ascii="仿宋" w:hAnsi="仿宋" w:eastAsia="仿宋" w:cs="仿宋"/>
                <w:color w:val="000000"/>
                <w:lang w:val="en-US" w:eastAsia="zh-CN"/>
              </w:rPr>
            </w:pPr>
          </w:p>
        </w:tc>
        <w:tc>
          <w:tcPr>
            <w:tcW w:w="1794" w:type="dxa"/>
            <w:noWrap w:val="0"/>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sz w:val="18"/>
                <w:szCs w:val="18"/>
              </w:rPr>
              <w:t>经评审的最低投标价＜投标报价≤基准价</w:t>
            </w:r>
          </w:p>
        </w:tc>
        <w:tc>
          <w:tcPr>
            <w:tcW w:w="1791" w:type="dxa"/>
            <w:noWrap w:val="0"/>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sz w:val="18"/>
                <w:szCs w:val="18"/>
              </w:rPr>
              <w:t>100-0.5×100L</w:t>
            </w:r>
            <w:r>
              <w:rPr>
                <w:rFonts w:hint="eastAsia" w:ascii="仿宋" w:hAnsi="仿宋" w:eastAsia="仿宋" w:cs="仿宋"/>
                <w:color w:val="000000"/>
                <w:sz w:val="18"/>
                <w:szCs w:val="18"/>
                <w:vertAlign w:val="subscript"/>
              </w:rPr>
              <w:t>3</w:t>
            </w:r>
          </w:p>
        </w:tc>
        <w:tc>
          <w:tcPr>
            <w:tcW w:w="4368" w:type="dxa"/>
            <w:vMerge w:val="continue"/>
            <w:noWrap w:val="0"/>
            <w:vAlign w:val="top"/>
          </w:tcPr>
          <w:p>
            <w:pPr>
              <w:pStyle w:val="2"/>
              <w:rPr>
                <w:color w:val="00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2" w:type="dxa"/>
            <w:vMerge w:val="continue"/>
            <w:noWrap w:val="0"/>
            <w:vAlign w:val="top"/>
          </w:tcPr>
          <w:p>
            <w:pPr>
              <w:pStyle w:val="2"/>
              <w:rPr>
                <w:rFonts w:hint="eastAsia" w:ascii="仿宋" w:hAnsi="仿宋" w:eastAsia="仿宋" w:cs="仿宋"/>
                <w:color w:val="000000"/>
                <w:lang w:val="en-US" w:eastAsia="zh-CN"/>
              </w:rPr>
            </w:pPr>
          </w:p>
        </w:tc>
        <w:tc>
          <w:tcPr>
            <w:tcW w:w="1794" w:type="dxa"/>
            <w:noWrap w:val="0"/>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sz w:val="18"/>
                <w:szCs w:val="18"/>
              </w:rPr>
              <w:t>投标报价＜经评审的最低投标价</w:t>
            </w:r>
          </w:p>
        </w:tc>
        <w:tc>
          <w:tcPr>
            <w:tcW w:w="1791" w:type="dxa"/>
            <w:noWrap w:val="0"/>
            <w:vAlign w:val="center"/>
          </w:tcPr>
          <w:p>
            <w:pPr>
              <w:spacing w:line="240" w:lineRule="exact"/>
              <w:jc w:val="center"/>
              <w:rPr>
                <w:rFonts w:hint="eastAsia" w:ascii="仿宋" w:hAnsi="仿宋" w:eastAsia="仿宋" w:cs="仿宋"/>
                <w:color w:val="000000"/>
              </w:rPr>
            </w:pPr>
            <w:r>
              <w:rPr>
                <w:rFonts w:hint="eastAsia" w:ascii="仿宋" w:hAnsi="仿宋" w:eastAsia="仿宋" w:cs="仿宋"/>
                <w:color w:val="000000"/>
                <w:szCs w:val="21"/>
              </w:rPr>
              <w:t>0</w:t>
            </w:r>
          </w:p>
        </w:tc>
        <w:tc>
          <w:tcPr>
            <w:tcW w:w="4368" w:type="dxa"/>
            <w:vMerge w:val="continue"/>
            <w:noWrap w:val="0"/>
            <w:vAlign w:val="top"/>
          </w:tcPr>
          <w:p>
            <w:pPr>
              <w:pStyle w:val="2"/>
              <w:rPr>
                <w:color w:val="000000"/>
                <w:lang w:val="en-US" w:eastAsia="zh-CN"/>
              </w:rPr>
            </w:pPr>
          </w:p>
        </w:tc>
      </w:tr>
    </w:tbl>
    <w:p>
      <w:pPr>
        <w:pStyle w:val="124"/>
        <w:ind w:firstLine="720"/>
        <w:outlineLvl w:val="9"/>
        <w:rPr>
          <w:rFonts w:hint="eastAsia" w:ascii="仿宋" w:hAnsi="仿宋" w:eastAsia="仿宋" w:cs="仿宋"/>
          <w:color w:val="000000"/>
          <w:sz w:val="24"/>
          <w:szCs w:val="24"/>
          <w:u w:val="none"/>
        </w:rPr>
      </w:pPr>
      <w:bookmarkStart w:id="1325" w:name="_Toc10096"/>
      <w:bookmarkStart w:id="1326" w:name="_Toc18416"/>
      <w:r>
        <w:rPr>
          <w:rFonts w:hint="eastAsia" w:ascii="仿宋" w:hAnsi="仿宋" w:eastAsia="仿宋" w:cs="仿宋"/>
          <w:color w:val="000000"/>
          <w:sz w:val="24"/>
          <w:szCs w:val="24"/>
          <w:u w:val="none"/>
        </w:rPr>
        <w:t>2.2.4  评分标准</w:t>
      </w:r>
      <w:bookmarkEnd w:id="1325"/>
      <w:bookmarkEnd w:id="1326"/>
    </w:p>
    <w:p>
      <w:pPr>
        <w:pStyle w:val="124"/>
        <w:ind w:firstLine="720"/>
        <w:outlineLvl w:val="9"/>
        <w:rPr>
          <w:rFonts w:hint="eastAsia" w:ascii="仿宋" w:hAnsi="仿宋" w:eastAsia="仿宋" w:cs="仿宋"/>
          <w:color w:val="000000"/>
          <w:sz w:val="24"/>
          <w:szCs w:val="24"/>
          <w:u w:val="none"/>
        </w:rPr>
      </w:pPr>
      <w:bookmarkStart w:id="1327" w:name="_Toc433"/>
      <w:bookmarkStart w:id="1328" w:name="_Toc17830"/>
      <w:r>
        <w:rPr>
          <w:rFonts w:hint="eastAsia" w:ascii="仿宋" w:hAnsi="仿宋" w:eastAsia="仿宋" w:cs="仿宋"/>
          <w:color w:val="000000"/>
          <w:sz w:val="24"/>
          <w:szCs w:val="24"/>
          <w:u w:val="none"/>
        </w:rPr>
        <w:t>（1）信誉等其他评分标准：见评标办法前附表；</w:t>
      </w:r>
      <w:bookmarkEnd w:id="1327"/>
      <w:bookmarkEnd w:id="1328"/>
    </w:p>
    <w:p>
      <w:pPr>
        <w:pStyle w:val="124"/>
        <w:ind w:firstLine="720"/>
        <w:outlineLvl w:val="9"/>
        <w:rPr>
          <w:rFonts w:hint="eastAsia" w:ascii="仿宋" w:hAnsi="仿宋" w:eastAsia="仿宋" w:cs="仿宋"/>
          <w:color w:val="000000"/>
          <w:sz w:val="24"/>
          <w:szCs w:val="24"/>
          <w:u w:val="none"/>
        </w:rPr>
      </w:pPr>
      <w:bookmarkStart w:id="1329" w:name="_Toc31813"/>
      <w:bookmarkStart w:id="1330" w:name="_Toc30786"/>
      <w:r>
        <w:rPr>
          <w:rFonts w:hint="eastAsia" w:ascii="仿宋" w:hAnsi="仿宋" w:eastAsia="仿宋" w:cs="仿宋"/>
          <w:color w:val="000000"/>
          <w:sz w:val="24"/>
          <w:szCs w:val="24"/>
          <w:u w:val="none"/>
        </w:rPr>
        <w:t>（2）投标报价评分标准：见评标办法前附表；</w:t>
      </w:r>
      <w:bookmarkEnd w:id="1329"/>
      <w:bookmarkEnd w:id="1330"/>
    </w:p>
    <w:p>
      <w:pPr>
        <w:pStyle w:val="124"/>
        <w:ind w:firstLine="720"/>
        <w:outlineLvl w:val="9"/>
        <w:rPr>
          <w:rFonts w:hint="eastAsia" w:ascii="仿宋" w:hAnsi="仿宋" w:eastAsia="仿宋" w:cs="仿宋"/>
          <w:color w:val="000000"/>
          <w:sz w:val="24"/>
          <w:szCs w:val="24"/>
          <w:u w:val="none"/>
        </w:rPr>
      </w:pPr>
      <w:bookmarkStart w:id="1331" w:name="_Toc10245"/>
      <w:bookmarkStart w:id="1332" w:name="_Toc18072"/>
      <w:r>
        <w:rPr>
          <w:rFonts w:hint="eastAsia" w:ascii="仿宋" w:hAnsi="仿宋" w:eastAsia="仿宋" w:cs="仿宋"/>
          <w:color w:val="000000"/>
          <w:sz w:val="24"/>
          <w:szCs w:val="24"/>
          <w:u w:val="none"/>
        </w:rPr>
        <w:t>（3）不良行为记录扣分：见评标办法前附表。</w:t>
      </w:r>
      <w:bookmarkEnd w:id="1331"/>
      <w:bookmarkEnd w:id="1332"/>
    </w:p>
    <w:p>
      <w:pPr>
        <w:pStyle w:val="124"/>
        <w:ind w:firstLine="723"/>
        <w:outlineLvl w:val="2"/>
        <w:rPr>
          <w:rFonts w:hint="eastAsia" w:ascii="仿宋" w:hAnsi="仿宋" w:eastAsia="仿宋" w:cs="仿宋"/>
          <w:b/>
          <w:bCs/>
          <w:color w:val="000000"/>
          <w:sz w:val="24"/>
          <w:szCs w:val="24"/>
          <w:u w:val="none"/>
        </w:rPr>
      </w:pPr>
      <w:bookmarkStart w:id="1333" w:name="_Toc8584"/>
      <w:bookmarkStart w:id="1334" w:name="_Toc30525"/>
      <w:r>
        <w:rPr>
          <w:rFonts w:hint="eastAsia" w:ascii="仿宋" w:hAnsi="仿宋" w:eastAsia="仿宋" w:cs="仿宋"/>
          <w:b/>
          <w:bCs/>
          <w:color w:val="000000"/>
          <w:sz w:val="24"/>
          <w:szCs w:val="24"/>
          <w:u w:val="none"/>
        </w:rPr>
        <w:t>3．评标程序</w:t>
      </w:r>
      <w:bookmarkEnd w:id="1333"/>
      <w:bookmarkEnd w:id="1334"/>
    </w:p>
    <w:p>
      <w:pPr>
        <w:pStyle w:val="124"/>
        <w:ind w:firstLine="720"/>
        <w:outlineLvl w:val="3"/>
        <w:rPr>
          <w:rFonts w:hint="eastAsia" w:ascii="仿宋" w:hAnsi="仿宋" w:eastAsia="仿宋" w:cs="仿宋"/>
          <w:color w:val="000000"/>
          <w:sz w:val="24"/>
          <w:szCs w:val="24"/>
          <w:u w:val="none"/>
        </w:rPr>
      </w:pPr>
      <w:bookmarkStart w:id="1335" w:name="_Toc26596"/>
      <w:bookmarkStart w:id="1336" w:name="_Toc4366"/>
      <w:r>
        <w:rPr>
          <w:rFonts w:hint="eastAsia" w:ascii="仿宋" w:hAnsi="仿宋" w:eastAsia="仿宋" w:cs="仿宋"/>
          <w:color w:val="000000"/>
          <w:sz w:val="24"/>
          <w:szCs w:val="24"/>
          <w:u w:val="none"/>
        </w:rPr>
        <w:t>3.1 初步评审</w:t>
      </w:r>
      <w:bookmarkEnd w:id="1335"/>
      <w:bookmarkEnd w:id="1336"/>
    </w:p>
    <w:p>
      <w:pPr>
        <w:pStyle w:val="124"/>
        <w:ind w:firstLine="720"/>
        <w:outlineLvl w:val="9"/>
        <w:rPr>
          <w:rFonts w:hint="eastAsia" w:ascii="仿宋" w:hAnsi="仿宋" w:eastAsia="仿宋" w:cs="仿宋"/>
          <w:color w:val="000000"/>
          <w:sz w:val="24"/>
          <w:szCs w:val="24"/>
          <w:u w:val="none"/>
        </w:rPr>
      </w:pPr>
      <w:bookmarkStart w:id="1337" w:name="_Toc2813"/>
      <w:bookmarkStart w:id="1338" w:name="_Toc14810"/>
      <w:r>
        <w:rPr>
          <w:rFonts w:hint="eastAsia" w:ascii="仿宋" w:hAnsi="仿宋" w:eastAsia="仿宋" w:cs="仿宋"/>
          <w:color w:val="000000"/>
          <w:sz w:val="24"/>
          <w:szCs w:val="24"/>
          <w:u w:val="none"/>
        </w:rPr>
        <w:t>3.1.1  评标委员会核验第二章“投标人须知”第3.5.1项至第3.5.5 项规定的有关证明和证件的原件扫描件。评标委员会依据本章第2.1款规定的标准对投标文件进行初步评审。其中：</w:t>
      </w:r>
      <w:bookmarkEnd w:id="1337"/>
      <w:bookmarkEnd w:id="1338"/>
    </w:p>
    <w:p>
      <w:pPr>
        <w:pStyle w:val="124"/>
        <w:ind w:firstLine="720"/>
        <w:outlineLvl w:val="9"/>
        <w:rPr>
          <w:rFonts w:hint="eastAsia" w:ascii="仿宋" w:hAnsi="仿宋" w:eastAsia="仿宋" w:cs="仿宋"/>
          <w:color w:val="000000"/>
          <w:sz w:val="24"/>
          <w:szCs w:val="24"/>
          <w:u w:val="none"/>
        </w:rPr>
      </w:pPr>
      <w:bookmarkStart w:id="1339" w:name="_Toc5415"/>
      <w:bookmarkStart w:id="1340" w:name="_Toc28060"/>
      <w:r>
        <w:rPr>
          <w:rFonts w:hint="eastAsia" w:ascii="仿宋" w:hAnsi="仿宋" w:eastAsia="仿宋" w:cs="仿宋"/>
          <w:color w:val="000000"/>
          <w:sz w:val="24"/>
          <w:szCs w:val="24"/>
          <w:u w:val="none"/>
        </w:rPr>
        <w:t>（1）第2.1.1、2.1.2、2.1.3项由评标委员会对投标人的投标文件进行评议，表中有一项不符合评审标准的，该投标人的投标文件评审结果为不合格。</w:t>
      </w:r>
      <w:bookmarkEnd w:id="1339"/>
      <w:bookmarkEnd w:id="1340"/>
    </w:p>
    <w:p>
      <w:pPr>
        <w:pStyle w:val="124"/>
        <w:ind w:firstLine="720"/>
        <w:outlineLvl w:val="9"/>
        <w:rPr>
          <w:rFonts w:hint="eastAsia" w:ascii="仿宋" w:hAnsi="仿宋" w:eastAsia="仿宋" w:cs="仿宋"/>
          <w:color w:val="000000"/>
          <w:sz w:val="24"/>
          <w:szCs w:val="24"/>
          <w:u w:val="none"/>
        </w:rPr>
      </w:pPr>
      <w:bookmarkStart w:id="1341" w:name="_Toc5807"/>
      <w:bookmarkStart w:id="1342" w:name="_Toc6367"/>
      <w:r>
        <w:rPr>
          <w:rFonts w:hint="eastAsia" w:ascii="仿宋" w:hAnsi="仿宋" w:eastAsia="仿宋" w:cs="仿宋"/>
          <w:color w:val="000000"/>
          <w:sz w:val="24"/>
          <w:szCs w:val="24"/>
          <w:u w:val="none"/>
        </w:rPr>
        <w:t>（2）第2.1.4项由评标委员会对投标人的技术投标文件（施工组织设计，下同）进行评议；招标人应列明技术投标文件评审因素保证项目和一般项目，保证项目中有一项及以上评价为不合格者，其评审结果为不合格；一般项目中有二项及以上评价不合格者，其评审结果为不合格。技术投标文件评审中获三分之二及以上的评委评审结果为不合格的，该投标人的投标文件评审结果为不合格。</w:t>
      </w:r>
      <w:bookmarkEnd w:id="1341"/>
      <w:bookmarkEnd w:id="1342"/>
    </w:p>
    <w:p>
      <w:pPr>
        <w:pStyle w:val="124"/>
        <w:ind w:firstLine="720"/>
        <w:outlineLvl w:val="9"/>
        <w:rPr>
          <w:rFonts w:hint="eastAsia" w:ascii="仿宋" w:hAnsi="仿宋" w:eastAsia="仿宋" w:cs="仿宋"/>
          <w:color w:val="000000"/>
          <w:sz w:val="24"/>
          <w:szCs w:val="24"/>
          <w:u w:val="none"/>
        </w:rPr>
      </w:pPr>
      <w:bookmarkStart w:id="1343" w:name="_Toc8727"/>
      <w:bookmarkStart w:id="1344" w:name="_Toc29004"/>
      <w:r>
        <w:rPr>
          <w:rFonts w:hint="eastAsia" w:ascii="仿宋" w:hAnsi="仿宋" w:eastAsia="仿宋" w:cs="仿宋"/>
          <w:color w:val="000000"/>
          <w:sz w:val="24"/>
          <w:szCs w:val="24"/>
          <w:u w:val="none"/>
        </w:rPr>
        <w:t>3.1.2  投标人有以下情形之一的，评标委员会应当否决其投标：</w:t>
      </w:r>
      <w:bookmarkEnd w:id="1343"/>
      <w:bookmarkEnd w:id="1344"/>
    </w:p>
    <w:p>
      <w:pPr>
        <w:pStyle w:val="124"/>
        <w:ind w:firstLine="720"/>
        <w:outlineLvl w:val="9"/>
        <w:rPr>
          <w:rFonts w:hint="eastAsia" w:ascii="仿宋" w:hAnsi="仿宋" w:eastAsia="仿宋" w:cs="仿宋"/>
          <w:color w:val="000000"/>
          <w:sz w:val="24"/>
          <w:szCs w:val="24"/>
          <w:u w:val="none"/>
        </w:rPr>
      </w:pPr>
      <w:bookmarkStart w:id="1345" w:name="_Toc4088"/>
      <w:bookmarkStart w:id="1346" w:name="_Toc16299"/>
      <w:r>
        <w:rPr>
          <w:rFonts w:hint="eastAsia" w:ascii="仿宋" w:hAnsi="仿宋" w:eastAsia="仿宋" w:cs="仿宋"/>
          <w:color w:val="000000"/>
          <w:sz w:val="24"/>
          <w:szCs w:val="24"/>
          <w:u w:val="none"/>
        </w:rPr>
        <w:t>（1）第二章“投标人须知”第1.4.3项规定的任何一种情形的；</w:t>
      </w:r>
      <w:bookmarkEnd w:id="1345"/>
      <w:bookmarkEnd w:id="1346"/>
    </w:p>
    <w:p>
      <w:pPr>
        <w:pStyle w:val="124"/>
        <w:ind w:firstLine="720"/>
        <w:outlineLvl w:val="9"/>
        <w:rPr>
          <w:rFonts w:hint="eastAsia" w:ascii="仿宋" w:hAnsi="仿宋" w:eastAsia="仿宋" w:cs="仿宋"/>
          <w:color w:val="000000"/>
          <w:sz w:val="24"/>
          <w:szCs w:val="24"/>
          <w:u w:val="none"/>
        </w:rPr>
      </w:pPr>
      <w:bookmarkStart w:id="1347" w:name="_Toc1040"/>
      <w:bookmarkStart w:id="1348" w:name="_Toc27770"/>
      <w:r>
        <w:rPr>
          <w:rFonts w:hint="eastAsia" w:ascii="仿宋" w:hAnsi="仿宋" w:eastAsia="仿宋" w:cs="仿宋"/>
          <w:color w:val="000000"/>
          <w:sz w:val="24"/>
          <w:szCs w:val="24"/>
          <w:u w:val="none"/>
        </w:rPr>
        <w:t>（2）串通投标或弄虚作假或有其他违法行为的；</w:t>
      </w:r>
      <w:bookmarkEnd w:id="1347"/>
      <w:bookmarkEnd w:id="1348"/>
    </w:p>
    <w:p>
      <w:pPr>
        <w:pStyle w:val="124"/>
        <w:ind w:firstLine="720"/>
        <w:outlineLvl w:val="9"/>
        <w:rPr>
          <w:rFonts w:hint="eastAsia" w:ascii="仿宋" w:hAnsi="仿宋" w:eastAsia="仿宋" w:cs="仿宋"/>
          <w:color w:val="000000"/>
          <w:sz w:val="24"/>
          <w:szCs w:val="24"/>
          <w:u w:val="none"/>
        </w:rPr>
      </w:pPr>
      <w:bookmarkStart w:id="1349" w:name="_Toc18077"/>
      <w:bookmarkStart w:id="1350" w:name="_Toc8097"/>
      <w:r>
        <w:rPr>
          <w:rFonts w:hint="eastAsia" w:ascii="仿宋" w:hAnsi="仿宋" w:eastAsia="仿宋" w:cs="仿宋"/>
          <w:color w:val="000000"/>
          <w:sz w:val="24"/>
          <w:szCs w:val="24"/>
          <w:u w:val="none"/>
        </w:rPr>
        <w:t>（3）不按评标委员会要求澄清、说明或补正的。</w:t>
      </w:r>
      <w:bookmarkEnd w:id="1349"/>
      <w:bookmarkEnd w:id="1350"/>
    </w:p>
    <w:p>
      <w:pPr>
        <w:pStyle w:val="124"/>
        <w:ind w:firstLine="720"/>
        <w:outlineLvl w:val="9"/>
        <w:rPr>
          <w:rFonts w:hint="eastAsia" w:ascii="仿宋" w:hAnsi="仿宋" w:eastAsia="仿宋" w:cs="仿宋"/>
          <w:color w:val="000000"/>
          <w:sz w:val="24"/>
          <w:szCs w:val="24"/>
          <w:u w:val="none"/>
        </w:rPr>
      </w:pPr>
      <w:bookmarkStart w:id="1351" w:name="_Toc27853"/>
      <w:bookmarkStart w:id="1352" w:name="_Toc753"/>
      <w:r>
        <w:rPr>
          <w:rFonts w:hint="eastAsia" w:ascii="仿宋" w:hAnsi="仿宋" w:eastAsia="仿宋" w:cs="仿宋"/>
          <w:color w:val="000000"/>
          <w:sz w:val="24"/>
          <w:szCs w:val="24"/>
          <w:u w:val="none"/>
        </w:rPr>
        <w:t>3.1.3  投标报价有算术错误的，评标委员会按以下原则对投标报价进行修正，修正的价格经投标人书面确认后具有约束力。投标人不接受修正价格的，评标委员会应当否决其投标。</w:t>
      </w:r>
      <w:bookmarkEnd w:id="1351"/>
      <w:bookmarkEnd w:id="1352"/>
    </w:p>
    <w:p>
      <w:pPr>
        <w:pStyle w:val="124"/>
        <w:ind w:firstLine="720"/>
        <w:outlineLvl w:val="9"/>
        <w:rPr>
          <w:rFonts w:hint="eastAsia" w:ascii="仿宋" w:hAnsi="仿宋" w:eastAsia="仿宋" w:cs="仿宋"/>
          <w:color w:val="000000"/>
          <w:sz w:val="24"/>
          <w:szCs w:val="24"/>
          <w:u w:val="none"/>
        </w:rPr>
      </w:pPr>
      <w:bookmarkStart w:id="1353" w:name="_Toc20319"/>
      <w:bookmarkStart w:id="1354" w:name="_Toc26730"/>
      <w:r>
        <w:rPr>
          <w:rFonts w:hint="eastAsia" w:ascii="仿宋" w:hAnsi="仿宋" w:eastAsia="仿宋" w:cs="仿宋"/>
          <w:color w:val="000000"/>
          <w:sz w:val="24"/>
          <w:szCs w:val="24"/>
          <w:u w:val="none"/>
        </w:rPr>
        <w:t>（1）投标文件中的大写金额与小写金额不一致的，以大写金额为准；</w:t>
      </w:r>
      <w:bookmarkEnd w:id="1353"/>
      <w:bookmarkEnd w:id="1354"/>
    </w:p>
    <w:p>
      <w:pPr>
        <w:pStyle w:val="124"/>
        <w:ind w:firstLine="720"/>
        <w:outlineLvl w:val="9"/>
        <w:rPr>
          <w:rFonts w:hint="eastAsia" w:ascii="仿宋" w:hAnsi="仿宋" w:eastAsia="仿宋" w:cs="仿宋"/>
          <w:color w:val="000000"/>
          <w:sz w:val="24"/>
          <w:szCs w:val="24"/>
          <w:u w:val="none"/>
        </w:rPr>
      </w:pPr>
      <w:bookmarkStart w:id="1355" w:name="_Toc3163"/>
      <w:bookmarkStart w:id="1356" w:name="_Toc14483"/>
      <w:r>
        <w:rPr>
          <w:rFonts w:hint="eastAsia" w:ascii="仿宋" w:hAnsi="仿宋" w:eastAsia="仿宋" w:cs="仿宋"/>
          <w:color w:val="000000"/>
          <w:sz w:val="24"/>
          <w:szCs w:val="24"/>
          <w:u w:val="none"/>
        </w:rPr>
        <w:t>（2）总价金额与依据单价计算出的结果不一致的，以单价金额为准修正总价，但单价金额小数点有明显错误的除外。</w:t>
      </w:r>
      <w:bookmarkEnd w:id="1355"/>
      <w:bookmarkEnd w:id="1356"/>
    </w:p>
    <w:p>
      <w:pPr>
        <w:pStyle w:val="124"/>
        <w:ind w:firstLine="720"/>
        <w:outlineLvl w:val="3"/>
        <w:rPr>
          <w:rFonts w:hint="eastAsia" w:ascii="仿宋" w:hAnsi="仿宋" w:eastAsia="仿宋" w:cs="仿宋"/>
          <w:color w:val="000000"/>
          <w:sz w:val="24"/>
          <w:szCs w:val="24"/>
          <w:u w:val="none"/>
        </w:rPr>
      </w:pPr>
      <w:bookmarkStart w:id="1357" w:name="_Toc5765"/>
      <w:bookmarkStart w:id="1358" w:name="_Toc7803"/>
      <w:r>
        <w:rPr>
          <w:rFonts w:hint="eastAsia" w:ascii="仿宋" w:hAnsi="仿宋" w:eastAsia="仿宋" w:cs="仿宋"/>
          <w:color w:val="000000"/>
          <w:sz w:val="24"/>
          <w:szCs w:val="24"/>
          <w:u w:val="none"/>
        </w:rPr>
        <w:t>3.2 详细评审</w:t>
      </w:r>
      <w:bookmarkEnd w:id="1357"/>
      <w:bookmarkEnd w:id="1358"/>
    </w:p>
    <w:p>
      <w:pPr>
        <w:pStyle w:val="124"/>
        <w:ind w:firstLine="720"/>
        <w:outlineLvl w:val="9"/>
        <w:rPr>
          <w:rFonts w:hint="eastAsia" w:ascii="仿宋" w:hAnsi="仿宋" w:eastAsia="仿宋" w:cs="仿宋"/>
          <w:color w:val="000000"/>
          <w:sz w:val="24"/>
          <w:szCs w:val="24"/>
          <w:u w:val="none"/>
        </w:rPr>
      </w:pPr>
      <w:bookmarkStart w:id="1359" w:name="_Toc26449"/>
      <w:bookmarkStart w:id="1360" w:name="_Toc24793"/>
      <w:bookmarkStart w:id="1361" w:name="_Toc10004"/>
      <w:bookmarkStart w:id="1362" w:name="_Toc16354"/>
      <w:r>
        <w:rPr>
          <w:rFonts w:hint="eastAsia" w:ascii="仿宋" w:hAnsi="仿宋" w:eastAsia="仿宋" w:cs="仿宋"/>
          <w:color w:val="000000"/>
          <w:sz w:val="24"/>
          <w:szCs w:val="24"/>
          <w:u w:val="none"/>
        </w:rPr>
        <w:t>3.2.1  评标委员会根据本章第2.2.2项和附表3-7（3）的规定计算所有通过初步评审的合格投标人（M为合格投标人数量）的投标报价得分，并计算出投标人总得分。</w:t>
      </w:r>
      <w:bookmarkEnd w:id="1359"/>
      <w:bookmarkEnd w:id="1360"/>
    </w:p>
    <w:p>
      <w:pPr>
        <w:autoSpaceDE w:val="0"/>
        <w:autoSpaceDN w:val="0"/>
        <w:adjustRightInd w:val="0"/>
        <w:spacing w:line="490" w:lineRule="exact"/>
        <w:ind w:firstLine="720" w:firstLineChars="300"/>
        <w:rPr>
          <w:rFonts w:hint="eastAsia" w:ascii="仿宋" w:hAnsi="仿宋" w:eastAsia="仿宋" w:cs="仿宋"/>
          <w:color w:val="000000"/>
          <w:sz w:val="24"/>
        </w:rPr>
      </w:pPr>
      <w:r>
        <w:rPr>
          <w:rFonts w:hint="eastAsia" w:ascii="仿宋" w:hAnsi="仿宋" w:eastAsia="仿宋" w:cs="仿宋"/>
          <w:color w:val="000000"/>
          <w:sz w:val="24"/>
        </w:rPr>
        <w:t>3.2.2  评标委员会按本章第2.2款规定的量化因素和分值进行打分，并计算出综合评估得分。</w:t>
      </w:r>
    </w:p>
    <w:p>
      <w:pPr>
        <w:spacing w:line="490" w:lineRule="exact"/>
        <w:ind w:firstLine="720" w:firstLineChars="300"/>
        <w:rPr>
          <w:rFonts w:hint="eastAsia" w:ascii="仿宋" w:hAnsi="仿宋" w:eastAsia="仿宋" w:cs="仿宋"/>
          <w:color w:val="000000"/>
          <w:sz w:val="24"/>
        </w:rPr>
      </w:pPr>
      <w:r>
        <w:rPr>
          <w:rFonts w:hint="eastAsia" w:ascii="仿宋" w:hAnsi="仿宋" w:eastAsia="仿宋" w:cs="仿宋"/>
          <w:color w:val="000000"/>
          <w:sz w:val="24"/>
        </w:rPr>
        <w:t xml:space="preserve">（1）按本章第2.2.4（1）目规定的评审因素和分值对信誉等其他评分因素计算出得分A； </w:t>
      </w:r>
    </w:p>
    <w:p>
      <w:pPr>
        <w:spacing w:line="490" w:lineRule="exact"/>
        <w:ind w:firstLine="720" w:firstLineChars="300"/>
        <w:rPr>
          <w:rFonts w:hint="eastAsia" w:ascii="仿宋" w:hAnsi="仿宋" w:eastAsia="仿宋" w:cs="仿宋"/>
          <w:color w:val="000000"/>
          <w:sz w:val="24"/>
        </w:rPr>
      </w:pPr>
      <w:r>
        <w:rPr>
          <w:rFonts w:hint="eastAsia" w:ascii="仿宋" w:hAnsi="仿宋" w:eastAsia="仿宋" w:cs="仿宋"/>
          <w:color w:val="000000"/>
          <w:sz w:val="24"/>
        </w:rPr>
        <w:t xml:space="preserve">（2）按本章第2.2.4（2）目规定的评审因素和分值对对投标报价计算出得分B； </w:t>
      </w:r>
    </w:p>
    <w:p>
      <w:pPr>
        <w:spacing w:line="490" w:lineRule="exact"/>
        <w:ind w:firstLine="720" w:firstLineChars="300"/>
        <w:rPr>
          <w:rFonts w:hint="eastAsia" w:ascii="仿宋" w:hAnsi="仿宋" w:eastAsia="仿宋" w:cs="仿宋"/>
          <w:color w:val="000000"/>
          <w:sz w:val="24"/>
        </w:rPr>
      </w:pPr>
      <w:r>
        <w:rPr>
          <w:rFonts w:hint="eastAsia" w:ascii="仿宋" w:hAnsi="仿宋" w:eastAsia="仿宋" w:cs="仿宋"/>
          <w:color w:val="000000"/>
          <w:sz w:val="24"/>
        </w:rPr>
        <w:t>（3）按本章第2.2.4（3）目规定的评审因素和分值对不良行为记录扣分计算出得分C；</w:t>
      </w:r>
    </w:p>
    <w:p>
      <w:pPr>
        <w:spacing w:line="490" w:lineRule="exact"/>
        <w:ind w:firstLine="720" w:firstLineChars="300"/>
        <w:rPr>
          <w:rFonts w:hint="eastAsia" w:ascii="仿宋" w:hAnsi="仿宋" w:eastAsia="仿宋" w:cs="仿宋"/>
          <w:color w:val="000000"/>
          <w:sz w:val="24"/>
        </w:rPr>
      </w:pPr>
      <w:r>
        <w:rPr>
          <w:rFonts w:hint="eastAsia" w:ascii="仿宋" w:hAnsi="仿宋" w:eastAsia="仿宋" w:cs="仿宋"/>
          <w:color w:val="000000"/>
          <w:sz w:val="24"/>
        </w:rPr>
        <w:t>3.2.3  评分分值计算保留小数点后两位，小数点后第三位“四舍五入”。</w:t>
      </w:r>
    </w:p>
    <w:p>
      <w:pPr>
        <w:spacing w:line="490" w:lineRule="exact"/>
        <w:ind w:firstLine="720" w:firstLineChars="300"/>
        <w:rPr>
          <w:rFonts w:hint="eastAsia"/>
        </w:rPr>
      </w:pPr>
      <w:r>
        <w:rPr>
          <w:rFonts w:hint="eastAsia" w:ascii="仿宋" w:hAnsi="仿宋" w:eastAsia="仿宋" w:cs="仿宋"/>
          <w:color w:val="000000"/>
          <w:sz w:val="24"/>
        </w:rPr>
        <w:t xml:space="preserve">3.2.4  投标人得分= </w:t>
      </w:r>
      <w:r>
        <w:rPr>
          <w:rFonts w:hint="eastAsia" w:ascii="仿宋" w:hAnsi="仿宋" w:eastAsia="仿宋" w:cs="仿宋"/>
          <w:color w:val="000000"/>
          <w:kern w:val="0"/>
          <w:sz w:val="24"/>
        </w:rPr>
        <w:t>A×K</w:t>
      </w:r>
      <w:r>
        <w:rPr>
          <w:rFonts w:hint="eastAsia" w:ascii="仿宋" w:hAnsi="仿宋" w:eastAsia="仿宋" w:cs="仿宋"/>
          <w:color w:val="000000"/>
          <w:kern w:val="0"/>
          <w:sz w:val="24"/>
          <w:vertAlign w:val="subscript"/>
        </w:rPr>
        <w:t>1</w:t>
      </w:r>
      <w:r>
        <w:rPr>
          <w:rFonts w:hint="eastAsia" w:ascii="仿宋" w:hAnsi="仿宋" w:eastAsia="仿宋" w:cs="仿宋"/>
          <w:color w:val="000000"/>
          <w:sz w:val="24"/>
        </w:rPr>
        <w:t>+</w:t>
      </w:r>
      <w:r>
        <w:rPr>
          <w:rFonts w:hint="eastAsia" w:ascii="仿宋" w:hAnsi="仿宋" w:eastAsia="仿宋" w:cs="仿宋"/>
          <w:color w:val="000000"/>
          <w:kern w:val="0"/>
          <w:sz w:val="24"/>
        </w:rPr>
        <w:t xml:space="preserve"> B×K</w:t>
      </w:r>
      <w:r>
        <w:rPr>
          <w:rFonts w:hint="eastAsia" w:ascii="仿宋" w:hAnsi="仿宋" w:eastAsia="仿宋" w:cs="仿宋"/>
          <w:color w:val="000000"/>
          <w:kern w:val="0"/>
          <w:sz w:val="24"/>
          <w:vertAlign w:val="subscript"/>
        </w:rPr>
        <w:t>2</w:t>
      </w:r>
      <w:r>
        <w:rPr>
          <w:rFonts w:hint="eastAsia" w:ascii="仿宋" w:hAnsi="仿宋" w:eastAsia="仿宋" w:cs="仿宋"/>
          <w:color w:val="000000"/>
          <w:sz w:val="24"/>
        </w:rPr>
        <w:t>+</w:t>
      </w:r>
      <w:r>
        <w:rPr>
          <w:rFonts w:hint="eastAsia" w:ascii="仿宋" w:hAnsi="仿宋" w:eastAsia="仿宋" w:cs="仿宋"/>
          <w:color w:val="000000"/>
          <w:kern w:val="0"/>
          <w:sz w:val="24"/>
        </w:rPr>
        <w:t>C</w:t>
      </w:r>
      <w:r>
        <w:rPr>
          <w:rFonts w:hint="eastAsia" w:ascii="仿宋" w:hAnsi="仿宋" w:eastAsia="仿宋" w:cs="仿宋"/>
          <w:color w:val="000000"/>
          <w:sz w:val="24"/>
        </w:rPr>
        <w:t>，其中</w:t>
      </w:r>
      <w:r>
        <w:rPr>
          <w:rFonts w:hint="eastAsia" w:ascii="仿宋" w:hAnsi="仿宋" w:eastAsia="仿宋" w:cs="仿宋"/>
          <w:color w:val="000000"/>
          <w:kern w:val="0"/>
          <w:sz w:val="24"/>
        </w:rPr>
        <w:t>K</w:t>
      </w:r>
      <w:r>
        <w:rPr>
          <w:rFonts w:hint="eastAsia" w:ascii="仿宋" w:hAnsi="仿宋" w:eastAsia="仿宋" w:cs="仿宋"/>
          <w:color w:val="000000"/>
          <w:kern w:val="0"/>
          <w:sz w:val="24"/>
          <w:vertAlign w:val="subscript"/>
        </w:rPr>
        <w:t>1</w:t>
      </w:r>
      <w:r>
        <w:rPr>
          <w:rFonts w:hint="eastAsia" w:ascii="仿宋" w:hAnsi="仿宋" w:eastAsia="仿宋" w:cs="仿宋"/>
          <w:color w:val="000000"/>
          <w:kern w:val="0"/>
          <w:sz w:val="24"/>
        </w:rPr>
        <w:t xml:space="preserve"> 、K</w:t>
      </w:r>
      <w:r>
        <w:rPr>
          <w:rFonts w:hint="eastAsia" w:ascii="仿宋" w:hAnsi="仿宋" w:eastAsia="仿宋" w:cs="仿宋"/>
          <w:color w:val="000000"/>
          <w:kern w:val="0"/>
          <w:sz w:val="24"/>
          <w:vertAlign w:val="subscript"/>
        </w:rPr>
        <w:t>2</w:t>
      </w:r>
      <w:r>
        <w:rPr>
          <w:rFonts w:hint="eastAsia" w:ascii="仿宋" w:hAnsi="仿宋" w:eastAsia="仿宋" w:cs="仿宋"/>
          <w:color w:val="000000"/>
          <w:kern w:val="0"/>
          <w:sz w:val="24"/>
        </w:rPr>
        <w:t xml:space="preserve"> 分别为</w:t>
      </w:r>
      <w:r>
        <w:rPr>
          <w:rFonts w:hint="eastAsia" w:ascii="仿宋" w:hAnsi="仿宋" w:eastAsia="仿宋" w:cs="仿宋"/>
          <w:color w:val="000000"/>
          <w:sz w:val="24"/>
        </w:rPr>
        <w:t>信誉等其他评分因素、投标报价的</w:t>
      </w:r>
      <w:r>
        <w:rPr>
          <w:rFonts w:hint="eastAsia" w:ascii="仿宋" w:hAnsi="仿宋" w:eastAsia="仿宋" w:cs="仿宋"/>
          <w:bCs/>
          <w:color w:val="000000"/>
          <w:kern w:val="0"/>
          <w:sz w:val="24"/>
        </w:rPr>
        <w:t>权数值</w:t>
      </w:r>
      <w:r>
        <w:rPr>
          <w:rFonts w:hint="eastAsia" w:ascii="仿宋" w:hAnsi="仿宋" w:eastAsia="仿宋" w:cs="仿宋"/>
          <w:color w:val="000000"/>
          <w:sz w:val="24"/>
        </w:rPr>
        <w:t>。</w:t>
      </w:r>
    </w:p>
    <w:p>
      <w:pPr>
        <w:spacing w:line="490" w:lineRule="exact"/>
        <w:ind w:firstLine="720" w:firstLineChars="300"/>
        <w:rPr>
          <w:rFonts w:hint="eastAsia" w:ascii="仿宋" w:hAnsi="仿宋" w:eastAsia="仿宋" w:cs="仿宋"/>
          <w:color w:val="000000"/>
          <w:sz w:val="24"/>
        </w:rPr>
      </w:pPr>
      <w:r>
        <w:rPr>
          <w:rFonts w:hint="eastAsia" w:ascii="仿宋" w:hAnsi="仿宋" w:eastAsia="仿宋" w:cs="仿宋"/>
          <w:color w:val="000000"/>
          <w:sz w:val="24"/>
        </w:rPr>
        <w:t>3.3 投标文件的澄清和补正</w:t>
      </w:r>
      <w:bookmarkEnd w:id="1361"/>
      <w:bookmarkEnd w:id="1362"/>
    </w:p>
    <w:p>
      <w:pPr>
        <w:spacing w:line="490" w:lineRule="exact"/>
        <w:ind w:firstLine="720" w:firstLineChars="300"/>
        <w:rPr>
          <w:rFonts w:hint="eastAsia" w:ascii="仿宋" w:hAnsi="仿宋" w:eastAsia="仿宋" w:cs="仿宋"/>
          <w:color w:val="000000"/>
          <w:sz w:val="24"/>
        </w:rPr>
      </w:pPr>
      <w:bookmarkStart w:id="1363" w:name="_Toc19174"/>
      <w:bookmarkStart w:id="1364" w:name="_Toc12208"/>
      <w:r>
        <w:rPr>
          <w:rFonts w:hint="eastAsia" w:ascii="仿宋" w:hAnsi="仿宋" w:eastAsia="仿宋" w:cs="仿宋"/>
          <w:color w:val="000000"/>
          <w:sz w:val="24"/>
        </w:rPr>
        <w:t>3.3.1  在评标过程中，评标委员会可以书面形式要求投标人对所提交投标文件中不明确的内容进行书面澄清或说明，或者对细微偏差进行补正。评标委员会不接受投标人主动提出的澄清、说明或补正。</w:t>
      </w:r>
      <w:bookmarkEnd w:id="1363"/>
      <w:bookmarkEnd w:id="1364"/>
    </w:p>
    <w:p>
      <w:pPr>
        <w:pStyle w:val="124"/>
        <w:ind w:firstLine="720"/>
        <w:outlineLvl w:val="9"/>
        <w:rPr>
          <w:rFonts w:hint="eastAsia" w:ascii="仿宋" w:hAnsi="仿宋" w:eastAsia="仿宋" w:cs="仿宋"/>
          <w:color w:val="000000"/>
          <w:sz w:val="24"/>
          <w:szCs w:val="24"/>
          <w:u w:val="none"/>
        </w:rPr>
      </w:pPr>
      <w:bookmarkStart w:id="1365" w:name="_Toc21058"/>
      <w:bookmarkStart w:id="1366" w:name="_Toc25379"/>
      <w:r>
        <w:rPr>
          <w:rFonts w:hint="eastAsia" w:ascii="仿宋" w:hAnsi="仿宋" w:eastAsia="仿宋" w:cs="仿宋"/>
          <w:color w:val="000000"/>
          <w:sz w:val="24"/>
          <w:szCs w:val="24"/>
          <w:u w:val="none"/>
        </w:rPr>
        <w:t>3.3.2  澄清、说明和补正不得改变投标文件的实质性内容（算术性错误修正的除外）。投标人的书面澄清、说明和补正属于投标文件的组成部分。</w:t>
      </w:r>
      <w:bookmarkEnd w:id="1365"/>
      <w:bookmarkEnd w:id="1366"/>
    </w:p>
    <w:p>
      <w:pPr>
        <w:pStyle w:val="124"/>
        <w:ind w:firstLine="720"/>
        <w:outlineLvl w:val="9"/>
        <w:rPr>
          <w:rFonts w:hint="eastAsia" w:ascii="仿宋" w:hAnsi="仿宋" w:eastAsia="仿宋" w:cs="仿宋"/>
          <w:color w:val="000000"/>
          <w:sz w:val="24"/>
          <w:szCs w:val="24"/>
          <w:u w:val="none"/>
        </w:rPr>
      </w:pPr>
      <w:bookmarkStart w:id="1367" w:name="_Toc871"/>
      <w:bookmarkStart w:id="1368" w:name="_Toc2259"/>
      <w:r>
        <w:rPr>
          <w:rFonts w:hint="eastAsia" w:ascii="仿宋" w:hAnsi="仿宋" w:eastAsia="仿宋" w:cs="仿宋"/>
          <w:color w:val="000000"/>
          <w:sz w:val="24"/>
          <w:szCs w:val="24"/>
          <w:u w:val="none"/>
        </w:rPr>
        <w:t>3.3.3  评标委员会对投标人提交的澄清、说明或补正有疑问的，可以要求投标人进一步澄清、说明或补正，直至满足评标委员会的要求。</w:t>
      </w:r>
      <w:bookmarkEnd w:id="1367"/>
      <w:bookmarkEnd w:id="1368"/>
    </w:p>
    <w:p>
      <w:pPr>
        <w:pStyle w:val="124"/>
        <w:ind w:firstLine="720"/>
        <w:outlineLvl w:val="3"/>
        <w:rPr>
          <w:rFonts w:hint="eastAsia" w:ascii="仿宋" w:hAnsi="仿宋" w:eastAsia="仿宋" w:cs="仿宋"/>
          <w:color w:val="000000"/>
          <w:sz w:val="24"/>
          <w:szCs w:val="24"/>
          <w:u w:val="none"/>
        </w:rPr>
      </w:pPr>
      <w:bookmarkStart w:id="1369" w:name="_Toc19311"/>
      <w:bookmarkStart w:id="1370" w:name="_Toc5894"/>
      <w:r>
        <w:rPr>
          <w:rFonts w:hint="eastAsia" w:ascii="仿宋" w:hAnsi="仿宋" w:eastAsia="仿宋" w:cs="仿宋"/>
          <w:color w:val="000000"/>
          <w:sz w:val="24"/>
          <w:szCs w:val="24"/>
          <w:u w:val="none"/>
        </w:rPr>
        <w:t>3.4 评标结果</w:t>
      </w:r>
      <w:bookmarkEnd w:id="1369"/>
      <w:bookmarkEnd w:id="1370"/>
    </w:p>
    <w:p>
      <w:pPr>
        <w:pStyle w:val="124"/>
        <w:ind w:firstLine="720"/>
        <w:outlineLvl w:val="9"/>
        <w:rPr>
          <w:rFonts w:hint="eastAsia" w:ascii="仿宋" w:hAnsi="仿宋" w:eastAsia="仿宋" w:cs="仿宋"/>
          <w:color w:val="000000"/>
          <w:sz w:val="24"/>
          <w:szCs w:val="24"/>
          <w:u w:val="none"/>
        </w:rPr>
      </w:pPr>
      <w:bookmarkStart w:id="1371" w:name="_Toc11978"/>
      <w:bookmarkStart w:id="1372" w:name="_Toc31717"/>
      <w:r>
        <w:rPr>
          <w:rFonts w:hint="eastAsia" w:ascii="仿宋" w:hAnsi="仿宋" w:eastAsia="仿宋" w:cs="仿宋"/>
          <w:color w:val="000000"/>
          <w:sz w:val="24"/>
          <w:szCs w:val="24"/>
          <w:u w:val="none"/>
        </w:rPr>
        <w:t>3.4.1  评标委员会依据本章第2.2条评分标准进行评分，按评标办法前附表的约定计算投标人最终得分，根据得分由高到低的顺序推荐不超过3名中标候选人，并标明推荐顺序。</w:t>
      </w:r>
      <w:bookmarkEnd w:id="1371"/>
      <w:bookmarkEnd w:id="1372"/>
    </w:p>
    <w:p>
      <w:pPr>
        <w:pStyle w:val="124"/>
        <w:ind w:firstLine="720"/>
        <w:outlineLvl w:val="9"/>
        <w:rPr>
          <w:rFonts w:ascii="仿宋" w:hAnsi="仿宋" w:eastAsia="仿宋" w:cs="仿宋"/>
          <w:color w:val="000000"/>
          <w:sz w:val="24"/>
          <w:szCs w:val="24"/>
          <w:u w:val="none"/>
        </w:rPr>
      </w:pPr>
      <w:bookmarkStart w:id="1373" w:name="_Toc28821"/>
      <w:bookmarkStart w:id="1374" w:name="_Toc28492"/>
      <w:r>
        <w:rPr>
          <w:rFonts w:hint="eastAsia" w:ascii="仿宋" w:hAnsi="仿宋" w:eastAsia="仿宋" w:cs="仿宋"/>
          <w:color w:val="000000"/>
          <w:sz w:val="24"/>
          <w:szCs w:val="24"/>
          <w:u w:val="none"/>
        </w:rPr>
        <w:t>3.4.2  评标委员会完成评标后，应当向招标人提交书面评标报告。</w:t>
      </w:r>
      <w:bookmarkEnd w:id="1373"/>
      <w:bookmarkEnd w:id="1374"/>
    </w:p>
    <w:p>
      <w:pPr>
        <w:rPr>
          <w:rFonts w:eastAsia="黑体"/>
          <w:bCs/>
          <w:color w:val="000000"/>
          <w:sz w:val="28"/>
          <w:szCs w:val="20"/>
        </w:rPr>
      </w:pPr>
      <w:r>
        <w:br w:type="page"/>
      </w:r>
      <w:r>
        <w:rPr>
          <w:rFonts w:eastAsia="黑体"/>
          <w:bCs/>
          <w:color w:val="000000"/>
          <w:sz w:val="28"/>
          <w:szCs w:val="20"/>
        </w:rPr>
        <w:t>附件1</w:t>
      </w:r>
    </w:p>
    <w:p>
      <w:pPr>
        <w:pStyle w:val="32"/>
        <w:spacing w:line="490" w:lineRule="exact"/>
        <w:ind w:left="800" w:hanging="800"/>
        <w:jc w:val="center"/>
        <w:rPr>
          <w:rFonts w:eastAsia="方正小标宋_GBK"/>
          <w:b/>
          <w:color w:val="000000"/>
          <w:sz w:val="40"/>
          <w:szCs w:val="28"/>
        </w:rPr>
      </w:pPr>
    </w:p>
    <w:p>
      <w:pPr>
        <w:pStyle w:val="32"/>
        <w:spacing w:line="490" w:lineRule="exact"/>
        <w:ind w:left="800" w:hanging="800"/>
        <w:jc w:val="center"/>
        <w:rPr>
          <w:rFonts w:hint="eastAsia" w:ascii="方正小标宋简体" w:hAnsi="黑体" w:eastAsia="方正小标宋简体" w:cs="黑体"/>
          <w:color w:val="000000"/>
          <w:sz w:val="40"/>
          <w:szCs w:val="28"/>
        </w:rPr>
      </w:pPr>
      <w:r>
        <w:rPr>
          <w:rFonts w:hint="eastAsia" w:ascii="方正小标宋简体" w:hAnsi="黑体" w:eastAsia="方正小标宋简体" w:cs="黑体"/>
          <w:color w:val="000000"/>
          <w:sz w:val="40"/>
          <w:szCs w:val="28"/>
        </w:rPr>
        <w:t>投标文件澄清通知</w:t>
      </w:r>
    </w:p>
    <w:p>
      <w:pPr>
        <w:pStyle w:val="32"/>
        <w:spacing w:line="490" w:lineRule="exact"/>
        <w:ind w:left="800" w:hanging="800"/>
        <w:jc w:val="center"/>
        <w:rPr>
          <w:rFonts w:eastAsia="方正小标宋_GBK"/>
          <w:b/>
          <w:color w:val="000000"/>
          <w:sz w:val="40"/>
          <w:szCs w:val="28"/>
        </w:rPr>
      </w:pPr>
    </w:p>
    <w:p>
      <w:pPr>
        <w:pStyle w:val="32"/>
        <w:spacing w:line="490" w:lineRule="exact"/>
        <w:ind w:left="560" w:hanging="560"/>
        <w:jc w:val="center"/>
        <w:rPr>
          <w:rFonts w:hint="eastAsia" w:ascii="仿宋" w:hAnsi="仿宋" w:eastAsia="仿宋" w:cs="仿宋"/>
          <w:color w:val="000000"/>
          <w:szCs w:val="21"/>
          <w:u w:val="single"/>
        </w:rPr>
      </w:pPr>
      <w:r>
        <w:rPr>
          <w:rFonts w:eastAsia="仿宋_GB2312"/>
          <w:color w:val="000000"/>
          <w:sz w:val="28"/>
          <w:szCs w:val="32"/>
        </w:rPr>
        <w:t xml:space="preserve">         </w:t>
      </w:r>
      <w:r>
        <w:rPr>
          <w:rFonts w:hint="eastAsia" w:ascii="仿宋" w:hAnsi="仿宋" w:eastAsia="仿宋" w:cs="仿宋"/>
          <w:color w:val="000000"/>
          <w:sz w:val="28"/>
          <w:szCs w:val="32"/>
        </w:rPr>
        <w:t xml:space="preserve">           </w:t>
      </w:r>
      <w:r>
        <w:rPr>
          <w:rFonts w:hint="eastAsia" w:ascii="仿宋" w:hAnsi="仿宋" w:eastAsia="仿宋" w:cs="仿宋"/>
          <w:color w:val="000000"/>
          <w:szCs w:val="21"/>
        </w:rPr>
        <w:t xml:space="preserve">        编号：</w:t>
      </w:r>
      <w:r>
        <w:rPr>
          <w:rFonts w:hint="eastAsia" w:ascii="仿宋" w:hAnsi="仿宋" w:eastAsia="仿宋" w:cs="仿宋"/>
          <w:color w:val="000000"/>
          <w:szCs w:val="21"/>
          <w:u w:val="single"/>
        </w:rPr>
        <w:t xml:space="preserve">                </w:t>
      </w:r>
    </w:p>
    <w:p>
      <w:pPr>
        <w:spacing w:line="490" w:lineRule="exact"/>
        <w:rPr>
          <w:rFonts w:hint="eastAsia" w:ascii="仿宋" w:hAnsi="仿宋" w:eastAsia="仿宋" w:cs="仿宋"/>
          <w:color w:val="000000"/>
          <w:szCs w:val="21"/>
        </w:rPr>
      </w:pPr>
    </w:p>
    <w:p>
      <w:pPr>
        <w:pStyle w:val="19"/>
        <w:spacing w:line="490" w:lineRule="exact"/>
        <w:ind w:left="0" w:leftChars="0"/>
        <w:rPr>
          <w:rFonts w:hint="eastAsia" w:ascii="仿宋" w:hAnsi="仿宋" w:eastAsia="仿宋" w:cs="仿宋"/>
          <w:color w:val="000000"/>
          <w:szCs w:val="21"/>
        </w:rPr>
      </w:pP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（投标人名称）：</w:t>
      </w:r>
    </w:p>
    <w:p>
      <w:pPr>
        <w:spacing w:line="490" w:lineRule="exact"/>
        <w:ind w:firstLine="420" w:firstLineChars="200"/>
        <w:rPr>
          <w:rFonts w:hint="eastAsia" w:ascii="仿宋" w:hAnsi="仿宋" w:eastAsia="仿宋" w:cs="仿宋"/>
          <w:color w:val="000000"/>
          <w:szCs w:val="21"/>
        </w:rPr>
      </w:pP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（项目名称）</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（标段名称）评标委员会对你方的投标文件进行了仔细的审查，现需你方对下列问题以书面形式予以澄清：</w:t>
      </w:r>
    </w:p>
    <w:p>
      <w:pPr>
        <w:spacing w:line="490" w:lineRule="exact"/>
        <w:ind w:firstLine="420" w:firstLineChars="200"/>
        <w:rPr>
          <w:rFonts w:hint="eastAsia" w:ascii="仿宋" w:hAnsi="仿宋" w:eastAsia="仿宋" w:cs="仿宋"/>
          <w:color w:val="000000"/>
          <w:szCs w:val="21"/>
        </w:rPr>
      </w:pPr>
      <w:r>
        <w:rPr>
          <w:rFonts w:hint="eastAsia" w:ascii="仿宋" w:hAnsi="仿宋" w:eastAsia="仿宋" w:cs="仿宋"/>
          <w:color w:val="000000"/>
          <w:szCs w:val="21"/>
        </w:rPr>
        <w:t>1.……</w:t>
      </w:r>
    </w:p>
    <w:p>
      <w:pPr>
        <w:spacing w:line="490" w:lineRule="exact"/>
        <w:ind w:firstLine="420" w:firstLineChars="200"/>
        <w:rPr>
          <w:rFonts w:hint="eastAsia" w:ascii="仿宋" w:hAnsi="仿宋" w:eastAsia="仿宋" w:cs="仿宋"/>
          <w:color w:val="000000"/>
          <w:szCs w:val="21"/>
        </w:rPr>
      </w:pPr>
      <w:r>
        <w:rPr>
          <w:rFonts w:hint="eastAsia" w:ascii="仿宋" w:hAnsi="仿宋" w:eastAsia="仿宋" w:cs="仿宋"/>
          <w:color w:val="000000"/>
          <w:szCs w:val="21"/>
        </w:rPr>
        <w:t>2.……</w:t>
      </w:r>
    </w:p>
    <w:p>
      <w:pPr>
        <w:spacing w:line="490" w:lineRule="exact"/>
        <w:ind w:firstLine="420" w:firstLineChars="200"/>
        <w:rPr>
          <w:rFonts w:hint="eastAsia" w:ascii="仿宋" w:hAnsi="仿宋" w:eastAsia="仿宋" w:cs="仿宋"/>
          <w:color w:val="000000"/>
          <w:szCs w:val="21"/>
        </w:rPr>
      </w:pPr>
      <w:r>
        <w:rPr>
          <w:rFonts w:hint="eastAsia" w:ascii="仿宋" w:hAnsi="仿宋" w:eastAsia="仿宋" w:cs="仿宋"/>
          <w:color w:val="000000"/>
          <w:szCs w:val="21"/>
        </w:rPr>
        <w:t>……</w:t>
      </w:r>
    </w:p>
    <w:p>
      <w:pPr>
        <w:spacing w:line="490" w:lineRule="exact"/>
        <w:rPr>
          <w:rFonts w:hint="eastAsia" w:ascii="仿宋" w:hAnsi="仿宋" w:eastAsia="仿宋" w:cs="仿宋"/>
          <w:color w:val="000000"/>
          <w:szCs w:val="21"/>
        </w:rPr>
      </w:pPr>
    </w:p>
    <w:p>
      <w:pPr>
        <w:spacing w:line="490" w:lineRule="exact"/>
        <w:ind w:firstLine="420" w:firstLineChars="200"/>
        <w:rPr>
          <w:rFonts w:hint="eastAsia" w:ascii="仿宋" w:hAnsi="仿宋" w:eastAsia="仿宋" w:cs="仿宋"/>
          <w:color w:val="000000"/>
          <w:szCs w:val="21"/>
        </w:rPr>
      </w:pPr>
      <w:r>
        <w:rPr>
          <w:rFonts w:hint="eastAsia" w:ascii="仿宋" w:hAnsi="仿宋" w:eastAsia="仿宋" w:cs="仿宋"/>
          <w:color w:val="000000"/>
          <w:szCs w:val="21"/>
        </w:rPr>
        <w:t>请将上述问题的澄清函于</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年</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月</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日</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时（北京时间）前递交至</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（详细地址）或传真至</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（传真号码）或发送至</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（电子邮箱）。采用传真或电子邮件方式的，应在</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年</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月</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日</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 xml:space="preserve">时（北京时间）前将原件递交至 </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（详细地址）。</w:t>
      </w:r>
    </w:p>
    <w:p>
      <w:pPr>
        <w:spacing w:line="490" w:lineRule="exact"/>
        <w:rPr>
          <w:rFonts w:hint="eastAsia" w:ascii="仿宋" w:hAnsi="仿宋" w:eastAsia="仿宋" w:cs="仿宋"/>
          <w:color w:val="000000"/>
          <w:szCs w:val="21"/>
        </w:rPr>
      </w:pPr>
    </w:p>
    <w:p>
      <w:pPr>
        <w:spacing w:line="490" w:lineRule="exact"/>
        <w:rPr>
          <w:rFonts w:hint="eastAsia" w:ascii="仿宋" w:hAnsi="仿宋" w:eastAsia="仿宋" w:cs="仿宋"/>
          <w:color w:val="000000"/>
          <w:szCs w:val="21"/>
        </w:rPr>
      </w:pPr>
    </w:p>
    <w:p>
      <w:pPr>
        <w:spacing w:line="490" w:lineRule="exact"/>
        <w:ind w:firstLine="420" w:firstLineChars="200"/>
        <w:jc w:val="right"/>
        <w:rPr>
          <w:rFonts w:hint="eastAsia" w:ascii="仿宋" w:hAnsi="仿宋" w:eastAsia="仿宋" w:cs="仿宋"/>
          <w:color w:val="000000"/>
          <w:szCs w:val="21"/>
        </w:rPr>
      </w:pPr>
      <w:r>
        <w:rPr>
          <w:rFonts w:hint="eastAsia" w:ascii="仿宋" w:hAnsi="仿宋" w:eastAsia="仿宋" w:cs="仿宋"/>
          <w:color w:val="000000"/>
          <w:szCs w:val="21"/>
        </w:rPr>
        <w:t>评标委员会负责人：</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（签字）</w:t>
      </w:r>
    </w:p>
    <w:p>
      <w:pPr>
        <w:tabs>
          <w:tab w:val="left" w:pos="5812"/>
        </w:tabs>
        <w:spacing w:line="490" w:lineRule="exact"/>
        <w:ind w:right="420" w:firstLine="4454" w:firstLineChars="2121"/>
        <w:rPr>
          <w:rFonts w:hint="eastAsia" w:ascii="仿宋" w:hAnsi="仿宋" w:eastAsia="仿宋" w:cs="仿宋"/>
          <w:color w:val="000000"/>
          <w:szCs w:val="21"/>
          <w:u w:val="single"/>
        </w:rPr>
      </w:pPr>
    </w:p>
    <w:p>
      <w:pPr>
        <w:tabs>
          <w:tab w:val="left" w:pos="5812"/>
        </w:tabs>
        <w:spacing w:line="490" w:lineRule="exact"/>
        <w:ind w:right="420" w:firstLine="6342" w:firstLineChars="3020"/>
        <w:rPr>
          <w:rFonts w:hint="eastAsia" w:ascii="仿宋" w:hAnsi="仿宋" w:eastAsia="仿宋" w:cs="仿宋"/>
          <w:color w:val="000000"/>
          <w:szCs w:val="21"/>
        </w:rPr>
      </w:pP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年</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月</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日</w:t>
      </w:r>
    </w:p>
    <w:p>
      <w:pPr>
        <w:pStyle w:val="32"/>
        <w:spacing w:line="490" w:lineRule="exact"/>
        <w:ind w:left="400" w:hanging="400"/>
        <w:outlineLvl w:val="3"/>
        <w:rPr>
          <w:rFonts w:eastAsia="黑体"/>
          <w:bCs/>
          <w:color w:val="000000"/>
          <w:sz w:val="28"/>
          <w:szCs w:val="20"/>
        </w:rPr>
      </w:pPr>
      <w:r>
        <w:rPr>
          <w:color w:val="000000"/>
          <w:sz w:val="20"/>
        </w:rPr>
        <w:br w:type="page"/>
      </w:r>
      <w:r>
        <w:rPr>
          <w:rFonts w:eastAsia="黑体"/>
          <w:bCs/>
          <w:color w:val="000000"/>
          <w:sz w:val="28"/>
          <w:szCs w:val="20"/>
        </w:rPr>
        <w:t>附件2</w:t>
      </w:r>
    </w:p>
    <w:p>
      <w:pPr>
        <w:pStyle w:val="32"/>
        <w:spacing w:line="490" w:lineRule="exact"/>
        <w:ind w:left="800" w:hanging="800"/>
        <w:jc w:val="center"/>
        <w:rPr>
          <w:rFonts w:eastAsia="方正小标宋_GBK"/>
          <w:b/>
          <w:color w:val="000000"/>
          <w:sz w:val="40"/>
          <w:szCs w:val="28"/>
        </w:rPr>
      </w:pPr>
    </w:p>
    <w:p>
      <w:pPr>
        <w:pStyle w:val="32"/>
        <w:spacing w:line="490" w:lineRule="exact"/>
        <w:ind w:left="800" w:hanging="800"/>
        <w:jc w:val="center"/>
        <w:rPr>
          <w:rFonts w:hint="eastAsia" w:ascii="方正小标宋简体" w:hAnsi="黑体" w:eastAsia="方正小标宋简体" w:cs="黑体"/>
          <w:color w:val="000000"/>
          <w:sz w:val="40"/>
          <w:szCs w:val="28"/>
        </w:rPr>
      </w:pPr>
      <w:r>
        <w:rPr>
          <w:rFonts w:hint="eastAsia" w:ascii="方正小标宋简体" w:hAnsi="黑体" w:eastAsia="方正小标宋简体" w:cs="黑体"/>
          <w:color w:val="000000"/>
          <w:sz w:val="40"/>
          <w:szCs w:val="28"/>
        </w:rPr>
        <w:t>投标文件澄清函</w:t>
      </w:r>
    </w:p>
    <w:p>
      <w:pPr>
        <w:pStyle w:val="32"/>
        <w:spacing w:line="490" w:lineRule="exact"/>
        <w:ind w:left="800" w:hanging="800"/>
        <w:jc w:val="center"/>
        <w:rPr>
          <w:rFonts w:eastAsia="方正小标宋_GBK"/>
          <w:b/>
          <w:color w:val="000000"/>
          <w:sz w:val="40"/>
          <w:szCs w:val="28"/>
        </w:rPr>
      </w:pPr>
    </w:p>
    <w:p>
      <w:pPr>
        <w:spacing w:line="490" w:lineRule="exact"/>
        <w:jc w:val="center"/>
        <w:rPr>
          <w:rFonts w:hint="eastAsia" w:ascii="仿宋" w:hAnsi="仿宋" w:eastAsia="仿宋" w:cs="仿宋"/>
          <w:color w:val="000000"/>
          <w:szCs w:val="21"/>
          <w:u w:val="single"/>
        </w:rPr>
      </w:pPr>
      <w:r>
        <w:rPr>
          <w:rFonts w:hint="eastAsia" w:ascii="仿宋" w:hAnsi="仿宋" w:eastAsia="仿宋" w:cs="仿宋"/>
          <w:color w:val="000000"/>
          <w:sz w:val="28"/>
          <w:szCs w:val="32"/>
        </w:rPr>
        <w:t xml:space="preserve">                               </w:t>
      </w:r>
      <w:r>
        <w:rPr>
          <w:rFonts w:hint="eastAsia" w:ascii="仿宋" w:hAnsi="仿宋" w:eastAsia="仿宋" w:cs="仿宋"/>
          <w:color w:val="000000"/>
          <w:szCs w:val="21"/>
        </w:rPr>
        <w:t xml:space="preserve"> 编号：</w:t>
      </w:r>
      <w:r>
        <w:rPr>
          <w:rFonts w:hint="eastAsia" w:ascii="仿宋" w:hAnsi="仿宋" w:eastAsia="仿宋" w:cs="仿宋"/>
          <w:color w:val="000000"/>
          <w:szCs w:val="21"/>
          <w:u w:val="single"/>
        </w:rPr>
        <w:t xml:space="preserve">              </w:t>
      </w:r>
    </w:p>
    <w:p>
      <w:pPr>
        <w:spacing w:line="490" w:lineRule="exact"/>
        <w:ind w:firstLine="420" w:firstLineChars="200"/>
        <w:rPr>
          <w:rFonts w:hint="eastAsia" w:ascii="仿宋" w:hAnsi="仿宋" w:eastAsia="仿宋" w:cs="仿宋"/>
          <w:color w:val="000000"/>
          <w:szCs w:val="21"/>
        </w:rPr>
      </w:pPr>
    </w:p>
    <w:p>
      <w:pPr>
        <w:spacing w:line="490" w:lineRule="exact"/>
        <w:ind w:firstLine="420" w:firstLineChars="200"/>
        <w:rPr>
          <w:rFonts w:hint="eastAsia" w:ascii="仿宋" w:hAnsi="仿宋" w:eastAsia="仿宋" w:cs="仿宋"/>
          <w:color w:val="000000"/>
          <w:szCs w:val="21"/>
        </w:rPr>
      </w:pPr>
    </w:p>
    <w:p>
      <w:pPr>
        <w:spacing w:line="490" w:lineRule="exact"/>
        <w:ind w:firstLine="420" w:firstLineChars="200"/>
        <w:rPr>
          <w:rFonts w:hint="eastAsia" w:ascii="仿宋" w:hAnsi="仿宋" w:eastAsia="仿宋" w:cs="仿宋"/>
          <w:color w:val="000000"/>
          <w:szCs w:val="21"/>
        </w:rPr>
      </w:pPr>
    </w:p>
    <w:p>
      <w:pPr>
        <w:spacing w:line="490" w:lineRule="exact"/>
        <w:rPr>
          <w:rFonts w:hint="eastAsia" w:ascii="仿宋" w:hAnsi="仿宋" w:eastAsia="仿宋" w:cs="仿宋"/>
          <w:color w:val="000000"/>
          <w:szCs w:val="21"/>
        </w:rPr>
      </w:pP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（项目名称）</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（标段名称）评标委员会：</w:t>
      </w:r>
    </w:p>
    <w:p>
      <w:pPr>
        <w:spacing w:line="490" w:lineRule="exact"/>
        <w:ind w:firstLine="420" w:firstLineChars="200"/>
        <w:rPr>
          <w:rFonts w:hint="eastAsia" w:ascii="仿宋" w:hAnsi="仿宋" w:eastAsia="仿宋" w:cs="仿宋"/>
          <w:color w:val="000000"/>
          <w:szCs w:val="21"/>
        </w:rPr>
      </w:pPr>
      <w:r>
        <w:rPr>
          <w:rFonts w:hint="eastAsia" w:ascii="仿宋" w:hAnsi="仿宋" w:eastAsia="仿宋" w:cs="仿宋"/>
          <w:color w:val="000000"/>
          <w:szCs w:val="21"/>
        </w:rPr>
        <w:t>投标文件澄清通知（编号：</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）已收悉，现就有关问题澄清如下：</w:t>
      </w:r>
    </w:p>
    <w:p>
      <w:pPr>
        <w:spacing w:line="490" w:lineRule="exact"/>
        <w:ind w:firstLine="420" w:firstLineChars="200"/>
        <w:rPr>
          <w:rFonts w:hint="eastAsia" w:ascii="仿宋" w:hAnsi="仿宋" w:eastAsia="仿宋" w:cs="仿宋"/>
          <w:color w:val="000000"/>
          <w:szCs w:val="21"/>
        </w:rPr>
      </w:pPr>
      <w:r>
        <w:rPr>
          <w:rFonts w:hint="eastAsia" w:ascii="仿宋" w:hAnsi="仿宋" w:eastAsia="仿宋" w:cs="仿宋"/>
          <w:color w:val="000000"/>
          <w:szCs w:val="21"/>
        </w:rPr>
        <w:t>1.……</w:t>
      </w:r>
    </w:p>
    <w:p>
      <w:pPr>
        <w:spacing w:line="490" w:lineRule="exact"/>
        <w:ind w:firstLine="420" w:firstLineChars="200"/>
        <w:rPr>
          <w:rFonts w:hint="eastAsia" w:ascii="仿宋" w:hAnsi="仿宋" w:eastAsia="仿宋" w:cs="仿宋"/>
          <w:color w:val="000000"/>
          <w:szCs w:val="21"/>
        </w:rPr>
      </w:pPr>
      <w:r>
        <w:rPr>
          <w:rFonts w:hint="eastAsia" w:ascii="仿宋" w:hAnsi="仿宋" w:eastAsia="仿宋" w:cs="仿宋"/>
          <w:color w:val="000000"/>
          <w:szCs w:val="21"/>
        </w:rPr>
        <w:t>2.……</w:t>
      </w:r>
    </w:p>
    <w:p>
      <w:pPr>
        <w:spacing w:line="490" w:lineRule="exact"/>
        <w:ind w:firstLine="420" w:firstLineChars="200"/>
        <w:rPr>
          <w:rFonts w:hint="eastAsia" w:ascii="仿宋" w:hAnsi="仿宋" w:eastAsia="仿宋" w:cs="仿宋"/>
          <w:color w:val="000000"/>
          <w:szCs w:val="21"/>
        </w:rPr>
      </w:pPr>
      <w:r>
        <w:rPr>
          <w:rFonts w:hint="eastAsia" w:ascii="仿宋" w:hAnsi="仿宋" w:eastAsia="仿宋" w:cs="仿宋"/>
          <w:color w:val="000000"/>
          <w:szCs w:val="21"/>
        </w:rPr>
        <w:t>……</w:t>
      </w:r>
    </w:p>
    <w:p>
      <w:pPr>
        <w:spacing w:line="490" w:lineRule="exact"/>
        <w:ind w:firstLine="420" w:firstLineChars="200"/>
        <w:rPr>
          <w:rFonts w:hint="eastAsia" w:ascii="仿宋" w:hAnsi="仿宋" w:eastAsia="仿宋" w:cs="仿宋"/>
          <w:color w:val="000000"/>
          <w:szCs w:val="21"/>
        </w:rPr>
      </w:pPr>
    </w:p>
    <w:p>
      <w:pPr>
        <w:spacing w:line="490" w:lineRule="exact"/>
        <w:ind w:firstLine="420" w:firstLineChars="200"/>
        <w:rPr>
          <w:rFonts w:hint="eastAsia" w:ascii="仿宋" w:hAnsi="仿宋" w:eastAsia="仿宋" w:cs="仿宋"/>
          <w:color w:val="000000"/>
          <w:szCs w:val="21"/>
        </w:rPr>
      </w:pPr>
      <w:r>
        <w:rPr>
          <w:rFonts w:hint="eastAsia" w:ascii="仿宋" w:hAnsi="仿宋" w:eastAsia="仿宋" w:cs="仿宋"/>
          <w:color w:val="000000"/>
          <w:szCs w:val="21"/>
        </w:rPr>
        <w:t xml:space="preserve">  </w:t>
      </w:r>
    </w:p>
    <w:p>
      <w:pPr>
        <w:spacing w:line="490" w:lineRule="exact"/>
        <w:ind w:firstLine="4200" w:firstLineChars="2000"/>
        <w:rPr>
          <w:rFonts w:hint="eastAsia" w:ascii="仿宋" w:hAnsi="仿宋" w:eastAsia="仿宋" w:cs="仿宋"/>
          <w:color w:val="000000"/>
          <w:szCs w:val="21"/>
          <w:u w:val="single"/>
        </w:rPr>
      </w:pPr>
      <w:r>
        <w:rPr>
          <w:rFonts w:hint="eastAsia" w:ascii="仿宋" w:hAnsi="仿宋" w:eastAsia="仿宋" w:cs="仿宋"/>
          <w:color w:val="000000"/>
          <w:szCs w:val="21"/>
        </w:rPr>
        <w:t>投标人：</w:t>
      </w:r>
      <w:r>
        <w:rPr>
          <w:rFonts w:hint="eastAsia" w:ascii="仿宋" w:hAnsi="仿宋" w:eastAsia="仿宋" w:cs="仿宋"/>
          <w:color w:val="000000"/>
          <w:szCs w:val="21"/>
          <w:u w:val="single"/>
        </w:rPr>
        <w:t xml:space="preserve">                              </w:t>
      </w:r>
    </w:p>
    <w:p>
      <w:pPr>
        <w:tabs>
          <w:tab w:val="left" w:pos="5446"/>
        </w:tabs>
        <w:spacing w:line="490" w:lineRule="exact"/>
        <w:ind w:firstLine="5363" w:firstLineChars="2554"/>
        <w:rPr>
          <w:rFonts w:hint="eastAsia" w:ascii="仿宋" w:hAnsi="仿宋" w:eastAsia="仿宋" w:cs="仿宋"/>
          <w:color w:val="000000"/>
          <w:szCs w:val="21"/>
        </w:rPr>
      </w:pPr>
      <w:r>
        <w:rPr>
          <w:rFonts w:hint="eastAsia" w:ascii="仿宋" w:hAnsi="仿宋" w:eastAsia="仿宋" w:cs="仿宋"/>
          <w:color w:val="000000"/>
          <w:szCs w:val="21"/>
        </w:rPr>
        <w:t>（盖单位公章）</w:t>
      </w:r>
    </w:p>
    <w:p>
      <w:pPr>
        <w:spacing w:line="490" w:lineRule="exact"/>
        <w:ind w:firstLine="1394" w:firstLineChars="664"/>
        <w:rPr>
          <w:rFonts w:hint="eastAsia" w:ascii="仿宋" w:hAnsi="仿宋" w:eastAsia="仿宋" w:cs="仿宋"/>
          <w:color w:val="000000"/>
          <w:szCs w:val="21"/>
        </w:rPr>
      </w:pPr>
    </w:p>
    <w:p>
      <w:pPr>
        <w:spacing w:line="490" w:lineRule="exact"/>
        <w:ind w:firstLine="4200" w:firstLineChars="2000"/>
        <w:rPr>
          <w:rFonts w:hint="eastAsia" w:ascii="仿宋" w:hAnsi="仿宋" w:eastAsia="仿宋" w:cs="仿宋"/>
          <w:color w:val="000000"/>
          <w:szCs w:val="21"/>
          <w:u w:val="single"/>
        </w:rPr>
      </w:pPr>
      <w:r>
        <w:rPr>
          <w:rFonts w:hint="eastAsia" w:ascii="仿宋" w:hAnsi="仿宋" w:eastAsia="仿宋" w:cs="仿宋"/>
          <w:color w:val="000000"/>
          <w:szCs w:val="21"/>
        </w:rPr>
        <w:t>法定代表人或其委托代理人：</w:t>
      </w:r>
      <w:r>
        <w:rPr>
          <w:rFonts w:hint="eastAsia" w:ascii="仿宋" w:hAnsi="仿宋" w:eastAsia="仿宋" w:cs="仿宋"/>
          <w:color w:val="000000"/>
          <w:szCs w:val="21"/>
          <w:u w:val="single"/>
        </w:rPr>
        <w:t xml:space="preserve">             </w:t>
      </w:r>
    </w:p>
    <w:p>
      <w:pPr>
        <w:spacing w:line="490" w:lineRule="exact"/>
        <w:ind w:firstLine="5814" w:firstLineChars="2769"/>
        <w:rPr>
          <w:rFonts w:hint="eastAsia" w:ascii="仿宋" w:hAnsi="仿宋" w:eastAsia="仿宋" w:cs="仿宋"/>
          <w:color w:val="000000"/>
          <w:szCs w:val="21"/>
        </w:rPr>
      </w:pPr>
      <w:r>
        <w:rPr>
          <w:rFonts w:hint="eastAsia" w:ascii="仿宋" w:hAnsi="仿宋" w:eastAsia="仿宋" w:cs="仿宋"/>
          <w:color w:val="000000"/>
          <w:szCs w:val="21"/>
        </w:rPr>
        <w:t>（签字）</w:t>
      </w:r>
    </w:p>
    <w:p>
      <w:pPr>
        <w:spacing w:line="490" w:lineRule="exact"/>
        <w:ind w:firstLine="420" w:firstLineChars="200"/>
        <w:rPr>
          <w:rFonts w:hint="eastAsia" w:ascii="仿宋" w:hAnsi="仿宋" w:eastAsia="仿宋" w:cs="仿宋"/>
          <w:color w:val="000000"/>
          <w:szCs w:val="21"/>
        </w:rPr>
      </w:pPr>
    </w:p>
    <w:p>
      <w:pPr>
        <w:spacing w:line="490" w:lineRule="exact"/>
        <w:ind w:firstLine="5827" w:firstLineChars="2775"/>
        <w:rPr>
          <w:rFonts w:hint="eastAsia" w:ascii="仿宋" w:hAnsi="仿宋" w:eastAsia="仿宋" w:cs="仿宋"/>
          <w:color w:val="000000"/>
          <w:szCs w:val="21"/>
        </w:rPr>
      </w:pP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年</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月</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日</w:t>
      </w:r>
    </w:p>
    <w:p>
      <w:pPr>
        <w:pStyle w:val="32"/>
        <w:spacing w:line="490" w:lineRule="exact"/>
        <w:ind w:left="420" w:hanging="420"/>
        <w:outlineLvl w:val="3"/>
        <w:rPr>
          <w:rFonts w:eastAsia="黑体"/>
          <w:bCs/>
          <w:color w:val="000000"/>
          <w:sz w:val="28"/>
          <w:szCs w:val="20"/>
        </w:rPr>
      </w:pPr>
      <w:r>
        <w:rPr>
          <w:rFonts w:hint="eastAsia" w:ascii="仿宋" w:hAnsi="仿宋" w:eastAsia="仿宋" w:cs="仿宋"/>
          <w:color w:val="000000"/>
          <w:szCs w:val="21"/>
        </w:rPr>
        <w:br w:type="page"/>
      </w:r>
      <w:r>
        <w:rPr>
          <w:rFonts w:eastAsia="黑体"/>
          <w:bCs/>
          <w:color w:val="000000"/>
          <w:sz w:val="28"/>
          <w:szCs w:val="20"/>
        </w:rPr>
        <w:t>附件3：评标表格</w:t>
      </w:r>
    </w:p>
    <w:p>
      <w:pPr>
        <w:pStyle w:val="32"/>
        <w:spacing w:line="490" w:lineRule="exact"/>
        <w:ind w:left="560" w:hanging="560"/>
        <w:outlineLvl w:val="4"/>
        <w:rPr>
          <w:rFonts w:eastAsia="黑体"/>
          <w:bCs/>
          <w:color w:val="000000"/>
          <w:sz w:val="28"/>
          <w:szCs w:val="20"/>
        </w:rPr>
      </w:pPr>
      <w:r>
        <w:rPr>
          <w:rFonts w:eastAsia="黑体"/>
          <w:bCs/>
          <w:color w:val="000000"/>
          <w:sz w:val="28"/>
          <w:szCs w:val="20"/>
        </w:rPr>
        <w:t>附表3-1：基本情况和数据表</w:t>
      </w:r>
    </w:p>
    <w:p>
      <w:pPr>
        <w:spacing w:line="490" w:lineRule="exact"/>
        <w:rPr>
          <w:rFonts w:hint="eastAsia" w:ascii="方正小标宋简体" w:hAnsi="黑体" w:eastAsia="方正小标宋简体" w:cs="黑体"/>
          <w:color w:val="000000"/>
          <w:sz w:val="20"/>
        </w:rPr>
      </w:pPr>
    </w:p>
    <w:p>
      <w:pPr>
        <w:spacing w:line="490" w:lineRule="exact"/>
        <w:jc w:val="center"/>
        <w:rPr>
          <w:rFonts w:hint="eastAsia" w:ascii="方正小标宋简体" w:hAnsi="黑体" w:eastAsia="方正小标宋简体" w:cs="黑体"/>
          <w:color w:val="000000"/>
          <w:sz w:val="40"/>
        </w:rPr>
      </w:pPr>
      <w:r>
        <w:rPr>
          <w:rFonts w:hint="eastAsia" w:ascii="方正小标宋简体" w:hAnsi="黑体" w:eastAsia="方正小标宋简体" w:cs="黑体"/>
          <w:color w:val="000000"/>
          <w:sz w:val="40"/>
        </w:rPr>
        <w:t>基本情况和数据表</w:t>
      </w:r>
    </w:p>
    <w:p>
      <w:pPr>
        <w:spacing w:line="600" w:lineRule="exact"/>
        <w:rPr>
          <w:color w:val="000000"/>
        </w:rPr>
      </w:pPr>
    </w:p>
    <w:p>
      <w:pPr>
        <w:spacing w:line="600" w:lineRule="exact"/>
        <w:rPr>
          <w:rFonts w:hint="eastAsia" w:ascii="仿宋" w:hAnsi="仿宋" w:eastAsia="仿宋" w:cs="仿宋"/>
          <w:color w:val="000000"/>
          <w:sz w:val="28"/>
        </w:rPr>
      </w:pPr>
      <w:r>
        <w:rPr>
          <w:rFonts w:hint="eastAsia" w:ascii="仿宋" w:hAnsi="仿宋" w:eastAsia="仿宋" w:cs="仿宋"/>
          <w:color w:val="000000"/>
          <w:sz w:val="28"/>
        </w:rPr>
        <w:t>项目名称：</w:t>
      </w:r>
      <w:r>
        <w:rPr>
          <w:rFonts w:hint="eastAsia" w:ascii="仿宋" w:hAnsi="仿宋" w:eastAsia="仿宋" w:cs="仿宋"/>
          <w:color w:val="000000"/>
          <w:sz w:val="28"/>
          <w:u w:val="single"/>
        </w:rPr>
        <w:t xml:space="preserve">                   </w:t>
      </w:r>
      <w:r>
        <w:rPr>
          <w:rFonts w:hint="eastAsia" w:ascii="仿宋" w:hAnsi="仿宋" w:eastAsia="仿宋" w:cs="仿宋"/>
          <w:color w:val="000000"/>
          <w:sz w:val="28"/>
        </w:rPr>
        <w:t>（标段）</w:t>
      </w:r>
      <w:r>
        <w:rPr>
          <w:rFonts w:hint="eastAsia" w:ascii="仿宋" w:hAnsi="仿宋" w:eastAsia="仿宋" w:cs="仿宋"/>
          <w:color w:val="000000"/>
          <w:sz w:val="28"/>
          <w:u w:val="single"/>
        </w:rPr>
        <w:t xml:space="preserve">                      </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2121"/>
        <w:gridCol w:w="5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1049" w:type="dxa"/>
            <w:noWrap w:val="0"/>
            <w:vAlign w:val="center"/>
          </w:tcPr>
          <w:p>
            <w:pPr>
              <w:snapToGrid w:val="0"/>
              <w:jc w:val="center"/>
              <w:rPr>
                <w:rFonts w:hint="eastAsia" w:ascii="仿宋" w:hAnsi="仿宋" w:eastAsia="仿宋" w:cs="仿宋"/>
                <w:color w:val="000000"/>
                <w:sz w:val="24"/>
              </w:rPr>
            </w:pPr>
            <w:r>
              <w:rPr>
                <w:rFonts w:hint="eastAsia" w:ascii="仿宋" w:hAnsi="仿宋" w:eastAsia="仿宋" w:cs="仿宋"/>
                <w:color w:val="000000"/>
                <w:sz w:val="24"/>
              </w:rPr>
              <w:t>序号</w:t>
            </w:r>
          </w:p>
        </w:tc>
        <w:tc>
          <w:tcPr>
            <w:tcW w:w="2121" w:type="dxa"/>
            <w:noWrap w:val="0"/>
            <w:vAlign w:val="center"/>
          </w:tcPr>
          <w:p>
            <w:pPr>
              <w:snapToGrid w:val="0"/>
              <w:jc w:val="center"/>
              <w:rPr>
                <w:rFonts w:hint="eastAsia" w:ascii="仿宋" w:hAnsi="仿宋" w:eastAsia="仿宋" w:cs="仿宋"/>
                <w:color w:val="000000"/>
                <w:sz w:val="24"/>
              </w:rPr>
            </w:pPr>
            <w:r>
              <w:rPr>
                <w:rFonts w:hint="eastAsia" w:ascii="仿宋" w:hAnsi="仿宋" w:eastAsia="仿宋" w:cs="仿宋"/>
                <w:color w:val="000000"/>
                <w:sz w:val="24"/>
              </w:rPr>
              <w:t>名  称</w:t>
            </w:r>
          </w:p>
        </w:tc>
        <w:tc>
          <w:tcPr>
            <w:tcW w:w="5956" w:type="dxa"/>
            <w:noWrap w:val="0"/>
            <w:vAlign w:val="center"/>
          </w:tcPr>
          <w:p>
            <w:pPr>
              <w:snapToGrid w:val="0"/>
              <w:jc w:val="center"/>
              <w:rPr>
                <w:rFonts w:hint="eastAsia" w:ascii="仿宋" w:hAnsi="仿宋" w:eastAsia="仿宋" w:cs="仿宋"/>
                <w:color w:val="000000"/>
                <w:sz w:val="24"/>
              </w:rPr>
            </w:pPr>
            <w:r>
              <w:rPr>
                <w:rFonts w:hint="eastAsia" w:ascii="仿宋" w:hAnsi="仿宋" w:eastAsia="仿宋" w:cs="仿宋"/>
                <w:color w:val="000000"/>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049" w:type="dxa"/>
            <w:noWrap w:val="0"/>
            <w:vAlign w:val="center"/>
          </w:tcPr>
          <w:p>
            <w:pPr>
              <w:snapToGrid w:val="0"/>
              <w:jc w:val="center"/>
              <w:rPr>
                <w:rFonts w:hint="eastAsia" w:ascii="仿宋" w:hAnsi="仿宋" w:eastAsia="仿宋" w:cs="仿宋"/>
                <w:color w:val="000000"/>
                <w:sz w:val="24"/>
              </w:rPr>
            </w:pPr>
            <w:r>
              <w:rPr>
                <w:rFonts w:hint="eastAsia" w:ascii="仿宋" w:hAnsi="仿宋" w:eastAsia="仿宋" w:cs="仿宋"/>
                <w:color w:val="000000"/>
                <w:sz w:val="24"/>
              </w:rPr>
              <w:t>1</w:t>
            </w:r>
          </w:p>
        </w:tc>
        <w:tc>
          <w:tcPr>
            <w:tcW w:w="2121" w:type="dxa"/>
            <w:noWrap w:val="0"/>
            <w:vAlign w:val="center"/>
          </w:tcPr>
          <w:p>
            <w:pPr>
              <w:adjustRightInd w:val="0"/>
              <w:snapToGrid w:val="0"/>
              <w:jc w:val="center"/>
              <w:rPr>
                <w:rFonts w:hint="eastAsia" w:ascii="仿宋" w:hAnsi="仿宋" w:eastAsia="仿宋" w:cs="仿宋"/>
                <w:color w:val="000000"/>
                <w:sz w:val="24"/>
              </w:rPr>
            </w:pPr>
            <w:r>
              <w:rPr>
                <w:rFonts w:hint="eastAsia" w:ascii="仿宋" w:hAnsi="仿宋" w:eastAsia="仿宋" w:cs="仿宋"/>
                <w:color w:val="000000"/>
                <w:sz w:val="24"/>
              </w:rPr>
              <w:t>项目名称</w:t>
            </w:r>
          </w:p>
        </w:tc>
        <w:tc>
          <w:tcPr>
            <w:tcW w:w="5956" w:type="dxa"/>
            <w:noWrap w:val="0"/>
            <w:vAlign w:val="center"/>
          </w:tcPr>
          <w:p>
            <w:pPr>
              <w:snapToGrid w:val="0"/>
              <w:jc w:val="left"/>
              <w:rPr>
                <w:rFonts w:hint="eastAsia"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049" w:type="dxa"/>
            <w:noWrap w:val="0"/>
            <w:vAlign w:val="center"/>
          </w:tcPr>
          <w:p>
            <w:pPr>
              <w:snapToGrid w:val="0"/>
              <w:jc w:val="center"/>
              <w:rPr>
                <w:rFonts w:hint="eastAsia" w:ascii="仿宋" w:hAnsi="仿宋" w:eastAsia="仿宋" w:cs="仿宋"/>
                <w:color w:val="000000"/>
                <w:sz w:val="24"/>
              </w:rPr>
            </w:pPr>
            <w:r>
              <w:rPr>
                <w:rFonts w:hint="eastAsia" w:ascii="仿宋" w:hAnsi="仿宋" w:eastAsia="仿宋" w:cs="仿宋"/>
                <w:color w:val="000000"/>
                <w:sz w:val="24"/>
              </w:rPr>
              <w:t>2</w:t>
            </w:r>
          </w:p>
        </w:tc>
        <w:tc>
          <w:tcPr>
            <w:tcW w:w="2121" w:type="dxa"/>
            <w:noWrap w:val="0"/>
            <w:vAlign w:val="center"/>
          </w:tcPr>
          <w:p>
            <w:pPr>
              <w:adjustRightInd w:val="0"/>
              <w:snapToGrid w:val="0"/>
              <w:jc w:val="center"/>
              <w:rPr>
                <w:rFonts w:hint="eastAsia" w:ascii="仿宋" w:hAnsi="仿宋" w:eastAsia="仿宋" w:cs="仿宋"/>
                <w:color w:val="000000"/>
                <w:sz w:val="24"/>
              </w:rPr>
            </w:pPr>
            <w:r>
              <w:rPr>
                <w:rFonts w:hint="eastAsia" w:ascii="仿宋" w:hAnsi="仿宋" w:eastAsia="仿宋" w:cs="仿宋"/>
                <w:color w:val="000000"/>
                <w:sz w:val="24"/>
              </w:rPr>
              <w:t>建设地点</w:t>
            </w:r>
          </w:p>
        </w:tc>
        <w:tc>
          <w:tcPr>
            <w:tcW w:w="5956" w:type="dxa"/>
            <w:noWrap w:val="0"/>
            <w:vAlign w:val="center"/>
          </w:tcPr>
          <w:p>
            <w:pPr>
              <w:snapToGrid w:val="0"/>
              <w:rPr>
                <w:rFonts w:hint="eastAsia"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049" w:type="dxa"/>
            <w:noWrap w:val="0"/>
            <w:vAlign w:val="center"/>
          </w:tcPr>
          <w:p>
            <w:pPr>
              <w:snapToGrid w:val="0"/>
              <w:jc w:val="center"/>
              <w:rPr>
                <w:rFonts w:hint="eastAsia" w:ascii="仿宋" w:hAnsi="仿宋" w:eastAsia="仿宋" w:cs="仿宋"/>
                <w:color w:val="000000"/>
                <w:sz w:val="24"/>
              </w:rPr>
            </w:pPr>
            <w:r>
              <w:rPr>
                <w:rFonts w:hint="eastAsia" w:ascii="仿宋" w:hAnsi="仿宋" w:eastAsia="仿宋" w:cs="仿宋"/>
                <w:color w:val="000000"/>
                <w:sz w:val="24"/>
              </w:rPr>
              <w:t>3</w:t>
            </w:r>
          </w:p>
        </w:tc>
        <w:tc>
          <w:tcPr>
            <w:tcW w:w="2121" w:type="dxa"/>
            <w:noWrap w:val="0"/>
            <w:vAlign w:val="center"/>
          </w:tcPr>
          <w:p>
            <w:pPr>
              <w:adjustRightInd w:val="0"/>
              <w:snapToGrid w:val="0"/>
              <w:jc w:val="center"/>
              <w:rPr>
                <w:rFonts w:hint="eastAsia" w:ascii="仿宋" w:hAnsi="仿宋" w:eastAsia="仿宋" w:cs="仿宋"/>
                <w:color w:val="000000"/>
                <w:sz w:val="24"/>
              </w:rPr>
            </w:pPr>
            <w:r>
              <w:rPr>
                <w:rFonts w:hint="eastAsia" w:ascii="仿宋" w:hAnsi="仿宋" w:eastAsia="仿宋" w:cs="仿宋"/>
                <w:color w:val="000000"/>
                <w:sz w:val="24"/>
              </w:rPr>
              <w:t>招标范围</w:t>
            </w:r>
          </w:p>
        </w:tc>
        <w:tc>
          <w:tcPr>
            <w:tcW w:w="5956" w:type="dxa"/>
            <w:noWrap w:val="0"/>
            <w:vAlign w:val="center"/>
          </w:tcPr>
          <w:p>
            <w:pPr>
              <w:snapToGrid w:val="0"/>
              <w:rPr>
                <w:rFonts w:hint="eastAsia"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049" w:type="dxa"/>
            <w:noWrap w:val="0"/>
            <w:vAlign w:val="center"/>
          </w:tcPr>
          <w:p>
            <w:pPr>
              <w:snapToGrid w:val="0"/>
              <w:jc w:val="center"/>
              <w:rPr>
                <w:rFonts w:hint="eastAsia" w:ascii="仿宋" w:hAnsi="仿宋" w:eastAsia="仿宋" w:cs="仿宋"/>
                <w:color w:val="000000"/>
                <w:sz w:val="24"/>
              </w:rPr>
            </w:pPr>
            <w:r>
              <w:rPr>
                <w:rFonts w:hint="eastAsia" w:ascii="仿宋" w:hAnsi="仿宋" w:eastAsia="仿宋" w:cs="仿宋"/>
                <w:color w:val="000000"/>
                <w:sz w:val="24"/>
              </w:rPr>
              <w:t>4</w:t>
            </w:r>
          </w:p>
        </w:tc>
        <w:tc>
          <w:tcPr>
            <w:tcW w:w="2121" w:type="dxa"/>
            <w:noWrap w:val="0"/>
            <w:vAlign w:val="center"/>
          </w:tcPr>
          <w:p>
            <w:pPr>
              <w:jc w:val="center"/>
              <w:rPr>
                <w:rFonts w:hint="eastAsia" w:ascii="仿宋" w:hAnsi="仿宋" w:eastAsia="仿宋" w:cs="仿宋"/>
                <w:color w:val="000000"/>
                <w:sz w:val="24"/>
              </w:rPr>
            </w:pPr>
            <w:r>
              <w:rPr>
                <w:rFonts w:hint="eastAsia" w:ascii="仿宋" w:hAnsi="仿宋" w:eastAsia="仿宋" w:cs="仿宋"/>
                <w:color w:val="000000"/>
                <w:sz w:val="24"/>
              </w:rPr>
              <w:t>资金来源</w:t>
            </w:r>
          </w:p>
        </w:tc>
        <w:tc>
          <w:tcPr>
            <w:tcW w:w="5956" w:type="dxa"/>
            <w:noWrap w:val="0"/>
            <w:vAlign w:val="center"/>
          </w:tcPr>
          <w:p>
            <w:pPr>
              <w:snapToGrid w:val="0"/>
              <w:rPr>
                <w:rFonts w:hint="eastAsia"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049" w:type="dxa"/>
            <w:noWrap w:val="0"/>
            <w:vAlign w:val="center"/>
          </w:tcPr>
          <w:p>
            <w:pPr>
              <w:snapToGrid w:val="0"/>
              <w:jc w:val="center"/>
              <w:rPr>
                <w:rFonts w:hint="eastAsia" w:ascii="仿宋" w:hAnsi="仿宋" w:eastAsia="仿宋" w:cs="仿宋"/>
                <w:color w:val="000000"/>
                <w:sz w:val="24"/>
              </w:rPr>
            </w:pPr>
            <w:r>
              <w:rPr>
                <w:rFonts w:hint="eastAsia" w:ascii="仿宋" w:hAnsi="仿宋" w:eastAsia="仿宋" w:cs="仿宋"/>
                <w:color w:val="000000"/>
                <w:sz w:val="24"/>
              </w:rPr>
              <w:t>5</w:t>
            </w:r>
          </w:p>
        </w:tc>
        <w:tc>
          <w:tcPr>
            <w:tcW w:w="2121" w:type="dxa"/>
            <w:noWrap w:val="0"/>
            <w:vAlign w:val="center"/>
          </w:tcPr>
          <w:p>
            <w:pPr>
              <w:jc w:val="center"/>
              <w:rPr>
                <w:rFonts w:hint="eastAsia" w:ascii="仿宋" w:hAnsi="仿宋" w:eastAsia="仿宋" w:cs="仿宋"/>
                <w:color w:val="000000"/>
                <w:sz w:val="24"/>
              </w:rPr>
            </w:pPr>
            <w:r>
              <w:rPr>
                <w:rFonts w:hint="eastAsia" w:ascii="仿宋" w:hAnsi="仿宋" w:eastAsia="仿宋" w:cs="仿宋"/>
                <w:color w:val="000000"/>
                <w:sz w:val="24"/>
              </w:rPr>
              <w:t>计划工期</w:t>
            </w:r>
          </w:p>
        </w:tc>
        <w:tc>
          <w:tcPr>
            <w:tcW w:w="5956" w:type="dxa"/>
            <w:noWrap w:val="0"/>
            <w:vAlign w:val="center"/>
          </w:tcPr>
          <w:p>
            <w:pPr>
              <w:snapToGrid w:val="0"/>
              <w:rPr>
                <w:rFonts w:hint="eastAsia"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049" w:type="dxa"/>
            <w:noWrap w:val="0"/>
            <w:vAlign w:val="center"/>
          </w:tcPr>
          <w:p>
            <w:pPr>
              <w:snapToGrid w:val="0"/>
              <w:jc w:val="center"/>
              <w:rPr>
                <w:rFonts w:hint="eastAsia" w:ascii="仿宋" w:hAnsi="仿宋" w:eastAsia="仿宋" w:cs="仿宋"/>
                <w:color w:val="000000"/>
                <w:sz w:val="24"/>
              </w:rPr>
            </w:pPr>
            <w:r>
              <w:rPr>
                <w:rFonts w:hint="eastAsia" w:ascii="仿宋" w:hAnsi="仿宋" w:eastAsia="仿宋" w:cs="仿宋"/>
                <w:color w:val="000000"/>
                <w:sz w:val="24"/>
              </w:rPr>
              <w:t>6</w:t>
            </w:r>
          </w:p>
        </w:tc>
        <w:tc>
          <w:tcPr>
            <w:tcW w:w="2121" w:type="dxa"/>
            <w:noWrap w:val="0"/>
            <w:vAlign w:val="center"/>
          </w:tcPr>
          <w:p>
            <w:pPr>
              <w:adjustRightInd w:val="0"/>
              <w:snapToGrid w:val="0"/>
              <w:jc w:val="center"/>
              <w:rPr>
                <w:rFonts w:hint="eastAsia" w:ascii="仿宋" w:hAnsi="仿宋" w:eastAsia="仿宋" w:cs="仿宋"/>
                <w:color w:val="000000"/>
                <w:sz w:val="24"/>
              </w:rPr>
            </w:pPr>
            <w:r>
              <w:rPr>
                <w:rFonts w:hint="eastAsia" w:ascii="仿宋" w:hAnsi="仿宋" w:eastAsia="仿宋" w:cs="仿宋"/>
                <w:color w:val="000000"/>
                <w:sz w:val="24"/>
              </w:rPr>
              <w:t>要求工程质量</w:t>
            </w:r>
          </w:p>
        </w:tc>
        <w:tc>
          <w:tcPr>
            <w:tcW w:w="5956" w:type="dxa"/>
            <w:noWrap w:val="0"/>
            <w:vAlign w:val="center"/>
          </w:tcPr>
          <w:p>
            <w:pPr>
              <w:snapToGrid w:val="0"/>
              <w:rPr>
                <w:rFonts w:hint="eastAsia"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049" w:type="dxa"/>
            <w:noWrap w:val="0"/>
            <w:vAlign w:val="center"/>
          </w:tcPr>
          <w:p>
            <w:pPr>
              <w:snapToGrid w:val="0"/>
              <w:jc w:val="center"/>
              <w:rPr>
                <w:rFonts w:hint="eastAsia" w:ascii="仿宋" w:hAnsi="仿宋" w:eastAsia="仿宋" w:cs="仿宋"/>
                <w:color w:val="000000"/>
                <w:sz w:val="24"/>
              </w:rPr>
            </w:pPr>
            <w:r>
              <w:rPr>
                <w:rFonts w:hint="eastAsia" w:ascii="仿宋" w:hAnsi="仿宋" w:eastAsia="仿宋" w:cs="仿宋"/>
                <w:color w:val="000000"/>
                <w:sz w:val="24"/>
              </w:rPr>
              <w:t>7</w:t>
            </w:r>
          </w:p>
        </w:tc>
        <w:tc>
          <w:tcPr>
            <w:tcW w:w="2121" w:type="dxa"/>
            <w:noWrap w:val="0"/>
            <w:vAlign w:val="center"/>
          </w:tcPr>
          <w:p>
            <w:pPr>
              <w:jc w:val="center"/>
              <w:rPr>
                <w:rFonts w:hint="eastAsia" w:ascii="仿宋" w:hAnsi="仿宋" w:eastAsia="仿宋" w:cs="仿宋"/>
                <w:color w:val="000000"/>
                <w:sz w:val="24"/>
              </w:rPr>
            </w:pPr>
            <w:r>
              <w:rPr>
                <w:rFonts w:hint="eastAsia" w:ascii="仿宋" w:hAnsi="仿宋" w:eastAsia="仿宋" w:cs="仿宋"/>
                <w:color w:val="000000"/>
                <w:sz w:val="24"/>
              </w:rPr>
              <w:t>招标方式</w:t>
            </w:r>
          </w:p>
        </w:tc>
        <w:tc>
          <w:tcPr>
            <w:tcW w:w="5956" w:type="dxa"/>
            <w:noWrap w:val="0"/>
            <w:vAlign w:val="center"/>
          </w:tcPr>
          <w:p>
            <w:pPr>
              <w:snapToGrid w:val="0"/>
              <w:rPr>
                <w:rFonts w:hint="eastAsia"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049" w:type="dxa"/>
            <w:noWrap w:val="0"/>
            <w:vAlign w:val="center"/>
          </w:tcPr>
          <w:p>
            <w:pPr>
              <w:snapToGrid w:val="0"/>
              <w:jc w:val="center"/>
              <w:rPr>
                <w:rFonts w:hint="eastAsia" w:ascii="仿宋" w:hAnsi="仿宋" w:eastAsia="仿宋" w:cs="仿宋"/>
                <w:color w:val="000000"/>
                <w:sz w:val="24"/>
              </w:rPr>
            </w:pPr>
            <w:r>
              <w:rPr>
                <w:rFonts w:hint="eastAsia" w:ascii="仿宋" w:hAnsi="仿宋" w:eastAsia="仿宋" w:cs="仿宋"/>
                <w:color w:val="000000"/>
                <w:sz w:val="24"/>
              </w:rPr>
              <w:t>8</w:t>
            </w:r>
          </w:p>
        </w:tc>
        <w:tc>
          <w:tcPr>
            <w:tcW w:w="2121" w:type="dxa"/>
            <w:noWrap w:val="0"/>
            <w:vAlign w:val="center"/>
          </w:tcPr>
          <w:p>
            <w:pPr>
              <w:jc w:val="center"/>
              <w:rPr>
                <w:rFonts w:hint="eastAsia" w:ascii="仿宋" w:hAnsi="仿宋" w:eastAsia="仿宋" w:cs="仿宋"/>
                <w:color w:val="000000"/>
                <w:sz w:val="24"/>
              </w:rPr>
            </w:pPr>
            <w:r>
              <w:rPr>
                <w:rFonts w:hint="eastAsia" w:ascii="仿宋" w:hAnsi="仿宋" w:eastAsia="仿宋" w:cs="仿宋"/>
                <w:color w:val="000000"/>
                <w:sz w:val="24"/>
              </w:rPr>
              <w:t>投标文件递交地点</w:t>
            </w:r>
          </w:p>
        </w:tc>
        <w:tc>
          <w:tcPr>
            <w:tcW w:w="5956" w:type="dxa"/>
            <w:noWrap w:val="0"/>
            <w:vAlign w:val="center"/>
          </w:tcPr>
          <w:p>
            <w:pPr>
              <w:snapToGrid w:val="0"/>
              <w:rPr>
                <w:rFonts w:hint="eastAsia"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049" w:type="dxa"/>
            <w:noWrap w:val="0"/>
            <w:vAlign w:val="center"/>
          </w:tcPr>
          <w:p>
            <w:pPr>
              <w:snapToGrid w:val="0"/>
              <w:jc w:val="center"/>
              <w:rPr>
                <w:rFonts w:hint="eastAsia" w:ascii="仿宋" w:hAnsi="仿宋" w:eastAsia="仿宋" w:cs="仿宋"/>
                <w:color w:val="000000"/>
                <w:sz w:val="24"/>
              </w:rPr>
            </w:pPr>
            <w:r>
              <w:rPr>
                <w:rFonts w:hint="eastAsia" w:ascii="仿宋" w:hAnsi="仿宋" w:eastAsia="仿宋" w:cs="仿宋"/>
                <w:color w:val="000000"/>
                <w:sz w:val="24"/>
              </w:rPr>
              <w:t>9</w:t>
            </w:r>
          </w:p>
        </w:tc>
        <w:tc>
          <w:tcPr>
            <w:tcW w:w="2121" w:type="dxa"/>
            <w:noWrap w:val="0"/>
            <w:vAlign w:val="center"/>
          </w:tcPr>
          <w:p>
            <w:pPr>
              <w:jc w:val="center"/>
              <w:rPr>
                <w:rFonts w:hint="eastAsia" w:ascii="仿宋" w:hAnsi="仿宋" w:eastAsia="仿宋" w:cs="仿宋"/>
                <w:color w:val="000000"/>
                <w:sz w:val="24"/>
              </w:rPr>
            </w:pPr>
            <w:r>
              <w:rPr>
                <w:rFonts w:hint="eastAsia" w:ascii="仿宋" w:hAnsi="仿宋" w:eastAsia="仿宋" w:cs="仿宋"/>
                <w:color w:val="000000"/>
                <w:sz w:val="24"/>
              </w:rPr>
              <w:t>投标截止时间</w:t>
            </w:r>
          </w:p>
        </w:tc>
        <w:tc>
          <w:tcPr>
            <w:tcW w:w="5956" w:type="dxa"/>
            <w:noWrap w:val="0"/>
            <w:vAlign w:val="center"/>
          </w:tcPr>
          <w:p>
            <w:pPr>
              <w:snapToGrid w:val="0"/>
              <w:jc w:val="left"/>
              <w:rPr>
                <w:rFonts w:hint="eastAsia"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049" w:type="dxa"/>
            <w:noWrap w:val="0"/>
            <w:vAlign w:val="center"/>
          </w:tcPr>
          <w:p>
            <w:pPr>
              <w:snapToGrid w:val="0"/>
              <w:jc w:val="center"/>
              <w:rPr>
                <w:rFonts w:hint="eastAsia" w:ascii="仿宋" w:hAnsi="仿宋" w:eastAsia="仿宋" w:cs="仿宋"/>
                <w:color w:val="000000"/>
                <w:sz w:val="24"/>
              </w:rPr>
            </w:pPr>
            <w:r>
              <w:rPr>
                <w:rFonts w:hint="eastAsia" w:ascii="仿宋" w:hAnsi="仿宋" w:eastAsia="仿宋" w:cs="仿宋"/>
                <w:color w:val="000000"/>
                <w:sz w:val="24"/>
              </w:rPr>
              <w:t>10</w:t>
            </w:r>
          </w:p>
        </w:tc>
        <w:tc>
          <w:tcPr>
            <w:tcW w:w="2121" w:type="dxa"/>
            <w:noWrap w:val="0"/>
            <w:vAlign w:val="center"/>
          </w:tcPr>
          <w:p>
            <w:pPr>
              <w:jc w:val="center"/>
              <w:rPr>
                <w:rFonts w:hint="eastAsia" w:ascii="仿宋" w:hAnsi="仿宋" w:eastAsia="仿宋" w:cs="仿宋"/>
                <w:color w:val="000000"/>
                <w:sz w:val="24"/>
              </w:rPr>
            </w:pPr>
            <w:r>
              <w:rPr>
                <w:rFonts w:hint="eastAsia" w:ascii="仿宋" w:hAnsi="仿宋" w:eastAsia="仿宋" w:cs="仿宋"/>
                <w:color w:val="000000"/>
                <w:sz w:val="24"/>
              </w:rPr>
              <w:t>收到投标文件数量</w:t>
            </w:r>
          </w:p>
        </w:tc>
        <w:tc>
          <w:tcPr>
            <w:tcW w:w="5956" w:type="dxa"/>
            <w:noWrap w:val="0"/>
            <w:vAlign w:val="center"/>
          </w:tcPr>
          <w:p>
            <w:pPr>
              <w:snapToGrid w:val="0"/>
              <w:jc w:val="left"/>
              <w:rPr>
                <w:rFonts w:hint="eastAsia"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049" w:type="dxa"/>
            <w:noWrap w:val="0"/>
            <w:vAlign w:val="center"/>
          </w:tcPr>
          <w:p>
            <w:pPr>
              <w:snapToGrid w:val="0"/>
              <w:jc w:val="center"/>
              <w:rPr>
                <w:rFonts w:hint="eastAsia" w:ascii="仿宋" w:hAnsi="仿宋" w:eastAsia="仿宋" w:cs="仿宋"/>
                <w:color w:val="000000"/>
                <w:sz w:val="24"/>
              </w:rPr>
            </w:pPr>
            <w:r>
              <w:rPr>
                <w:rFonts w:hint="eastAsia" w:ascii="仿宋" w:hAnsi="仿宋" w:eastAsia="仿宋" w:cs="仿宋"/>
                <w:color w:val="000000"/>
                <w:sz w:val="24"/>
              </w:rPr>
              <w:t>11</w:t>
            </w:r>
          </w:p>
        </w:tc>
        <w:tc>
          <w:tcPr>
            <w:tcW w:w="2121" w:type="dxa"/>
            <w:noWrap w:val="0"/>
            <w:vAlign w:val="center"/>
          </w:tcPr>
          <w:p>
            <w:pPr>
              <w:jc w:val="center"/>
              <w:rPr>
                <w:rFonts w:hint="eastAsia" w:ascii="仿宋" w:hAnsi="仿宋" w:eastAsia="仿宋" w:cs="仿宋"/>
                <w:color w:val="000000"/>
                <w:sz w:val="24"/>
              </w:rPr>
            </w:pPr>
            <w:r>
              <w:rPr>
                <w:rFonts w:hint="eastAsia" w:ascii="仿宋" w:hAnsi="仿宋" w:eastAsia="仿宋" w:cs="仿宋"/>
                <w:color w:val="000000"/>
                <w:sz w:val="24"/>
              </w:rPr>
              <w:t>开标时间</w:t>
            </w:r>
          </w:p>
          <w:p>
            <w:pPr>
              <w:adjustRightInd w:val="0"/>
              <w:snapToGrid w:val="0"/>
              <w:jc w:val="center"/>
              <w:rPr>
                <w:rFonts w:hint="eastAsia" w:ascii="仿宋" w:hAnsi="仿宋" w:eastAsia="仿宋" w:cs="仿宋"/>
                <w:color w:val="000000"/>
                <w:sz w:val="24"/>
              </w:rPr>
            </w:pPr>
            <w:r>
              <w:rPr>
                <w:rFonts w:hint="eastAsia" w:ascii="仿宋" w:hAnsi="仿宋" w:eastAsia="仿宋" w:cs="仿宋"/>
                <w:color w:val="000000"/>
                <w:sz w:val="24"/>
              </w:rPr>
              <w:t>开标地址</w:t>
            </w:r>
          </w:p>
        </w:tc>
        <w:tc>
          <w:tcPr>
            <w:tcW w:w="5956" w:type="dxa"/>
            <w:noWrap w:val="0"/>
            <w:vAlign w:val="center"/>
          </w:tcPr>
          <w:p>
            <w:pPr>
              <w:snapToGrid w:val="0"/>
              <w:jc w:val="left"/>
              <w:rPr>
                <w:rFonts w:hint="eastAsia"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049" w:type="dxa"/>
            <w:noWrap w:val="0"/>
            <w:vAlign w:val="center"/>
          </w:tcPr>
          <w:p>
            <w:pPr>
              <w:snapToGrid w:val="0"/>
              <w:jc w:val="center"/>
              <w:rPr>
                <w:rFonts w:hint="eastAsia" w:ascii="仿宋" w:hAnsi="仿宋" w:eastAsia="仿宋" w:cs="仿宋"/>
                <w:color w:val="000000"/>
                <w:sz w:val="24"/>
              </w:rPr>
            </w:pPr>
            <w:r>
              <w:rPr>
                <w:rFonts w:hint="eastAsia" w:ascii="仿宋" w:hAnsi="仿宋" w:eastAsia="仿宋" w:cs="仿宋"/>
                <w:color w:val="000000"/>
                <w:sz w:val="24"/>
              </w:rPr>
              <w:t>12</w:t>
            </w:r>
          </w:p>
        </w:tc>
        <w:tc>
          <w:tcPr>
            <w:tcW w:w="2121" w:type="dxa"/>
            <w:noWrap w:val="0"/>
            <w:vAlign w:val="center"/>
          </w:tcPr>
          <w:p>
            <w:pPr>
              <w:adjustRightInd w:val="0"/>
              <w:snapToGrid w:val="0"/>
              <w:jc w:val="center"/>
              <w:rPr>
                <w:rFonts w:hint="eastAsia" w:ascii="仿宋" w:hAnsi="仿宋" w:eastAsia="仿宋" w:cs="仿宋"/>
                <w:color w:val="000000"/>
                <w:sz w:val="24"/>
              </w:rPr>
            </w:pPr>
            <w:r>
              <w:rPr>
                <w:rFonts w:hint="eastAsia" w:ascii="仿宋" w:hAnsi="仿宋" w:eastAsia="仿宋" w:cs="仿宋"/>
                <w:color w:val="000000"/>
                <w:sz w:val="24"/>
              </w:rPr>
              <w:t>投标担保</w:t>
            </w:r>
          </w:p>
        </w:tc>
        <w:tc>
          <w:tcPr>
            <w:tcW w:w="5956" w:type="dxa"/>
            <w:noWrap w:val="0"/>
            <w:vAlign w:val="center"/>
          </w:tcPr>
          <w:p>
            <w:pPr>
              <w:snapToGrid w:val="0"/>
              <w:rPr>
                <w:rFonts w:hint="eastAsia"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049" w:type="dxa"/>
            <w:noWrap w:val="0"/>
            <w:vAlign w:val="center"/>
          </w:tcPr>
          <w:p>
            <w:pPr>
              <w:snapToGrid w:val="0"/>
              <w:jc w:val="center"/>
              <w:rPr>
                <w:rFonts w:hint="eastAsia" w:ascii="仿宋" w:hAnsi="仿宋" w:eastAsia="仿宋" w:cs="仿宋"/>
                <w:color w:val="000000"/>
                <w:sz w:val="24"/>
              </w:rPr>
            </w:pPr>
            <w:r>
              <w:rPr>
                <w:rFonts w:hint="eastAsia" w:ascii="仿宋" w:hAnsi="仿宋" w:eastAsia="仿宋" w:cs="仿宋"/>
                <w:color w:val="000000"/>
                <w:sz w:val="24"/>
              </w:rPr>
              <w:t>13</w:t>
            </w:r>
          </w:p>
        </w:tc>
        <w:tc>
          <w:tcPr>
            <w:tcW w:w="2121" w:type="dxa"/>
            <w:noWrap w:val="0"/>
            <w:vAlign w:val="center"/>
          </w:tcPr>
          <w:p>
            <w:pPr>
              <w:adjustRightInd w:val="0"/>
              <w:snapToGrid w:val="0"/>
              <w:jc w:val="center"/>
              <w:rPr>
                <w:rFonts w:hint="eastAsia" w:ascii="仿宋" w:hAnsi="仿宋" w:eastAsia="仿宋" w:cs="仿宋"/>
                <w:color w:val="000000"/>
                <w:sz w:val="24"/>
              </w:rPr>
            </w:pPr>
            <w:r>
              <w:rPr>
                <w:rFonts w:hint="eastAsia" w:ascii="仿宋" w:hAnsi="仿宋" w:eastAsia="仿宋" w:cs="仿宋"/>
                <w:color w:val="000000"/>
                <w:sz w:val="24"/>
              </w:rPr>
              <w:t>投标有效期</w:t>
            </w:r>
          </w:p>
        </w:tc>
        <w:tc>
          <w:tcPr>
            <w:tcW w:w="5956" w:type="dxa"/>
            <w:noWrap w:val="0"/>
            <w:vAlign w:val="center"/>
          </w:tcPr>
          <w:p>
            <w:pPr>
              <w:snapToGrid w:val="0"/>
              <w:rPr>
                <w:rFonts w:hint="eastAsia"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049" w:type="dxa"/>
            <w:noWrap w:val="0"/>
            <w:vAlign w:val="center"/>
          </w:tcPr>
          <w:p>
            <w:pPr>
              <w:snapToGrid w:val="0"/>
              <w:jc w:val="center"/>
              <w:rPr>
                <w:rFonts w:hint="eastAsia" w:ascii="仿宋" w:hAnsi="仿宋" w:eastAsia="仿宋" w:cs="仿宋"/>
                <w:color w:val="000000"/>
                <w:sz w:val="24"/>
              </w:rPr>
            </w:pPr>
            <w:r>
              <w:rPr>
                <w:rFonts w:hint="eastAsia" w:ascii="仿宋" w:hAnsi="仿宋" w:eastAsia="仿宋" w:cs="仿宋"/>
                <w:color w:val="000000"/>
                <w:sz w:val="24"/>
              </w:rPr>
              <w:t>14</w:t>
            </w:r>
          </w:p>
        </w:tc>
        <w:tc>
          <w:tcPr>
            <w:tcW w:w="2121" w:type="dxa"/>
            <w:noWrap w:val="0"/>
            <w:vAlign w:val="center"/>
          </w:tcPr>
          <w:p>
            <w:pPr>
              <w:adjustRightInd w:val="0"/>
              <w:snapToGrid w:val="0"/>
              <w:ind w:left="2520" w:hanging="2520"/>
              <w:jc w:val="center"/>
              <w:rPr>
                <w:rFonts w:hint="eastAsia" w:ascii="仿宋" w:hAnsi="仿宋" w:eastAsia="仿宋" w:cs="仿宋"/>
                <w:color w:val="000000"/>
                <w:sz w:val="24"/>
              </w:rPr>
            </w:pPr>
            <w:r>
              <w:rPr>
                <w:rFonts w:hint="eastAsia" w:ascii="仿宋" w:hAnsi="仿宋" w:eastAsia="仿宋" w:cs="仿宋"/>
                <w:color w:val="000000"/>
                <w:sz w:val="24"/>
              </w:rPr>
              <w:t>评标办法</w:t>
            </w:r>
          </w:p>
        </w:tc>
        <w:tc>
          <w:tcPr>
            <w:tcW w:w="5956" w:type="dxa"/>
            <w:noWrap w:val="0"/>
            <w:vAlign w:val="center"/>
          </w:tcPr>
          <w:p>
            <w:pPr>
              <w:snapToGrid w:val="0"/>
              <w:rPr>
                <w:rFonts w:hint="eastAsia"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049" w:type="dxa"/>
            <w:noWrap w:val="0"/>
            <w:vAlign w:val="center"/>
          </w:tcPr>
          <w:p>
            <w:pPr>
              <w:snapToGrid w:val="0"/>
              <w:jc w:val="center"/>
              <w:rPr>
                <w:rFonts w:hint="eastAsia" w:ascii="仿宋" w:hAnsi="仿宋" w:eastAsia="仿宋" w:cs="仿宋"/>
                <w:color w:val="000000"/>
                <w:sz w:val="24"/>
              </w:rPr>
            </w:pPr>
            <w:r>
              <w:rPr>
                <w:rFonts w:hint="eastAsia" w:ascii="仿宋" w:hAnsi="仿宋" w:eastAsia="仿宋" w:cs="仿宋"/>
                <w:color w:val="000000"/>
                <w:sz w:val="24"/>
              </w:rPr>
              <w:t>15</w:t>
            </w:r>
          </w:p>
        </w:tc>
        <w:tc>
          <w:tcPr>
            <w:tcW w:w="2121" w:type="dxa"/>
            <w:noWrap w:val="0"/>
            <w:vAlign w:val="center"/>
          </w:tcPr>
          <w:p>
            <w:pPr>
              <w:jc w:val="center"/>
              <w:rPr>
                <w:rFonts w:hint="eastAsia" w:ascii="仿宋" w:hAnsi="仿宋" w:eastAsia="仿宋" w:cs="仿宋"/>
                <w:color w:val="000000"/>
                <w:sz w:val="24"/>
              </w:rPr>
            </w:pPr>
            <w:r>
              <w:rPr>
                <w:rFonts w:hint="eastAsia" w:ascii="仿宋" w:hAnsi="仿宋" w:eastAsia="仿宋" w:cs="仿宋"/>
                <w:color w:val="000000"/>
                <w:sz w:val="24"/>
              </w:rPr>
              <w:t>支付方式</w:t>
            </w:r>
          </w:p>
        </w:tc>
        <w:tc>
          <w:tcPr>
            <w:tcW w:w="5956" w:type="dxa"/>
            <w:noWrap w:val="0"/>
            <w:vAlign w:val="center"/>
          </w:tcPr>
          <w:p>
            <w:pPr>
              <w:snapToGrid w:val="0"/>
              <w:rPr>
                <w:rFonts w:hint="eastAsia" w:ascii="仿宋" w:hAnsi="仿宋" w:eastAsia="仿宋" w:cs="仿宋"/>
                <w:color w:val="000000"/>
                <w:sz w:val="24"/>
              </w:rPr>
            </w:pPr>
          </w:p>
        </w:tc>
      </w:tr>
    </w:tbl>
    <w:p>
      <w:pPr>
        <w:snapToGrid w:val="0"/>
        <w:spacing w:line="360" w:lineRule="auto"/>
        <w:rPr>
          <w:color w:val="000000"/>
          <w:kern w:val="0"/>
        </w:rPr>
      </w:pPr>
    </w:p>
    <w:p>
      <w:pPr>
        <w:snapToGrid w:val="0"/>
        <w:spacing w:line="360" w:lineRule="auto"/>
        <w:rPr>
          <w:color w:val="000000"/>
          <w:kern w:val="0"/>
        </w:rPr>
      </w:pPr>
    </w:p>
    <w:p>
      <w:pPr>
        <w:pStyle w:val="32"/>
        <w:spacing w:line="490" w:lineRule="exact"/>
        <w:ind w:left="420" w:hanging="420"/>
        <w:outlineLvl w:val="4"/>
        <w:rPr>
          <w:rFonts w:eastAsia="黑体"/>
          <w:bCs/>
          <w:color w:val="000000"/>
          <w:sz w:val="28"/>
          <w:szCs w:val="20"/>
        </w:rPr>
      </w:pPr>
      <w:r>
        <w:rPr>
          <w:color w:val="000000"/>
          <w:kern w:val="0"/>
        </w:rPr>
        <w:br w:type="page"/>
      </w:r>
      <w:r>
        <w:rPr>
          <w:rFonts w:eastAsia="黑体"/>
          <w:bCs/>
          <w:color w:val="000000"/>
          <w:sz w:val="28"/>
          <w:szCs w:val="20"/>
        </w:rPr>
        <w:t>附表3-2：评标委员会签到表</w:t>
      </w:r>
    </w:p>
    <w:p>
      <w:pPr>
        <w:spacing w:line="490" w:lineRule="exact"/>
        <w:jc w:val="center"/>
        <w:rPr>
          <w:rFonts w:eastAsia="方正小标宋_GBK"/>
          <w:b/>
          <w:color w:val="000000"/>
          <w:sz w:val="40"/>
        </w:rPr>
      </w:pPr>
    </w:p>
    <w:p>
      <w:pPr>
        <w:spacing w:line="490" w:lineRule="exact"/>
        <w:jc w:val="center"/>
        <w:rPr>
          <w:rFonts w:hint="eastAsia" w:ascii="方正小标宋简体" w:eastAsia="方正小标宋简体"/>
          <w:color w:val="000000"/>
          <w:sz w:val="40"/>
        </w:rPr>
      </w:pPr>
      <w:r>
        <w:rPr>
          <w:rFonts w:hint="eastAsia" w:ascii="方正小标宋简体" w:eastAsia="方正小标宋简体"/>
          <w:color w:val="000000"/>
          <w:sz w:val="40"/>
        </w:rPr>
        <w:t>评标委员会签到表</w:t>
      </w:r>
    </w:p>
    <w:p>
      <w:pPr>
        <w:spacing w:line="490" w:lineRule="exact"/>
        <w:jc w:val="center"/>
        <w:rPr>
          <w:rFonts w:eastAsia="方正小标宋_GBK"/>
          <w:b/>
          <w:color w:val="000000"/>
          <w:sz w:val="40"/>
        </w:rPr>
      </w:pPr>
    </w:p>
    <w:p>
      <w:pPr>
        <w:snapToGrid w:val="0"/>
        <w:spacing w:line="600" w:lineRule="exact"/>
        <w:rPr>
          <w:rFonts w:hint="eastAsia" w:ascii="仿宋" w:hAnsi="仿宋" w:eastAsia="仿宋" w:cs="仿宋"/>
          <w:color w:val="000000"/>
          <w:sz w:val="28"/>
          <w:szCs w:val="28"/>
          <w:u w:val="single"/>
        </w:rPr>
      </w:pPr>
      <w:r>
        <w:rPr>
          <w:rFonts w:hint="eastAsia" w:ascii="仿宋" w:hAnsi="仿宋" w:eastAsia="仿宋" w:cs="仿宋"/>
          <w:color w:val="000000"/>
          <w:sz w:val="28"/>
          <w:szCs w:val="28"/>
        </w:rPr>
        <w:t>项目名称：</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（标段）</w:t>
      </w:r>
      <w:r>
        <w:rPr>
          <w:rFonts w:hint="eastAsia" w:ascii="仿宋" w:hAnsi="仿宋" w:eastAsia="仿宋" w:cs="仿宋"/>
          <w:color w:val="000000"/>
          <w:sz w:val="28"/>
          <w:szCs w:val="28"/>
          <w:u w:val="single"/>
        </w:rPr>
        <w:t xml:space="preserve">                    </w:t>
      </w:r>
    </w:p>
    <w:p>
      <w:pPr>
        <w:snapToGrid w:val="0"/>
        <w:spacing w:line="600" w:lineRule="exact"/>
        <w:rPr>
          <w:rFonts w:hint="eastAsia" w:ascii="仿宋" w:hAnsi="仿宋" w:eastAsia="仿宋" w:cs="仿宋"/>
          <w:color w:val="000000"/>
          <w:sz w:val="28"/>
          <w:szCs w:val="28"/>
        </w:rPr>
      </w:pPr>
      <w:r>
        <w:rPr>
          <w:rFonts w:hint="eastAsia" w:ascii="仿宋" w:hAnsi="仿宋" w:eastAsia="仿宋" w:cs="仿宋"/>
          <w:color w:val="000000"/>
          <w:sz w:val="28"/>
          <w:szCs w:val="28"/>
        </w:rPr>
        <w:t>评标时间：</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年</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月</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日</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900"/>
        <w:gridCol w:w="2251"/>
        <w:gridCol w:w="1327"/>
        <w:gridCol w:w="1327"/>
        <w:gridCol w:w="1327"/>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827" w:type="dxa"/>
            <w:noWrap w:val="0"/>
            <w:vAlign w:val="center"/>
          </w:tcPr>
          <w:p>
            <w:pPr>
              <w:snapToGrid w:val="0"/>
              <w:jc w:val="center"/>
              <w:rPr>
                <w:rFonts w:hint="eastAsia" w:ascii="仿宋" w:hAnsi="仿宋" w:eastAsia="仿宋" w:cs="仿宋"/>
                <w:color w:val="000000"/>
                <w:sz w:val="24"/>
              </w:rPr>
            </w:pPr>
            <w:r>
              <w:rPr>
                <w:rFonts w:hint="eastAsia" w:ascii="仿宋" w:hAnsi="仿宋" w:eastAsia="仿宋" w:cs="仿宋"/>
                <w:color w:val="000000"/>
                <w:sz w:val="24"/>
              </w:rPr>
              <w:t>序号</w:t>
            </w:r>
          </w:p>
        </w:tc>
        <w:tc>
          <w:tcPr>
            <w:tcW w:w="900" w:type="dxa"/>
            <w:noWrap w:val="0"/>
            <w:vAlign w:val="center"/>
          </w:tcPr>
          <w:p>
            <w:pPr>
              <w:jc w:val="center"/>
              <w:rPr>
                <w:rFonts w:hint="eastAsia" w:ascii="仿宋" w:hAnsi="仿宋" w:eastAsia="仿宋" w:cs="仿宋"/>
                <w:color w:val="000000"/>
                <w:sz w:val="24"/>
              </w:rPr>
            </w:pPr>
            <w:r>
              <w:rPr>
                <w:rFonts w:hint="eastAsia" w:ascii="仿宋" w:hAnsi="仿宋" w:eastAsia="仿宋" w:cs="仿宋"/>
                <w:color w:val="000000"/>
                <w:sz w:val="24"/>
              </w:rPr>
              <w:t>姓名</w:t>
            </w:r>
          </w:p>
        </w:tc>
        <w:tc>
          <w:tcPr>
            <w:tcW w:w="2251" w:type="dxa"/>
            <w:noWrap w:val="0"/>
            <w:vAlign w:val="center"/>
          </w:tcPr>
          <w:p>
            <w:pPr>
              <w:jc w:val="center"/>
              <w:rPr>
                <w:rFonts w:hint="eastAsia" w:ascii="仿宋" w:hAnsi="仿宋" w:eastAsia="仿宋" w:cs="仿宋"/>
                <w:color w:val="000000"/>
                <w:sz w:val="24"/>
              </w:rPr>
            </w:pPr>
            <w:r>
              <w:rPr>
                <w:rFonts w:hint="eastAsia" w:ascii="仿宋" w:hAnsi="仿宋" w:eastAsia="仿宋" w:cs="仿宋"/>
                <w:color w:val="000000"/>
                <w:sz w:val="24"/>
              </w:rPr>
              <w:t>工作单位</w:t>
            </w:r>
          </w:p>
        </w:tc>
        <w:tc>
          <w:tcPr>
            <w:tcW w:w="1327" w:type="dxa"/>
            <w:noWrap w:val="0"/>
            <w:vAlign w:val="center"/>
          </w:tcPr>
          <w:p>
            <w:pPr>
              <w:jc w:val="center"/>
              <w:rPr>
                <w:rFonts w:hint="eastAsia" w:ascii="仿宋" w:hAnsi="仿宋" w:eastAsia="仿宋" w:cs="仿宋"/>
                <w:color w:val="000000"/>
                <w:sz w:val="24"/>
              </w:rPr>
            </w:pPr>
            <w:r>
              <w:rPr>
                <w:rFonts w:hint="eastAsia" w:ascii="仿宋" w:hAnsi="仿宋" w:eastAsia="仿宋" w:cs="仿宋"/>
                <w:color w:val="000000"/>
                <w:sz w:val="24"/>
              </w:rPr>
              <w:t>职称</w:t>
            </w:r>
          </w:p>
        </w:tc>
        <w:tc>
          <w:tcPr>
            <w:tcW w:w="1327" w:type="dxa"/>
            <w:noWrap w:val="0"/>
            <w:vAlign w:val="center"/>
          </w:tcPr>
          <w:p>
            <w:pPr>
              <w:jc w:val="center"/>
              <w:rPr>
                <w:rFonts w:hint="eastAsia" w:ascii="仿宋" w:hAnsi="仿宋" w:eastAsia="仿宋" w:cs="仿宋"/>
                <w:color w:val="000000"/>
                <w:sz w:val="24"/>
              </w:rPr>
            </w:pPr>
            <w:r>
              <w:rPr>
                <w:rFonts w:hint="eastAsia" w:ascii="仿宋" w:hAnsi="仿宋" w:eastAsia="仿宋" w:cs="仿宋"/>
                <w:color w:val="000000"/>
                <w:sz w:val="24"/>
              </w:rPr>
              <w:t>专业类别</w:t>
            </w:r>
          </w:p>
        </w:tc>
        <w:tc>
          <w:tcPr>
            <w:tcW w:w="1327" w:type="dxa"/>
            <w:noWrap w:val="0"/>
            <w:vAlign w:val="center"/>
          </w:tcPr>
          <w:p>
            <w:pPr>
              <w:jc w:val="center"/>
              <w:rPr>
                <w:rFonts w:hint="eastAsia" w:ascii="仿宋" w:hAnsi="仿宋" w:eastAsia="仿宋" w:cs="仿宋"/>
                <w:color w:val="000000"/>
                <w:sz w:val="24"/>
              </w:rPr>
            </w:pPr>
            <w:r>
              <w:rPr>
                <w:rFonts w:hint="eastAsia" w:ascii="仿宋" w:hAnsi="仿宋" w:eastAsia="仿宋" w:cs="仿宋"/>
                <w:color w:val="000000"/>
                <w:sz w:val="24"/>
              </w:rPr>
              <w:t>签到时间</w:t>
            </w:r>
          </w:p>
        </w:tc>
        <w:tc>
          <w:tcPr>
            <w:tcW w:w="1327" w:type="dxa"/>
            <w:noWrap w:val="0"/>
            <w:vAlign w:val="center"/>
          </w:tcPr>
          <w:p>
            <w:pPr>
              <w:snapToGrid w:val="0"/>
              <w:jc w:val="center"/>
              <w:rPr>
                <w:rFonts w:hint="eastAsia" w:ascii="仿宋" w:hAnsi="仿宋" w:eastAsia="仿宋" w:cs="仿宋"/>
                <w:color w:val="000000"/>
                <w:sz w:val="24"/>
              </w:rPr>
            </w:pPr>
            <w:r>
              <w:rPr>
                <w:rFonts w:hint="eastAsia" w:ascii="仿宋" w:hAnsi="仿宋" w:eastAsia="仿宋" w:cs="仿宋"/>
                <w:color w:val="000000"/>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827" w:type="dxa"/>
            <w:noWrap w:val="0"/>
            <w:vAlign w:val="center"/>
          </w:tcPr>
          <w:p>
            <w:pPr>
              <w:snapToGrid w:val="0"/>
              <w:ind w:left="1260" w:hanging="420"/>
              <w:jc w:val="center"/>
              <w:rPr>
                <w:rFonts w:hint="eastAsia" w:ascii="仿宋" w:hAnsi="仿宋" w:eastAsia="仿宋" w:cs="仿宋"/>
                <w:color w:val="000000"/>
                <w:sz w:val="24"/>
              </w:rPr>
            </w:pPr>
          </w:p>
        </w:tc>
        <w:tc>
          <w:tcPr>
            <w:tcW w:w="900" w:type="dxa"/>
            <w:noWrap w:val="0"/>
            <w:vAlign w:val="center"/>
          </w:tcPr>
          <w:p>
            <w:pPr>
              <w:snapToGrid w:val="0"/>
              <w:ind w:left="1260" w:hanging="420"/>
              <w:jc w:val="center"/>
              <w:rPr>
                <w:rFonts w:hint="eastAsia" w:ascii="仿宋" w:hAnsi="仿宋" w:eastAsia="仿宋" w:cs="仿宋"/>
                <w:color w:val="000000"/>
                <w:sz w:val="24"/>
              </w:rPr>
            </w:pPr>
          </w:p>
        </w:tc>
        <w:tc>
          <w:tcPr>
            <w:tcW w:w="2251" w:type="dxa"/>
            <w:noWrap w:val="0"/>
            <w:vAlign w:val="center"/>
          </w:tcPr>
          <w:p>
            <w:pPr>
              <w:snapToGrid w:val="0"/>
              <w:ind w:left="1260" w:hanging="420"/>
              <w:jc w:val="center"/>
              <w:rPr>
                <w:rFonts w:hint="eastAsia" w:ascii="仿宋" w:hAnsi="仿宋" w:eastAsia="仿宋" w:cs="仿宋"/>
                <w:color w:val="000000"/>
                <w:sz w:val="24"/>
              </w:rPr>
            </w:pPr>
          </w:p>
        </w:tc>
        <w:tc>
          <w:tcPr>
            <w:tcW w:w="1327" w:type="dxa"/>
            <w:noWrap w:val="0"/>
            <w:vAlign w:val="center"/>
          </w:tcPr>
          <w:p>
            <w:pPr>
              <w:snapToGrid w:val="0"/>
              <w:ind w:left="1260" w:hanging="420"/>
              <w:jc w:val="center"/>
              <w:rPr>
                <w:rFonts w:hint="eastAsia" w:ascii="仿宋" w:hAnsi="仿宋" w:eastAsia="仿宋" w:cs="仿宋"/>
                <w:color w:val="000000"/>
                <w:sz w:val="24"/>
              </w:rPr>
            </w:pPr>
          </w:p>
        </w:tc>
        <w:tc>
          <w:tcPr>
            <w:tcW w:w="1327" w:type="dxa"/>
            <w:noWrap w:val="0"/>
            <w:vAlign w:val="center"/>
          </w:tcPr>
          <w:p>
            <w:pPr>
              <w:snapToGrid w:val="0"/>
              <w:ind w:left="1260" w:hanging="420"/>
              <w:jc w:val="center"/>
              <w:rPr>
                <w:rFonts w:hint="eastAsia" w:ascii="仿宋" w:hAnsi="仿宋" w:eastAsia="仿宋" w:cs="仿宋"/>
                <w:color w:val="000000"/>
                <w:sz w:val="24"/>
              </w:rPr>
            </w:pPr>
          </w:p>
        </w:tc>
        <w:tc>
          <w:tcPr>
            <w:tcW w:w="1327" w:type="dxa"/>
            <w:noWrap w:val="0"/>
            <w:vAlign w:val="center"/>
          </w:tcPr>
          <w:p>
            <w:pPr>
              <w:snapToGrid w:val="0"/>
              <w:ind w:left="1260" w:hanging="420"/>
              <w:jc w:val="center"/>
              <w:rPr>
                <w:rFonts w:hint="eastAsia" w:ascii="仿宋" w:hAnsi="仿宋" w:eastAsia="仿宋" w:cs="仿宋"/>
                <w:color w:val="000000"/>
                <w:sz w:val="24"/>
              </w:rPr>
            </w:pPr>
          </w:p>
        </w:tc>
        <w:tc>
          <w:tcPr>
            <w:tcW w:w="1327" w:type="dxa"/>
            <w:noWrap w:val="0"/>
            <w:vAlign w:val="center"/>
          </w:tcPr>
          <w:p>
            <w:pPr>
              <w:snapToGrid w:val="0"/>
              <w:ind w:left="1260" w:hanging="420"/>
              <w:jc w:val="center"/>
              <w:rPr>
                <w:rFonts w:hint="eastAsia"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827" w:type="dxa"/>
            <w:noWrap w:val="0"/>
            <w:vAlign w:val="center"/>
          </w:tcPr>
          <w:p>
            <w:pPr>
              <w:snapToGrid w:val="0"/>
              <w:ind w:left="1260" w:hanging="420"/>
              <w:jc w:val="center"/>
              <w:rPr>
                <w:rFonts w:hint="eastAsia" w:ascii="仿宋" w:hAnsi="仿宋" w:eastAsia="仿宋" w:cs="仿宋"/>
                <w:color w:val="000000"/>
                <w:sz w:val="24"/>
              </w:rPr>
            </w:pPr>
          </w:p>
        </w:tc>
        <w:tc>
          <w:tcPr>
            <w:tcW w:w="900" w:type="dxa"/>
            <w:noWrap w:val="0"/>
            <w:vAlign w:val="center"/>
          </w:tcPr>
          <w:p>
            <w:pPr>
              <w:snapToGrid w:val="0"/>
              <w:ind w:left="1260" w:hanging="420"/>
              <w:jc w:val="center"/>
              <w:rPr>
                <w:rFonts w:hint="eastAsia" w:ascii="仿宋" w:hAnsi="仿宋" w:eastAsia="仿宋" w:cs="仿宋"/>
                <w:color w:val="000000"/>
                <w:sz w:val="24"/>
              </w:rPr>
            </w:pPr>
          </w:p>
        </w:tc>
        <w:tc>
          <w:tcPr>
            <w:tcW w:w="2251" w:type="dxa"/>
            <w:noWrap w:val="0"/>
            <w:vAlign w:val="center"/>
          </w:tcPr>
          <w:p>
            <w:pPr>
              <w:snapToGrid w:val="0"/>
              <w:ind w:left="1260" w:hanging="420"/>
              <w:jc w:val="center"/>
              <w:rPr>
                <w:rFonts w:hint="eastAsia" w:ascii="仿宋" w:hAnsi="仿宋" w:eastAsia="仿宋" w:cs="仿宋"/>
                <w:color w:val="000000"/>
                <w:sz w:val="24"/>
              </w:rPr>
            </w:pPr>
          </w:p>
        </w:tc>
        <w:tc>
          <w:tcPr>
            <w:tcW w:w="1327" w:type="dxa"/>
            <w:noWrap w:val="0"/>
            <w:vAlign w:val="center"/>
          </w:tcPr>
          <w:p>
            <w:pPr>
              <w:snapToGrid w:val="0"/>
              <w:ind w:left="1260" w:hanging="420"/>
              <w:jc w:val="center"/>
              <w:rPr>
                <w:rFonts w:hint="eastAsia" w:ascii="仿宋" w:hAnsi="仿宋" w:eastAsia="仿宋" w:cs="仿宋"/>
                <w:color w:val="000000"/>
                <w:sz w:val="24"/>
              </w:rPr>
            </w:pPr>
          </w:p>
        </w:tc>
        <w:tc>
          <w:tcPr>
            <w:tcW w:w="1327" w:type="dxa"/>
            <w:noWrap w:val="0"/>
            <w:vAlign w:val="center"/>
          </w:tcPr>
          <w:p>
            <w:pPr>
              <w:snapToGrid w:val="0"/>
              <w:ind w:left="1260" w:hanging="420"/>
              <w:jc w:val="center"/>
              <w:rPr>
                <w:rFonts w:hint="eastAsia" w:ascii="仿宋" w:hAnsi="仿宋" w:eastAsia="仿宋" w:cs="仿宋"/>
                <w:color w:val="000000"/>
                <w:sz w:val="24"/>
              </w:rPr>
            </w:pPr>
          </w:p>
        </w:tc>
        <w:tc>
          <w:tcPr>
            <w:tcW w:w="1327" w:type="dxa"/>
            <w:noWrap w:val="0"/>
            <w:vAlign w:val="center"/>
          </w:tcPr>
          <w:p>
            <w:pPr>
              <w:snapToGrid w:val="0"/>
              <w:ind w:left="1260" w:hanging="420"/>
              <w:jc w:val="center"/>
              <w:rPr>
                <w:rFonts w:hint="eastAsia" w:ascii="仿宋" w:hAnsi="仿宋" w:eastAsia="仿宋" w:cs="仿宋"/>
                <w:color w:val="000000"/>
                <w:sz w:val="24"/>
              </w:rPr>
            </w:pPr>
          </w:p>
        </w:tc>
        <w:tc>
          <w:tcPr>
            <w:tcW w:w="1327" w:type="dxa"/>
            <w:noWrap w:val="0"/>
            <w:vAlign w:val="center"/>
          </w:tcPr>
          <w:p>
            <w:pPr>
              <w:snapToGrid w:val="0"/>
              <w:ind w:left="1260" w:hanging="420"/>
              <w:jc w:val="center"/>
              <w:rPr>
                <w:rFonts w:hint="eastAsia"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827" w:type="dxa"/>
            <w:noWrap w:val="0"/>
            <w:vAlign w:val="center"/>
          </w:tcPr>
          <w:p>
            <w:pPr>
              <w:snapToGrid w:val="0"/>
              <w:ind w:left="1260" w:hanging="420"/>
              <w:jc w:val="center"/>
              <w:rPr>
                <w:rFonts w:hint="eastAsia" w:ascii="仿宋" w:hAnsi="仿宋" w:eastAsia="仿宋" w:cs="仿宋"/>
                <w:color w:val="000000"/>
                <w:sz w:val="24"/>
              </w:rPr>
            </w:pPr>
          </w:p>
        </w:tc>
        <w:tc>
          <w:tcPr>
            <w:tcW w:w="900" w:type="dxa"/>
            <w:noWrap w:val="0"/>
            <w:vAlign w:val="center"/>
          </w:tcPr>
          <w:p>
            <w:pPr>
              <w:snapToGrid w:val="0"/>
              <w:ind w:left="1260" w:hanging="420"/>
              <w:jc w:val="center"/>
              <w:rPr>
                <w:rFonts w:hint="eastAsia" w:ascii="仿宋" w:hAnsi="仿宋" w:eastAsia="仿宋" w:cs="仿宋"/>
                <w:color w:val="000000"/>
                <w:sz w:val="24"/>
              </w:rPr>
            </w:pPr>
          </w:p>
        </w:tc>
        <w:tc>
          <w:tcPr>
            <w:tcW w:w="2251" w:type="dxa"/>
            <w:noWrap w:val="0"/>
            <w:vAlign w:val="center"/>
          </w:tcPr>
          <w:p>
            <w:pPr>
              <w:snapToGrid w:val="0"/>
              <w:ind w:left="1260" w:hanging="420"/>
              <w:jc w:val="center"/>
              <w:rPr>
                <w:rFonts w:hint="eastAsia" w:ascii="仿宋" w:hAnsi="仿宋" w:eastAsia="仿宋" w:cs="仿宋"/>
                <w:color w:val="000000"/>
                <w:sz w:val="24"/>
              </w:rPr>
            </w:pPr>
          </w:p>
        </w:tc>
        <w:tc>
          <w:tcPr>
            <w:tcW w:w="1327" w:type="dxa"/>
            <w:noWrap w:val="0"/>
            <w:vAlign w:val="center"/>
          </w:tcPr>
          <w:p>
            <w:pPr>
              <w:snapToGrid w:val="0"/>
              <w:ind w:left="1260" w:hanging="420"/>
              <w:jc w:val="center"/>
              <w:rPr>
                <w:rFonts w:hint="eastAsia" w:ascii="仿宋" w:hAnsi="仿宋" w:eastAsia="仿宋" w:cs="仿宋"/>
                <w:color w:val="000000"/>
                <w:sz w:val="24"/>
              </w:rPr>
            </w:pPr>
          </w:p>
        </w:tc>
        <w:tc>
          <w:tcPr>
            <w:tcW w:w="1327" w:type="dxa"/>
            <w:noWrap w:val="0"/>
            <w:vAlign w:val="center"/>
          </w:tcPr>
          <w:p>
            <w:pPr>
              <w:snapToGrid w:val="0"/>
              <w:ind w:left="1260" w:hanging="420"/>
              <w:jc w:val="center"/>
              <w:rPr>
                <w:rFonts w:hint="eastAsia" w:ascii="仿宋" w:hAnsi="仿宋" w:eastAsia="仿宋" w:cs="仿宋"/>
                <w:color w:val="000000"/>
                <w:sz w:val="24"/>
              </w:rPr>
            </w:pPr>
          </w:p>
        </w:tc>
        <w:tc>
          <w:tcPr>
            <w:tcW w:w="1327" w:type="dxa"/>
            <w:noWrap w:val="0"/>
            <w:vAlign w:val="center"/>
          </w:tcPr>
          <w:p>
            <w:pPr>
              <w:snapToGrid w:val="0"/>
              <w:ind w:left="1260" w:hanging="420"/>
              <w:jc w:val="center"/>
              <w:rPr>
                <w:rFonts w:hint="eastAsia" w:ascii="仿宋" w:hAnsi="仿宋" w:eastAsia="仿宋" w:cs="仿宋"/>
                <w:color w:val="000000"/>
                <w:sz w:val="24"/>
              </w:rPr>
            </w:pPr>
          </w:p>
        </w:tc>
        <w:tc>
          <w:tcPr>
            <w:tcW w:w="1327" w:type="dxa"/>
            <w:noWrap w:val="0"/>
            <w:vAlign w:val="center"/>
          </w:tcPr>
          <w:p>
            <w:pPr>
              <w:snapToGrid w:val="0"/>
              <w:ind w:left="1260" w:hanging="420"/>
              <w:jc w:val="center"/>
              <w:rPr>
                <w:rFonts w:hint="eastAsia"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827" w:type="dxa"/>
            <w:noWrap w:val="0"/>
            <w:vAlign w:val="center"/>
          </w:tcPr>
          <w:p>
            <w:pPr>
              <w:snapToGrid w:val="0"/>
              <w:ind w:left="1260" w:hanging="420"/>
              <w:jc w:val="center"/>
              <w:rPr>
                <w:rFonts w:hint="eastAsia" w:ascii="仿宋" w:hAnsi="仿宋" w:eastAsia="仿宋" w:cs="仿宋"/>
                <w:color w:val="000000"/>
                <w:sz w:val="24"/>
              </w:rPr>
            </w:pPr>
          </w:p>
        </w:tc>
        <w:tc>
          <w:tcPr>
            <w:tcW w:w="900" w:type="dxa"/>
            <w:noWrap w:val="0"/>
            <w:vAlign w:val="center"/>
          </w:tcPr>
          <w:p>
            <w:pPr>
              <w:snapToGrid w:val="0"/>
              <w:ind w:left="1260" w:hanging="420"/>
              <w:jc w:val="center"/>
              <w:rPr>
                <w:rFonts w:hint="eastAsia" w:ascii="仿宋" w:hAnsi="仿宋" w:eastAsia="仿宋" w:cs="仿宋"/>
                <w:color w:val="000000"/>
                <w:sz w:val="24"/>
              </w:rPr>
            </w:pPr>
          </w:p>
        </w:tc>
        <w:tc>
          <w:tcPr>
            <w:tcW w:w="2251" w:type="dxa"/>
            <w:noWrap w:val="0"/>
            <w:vAlign w:val="center"/>
          </w:tcPr>
          <w:p>
            <w:pPr>
              <w:snapToGrid w:val="0"/>
              <w:ind w:left="1260" w:hanging="420"/>
              <w:jc w:val="center"/>
              <w:rPr>
                <w:rFonts w:hint="eastAsia" w:ascii="仿宋" w:hAnsi="仿宋" w:eastAsia="仿宋" w:cs="仿宋"/>
                <w:color w:val="000000"/>
                <w:sz w:val="24"/>
              </w:rPr>
            </w:pPr>
          </w:p>
        </w:tc>
        <w:tc>
          <w:tcPr>
            <w:tcW w:w="1327" w:type="dxa"/>
            <w:noWrap w:val="0"/>
            <w:vAlign w:val="center"/>
          </w:tcPr>
          <w:p>
            <w:pPr>
              <w:snapToGrid w:val="0"/>
              <w:ind w:left="1260" w:hanging="420"/>
              <w:jc w:val="center"/>
              <w:rPr>
                <w:rFonts w:hint="eastAsia" w:ascii="仿宋" w:hAnsi="仿宋" w:eastAsia="仿宋" w:cs="仿宋"/>
                <w:color w:val="000000"/>
                <w:sz w:val="24"/>
              </w:rPr>
            </w:pPr>
          </w:p>
        </w:tc>
        <w:tc>
          <w:tcPr>
            <w:tcW w:w="1327" w:type="dxa"/>
            <w:noWrap w:val="0"/>
            <w:vAlign w:val="center"/>
          </w:tcPr>
          <w:p>
            <w:pPr>
              <w:snapToGrid w:val="0"/>
              <w:ind w:left="1260" w:hanging="420"/>
              <w:jc w:val="center"/>
              <w:rPr>
                <w:rFonts w:hint="eastAsia" w:ascii="仿宋" w:hAnsi="仿宋" w:eastAsia="仿宋" w:cs="仿宋"/>
                <w:color w:val="000000"/>
                <w:sz w:val="24"/>
              </w:rPr>
            </w:pPr>
          </w:p>
        </w:tc>
        <w:tc>
          <w:tcPr>
            <w:tcW w:w="1327" w:type="dxa"/>
            <w:noWrap w:val="0"/>
            <w:vAlign w:val="center"/>
          </w:tcPr>
          <w:p>
            <w:pPr>
              <w:snapToGrid w:val="0"/>
              <w:ind w:left="1260" w:hanging="420"/>
              <w:jc w:val="center"/>
              <w:rPr>
                <w:rFonts w:hint="eastAsia" w:ascii="仿宋" w:hAnsi="仿宋" w:eastAsia="仿宋" w:cs="仿宋"/>
                <w:color w:val="000000"/>
                <w:sz w:val="24"/>
              </w:rPr>
            </w:pPr>
          </w:p>
        </w:tc>
        <w:tc>
          <w:tcPr>
            <w:tcW w:w="1327" w:type="dxa"/>
            <w:noWrap w:val="0"/>
            <w:vAlign w:val="center"/>
          </w:tcPr>
          <w:p>
            <w:pPr>
              <w:snapToGrid w:val="0"/>
              <w:ind w:left="1260" w:hanging="420"/>
              <w:jc w:val="center"/>
              <w:rPr>
                <w:rFonts w:hint="eastAsia"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827" w:type="dxa"/>
            <w:noWrap w:val="0"/>
            <w:vAlign w:val="center"/>
          </w:tcPr>
          <w:p>
            <w:pPr>
              <w:snapToGrid w:val="0"/>
              <w:ind w:left="1260" w:hanging="420"/>
              <w:jc w:val="center"/>
              <w:rPr>
                <w:rFonts w:hint="eastAsia" w:ascii="仿宋" w:hAnsi="仿宋" w:eastAsia="仿宋" w:cs="仿宋"/>
                <w:color w:val="000000"/>
                <w:sz w:val="24"/>
              </w:rPr>
            </w:pPr>
          </w:p>
        </w:tc>
        <w:tc>
          <w:tcPr>
            <w:tcW w:w="900" w:type="dxa"/>
            <w:noWrap w:val="0"/>
            <w:vAlign w:val="center"/>
          </w:tcPr>
          <w:p>
            <w:pPr>
              <w:snapToGrid w:val="0"/>
              <w:ind w:left="1260" w:hanging="420"/>
              <w:jc w:val="center"/>
              <w:rPr>
                <w:rFonts w:hint="eastAsia" w:ascii="仿宋" w:hAnsi="仿宋" w:eastAsia="仿宋" w:cs="仿宋"/>
                <w:color w:val="000000"/>
                <w:sz w:val="24"/>
              </w:rPr>
            </w:pPr>
          </w:p>
        </w:tc>
        <w:tc>
          <w:tcPr>
            <w:tcW w:w="2251" w:type="dxa"/>
            <w:noWrap w:val="0"/>
            <w:vAlign w:val="center"/>
          </w:tcPr>
          <w:p>
            <w:pPr>
              <w:snapToGrid w:val="0"/>
              <w:ind w:left="1260" w:hanging="420"/>
              <w:jc w:val="center"/>
              <w:rPr>
                <w:rFonts w:hint="eastAsia" w:ascii="仿宋" w:hAnsi="仿宋" w:eastAsia="仿宋" w:cs="仿宋"/>
                <w:color w:val="000000"/>
                <w:sz w:val="24"/>
              </w:rPr>
            </w:pPr>
          </w:p>
        </w:tc>
        <w:tc>
          <w:tcPr>
            <w:tcW w:w="1327" w:type="dxa"/>
            <w:noWrap w:val="0"/>
            <w:vAlign w:val="center"/>
          </w:tcPr>
          <w:p>
            <w:pPr>
              <w:snapToGrid w:val="0"/>
              <w:ind w:left="1260" w:hanging="420"/>
              <w:jc w:val="center"/>
              <w:rPr>
                <w:rFonts w:hint="eastAsia" w:ascii="仿宋" w:hAnsi="仿宋" w:eastAsia="仿宋" w:cs="仿宋"/>
                <w:color w:val="000000"/>
                <w:sz w:val="24"/>
              </w:rPr>
            </w:pPr>
          </w:p>
        </w:tc>
        <w:tc>
          <w:tcPr>
            <w:tcW w:w="1327" w:type="dxa"/>
            <w:noWrap w:val="0"/>
            <w:vAlign w:val="center"/>
          </w:tcPr>
          <w:p>
            <w:pPr>
              <w:snapToGrid w:val="0"/>
              <w:ind w:left="1260" w:hanging="420"/>
              <w:jc w:val="center"/>
              <w:rPr>
                <w:rFonts w:hint="eastAsia" w:ascii="仿宋" w:hAnsi="仿宋" w:eastAsia="仿宋" w:cs="仿宋"/>
                <w:color w:val="000000"/>
                <w:sz w:val="24"/>
              </w:rPr>
            </w:pPr>
          </w:p>
        </w:tc>
        <w:tc>
          <w:tcPr>
            <w:tcW w:w="1327" w:type="dxa"/>
            <w:noWrap w:val="0"/>
            <w:vAlign w:val="center"/>
          </w:tcPr>
          <w:p>
            <w:pPr>
              <w:snapToGrid w:val="0"/>
              <w:ind w:left="1260" w:hanging="420"/>
              <w:jc w:val="center"/>
              <w:rPr>
                <w:rFonts w:hint="eastAsia" w:ascii="仿宋" w:hAnsi="仿宋" w:eastAsia="仿宋" w:cs="仿宋"/>
                <w:color w:val="000000"/>
                <w:sz w:val="24"/>
              </w:rPr>
            </w:pPr>
          </w:p>
        </w:tc>
        <w:tc>
          <w:tcPr>
            <w:tcW w:w="1327" w:type="dxa"/>
            <w:noWrap w:val="0"/>
            <w:vAlign w:val="center"/>
          </w:tcPr>
          <w:p>
            <w:pPr>
              <w:snapToGrid w:val="0"/>
              <w:ind w:left="1260" w:hanging="420"/>
              <w:jc w:val="center"/>
              <w:rPr>
                <w:rFonts w:hint="eastAsia"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827" w:type="dxa"/>
            <w:noWrap w:val="0"/>
            <w:vAlign w:val="center"/>
          </w:tcPr>
          <w:p>
            <w:pPr>
              <w:snapToGrid w:val="0"/>
              <w:ind w:left="1260" w:hanging="420"/>
              <w:jc w:val="center"/>
              <w:rPr>
                <w:rFonts w:hint="eastAsia" w:ascii="仿宋" w:hAnsi="仿宋" w:eastAsia="仿宋" w:cs="仿宋"/>
                <w:color w:val="000000"/>
                <w:sz w:val="24"/>
              </w:rPr>
            </w:pPr>
          </w:p>
        </w:tc>
        <w:tc>
          <w:tcPr>
            <w:tcW w:w="900" w:type="dxa"/>
            <w:noWrap w:val="0"/>
            <w:vAlign w:val="center"/>
          </w:tcPr>
          <w:p>
            <w:pPr>
              <w:snapToGrid w:val="0"/>
              <w:ind w:left="1260" w:hanging="420"/>
              <w:jc w:val="center"/>
              <w:rPr>
                <w:rFonts w:hint="eastAsia" w:ascii="仿宋" w:hAnsi="仿宋" w:eastAsia="仿宋" w:cs="仿宋"/>
                <w:color w:val="000000"/>
                <w:sz w:val="24"/>
              </w:rPr>
            </w:pPr>
          </w:p>
        </w:tc>
        <w:tc>
          <w:tcPr>
            <w:tcW w:w="2251" w:type="dxa"/>
            <w:noWrap w:val="0"/>
            <w:vAlign w:val="center"/>
          </w:tcPr>
          <w:p>
            <w:pPr>
              <w:snapToGrid w:val="0"/>
              <w:ind w:left="1260" w:hanging="420"/>
              <w:jc w:val="center"/>
              <w:rPr>
                <w:rFonts w:hint="eastAsia" w:ascii="仿宋" w:hAnsi="仿宋" w:eastAsia="仿宋" w:cs="仿宋"/>
                <w:color w:val="000000"/>
                <w:sz w:val="24"/>
              </w:rPr>
            </w:pPr>
          </w:p>
        </w:tc>
        <w:tc>
          <w:tcPr>
            <w:tcW w:w="1327" w:type="dxa"/>
            <w:noWrap w:val="0"/>
            <w:vAlign w:val="center"/>
          </w:tcPr>
          <w:p>
            <w:pPr>
              <w:snapToGrid w:val="0"/>
              <w:ind w:left="1260" w:hanging="420"/>
              <w:jc w:val="center"/>
              <w:rPr>
                <w:rFonts w:hint="eastAsia" w:ascii="仿宋" w:hAnsi="仿宋" w:eastAsia="仿宋" w:cs="仿宋"/>
                <w:color w:val="000000"/>
                <w:sz w:val="24"/>
              </w:rPr>
            </w:pPr>
          </w:p>
        </w:tc>
        <w:tc>
          <w:tcPr>
            <w:tcW w:w="1327" w:type="dxa"/>
            <w:noWrap w:val="0"/>
            <w:vAlign w:val="center"/>
          </w:tcPr>
          <w:p>
            <w:pPr>
              <w:snapToGrid w:val="0"/>
              <w:ind w:left="1260" w:hanging="420"/>
              <w:jc w:val="center"/>
              <w:rPr>
                <w:rFonts w:hint="eastAsia" w:ascii="仿宋" w:hAnsi="仿宋" w:eastAsia="仿宋" w:cs="仿宋"/>
                <w:color w:val="000000"/>
                <w:sz w:val="24"/>
              </w:rPr>
            </w:pPr>
          </w:p>
        </w:tc>
        <w:tc>
          <w:tcPr>
            <w:tcW w:w="1327" w:type="dxa"/>
            <w:noWrap w:val="0"/>
            <w:vAlign w:val="center"/>
          </w:tcPr>
          <w:p>
            <w:pPr>
              <w:snapToGrid w:val="0"/>
              <w:ind w:left="1260" w:hanging="420"/>
              <w:jc w:val="center"/>
              <w:rPr>
                <w:rFonts w:hint="eastAsia" w:ascii="仿宋" w:hAnsi="仿宋" w:eastAsia="仿宋" w:cs="仿宋"/>
                <w:color w:val="000000"/>
                <w:sz w:val="24"/>
              </w:rPr>
            </w:pPr>
          </w:p>
        </w:tc>
        <w:tc>
          <w:tcPr>
            <w:tcW w:w="1327" w:type="dxa"/>
            <w:noWrap w:val="0"/>
            <w:vAlign w:val="center"/>
          </w:tcPr>
          <w:p>
            <w:pPr>
              <w:snapToGrid w:val="0"/>
              <w:ind w:left="1260" w:hanging="420"/>
              <w:jc w:val="center"/>
              <w:rPr>
                <w:rFonts w:hint="eastAsia" w:ascii="仿宋" w:hAnsi="仿宋" w:eastAsia="仿宋" w:cs="仿宋"/>
                <w:color w:val="000000"/>
                <w:sz w:val="24"/>
              </w:rPr>
            </w:pPr>
          </w:p>
        </w:tc>
      </w:tr>
    </w:tbl>
    <w:p>
      <w:pPr>
        <w:snapToGrid w:val="0"/>
        <w:spacing w:line="360" w:lineRule="auto"/>
        <w:rPr>
          <w:color w:val="000000"/>
        </w:rPr>
      </w:pPr>
    </w:p>
    <w:p>
      <w:pPr>
        <w:snapToGrid w:val="0"/>
        <w:spacing w:line="360" w:lineRule="auto"/>
        <w:rPr>
          <w:color w:val="000000"/>
        </w:rPr>
      </w:pPr>
    </w:p>
    <w:p>
      <w:pPr>
        <w:pStyle w:val="32"/>
        <w:spacing w:line="490" w:lineRule="exact"/>
        <w:ind w:left="420" w:hanging="420"/>
        <w:outlineLvl w:val="4"/>
        <w:rPr>
          <w:rFonts w:eastAsia="黑体"/>
          <w:bCs/>
          <w:color w:val="000000"/>
          <w:sz w:val="28"/>
          <w:szCs w:val="20"/>
        </w:rPr>
      </w:pPr>
      <w:r>
        <w:rPr>
          <w:color w:val="000000"/>
        </w:rPr>
        <w:br w:type="page"/>
      </w:r>
      <w:r>
        <w:rPr>
          <w:rFonts w:eastAsia="黑体"/>
          <w:bCs/>
          <w:color w:val="000000"/>
          <w:sz w:val="28"/>
          <w:szCs w:val="20"/>
        </w:rPr>
        <w:t>附表3-3（1）：形式评审表</w:t>
      </w:r>
    </w:p>
    <w:p>
      <w:pPr>
        <w:spacing w:before="120" w:beforeLines="50" w:after="120" w:afterLines="50" w:line="492" w:lineRule="exact"/>
        <w:jc w:val="center"/>
        <w:rPr>
          <w:rFonts w:eastAsia="方正小标宋_GBK"/>
          <w:b/>
          <w:color w:val="000000"/>
          <w:sz w:val="40"/>
          <w:szCs w:val="28"/>
        </w:rPr>
      </w:pPr>
    </w:p>
    <w:p>
      <w:pPr>
        <w:spacing w:before="120" w:beforeLines="50" w:after="120" w:afterLines="50" w:line="492" w:lineRule="exact"/>
        <w:jc w:val="center"/>
        <w:rPr>
          <w:rFonts w:hint="eastAsia" w:ascii="方正小标宋简体" w:eastAsia="方正小标宋简体"/>
          <w:color w:val="000000"/>
          <w:sz w:val="40"/>
          <w:szCs w:val="28"/>
        </w:rPr>
      </w:pPr>
      <w:r>
        <w:rPr>
          <w:rFonts w:hint="eastAsia" w:ascii="方正小标宋简体" w:eastAsia="方正小标宋简体"/>
          <w:color w:val="000000"/>
          <w:sz w:val="40"/>
          <w:szCs w:val="28"/>
        </w:rPr>
        <w:t>形式评审表</w:t>
      </w:r>
    </w:p>
    <w:p>
      <w:pPr>
        <w:snapToGrid w:val="0"/>
        <w:spacing w:line="600" w:lineRule="exact"/>
        <w:rPr>
          <w:rFonts w:hint="eastAsia" w:ascii="仿宋" w:hAnsi="仿宋" w:eastAsia="仿宋" w:cs="仿宋"/>
          <w:color w:val="000000"/>
          <w:sz w:val="24"/>
          <w:u w:val="single"/>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（标段名称）</w:t>
      </w:r>
      <w:r>
        <w:rPr>
          <w:rFonts w:hint="eastAsia" w:ascii="仿宋" w:hAnsi="仿宋" w:eastAsia="仿宋" w:cs="仿宋"/>
          <w:color w:val="000000"/>
          <w:sz w:val="24"/>
          <w:u w:val="single"/>
        </w:rPr>
        <w:t xml:space="preserve">                      </w:t>
      </w:r>
    </w:p>
    <w:p>
      <w:pPr>
        <w:snapToGrid w:val="0"/>
        <w:spacing w:line="600" w:lineRule="exact"/>
        <w:rPr>
          <w:rFonts w:hint="eastAsia" w:ascii="仿宋" w:hAnsi="仿宋" w:eastAsia="仿宋" w:cs="仿宋"/>
          <w:color w:val="000000"/>
          <w:sz w:val="28"/>
          <w:szCs w:val="28"/>
        </w:rPr>
      </w:pPr>
      <w:r>
        <w:rPr>
          <w:rFonts w:hint="eastAsia" w:ascii="仿宋" w:hAnsi="仿宋" w:eastAsia="仿宋" w:cs="仿宋"/>
          <w:color w:val="000000"/>
          <w:sz w:val="24"/>
        </w:rPr>
        <w:t>项目管理编号：</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r>
        <w:rPr>
          <w:rFonts w:hint="eastAsia" w:ascii="仿宋" w:hAnsi="仿宋" w:eastAsia="仿宋" w:cs="仿宋"/>
          <w:color w:val="000000"/>
          <w:sz w:val="28"/>
          <w:szCs w:val="28"/>
        </w:rPr>
        <w:t xml:space="preserve">      </w:t>
      </w:r>
    </w:p>
    <w:tbl>
      <w:tblPr>
        <w:tblStyle w:val="47"/>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078"/>
        <w:gridCol w:w="1253"/>
        <w:gridCol w:w="2707"/>
        <w:gridCol w:w="1139"/>
        <w:gridCol w:w="1140"/>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737" w:type="dxa"/>
            <w:vMerge w:val="restart"/>
            <w:noWrap w:val="0"/>
            <w:vAlign w:val="center"/>
          </w:tcPr>
          <w:p>
            <w:pPr>
              <w:jc w:val="center"/>
              <w:rPr>
                <w:rFonts w:hint="eastAsia" w:ascii="仿宋" w:hAnsi="仿宋" w:eastAsia="仿宋" w:cs="仿宋"/>
                <w:color w:val="000000"/>
                <w:kern w:val="0"/>
                <w:sz w:val="24"/>
              </w:rPr>
            </w:pPr>
            <w:r>
              <w:rPr>
                <w:rFonts w:hint="eastAsia" w:ascii="仿宋" w:hAnsi="仿宋" w:eastAsia="仿宋" w:cs="仿宋"/>
                <w:color w:val="000000"/>
                <w:kern w:val="0"/>
                <w:sz w:val="24"/>
              </w:rPr>
              <w:t>序号</w:t>
            </w:r>
          </w:p>
        </w:tc>
        <w:tc>
          <w:tcPr>
            <w:tcW w:w="1078" w:type="dxa"/>
            <w:vMerge w:val="restart"/>
            <w:noWrap w:val="0"/>
            <w:vAlign w:val="center"/>
          </w:tcPr>
          <w:p>
            <w:pPr>
              <w:snapToGrid w:val="0"/>
              <w:jc w:val="center"/>
              <w:rPr>
                <w:rFonts w:hint="eastAsia" w:ascii="仿宋" w:hAnsi="仿宋" w:eastAsia="仿宋" w:cs="仿宋"/>
                <w:color w:val="000000"/>
                <w:sz w:val="24"/>
              </w:rPr>
            </w:pPr>
            <w:r>
              <w:rPr>
                <w:rFonts w:hint="eastAsia" w:ascii="仿宋" w:hAnsi="仿宋" w:eastAsia="仿宋" w:cs="仿宋"/>
                <w:color w:val="000000"/>
                <w:sz w:val="24"/>
              </w:rPr>
              <w:t>条款号</w:t>
            </w:r>
          </w:p>
        </w:tc>
        <w:tc>
          <w:tcPr>
            <w:tcW w:w="1253" w:type="dxa"/>
            <w:vMerge w:val="restart"/>
            <w:noWrap w:val="0"/>
            <w:vAlign w:val="center"/>
          </w:tcPr>
          <w:p>
            <w:pPr>
              <w:snapToGrid w:val="0"/>
              <w:rPr>
                <w:rFonts w:hint="eastAsia" w:ascii="仿宋" w:hAnsi="仿宋" w:eastAsia="仿宋" w:cs="仿宋"/>
                <w:color w:val="000000"/>
                <w:sz w:val="24"/>
              </w:rPr>
            </w:pPr>
            <w:r>
              <w:rPr>
                <w:rFonts w:hint="eastAsia" w:ascii="仿宋" w:hAnsi="仿宋" w:eastAsia="仿宋" w:cs="仿宋"/>
                <w:color w:val="000000"/>
                <w:sz w:val="24"/>
              </w:rPr>
              <w:t>评审因素</w:t>
            </w:r>
          </w:p>
        </w:tc>
        <w:tc>
          <w:tcPr>
            <w:tcW w:w="2707" w:type="dxa"/>
            <w:vMerge w:val="restart"/>
            <w:noWrap w:val="0"/>
            <w:vAlign w:val="center"/>
          </w:tcPr>
          <w:p>
            <w:pPr>
              <w:snapToGrid w:val="0"/>
              <w:jc w:val="center"/>
              <w:rPr>
                <w:rFonts w:hint="eastAsia" w:ascii="仿宋" w:hAnsi="仿宋" w:eastAsia="仿宋" w:cs="仿宋"/>
                <w:color w:val="000000"/>
                <w:sz w:val="24"/>
              </w:rPr>
            </w:pPr>
            <w:r>
              <w:rPr>
                <w:rFonts w:hint="eastAsia" w:ascii="仿宋" w:hAnsi="仿宋" w:eastAsia="仿宋" w:cs="仿宋"/>
                <w:color w:val="000000"/>
                <w:sz w:val="24"/>
              </w:rPr>
              <w:t>评审标准</w:t>
            </w:r>
          </w:p>
        </w:tc>
        <w:tc>
          <w:tcPr>
            <w:tcW w:w="3419" w:type="dxa"/>
            <w:gridSpan w:val="3"/>
            <w:noWrap w:val="0"/>
            <w:vAlign w:val="center"/>
          </w:tcPr>
          <w:p>
            <w:pPr>
              <w:jc w:val="center"/>
              <w:rPr>
                <w:rFonts w:hint="eastAsia" w:ascii="仿宋" w:hAnsi="仿宋" w:eastAsia="仿宋" w:cs="仿宋"/>
                <w:color w:val="000000"/>
                <w:kern w:val="0"/>
                <w:sz w:val="24"/>
              </w:rPr>
            </w:pPr>
            <w:r>
              <w:rPr>
                <w:rFonts w:hint="eastAsia" w:ascii="仿宋" w:hAnsi="仿宋" w:eastAsia="仿宋" w:cs="仿宋"/>
                <w:color w:val="000000"/>
                <w:kern w:val="0"/>
                <w:sz w:val="24"/>
              </w:rPr>
              <w:t>投标人名称及评审意见</w:t>
            </w:r>
          </w:p>
          <w:p>
            <w:pPr>
              <w:jc w:val="center"/>
              <w:rPr>
                <w:rFonts w:hint="eastAsia" w:ascii="仿宋" w:hAnsi="仿宋" w:eastAsia="仿宋" w:cs="仿宋"/>
                <w:color w:val="000000"/>
                <w:kern w:val="0"/>
                <w:sz w:val="24"/>
              </w:rPr>
            </w:pPr>
            <w:r>
              <w:rPr>
                <w:rFonts w:hint="eastAsia" w:ascii="仿宋" w:hAnsi="仿宋" w:eastAsia="仿宋" w:cs="仿宋"/>
                <w:bCs/>
                <w:color w:val="000000"/>
                <w:kern w:val="0"/>
                <w:sz w:val="24"/>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737" w:type="dxa"/>
            <w:vMerge w:val="continue"/>
            <w:noWrap w:val="0"/>
            <w:vAlign w:val="center"/>
          </w:tcPr>
          <w:p>
            <w:pPr>
              <w:jc w:val="center"/>
              <w:rPr>
                <w:rFonts w:hint="eastAsia" w:ascii="仿宋" w:hAnsi="仿宋" w:eastAsia="仿宋" w:cs="仿宋"/>
                <w:color w:val="000000"/>
                <w:kern w:val="0"/>
                <w:sz w:val="24"/>
              </w:rPr>
            </w:pPr>
          </w:p>
        </w:tc>
        <w:tc>
          <w:tcPr>
            <w:tcW w:w="1078" w:type="dxa"/>
            <w:vMerge w:val="continue"/>
            <w:noWrap w:val="0"/>
            <w:vAlign w:val="center"/>
          </w:tcPr>
          <w:p>
            <w:pPr>
              <w:snapToGrid w:val="0"/>
              <w:jc w:val="center"/>
              <w:rPr>
                <w:rFonts w:hint="eastAsia" w:ascii="仿宋" w:hAnsi="仿宋" w:eastAsia="仿宋" w:cs="仿宋"/>
                <w:color w:val="000000"/>
                <w:sz w:val="24"/>
              </w:rPr>
            </w:pPr>
          </w:p>
        </w:tc>
        <w:tc>
          <w:tcPr>
            <w:tcW w:w="1253" w:type="dxa"/>
            <w:vMerge w:val="continue"/>
            <w:noWrap w:val="0"/>
            <w:vAlign w:val="center"/>
          </w:tcPr>
          <w:p>
            <w:pPr>
              <w:snapToGrid w:val="0"/>
              <w:rPr>
                <w:rFonts w:hint="eastAsia" w:ascii="仿宋" w:hAnsi="仿宋" w:eastAsia="仿宋" w:cs="仿宋"/>
                <w:color w:val="000000"/>
                <w:sz w:val="24"/>
              </w:rPr>
            </w:pPr>
          </w:p>
        </w:tc>
        <w:tc>
          <w:tcPr>
            <w:tcW w:w="2707" w:type="dxa"/>
            <w:vMerge w:val="continue"/>
            <w:noWrap w:val="0"/>
            <w:vAlign w:val="center"/>
          </w:tcPr>
          <w:p>
            <w:pPr>
              <w:snapToGrid w:val="0"/>
              <w:jc w:val="center"/>
              <w:rPr>
                <w:rFonts w:hint="eastAsia" w:ascii="仿宋" w:hAnsi="仿宋" w:eastAsia="仿宋" w:cs="仿宋"/>
                <w:color w:val="000000"/>
                <w:sz w:val="24"/>
              </w:rPr>
            </w:pPr>
          </w:p>
        </w:tc>
        <w:tc>
          <w:tcPr>
            <w:tcW w:w="1139" w:type="dxa"/>
            <w:noWrap w:val="0"/>
            <w:vAlign w:val="center"/>
          </w:tcPr>
          <w:p>
            <w:pPr>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1140" w:type="dxa"/>
            <w:noWrap w:val="0"/>
            <w:vAlign w:val="center"/>
          </w:tcPr>
          <w:p>
            <w:pPr>
              <w:jc w:val="center"/>
              <w:rPr>
                <w:rFonts w:hint="eastAsia" w:ascii="仿宋" w:hAnsi="仿宋" w:eastAsia="仿宋" w:cs="仿宋"/>
                <w:color w:val="000000"/>
                <w:kern w:val="0"/>
                <w:sz w:val="24"/>
              </w:rPr>
            </w:pPr>
            <w:r>
              <w:rPr>
                <w:rFonts w:hint="eastAsia" w:ascii="仿宋" w:hAnsi="仿宋" w:eastAsia="仿宋" w:cs="仿宋"/>
                <w:color w:val="000000"/>
                <w:kern w:val="0"/>
                <w:sz w:val="24"/>
              </w:rPr>
              <w:t>2</w:t>
            </w:r>
          </w:p>
        </w:tc>
        <w:tc>
          <w:tcPr>
            <w:tcW w:w="1140" w:type="dxa"/>
            <w:noWrap w:val="0"/>
            <w:vAlign w:val="center"/>
          </w:tcPr>
          <w:p>
            <w:pPr>
              <w:jc w:val="center"/>
              <w:rPr>
                <w:rFonts w:hint="eastAsia" w:ascii="仿宋" w:hAnsi="仿宋" w:eastAsia="仿宋" w:cs="仿宋"/>
                <w:color w:val="000000"/>
                <w:kern w:val="0"/>
                <w:sz w:val="24"/>
              </w:rPr>
            </w:pPr>
            <w:r>
              <w:rPr>
                <w:rFonts w:hint="eastAsia" w:ascii="仿宋" w:hAnsi="仿宋" w:eastAsia="仿宋" w:cs="仿宋"/>
                <w:color w:val="000000"/>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37" w:type="dxa"/>
            <w:vMerge w:val="continue"/>
            <w:noWrap w:val="0"/>
            <w:vAlign w:val="center"/>
          </w:tcPr>
          <w:p>
            <w:pPr>
              <w:jc w:val="center"/>
              <w:rPr>
                <w:rFonts w:hint="eastAsia" w:ascii="仿宋" w:hAnsi="仿宋" w:eastAsia="仿宋" w:cs="仿宋"/>
                <w:color w:val="000000"/>
                <w:kern w:val="0"/>
                <w:sz w:val="24"/>
              </w:rPr>
            </w:pPr>
          </w:p>
        </w:tc>
        <w:tc>
          <w:tcPr>
            <w:tcW w:w="1078" w:type="dxa"/>
            <w:vMerge w:val="continue"/>
            <w:noWrap w:val="0"/>
            <w:vAlign w:val="center"/>
          </w:tcPr>
          <w:p>
            <w:pPr>
              <w:snapToGrid w:val="0"/>
              <w:jc w:val="center"/>
              <w:rPr>
                <w:rFonts w:hint="eastAsia" w:ascii="仿宋" w:hAnsi="仿宋" w:eastAsia="仿宋" w:cs="仿宋"/>
                <w:color w:val="000000"/>
                <w:sz w:val="24"/>
              </w:rPr>
            </w:pPr>
          </w:p>
        </w:tc>
        <w:tc>
          <w:tcPr>
            <w:tcW w:w="1253" w:type="dxa"/>
            <w:vMerge w:val="continue"/>
            <w:noWrap w:val="0"/>
            <w:vAlign w:val="center"/>
          </w:tcPr>
          <w:p>
            <w:pPr>
              <w:snapToGrid w:val="0"/>
              <w:rPr>
                <w:rFonts w:hint="eastAsia" w:ascii="仿宋" w:hAnsi="仿宋" w:eastAsia="仿宋" w:cs="仿宋"/>
                <w:color w:val="000000"/>
                <w:sz w:val="24"/>
              </w:rPr>
            </w:pPr>
          </w:p>
        </w:tc>
        <w:tc>
          <w:tcPr>
            <w:tcW w:w="2707" w:type="dxa"/>
            <w:vMerge w:val="continue"/>
            <w:noWrap w:val="0"/>
            <w:vAlign w:val="center"/>
          </w:tcPr>
          <w:p>
            <w:pPr>
              <w:snapToGrid w:val="0"/>
              <w:jc w:val="center"/>
              <w:rPr>
                <w:rFonts w:hint="eastAsia" w:ascii="仿宋" w:hAnsi="仿宋" w:eastAsia="仿宋" w:cs="仿宋"/>
                <w:color w:val="000000"/>
                <w:sz w:val="24"/>
              </w:rPr>
            </w:pPr>
          </w:p>
        </w:tc>
        <w:tc>
          <w:tcPr>
            <w:tcW w:w="1139" w:type="dxa"/>
            <w:noWrap w:val="0"/>
            <w:vAlign w:val="center"/>
          </w:tcPr>
          <w:p>
            <w:pPr>
              <w:jc w:val="center"/>
              <w:rPr>
                <w:rFonts w:hint="eastAsia" w:ascii="仿宋" w:hAnsi="仿宋" w:eastAsia="仿宋" w:cs="仿宋"/>
                <w:color w:val="000000"/>
                <w:kern w:val="0"/>
                <w:sz w:val="24"/>
              </w:rPr>
            </w:pPr>
          </w:p>
        </w:tc>
        <w:tc>
          <w:tcPr>
            <w:tcW w:w="1140" w:type="dxa"/>
            <w:noWrap w:val="0"/>
            <w:vAlign w:val="center"/>
          </w:tcPr>
          <w:p>
            <w:pPr>
              <w:jc w:val="center"/>
              <w:rPr>
                <w:rFonts w:hint="eastAsia" w:ascii="仿宋" w:hAnsi="仿宋" w:eastAsia="仿宋" w:cs="仿宋"/>
                <w:color w:val="000000"/>
                <w:kern w:val="0"/>
                <w:sz w:val="24"/>
              </w:rPr>
            </w:pPr>
          </w:p>
        </w:tc>
        <w:tc>
          <w:tcPr>
            <w:tcW w:w="1140" w:type="dxa"/>
            <w:noWrap w:val="0"/>
            <w:vAlign w:val="center"/>
          </w:tcPr>
          <w:p>
            <w:pPr>
              <w:jc w:val="center"/>
              <w:rPr>
                <w:rFonts w:hint="eastAsia" w:ascii="仿宋" w:hAnsi="仿宋" w:eastAsia="仿宋" w:cs="仿宋"/>
                <w:color w:val="000000"/>
                <w:kern w:val="0"/>
                <w:sz w:val="24"/>
              </w:rPr>
            </w:pPr>
            <w:r>
              <w:rPr>
                <w:rFonts w:hint="eastAsia" w:ascii="仿宋" w:hAnsi="仿宋" w:eastAsia="仿宋" w:cs="仿宋"/>
                <w:color w:val="000000"/>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737" w:type="dxa"/>
            <w:noWrap w:val="0"/>
            <w:vAlign w:val="center"/>
          </w:tcPr>
          <w:p>
            <w:pPr>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1078" w:type="dxa"/>
            <w:noWrap w:val="0"/>
            <w:vAlign w:val="center"/>
          </w:tcPr>
          <w:p>
            <w:pPr>
              <w:snapToGrid w:val="0"/>
              <w:jc w:val="center"/>
              <w:rPr>
                <w:rFonts w:hint="eastAsia" w:ascii="仿宋" w:hAnsi="仿宋" w:eastAsia="仿宋" w:cs="仿宋"/>
                <w:color w:val="000000"/>
                <w:sz w:val="24"/>
              </w:rPr>
            </w:pPr>
            <w:r>
              <w:rPr>
                <w:rFonts w:hint="eastAsia" w:ascii="仿宋" w:hAnsi="仿宋" w:eastAsia="仿宋" w:cs="仿宋"/>
                <w:color w:val="000000"/>
                <w:sz w:val="24"/>
              </w:rPr>
              <w:t>2.1.1（1）</w:t>
            </w:r>
          </w:p>
        </w:tc>
        <w:tc>
          <w:tcPr>
            <w:tcW w:w="1253" w:type="dxa"/>
            <w:noWrap w:val="0"/>
            <w:vAlign w:val="center"/>
          </w:tcPr>
          <w:p>
            <w:pPr>
              <w:pStyle w:val="106"/>
              <w:jc w:val="center"/>
              <w:rPr>
                <w:rFonts w:hint="eastAsia" w:ascii="仿宋" w:hAnsi="仿宋" w:eastAsia="仿宋" w:cs="仿宋"/>
              </w:rPr>
            </w:pPr>
            <w:r>
              <w:rPr>
                <w:rFonts w:hint="eastAsia" w:ascii="仿宋" w:hAnsi="仿宋" w:eastAsia="仿宋" w:cs="仿宋"/>
              </w:rPr>
              <w:t>投标人名称</w:t>
            </w:r>
          </w:p>
        </w:tc>
        <w:tc>
          <w:tcPr>
            <w:tcW w:w="2707" w:type="dxa"/>
            <w:noWrap w:val="0"/>
            <w:vAlign w:val="center"/>
          </w:tcPr>
          <w:p>
            <w:pPr>
              <w:pStyle w:val="106"/>
              <w:jc w:val="center"/>
              <w:rPr>
                <w:rFonts w:hint="eastAsia" w:ascii="仿宋" w:hAnsi="仿宋" w:eastAsia="仿宋" w:cs="仿宋"/>
              </w:rPr>
            </w:pPr>
            <w:r>
              <w:rPr>
                <w:rFonts w:hint="eastAsia" w:ascii="仿宋" w:hAnsi="仿宋" w:eastAsia="仿宋" w:cs="仿宋"/>
              </w:rPr>
              <w:t>投标人名称应与营业执照、资质证书、安全生产许可证一致</w:t>
            </w:r>
          </w:p>
        </w:tc>
        <w:tc>
          <w:tcPr>
            <w:tcW w:w="1139" w:type="dxa"/>
            <w:noWrap w:val="0"/>
            <w:vAlign w:val="center"/>
          </w:tcPr>
          <w:p>
            <w:pPr>
              <w:jc w:val="center"/>
              <w:rPr>
                <w:rFonts w:hint="eastAsia" w:ascii="仿宋" w:hAnsi="仿宋" w:eastAsia="仿宋" w:cs="仿宋"/>
                <w:color w:val="000000"/>
                <w:kern w:val="0"/>
                <w:sz w:val="24"/>
              </w:rPr>
            </w:pPr>
          </w:p>
        </w:tc>
        <w:tc>
          <w:tcPr>
            <w:tcW w:w="1140" w:type="dxa"/>
            <w:noWrap w:val="0"/>
            <w:vAlign w:val="center"/>
          </w:tcPr>
          <w:p>
            <w:pPr>
              <w:jc w:val="center"/>
              <w:rPr>
                <w:rFonts w:hint="eastAsia" w:ascii="仿宋" w:hAnsi="仿宋" w:eastAsia="仿宋" w:cs="仿宋"/>
                <w:color w:val="000000"/>
                <w:kern w:val="0"/>
                <w:sz w:val="24"/>
              </w:rPr>
            </w:pPr>
          </w:p>
        </w:tc>
        <w:tc>
          <w:tcPr>
            <w:tcW w:w="1140" w:type="dxa"/>
            <w:noWrap w:val="0"/>
            <w:vAlign w:val="center"/>
          </w:tcPr>
          <w:p>
            <w:pPr>
              <w:jc w:val="center"/>
              <w:rPr>
                <w:rFonts w:hint="eastAsia"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737" w:type="dxa"/>
            <w:noWrap w:val="0"/>
            <w:vAlign w:val="center"/>
          </w:tcPr>
          <w:p>
            <w:pPr>
              <w:jc w:val="center"/>
              <w:rPr>
                <w:rFonts w:hint="eastAsia" w:ascii="仿宋" w:hAnsi="仿宋" w:eastAsia="仿宋" w:cs="仿宋"/>
                <w:color w:val="000000"/>
                <w:kern w:val="0"/>
                <w:sz w:val="24"/>
              </w:rPr>
            </w:pPr>
            <w:r>
              <w:rPr>
                <w:rFonts w:hint="eastAsia" w:ascii="仿宋" w:hAnsi="仿宋" w:eastAsia="仿宋" w:cs="仿宋"/>
                <w:color w:val="000000"/>
                <w:kern w:val="0"/>
                <w:sz w:val="24"/>
              </w:rPr>
              <w:t>2</w:t>
            </w:r>
          </w:p>
        </w:tc>
        <w:tc>
          <w:tcPr>
            <w:tcW w:w="1078" w:type="dxa"/>
            <w:noWrap w:val="0"/>
            <w:vAlign w:val="center"/>
          </w:tcPr>
          <w:p>
            <w:pPr>
              <w:snapToGrid w:val="0"/>
              <w:ind w:left="-92" w:leftChars="-44"/>
              <w:jc w:val="center"/>
              <w:rPr>
                <w:rFonts w:hint="eastAsia" w:ascii="仿宋" w:hAnsi="仿宋" w:eastAsia="仿宋" w:cs="仿宋"/>
                <w:color w:val="000000"/>
                <w:sz w:val="24"/>
              </w:rPr>
            </w:pPr>
            <w:r>
              <w:rPr>
                <w:rFonts w:hint="eastAsia" w:ascii="仿宋" w:hAnsi="仿宋" w:eastAsia="仿宋" w:cs="仿宋"/>
                <w:color w:val="000000"/>
                <w:sz w:val="24"/>
              </w:rPr>
              <w:t>2.1.1（2）</w:t>
            </w:r>
          </w:p>
        </w:tc>
        <w:tc>
          <w:tcPr>
            <w:tcW w:w="1253" w:type="dxa"/>
            <w:noWrap w:val="0"/>
            <w:vAlign w:val="center"/>
          </w:tcPr>
          <w:p>
            <w:pPr>
              <w:pStyle w:val="106"/>
              <w:jc w:val="center"/>
              <w:rPr>
                <w:rFonts w:hint="eastAsia" w:ascii="仿宋" w:hAnsi="仿宋" w:eastAsia="仿宋" w:cs="仿宋"/>
              </w:rPr>
            </w:pPr>
            <w:r>
              <w:rPr>
                <w:rFonts w:hint="eastAsia" w:ascii="仿宋" w:hAnsi="仿宋" w:eastAsia="仿宋" w:cs="仿宋"/>
              </w:rPr>
              <w:t>投标文件的签字盖章</w:t>
            </w:r>
          </w:p>
        </w:tc>
        <w:tc>
          <w:tcPr>
            <w:tcW w:w="2707" w:type="dxa"/>
            <w:noWrap w:val="0"/>
            <w:vAlign w:val="center"/>
          </w:tcPr>
          <w:p>
            <w:pPr>
              <w:pStyle w:val="106"/>
              <w:jc w:val="center"/>
              <w:rPr>
                <w:rFonts w:hint="eastAsia" w:ascii="仿宋" w:hAnsi="仿宋" w:eastAsia="仿宋" w:cs="仿宋"/>
              </w:rPr>
            </w:pPr>
            <w:r>
              <w:rPr>
                <w:rFonts w:hint="eastAsia" w:ascii="仿宋" w:hAnsi="仿宋" w:eastAsia="仿宋" w:cs="仿宋"/>
              </w:rPr>
              <w:t>投标文件的签字盖章符合第二章投标人须知第3.7.3项规定</w:t>
            </w:r>
          </w:p>
        </w:tc>
        <w:tc>
          <w:tcPr>
            <w:tcW w:w="1139" w:type="dxa"/>
            <w:noWrap w:val="0"/>
            <w:vAlign w:val="center"/>
          </w:tcPr>
          <w:p>
            <w:pPr>
              <w:jc w:val="center"/>
              <w:rPr>
                <w:rFonts w:hint="eastAsia" w:ascii="仿宋" w:hAnsi="仿宋" w:eastAsia="仿宋" w:cs="仿宋"/>
                <w:color w:val="000000"/>
                <w:kern w:val="0"/>
                <w:sz w:val="24"/>
              </w:rPr>
            </w:pPr>
          </w:p>
        </w:tc>
        <w:tc>
          <w:tcPr>
            <w:tcW w:w="1140" w:type="dxa"/>
            <w:noWrap w:val="0"/>
            <w:vAlign w:val="center"/>
          </w:tcPr>
          <w:p>
            <w:pPr>
              <w:jc w:val="center"/>
              <w:rPr>
                <w:rFonts w:hint="eastAsia" w:ascii="仿宋" w:hAnsi="仿宋" w:eastAsia="仿宋" w:cs="仿宋"/>
                <w:color w:val="000000"/>
                <w:kern w:val="0"/>
                <w:sz w:val="24"/>
              </w:rPr>
            </w:pPr>
          </w:p>
        </w:tc>
        <w:tc>
          <w:tcPr>
            <w:tcW w:w="1140" w:type="dxa"/>
            <w:noWrap w:val="0"/>
            <w:vAlign w:val="center"/>
          </w:tcPr>
          <w:p>
            <w:pPr>
              <w:jc w:val="center"/>
              <w:rPr>
                <w:rFonts w:hint="eastAsia"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737" w:type="dxa"/>
            <w:noWrap w:val="0"/>
            <w:vAlign w:val="center"/>
          </w:tcPr>
          <w:p>
            <w:pPr>
              <w:jc w:val="center"/>
              <w:rPr>
                <w:rFonts w:hint="eastAsia" w:ascii="仿宋" w:hAnsi="仿宋" w:eastAsia="仿宋" w:cs="仿宋"/>
                <w:color w:val="000000"/>
                <w:kern w:val="0"/>
                <w:sz w:val="24"/>
              </w:rPr>
            </w:pPr>
            <w:r>
              <w:rPr>
                <w:rFonts w:hint="eastAsia" w:ascii="仿宋" w:hAnsi="仿宋" w:eastAsia="仿宋" w:cs="仿宋"/>
                <w:color w:val="000000"/>
                <w:kern w:val="0"/>
                <w:sz w:val="24"/>
              </w:rPr>
              <w:t>3</w:t>
            </w:r>
          </w:p>
        </w:tc>
        <w:tc>
          <w:tcPr>
            <w:tcW w:w="1078" w:type="dxa"/>
            <w:noWrap w:val="0"/>
            <w:vAlign w:val="center"/>
          </w:tcPr>
          <w:p>
            <w:pPr>
              <w:snapToGrid w:val="0"/>
              <w:jc w:val="center"/>
              <w:rPr>
                <w:rFonts w:hint="eastAsia" w:ascii="仿宋" w:hAnsi="仿宋" w:eastAsia="仿宋" w:cs="仿宋"/>
                <w:color w:val="000000"/>
                <w:sz w:val="24"/>
              </w:rPr>
            </w:pPr>
            <w:r>
              <w:rPr>
                <w:rFonts w:hint="eastAsia" w:ascii="仿宋" w:hAnsi="仿宋" w:eastAsia="仿宋" w:cs="仿宋"/>
                <w:color w:val="000000"/>
                <w:sz w:val="24"/>
              </w:rPr>
              <w:t>2.1.1（3）</w:t>
            </w:r>
          </w:p>
        </w:tc>
        <w:tc>
          <w:tcPr>
            <w:tcW w:w="1253" w:type="dxa"/>
            <w:noWrap w:val="0"/>
            <w:vAlign w:val="center"/>
          </w:tcPr>
          <w:p>
            <w:pPr>
              <w:pStyle w:val="106"/>
              <w:jc w:val="center"/>
              <w:rPr>
                <w:rFonts w:hint="eastAsia" w:ascii="仿宋" w:hAnsi="仿宋" w:eastAsia="仿宋" w:cs="仿宋"/>
              </w:rPr>
            </w:pPr>
            <w:r>
              <w:rPr>
                <w:rFonts w:hint="eastAsia" w:ascii="仿宋" w:hAnsi="仿宋" w:eastAsia="仿宋" w:cs="仿宋"/>
              </w:rPr>
              <w:t>投标文件完整性</w:t>
            </w:r>
          </w:p>
        </w:tc>
        <w:tc>
          <w:tcPr>
            <w:tcW w:w="2707" w:type="dxa"/>
            <w:noWrap w:val="0"/>
            <w:vAlign w:val="center"/>
          </w:tcPr>
          <w:p>
            <w:pPr>
              <w:pStyle w:val="106"/>
              <w:jc w:val="center"/>
              <w:rPr>
                <w:rFonts w:hint="eastAsia" w:ascii="仿宋" w:hAnsi="仿宋" w:eastAsia="仿宋" w:cs="仿宋"/>
              </w:rPr>
            </w:pPr>
            <w:r>
              <w:rPr>
                <w:rFonts w:hint="eastAsia" w:ascii="仿宋" w:hAnsi="仿宋" w:eastAsia="仿宋" w:cs="仿宋"/>
              </w:rPr>
              <w:t>符合第八章投标文件格式的要求</w:t>
            </w:r>
          </w:p>
        </w:tc>
        <w:tc>
          <w:tcPr>
            <w:tcW w:w="1139" w:type="dxa"/>
            <w:noWrap w:val="0"/>
            <w:vAlign w:val="center"/>
          </w:tcPr>
          <w:p>
            <w:pPr>
              <w:jc w:val="center"/>
              <w:rPr>
                <w:rFonts w:hint="eastAsia" w:ascii="仿宋" w:hAnsi="仿宋" w:eastAsia="仿宋" w:cs="仿宋"/>
                <w:color w:val="000000"/>
                <w:kern w:val="0"/>
                <w:sz w:val="24"/>
              </w:rPr>
            </w:pPr>
          </w:p>
        </w:tc>
        <w:tc>
          <w:tcPr>
            <w:tcW w:w="1140" w:type="dxa"/>
            <w:noWrap w:val="0"/>
            <w:vAlign w:val="center"/>
          </w:tcPr>
          <w:p>
            <w:pPr>
              <w:jc w:val="center"/>
              <w:rPr>
                <w:rFonts w:hint="eastAsia" w:ascii="仿宋" w:hAnsi="仿宋" w:eastAsia="仿宋" w:cs="仿宋"/>
                <w:color w:val="000000"/>
                <w:kern w:val="0"/>
                <w:sz w:val="24"/>
              </w:rPr>
            </w:pPr>
          </w:p>
        </w:tc>
        <w:tc>
          <w:tcPr>
            <w:tcW w:w="1140" w:type="dxa"/>
            <w:noWrap w:val="0"/>
            <w:vAlign w:val="center"/>
          </w:tcPr>
          <w:p>
            <w:pPr>
              <w:jc w:val="center"/>
              <w:rPr>
                <w:rFonts w:hint="eastAsia"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737" w:type="dxa"/>
            <w:noWrap w:val="0"/>
            <w:vAlign w:val="center"/>
          </w:tcPr>
          <w:p>
            <w:pPr>
              <w:jc w:val="center"/>
              <w:rPr>
                <w:rFonts w:hint="eastAsia" w:ascii="仿宋" w:hAnsi="仿宋" w:eastAsia="仿宋" w:cs="仿宋"/>
                <w:color w:val="000000"/>
                <w:kern w:val="0"/>
                <w:sz w:val="24"/>
              </w:rPr>
            </w:pPr>
            <w:r>
              <w:rPr>
                <w:rFonts w:hint="eastAsia" w:ascii="仿宋" w:hAnsi="仿宋" w:eastAsia="仿宋" w:cs="仿宋"/>
                <w:color w:val="000000"/>
                <w:kern w:val="0"/>
                <w:sz w:val="24"/>
              </w:rPr>
              <w:t>4</w:t>
            </w:r>
          </w:p>
        </w:tc>
        <w:tc>
          <w:tcPr>
            <w:tcW w:w="1078" w:type="dxa"/>
            <w:noWrap w:val="0"/>
            <w:vAlign w:val="center"/>
          </w:tcPr>
          <w:p>
            <w:pPr>
              <w:snapToGrid w:val="0"/>
              <w:jc w:val="center"/>
              <w:rPr>
                <w:rFonts w:hint="eastAsia" w:ascii="仿宋" w:hAnsi="仿宋" w:eastAsia="仿宋" w:cs="仿宋"/>
                <w:color w:val="000000"/>
                <w:sz w:val="24"/>
              </w:rPr>
            </w:pPr>
            <w:r>
              <w:rPr>
                <w:rFonts w:hint="eastAsia" w:ascii="仿宋" w:hAnsi="仿宋" w:eastAsia="仿宋" w:cs="仿宋"/>
                <w:color w:val="000000"/>
                <w:sz w:val="24"/>
              </w:rPr>
              <w:t>2.1.1（4）</w:t>
            </w:r>
          </w:p>
        </w:tc>
        <w:tc>
          <w:tcPr>
            <w:tcW w:w="1253" w:type="dxa"/>
            <w:noWrap w:val="0"/>
            <w:vAlign w:val="center"/>
          </w:tcPr>
          <w:p>
            <w:pPr>
              <w:pStyle w:val="106"/>
              <w:jc w:val="center"/>
              <w:rPr>
                <w:rFonts w:hint="eastAsia" w:ascii="仿宋" w:hAnsi="仿宋" w:eastAsia="仿宋" w:cs="仿宋"/>
              </w:rPr>
            </w:pPr>
            <w:r>
              <w:rPr>
                <w:rFonts w:hint="eastAsia" w:ascii="仿宋" w:hAnsi="仿宋" w:eastAsia="仿宋" w:cs="仿宋"/>
              </w:rPr>
              <w:t>投标报价</w:t>
            </w:r>
          </w:p>
        </w:tc>
        <w:tc>
          <w:tcPr>
            <w:tcW w:w="2707" w:type="dxa"/>
            <w:noWrap w:val="0"/>
            <w:vAlign w:val="center"/>
          </w:tcPr>
          <w:p>
            <w:pPr>
              <w:pStyle w:val="106"/>
              <w:jc w:val="center"/>
              <w:rPr>
                <w:rFonts w:hint="eastAsia" w:ascii="仿宋" w:hAnsi="仿宋" w:eastAsia="仿宋" w:cs="仿宋"/>
              </w:rPr>
            </w:pPr>
            <w:r>
              <w:rPr>
                <w:rFonts w:hint="eastAsia" w:ascii="仿宋" w:hAnsi="仿宋" w:eastAsia="仿宋" w:cs="仿宋"/>
              </w:rPr>
              <w:t>只能有一个报价</w:t>
            </w:r>
          </w:p>
        </w:tc>
        <w:tc>
          <w:tcPr>
            <w:tcW w:w="1139" w:type="dxa"/>
            <w:noWrap w:val="0"/>
            <w:vAlign w:val="center"/>
          </w:tcPr>
          <w:p>
            <w:pPr>
              <w:jc w:val="center"/>
              <w:rPr>
                <w:rFonts w:hint="eastAsia" w:ascii="仿宋" w:hAnsi="仿宋" w:eastAsia="仿宋" w:cs="仿宋"/>
                <w:color w:val="000000"/>
                <w:kern w:val="0"/>
                <w:sz w:val="24"/>
              </w:rPr>
            </w:pPr>
          </w:p>
        </w:tc>
        <w:tc>
          <w:tcPr>
            <w:tcW w:w="1140" w:type="dxa"/>
            <w:noWrap w:val="0"/>
            <w:vAlign w:val="center"/>
          </w:tcPr>
          <w:p>
            <w:pPr>
              <w:jc w:val="center"/>
              <w:rPr>
                <w:rFonts w:hint="eastAsia" w:ascii="仿宋" w:hAnsi="仿宋" w:eastAsia="仿宋" w:cs="仿宋"/>
                <w:color w:val="000000"/>
                <w:kern w:val="0"/>
                <w:sz w:val="24"/>
              </w:rPr>
            </w:pPr>
          </w:p>
        </w:tc>
        <w:tc>
          <w:tcPr>
            <w:tcW w:w="1140" w:type="dxa"/>
            <w:noWrap w:val="0"/>
            <w:vAlign w:val="center"/>
          </w:tcPr>
          <w:p>
            <w:pPr>
              <w:jc w:val="center"/>
              <w:rPr>
                <w:rFonts w:hint="eastAsia"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737" w:type="dxa"/>
            <w:noWrap w:val="0"/>
            <w:vAlign w:val="center"/>
          </w:tcPr>
          <w:p>
            <w:pPr>
              <w:jc w:val="center"/>
              <w:rPr>
                <w:rFonts w:hint="eastAsia" w:ascii="仿宋" w:hAnsi="仿宋" w:eastAsia="仿宋" w:cs="仿宋"/>
                <w:color w:val="000000"/>
                <w:kern w:val="0"/>
                <w:sz w:val="24"/>
              </w:rPr>
            </w:pPr>
            <w:r>
              <w:rPr>
                <w:rFonts w:hint="eastAsia" w:ascii="仿宋" w:hAnsi="仿宋" w:eastAsia="仿宋" w:cs="仿宋"/>
                <w:color w:val="000000"/>
                <w:kern w:val="0"/>
                <w:sz w:val="24"/>
              </w:rPr>
              <w:t>5</w:t>
            </w:r>
          </w:p>
        </w:tc>
        <w:tc>
          <w:tcPr>
            <w:tcW w:w="1078" w:type="dxa"/>
            <w:noWrap w:val="0"/>
            <w:vAlign w:val="center"/>
          </w:tcPr>
          <w:p>
            <w:pPr>
              <w:snapToGrid w:val="0"/>
              <w:rPr>
                <w:rFonts w:hint="eastAsia" w:ascii="仿宋" w:hAnsi="仿宋" w:eastAsia="仿宋" w:cs="仿宋"/>
                <w:color w:val="000000"/>
                <w:sz w:val="24"/>
              </w:rPr>
            </w:pPr>
            <w:r>
              <w:rPr>
                <w:rFonts w:hint="eastAsia" w:ascii="仿宋" w:hAnsi="仿宋" w:eastAsia="仿宋" w:cs="仿宋"/>
                <w:color w:val="000000"/>
                <w:sz w:val="24"/>
              </w:rPr>
              <w:t>2.1.1（5）</w:t>
            </w:r>
          </w:p>
        </w:tc>
        <w:tc>
          <w:tcPr>
            <w:tcW w:w="1253" w:type="dxa"/>
            <w:noWrap w:val="0"/>
            <w:vAlign w:val="center"/>
          </w:tcPr>
          <w:p>
            <w:pPr>
              <w:pStyle w:val="106"/>
              <w:jc w:val="center"/>
              <w:rPr>
                <w:rFonts w:hint="eastAsia" w:ascii="仿宋" w:hAnsi="仿宋" w:eastAsia="仿宋" w:cs="仿宋"/>
                <w:kern w:val="2"/>
              </w:rPr>
            </w:pPr>
            <w:r>
              <w:rPr>
                <w:rFonts w:hint="eastAsia" w:ascii="仿宋" w:hAnsi="仿宋" w:eastAsia="仿宋" w:cs="仿宋"/>
                <w:kern w:val="2"/>
              </w:rPr>
              <w:t>联合体协议书（如有）</w:t>
            </w:r>
          </w:p>
        </w:tc>
        <w:tc>
          <w:tcPr>
            <w:tcW w:w="2707" w:type="dxa"/>
            <w:noWrap w:val="0"/>
            <w:vAlign w:val="center"/>
          </w:tcPr>
          <w:p>
            <w:pPr>
              <w:pStyle w:val="106"/>
              <w:jc w:val="center"/>
              <w:rPr>
                <w:rFonts w:hint="eastAsia" w:ascii="仿宋" w:hAnsi="仿宋" w:eastAsia="仿宋" w:cs="仿宋"/>
                <w:kern w:val="2"/>
              </w:rPr>
            </w:pPr>
            <w:r>
              <w:rPr>
                <w:rFonts w:hint="eastAsia" w:ascii="仿宋" w:hAnsi="仿宋" w:eastAsia="仿宋" w:cs="仿宋"/>
                <w:kern w:val="2"/>
              </w:rPr>
              <w:t>联合体投标人应提交联合体协议书，并明确联合体牵头人</w:t>
            </w:r>
          </w:p>
        </w:tc>
        <w:tc>
          <w:tcPr>
            <w:tcW w:w="1139" w:type="dxa"/>
            <w:noWrap w:val="0"/>
            <w:vAlign w:val="center"/>
          </w:tcPr>
          <w:p>
            <w:pPr>
              <w:jc w:val="center"/>
              <w:rPr>
                <w:rFonts w:hint="eastAsia" w:ascii="仿宋" w:hAnsi="仿宋" w:eastAsia="仿宋" w:cs="仿宋"/>
                <w:color w:val="000000"/>
                <w:kern w:val="0"/>
                <w:sz w:val="24"/>
              </w:rPr>
            </w:pPr>
          </w:p>
        </w:tc>
        <w:tc>
          <w:tcPr>
            <w:tcW w:w="1140" w:type="dxa"/>
            <w:noWrap w:val="0"/>
            <w:vAlign w:val="center"/>
          </w:tcPr>
          <w:p>
            <w:pPr>
              <w:jc w:val="center"/>
              <w:rPr>
                <w:rFonts w:hint="eastAsia" w:ascii="仿宋" w:hAnsi="仿宋" w:eastAsia="仿宋" w:cs="仿宋"/>
                <w:color w:val="000000"/>
                <w:kern w:val="0"/>
                <w:sz w:val="24"/>
              </w:rPr>
            </w:pPr>
          </w:p>
        </w:tc>
        <w:tc>
          <w:tcPr>
            <w:tcW w:w="1140" w:type="dxa"/>
            <w:noWrap w:val="0"/>
            <w:vAlign w:val="center"/>
          </w:tcPr>
          <w:p>
            <w:pPr>
              <w:jc w:val="center"/>
              <w:rPr>
                <w:rFonts w:hint="eastAsia"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737" w:type="dxa"/>
            <w:noWrap w:val="0"/>
            <w:vAlign w:val="center"/>
          </w:tcPr>
          <w:p>
            <w:pPr>
              <w:jc w:val="center"/>
              <w:rPr>
                <w:rFonts w:hint="eastAsia" w:ascii="仿宋" w:hAnsi="仿宋" w:eastAsia="仿宋" w:cs="仿宋"/>
                <w:color w:val="000000"/>
                <w:kern w:val="0"/>
                <w:sz w:val="24"/>
              </w:rPr>
            </w:pPr>
            <w:r>
              <w:rPr>
                <w:rFonts w:hint="eastAsia" w:ascii="仿宋" w:hAnsi="仿宋" w:eastAsia="仿宋" w:cs="仿宋"/>
                <w:color w:val="000000"/>
                <w:kern w:val="0"/>
                <w:sz w:val="24"/>
              </w:rPr>
              <w:t>6</w:t>
            </w:r>
          </w:p>
        </w:tc>
        <w:tc>
          <w:tcPr>
            <w:tcW w:w="1078" w:type="dxa"/>
            <w:noWrap w:val="0"/>
            <w:vAlign w:val="center"/>
          </w:tcPr>
          <w:p>
            <w:pPr>
              <w:snapToGrid w:val="0"/>
              <w:jc w:val="center"/>
              <w:rPr>
                <w:rFonts w:hint="eastAsia" w:ascii="仿宋" w:hAnsi="仿宋" w:eastAsia="仿宋" w:cs="仿宋"/>
                <w:color w:val="000000"/>
                <w:sz w:val="24"/>
              </w:rPr>
            </w:pPr>
            <w:r>
              <w:rPr>
                <w:rFonts w:hint="eastAsia" w:ascii="仿宋" w:hAnsi="仿宋" w:eastAsia="仿宋" w:cs="仿宋"/>
                <w:color w:val="000000"/>
                <w:sz w:val="24"/>
              </w:rPr>
              <w:t>2.1.1（6）</w:t>
            </w:r>
          </w:p>
        </w:tc>
        <w:tc>
          <w:tcPr>
            <w:tcW w:w="1253" w:type="dxa"/>
            <w:noWrap w:val="0"/>
            <w:vAlign w:val="center"/>
          </w:tcPr>
          <w:p>
            <w:pPr>
              <w:pStyle w:val="106"/>
              <w:jc w:val="center"/>
              <w:rPr>
                <w:rFonts w:hint="eastAsia" w:ascii="仿宋" w:hAnsi="仿宋" w:eastAsia="仿宋" w:cs="仿宋"/>
              </w:rPr>
            </w:pPr>
            <w:r>
              <w:rPr>
                <w:rFonts w:hint="eastAsia" w:ascii="仿宋" w:hAnsi="仿宋" w:eastAsia="仿宋" w:cs="仿宋"/>
              </w:rPr>
              <w:t>技术投标文件暗标的制作要求</w:t>
            </w:r>
          </w:p>
        </w:tc>
        <w:tc>
          <w:tcPr>
            <w:tcW w:w="2707" w:type="dxa"/>
            <w:noWrap w:val="0"/>
            <w:vAlign w:val="center"/>
          </w:tcPr>
          <w:p>
            <w:pPr>
              <w:pStyle w:val="106"/>
              <w:rPr>
                <w:rFonts w:hint="eastAsia" w:ascii="仿宋" w:hAnsi="仿宋" w:eastAsia="仿宋" w:cs="仿宋"/>
              </w:rPr>
            </w:pPr>
            <w:r>
              <w:rPr>
                <w:rFonts w:hint="eastAsia" w:ascii="仿宋" w:hAnsi="仿宋" w:eastAsia="仿宋" w:cs="仿宋"/>
              </w:rPr>
              <w:t>符合第二章投标人须知第3.7.5项规定</w:t>
            </w:r>
          </w:p>
        </w:tc>
        <w:tc>
          <w:tcPr>
            <w:tcW w:w="1139" w:type="dxa"/>
            <w:noWrap w:val="0"/>
            <w:vAlign w:val="center"/>
          </w:tcPr>
          <w:p>
            <w:pPr>
              <w:jc w:val="center"/>
              <w:rPr>
                <w:rFonts w:hint="eastAsia" w:ascii="仿宋" w:hAnsi="仿宋" w:eastAsia="仿宋" w:cs="仿宋"/>
                <w:color w:val="000000"/>
                <w:kern w:val="0"/>
                <w:sz w:val="24"/>
              </w:rPr>
            </w:pPr>
          </w:p>
        </w:tc>
        <w:tc>
          <w:tcPr>
            <w:tcW w:w="1140" w:type="dxa"/>
            <w:noWrap w:val="0"/>
            <w:vAlign w:val="center"/>
          </w:tcPr>
          <w:p>
            <w:pPr>
              <w:jc w:val="center"/>
              <w:rPr>
                <w:rFonts w:hint="eastAsia" w:ascii="仿宋" w:hAnsi="仿宋" w:eastAsia="仿宋" w:cs="仿宋"/>
                <w:color w:val="000000"/>
                <w:kern w:val="0"/>
                <w:sz w:val="24"/>
              </w:rPr>
            </w:pPr>
          </w:p>
        </w:tc>
        <w:tc>
          <w:tcPr>
            <w:tcW w:w="1140" w:type="dxa"/>
            <w:noWrap w:val="0"/>
            <w:vAlign w:val="center"/>
          </w:tcPr>
          <w:p>
            <w:pPr>
              <w:jc w:val="center"/>
              <w:rPr>
                <w:rFonts w:hint="eastAsia"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737" w:type="dxa"/>
            <w:noWrap w:val="0"/>
            <w:vAlign w:val="center"/>
          </w:tcPr>
          <w:p>
            <w:pPr>
              <w:jc w:val="center"/>
              <w:rPr>
                <w:rFonts w:hint="eastAsia" w:ascii="仿宋" w:hAnsi="仿宋" w:eastAsia="仿宋" w:cs="仿宋"/>
                <w:color w:val="000000"/>
                <w:kern w:val="0"/>
                <w:sz w:val="24"/>
              </w:rPr>
            </w:pPr>
            <w:r>
              <w:rPr>
                <w:rFonts w:hint="eastAsia" w:ascii="仿宋" w:hAnsi="仿宋" w:eastAsia="仿宋" w:cs="仿宋"/>
                <w:color w:val="000000"/>
                <w:kern w:val="0"/>
                <w:sz w:val="24"/>
              </w:rPr>
              <w:t>7</w:t>
            </w:r>
          </w:p>
        </w:tc>
        <w:tc>
          <w:tcPr>
            <w:tcW w:w="1078" w:type="dxa"/>
            <w:noWrap w:val="0"/>
            <w:vAlign w:val="center"/>
          </w:tcPr>
          <w:p>
            <w:pPr>
              <w:snapToGrid w:val="0"/>
              <w:jc w:val="center"/>
              <w:rPr>
                <w:rFonts w:hint="eastAsia" w:ascii="仿宋" w:hAnsi="仿宋" w:eastAsia="仿宋" w:cs="仿宋"/>
                <w:color w:val="000000"/>
                <w:sz w:val="24"/>
              </w:rPr>
            </w:pPr>
            <w:r>
              <w:rPr>
                <w:rFonts w:hint="eastAsia" w:ascii="仿宋" w:hAnsi="仿宋" w:eastAsia="仿宋" w:cs="仿宋"/>
                <w:color w:val="000000"/>
                <w:sz w:val="24"/>
              </w:rPr>
              <w:t>……</w:t>
            </w:r>
          </w:p>
        </w:tc>
        <w:tc>
          <w:tcPr>
            <w:tcW w:w="1253" w:type="dxa"/>
            <w:noWrap w:val="0"/>
            <w:vAlign w:val="center"/>
          </w:tcPr>
          <w:p>
            <w:pPr>
              <w:pStyle w:val="106"/>
              <w:jc w:val="center"/>
              <w:rPr>
                <w:rFonts w:hint="eastAsia" w:ascii="仿宋" w:hAnsi="仿宋" w:eastAsia="仿宋" w:cs="仿宋"/>
              </w:rPr>
            </w:pPr>
            <w:r>
              <w:rPr>
                <w:rFonts w:hint="eastAsia" w:ascii="仿宋" w:hAnsi="仿宋" w:eastAsia="仿宋" w:cs="仿宋"/>
              </w:rPr>
              <w:t>……</w:t>
            </w:r>
          </w:p>
        </w:tc>
        <w:tc>
          <w:tcPr>
            <w:tcW w:w="2707" w:type="dxa"/>
            <w:noWrap w:val="0"/>
            <w:vAlign w:val="center"/>
          </w:tcPr>
          <w:p>
            <w:pPr>
              <w:pStyle w:val="106"/>
              <w:rPr>
                <w:rFonts w:hint="eastAsia" w:ascii="仿宋" w:hAnsi="仿宋" w:eastAsia="仿宋" w:cs="仿宋"/>
              </w:rPr>
            </w:pPr>
            <w:r>
              <w:rPr>
                <w:rFonts w:hint="eastAsia" w:ascii="仿宋" w:hAnsi="仿宋" w:eastAsia="仿宋" w:cs="仿宋"/>
              </w:rPr>
              <w:t>……</w:t>
            </w:r>
          </w:p>
        </w:tc>
        <w:tc>
          <w:tcPr>
            <w:tcW w:w="1139" w:type="dxa"/>
            <w:noWrap w:val="0"/>
            <w:vAlign w:val="center"/>
          </w:tcPr>
          <w:p>
            <w:pPr>
              <w:jc w:val="center"/>
              <w:rPr>
                <w:rFonts w:hint="eastAsia" w:ascii="仿宋" w:hAnsi="仿宋" w:eastAsia="仿宋" w:cs="仿宋"/>
                <w:color w:val="000000"/>
                <w:kern w:val="0"/>
                <w:sz w:val="24"/>
              </w:rPr>
            </w:pPr>
          </w:p>
        </w:tc>
        <w:tc>
          <w:tcPr>
            <w:tcW w:w="1140" w:type="dxa"/>
            <w:noWrap w:val="0"/>
            <w:vAlign w:val="center"/>
          </w:tcPr>
          <w:p>
            <w:pPr>
              <w:jc w:val="center"/>
              <w:rPr>
                <w:rFonts w:hint="eastAsia" w:ascii="仿宋" w:hAnsi="仿宋" w:eastAsia="仿宋" w:cs="仿宋"/>
                <w:color w:val="000000"/>
                <w:kern w:val="0"/>
                <w:sz w:val="24"/>
              </w:rPr>
            </w:pPr>
          </w:p>
        </w:tc>
        <w:tc>
          <w:tcPr>
            <w:tcW w:w="1140" w:type="dxa"/>
            <w:noWrap w:val="0"/>
            <w:vAlign w:val="center"/>
          </w:tcPr>
          <w:p>
            <w:pPr>
              <w:jc w:val="center"/>
              <w:rPr>
                <w:rFonts w:hint="eastAsia"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737" w:type="dxa"/>
            <w:noWrap w:val="0"/>
            <w:vAlign w:val="center"/>
          </w:tcPr>
          <w:p>
            <w:pPr>
              <w:jc w:val="center"/>
              <w:rPr>
                <w:rFonts w:hint="eastAsia" w:ascii="仿宋" w:hAnsi="仿宋" w:eastAsia="仿宋" w:cs="仿宋"/>
                <w:color w:val="000000"/>
                <w:kern w:val="0"/>
                <w:sz w:val="24"/>
              </w:rPr>
            </w:pPr>
          </w:p>
        </w:tc>
        <w:tc>
          <w:tcPr>
            <w:tcW w:w="5038" w:type="dxa"/>
            <w:gridSpan w:val="3"/>
            <w:noWrap w:val="0"/>
            <w:vAlign w:val="center"/>
          </w:tcPr>
          <w:p>
            <w:pPr>
              <w:jc w:val="center"/>
              <w:rPr>
                <w:rFonts w:hint="eastAsia" w:ascii="仿宋" w:hAnsi="仿宋" w:eastAsia="仿宋" w:cs="仿宋"/>
                <w:b/>
                <w:bCs/>
                <w:color w:val="000000"/>
                <w:kern w:val="0"/>
                <w:sz w:val="24"/>
              </w:rPr>
            </w:pPr>
            <w:r>
              <w:rPr>
                <w:rFonts w:hint="eastAsia" w:ascii="仿宋" w:hAnsi="仿宋" w:eastAsia="仿宋" w:cs="仿宋"/>
                <w:b/>
                <w:bCs/>
                <w:color w:val="000000"/>
                <w:kern w:val="0"/>
                <w:sz w:val="24"/>
              </w:rPr>
              <w:t>评审结论（合格/不合格）</w:t>
            </w:r>
          </w:p>
        </w:tc>
        <w:tc>
          <w:tcPr>
            <w:tcW w:w="1139" w:type="dxa"/>
            <w:noWrap w:val="0"/>
            <w:vAlign w:val="center"/>
          </w:tcPr>
          <w:p>
            <w:pPr>
              <w:jc w:val="center"/>
              <w:rPr>
                <w:rFonts w:hint="eastAsia" w:ascii="仿宋" w:hAnsi="仿宋" w:eastAsia="仿宋" w:cs="仿宋"/>
                <w:color w:val="000000"/>
                <w:kern w:val="0"/>
                <w:sz w:val="24"/>
              </w:rPr>
            </w:pPr>
          </w:p>
        </w:tc>
        <w:tc>
          <w:tcPr>
            <w:tcW w:w="1140" w:type="dxa"/>
            <w:noWrap w:val="0"/>
            <w:vAlign w:val="center"/>
          </w:tcPr>
          <w:p>
            <w:pPr>
              <w:jc w:val="center"/>
              <w:rPr>
                <w:rFonts w:hint="eastAsia" w:ascii="仿宋" w:hAnsi="仿宋" w:eastAsia="仿宋" w:cs="仿宋"/>
                <w:color w:val="000000"/>
                <w:kern w:val="0"/>
                <w:sz w:val="24"/>
              </w:rPr>
            </w:pPr>
          </w:p>
        </w:tc>
        <w:tc>
          <w:tcPr>
            <w:tcW w:w="1140" w:type="dxa"/>
            <w:noWrap w:val="0"/>
            <w:vAlign w:val="center"/>
          </w:tcPr>
          <w:p>
            <w:pPr>
              <w:jc w:val="center"/>
              <w:rPr>
                <w:rFonts w:hint="eastAsia" w:ascii="仿宋" w:hAnsi="仿宋" w:eastAsia="仿宋" w:cs="仿宋"/>
                <w:color w:val="000000"/>
                <w:kern w:val="0"/>
                <w:sz w:val="24"/>
              </w:rPr>
            </w:pPr>
          </w:p>
        </w:tc>
      </w:tr>
    </w:tbl>
    <w:p>
      <w:pPr>
        <w:rPr>
          <w:rFonts w:hint="eastAsia" w:ascii="仿宋" w:hAnsi="仿宋" w:eastAsia="仿宋" w:cs="仿宋"/>
          <w:color w:val="000000"/>
          <w:sz w:val="18"/>
          <w:szCs w:val="18"/>
        </w:rPr>
      </w:pPr>
      <w:r>
        <w:rPr>
          <w:rFonts w:hint="eastAsia" w:ascii="仿宋" w:hAnsi="仿宋" w:eastAsia="仿宋" w:cs="仿宋"/>
          <w:b/>
          <w:color w:val="000000"/>
        </w:rPr>
        <w:t>备注：</w:t>
      </w:r>
      <w:r>
        <w:rPr>
          <w:rFonts w:hint="eastAsia" w:ascii="仿宋" w:hAnsi="仿宋" w:eastAsia="仿宋" w:cs="仿宋"/>
          <w:color w:val="000000"/>
          <w:sz w:val="18"/>
          <w:szCs w:val="18"/>
        </w:rPr>
        <w:t>1.评审项目合格的打“√”，不合格的打“×”。上表中有一项不符合评审标准的，其评审结论为不合格，则不进入投标文件下一轮的评审。</w:t>
      </w:r>
    </w:p>
    <w:p>
      <w:pPr>
        <w:snapToGrid w:val="0"/>
        <w:ind w:firstLine="540" w:firstLineChars="300"/>
        <w:rPr>
          <w:rFonts w:hint="eastAsia" w:ascii="仿宋" w:hAnsi="仿宋" w:eastAsia="仿宋" w:cs="仿宋"/>
          <w:color w:val="000000"/>
        </w:rPr>
      </w:pPr>
      <w:r>
        <w:rPr>
          <w:rFonts w:hint="eastAsia" w:ascii="仿宋" w:hAnsi="仿宋" w:eastAsia="仿宋" w:cs="仿宋"/>
          <w:color w:val="000000"/>
          <w:sz w:val="18"/>
          <w:szCs w:val="18"/>
        </w:rPr>
        <w:t>2.本表由评标委员会集体评议，评标委员会成员中对评审结论有不同意见时，按少数服从多数的原则，确定评审结论。</w:t>
      </w:r>
    </w:p>
    <w:p>
      <w:pPr>
        <w:snapToGrid w:val="0"/>
        <w:spacing w:line="360" w:lineRule="auto"/>
        <w:ind w:firstLine="420" w:firstLineChars="200"/>
        <w:rPr>
          <w:rFonts w:hint="eastAsia" w:ascii="仿宋" w:hAnsi="仿宋" w:eastAsia="仿宋" w:cs="仿宋"/>
          <w:color w:val="000000"/>
        </w:rPr>
      </w:pPr>
    </w:p>
    <w:p>
      <w:pPr>
        <w:snapToGrid w:val="0"/>
        <w:spacing w:line="600" w:lineRule="exact"/>
        <w:rPr>
          <w:rFonts w:hint="eastAsia" w:ascii="仿宋" w:hAnsi="仿宋" w:eastAsia="仿宋" w:cs="仿宋"/>
          <w:color w:val="000000"/>
          <w:sz w:val="28"/>
          <w:szCs w:val="28"/>
        </w:rPr>
      </w:pPr>
      <w:r>
        <w:rPr>
          <w:rFonts w:hint="eastAsia" w:ascii="仿宋" w:hAnsi="仿宋" w:eastAsia="仿宋" w:cs="仿宋"/>
          <w:color w:val="000000"/>
          <w:sz w:val="28"/>
          <w:szCs w:val="28"/>
        </w:rPr>
        <w:t>评标委员会全体成员签字：</w:t>
      </w:r>
    </w:p>
    <w:p>
      <w:pPr>
        <w:pStyle w:val="32"/>
        <w:spacing w:line="490" w:lineRule="exact"/>
        <w:ind w:left="420" w:hanging="420"/>
        <w:outlineLvl w:val="4"/>
        <w:rPr>
          <w:rFonts w:eastAsia="黑体"/>
          <w:bCs/>
          <w:color w:val="000000"/>
          <w:sz w:val="28"/>
          <w:szCs w:val="20"/>
        </w:rPr>
      </w:pPr>
      <w:r>
        <w:rPr>
          <w:rFonts w:hint="eastAsia" w:ascii="仿宋" w:hAnsi="仿宋" w:eastAsia="仿宋" w:cs="仿宋"/>
          <w:color w:val="000000"/>
        </w:rPr>
        <w:br w:type="page"/>
      </w:r>
      <w:r>
        <w:rPr>
          <w:rFonts w:eastAsia="黑体"/>
          <w:bCs/>
          <w:color w:val="000000"/>
          <w:sz w:val="28"/>
          <w:szCs w:val="20"/>
        </w:rPr>
        <w:t>附表3-3（2）：资格评审表</w:t>
      </w:r>
    </w:p>
    <w:p>
      <w:pPr>
        <w:spacing w:before="120" w:beforeLines="50" w:after="120" w:afterLines="50" w:line="600" w:lineRule="exact"/>
        <w:jc w:val="center"/>
        <w:rPr>
          <w:rFonts w:hint="eastAsia" w:ascii="方正小标宋简体" w:eastAsia="方正小标宋简体"/>
          <w:color w:val="000000"/>
          <w:sz w:val="40"/>
          <w:szCs w:val="28"/>
        </w:rPr>
      </w:pPr>
      <w:r>
        <w:rPr>
          <w:rFonts w:hint="eastAsia" w:ascii="方正小标宋简体" w:eastAsia="方正小标宋简体"/>
          <w:color w:val="000000"/>
          <w:sz w:val="40"/>
          <w:szCs w:val="28"/>
        </w:rPr>
        <w:t>资格评审表</w:t>
      </w:r>
    </w:p>
    <w:p>
      <w:pPr>
        <w:snapToGrid w:val="0"/>
        <w:spacing w:line="480" w:lineRule="exact"/>
        <w:rPr>
          <w:rFonts w:hint="eastAsia" w:ascii="仿宋" w:hAnsi="仿宋" w:eastAsia="仿宋" w:cs="仿宋"/>
          <w:color w:val="000000"/>
          <w:sz w:val="24"/>
          <w:u w:val="single"/>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（标段名称）</w:t>
      </w:r>
      <w:r>
        <w:rPr>
          <w:rFonts w:hint="eastAsia" w:ascii="仿宋" w:hAnsi="仿宋" w:eastAsia="仿宋" w:cs="仿宋"/>
          <w:color w:val="000000"/>
          <w:sz w:val="24"/>
          <w:u w:val="single"/>
        </w:rPr>
        <w:t xml:space="preserve">                      </w:t>
      </w:r>
    </w:p>
    <w:p>
      <w:pPr>
        <w:snapToGrid w:val="0"/>
        <w:spacing w:line="480" w:lineRule="exact"/>
        <w:rPr>
          <w:rFonts w:hint="eastAsia" w:ascii="仿宋" w:hAnsi="仿宋" w:eastAsia="仿宋" w:cs="仿宋"/>
          <w:color w:val="000000"/>
          <w:sz w:val="28"/>
          <w:szCs w:val="28"/>
          <w:u w:val="single"/>
        </w:rPr>
      </w:pPr>
      <w:r>
        <w:rPr>
          <w:rFonts w:hint="eastAsia" w:ascii="仿宋" w:hAnsi="仿宋" w:eastAsia="仿宋" w:cs="仿宋"/>
          <w:color w:val="000000"/>
          <w:sz w:val="24"/>
        </w:rPr>
        <w:t>项目管理编号：</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tbl>
      <w:tblPr>
        <w:tblStyle w:val="47"/>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
        <w:gridCol w:w="1374"/>
        <w:gridCol w:w="1253"/>
        <w:gridCol w:w="2707"/>
        <w:gridCol w:w="903"/>
        <w:gridCol w:w="992"/>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1" w:type="dxa"/>
            <w:vMerge w:val="restart"/>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序号</w:t>
            </w:r>
          </w:p>
        </w:tc>
        <w:tc>
          <w:tcPr>
            <w:tcW w:w="1374" w:type="dxa"/>
            <w:vMerge w:val="restart"/>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条款号</w:t>
            </w:r>
          </w:p>
        </w:tc>
        <w:tc>
          <w:tcPr>
            <w:tcW w:w="1253" w:type="dxa"/>
            <w:vMerge w:val="restart"/>
            <w:noWrap w:val="0"/>
            <w:vAlign w:val="center"/>
          </w:tcPr>
          <w:p>
            <w:pPr>
              <w:snapToGrid w:val="0"/>
              <w:rPr>
                <w:rFonts w:hint="eastAsia" w:ascii="仿宋" w:hAnsi="仿宋" w:eastAsia="仿宋" w:cs="仿宋"/>
                <w:color w:val="000000"/>
              </w:rPr>
            </w:pPr>
            <w:r>
              <w:rPr>
                <w:rFonts w:hint="eastAsia" w:ascii="仿宋" w:hAnsi="仿宋" w:eastAsia="仿宋" w:cs="仿宋"/>
                <w:color w:val="000000"/>
              </w:rPr>
              <w:t>评审因素</w:t>
            </w:r>
          </w:p>
        </w:tc>
        <w:tc>
          <w:tcPr>
            <w:tcW w:w="2707" w:type="dxa"/>
            <w:vMerge w:val="restart"/>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评审标准</w:t>
            </w:r>
          </w:p>
        </w:tc>
        <w:tc>
          <w:tcPr>
            <w:tcW w:w="3029" w:type="dxa"/>
            <w:gridSpan w:val="3"/>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投标人名称及评审意见</w:t>
            </w:r>
          </w:p>
          <w:p>
            <w:pPr>
              <w:jc w:val="center"/>
              <w:rPr>
                <w:rFonts w:hint="eastAsia" w:ascii="仿宋" w:hAnsi="仿宋" w:eastAsia="仿宋" w:cs="仿宋"/>
                <w:color w:val="000000"/>
                <w:kern w:val="0"/>
              </w:rPr>
            </w:pPr>
            <w:r>
              <w:rPr>
                <w:rFonts w:hint="eastAsia" w:ascii="仿宋" w:hAnsi="仿宋" w:eastAsia="仿宋" w:cs="仿宋"/>
                <w:bCs/>
                <w:color w:val="000000"/>
                <w:kern w:val="0"/>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1" w:type="dxa"/>
            <w:vMerge w:val="continue"/>
            <w:noWrap w:val="0"/>
            <w:vAlign w:val="center"/>
          </w:tcPr>
          <w:p>
            <w:pPr>
              <w:jc w:val="center"/>
              <w:rPr>
                <w:rFonts w:hint="eastAsia" w:ascii="仿宋" w:hAnsi="仿宋" w:eastAsia="仿宋" w:cs="仿宋"/>
                <w:color w:val="000000"/>
                <w:kern w:val="0"/>
              </w:rPr>
            </w:pPr>
          </w:p>
        </w:tc>
        <w:tc>
          <w:tcPr>
            <w:tcW w:w="1374" w:type="dxa"/>
            <w:vMerge w:val="continue"/>
            <w:noWrap w:val="0"/>
            <w:vAlign w:val="center"/>
          </w:tcPr>
          <w:p>
            <w:pPr>
              <w:snapToGrid w:val="0"/>
              <w:jc w:val="center"/>
              <w:rPr>
                <w:rFonts w:hint="eastAsia" w:ascii="仿宋" w:hAnsi="仿宋" w:eastAsia="仿宋" w:cs="仿宋"/>
                <w:color w:val="000000"/>
              </w:rPr>
            </w:pPr>
          </w:p>
        </w:tc>
        <w:tc>
          <w:tcPr>
            <w:tcW w:w="1253" w:type="dxa"/>
            <w:vMerge w:val="continue"/>
            <w:noWrap w:val="0"/>
            <w:vAlign w:val="center"/>
          </w:tcPr>
          <w:p>
            <w:pPr>
              <w:snapToGrid w:val="0"/>
              <w:rPr>
                <w:rFonts w:hint="eastAsia" w:ascii="仿宋" w:hAnsi="仿宋" w:eastAsia="仿宋" w:cs="仿宋"/>
                <w:color w:val="000000"/>
              </w:rPr>
            </w:pPr>
          </w:p>
        </w:tc>
        <w:tc>
          <w:tcPr>
            <w:tcW w:w="2707" w:type="dxa"/>
            <w:vMerge w:val="continue"/>
            <w:noWrap w:val="0"/>
            <w:vAlign w:val="center"/>
          </w:tcPr>
          <w:p>
            <w:pPr>
              <w:snapToGrid w:val="0"/>
              <w:jc w:val="center"/>
              <w:rPr>
                <w:rFonts w:hint="eastAsia" w:ascii="仿宋" w:hAnsi="仿宋" w:eastAsia="仿宋" w:cs="仿宋"/>
                <w:color w:val="000000"/>
              </w:rPr>
            </w:pPr>
          </w:p>
        </w:tc>
        <w:tc>
          <w:tcPr>
            <w:tcW w:w="903"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1</w:t>
            </w:r>
          </w:p>
        </w:tc>
        <w:tc>
          <w:tcPr>
            <w:tcW w:w="992"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2</w:t>
            </w:r>
          </w:p>
        </w:tc>
        <w:tc>
          <w:tcPr>
            <w:tcW w:w="1134"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1" w:type="dxa"/>
            <w:vMerge w:val="continue"/>
            <w:noWrap w:val="0"/>
            <w:vAlign w:val="center"/>
          </w:tcPr>
          <w:p>
            <w:pPr>
              <w:jc w:val="center"/>
              <w:rPr>
                <w:rFonts w:hint="eastAsia" w:ascii="仿宋" w:hAnsi="仿宋" w:eastAsia="仿宋" w:cs="仿宋"/>
                <w:color w:val="000000"/>
                <w:kern w:val="0"/>
              </w:rPr>
            </w:pPr>
          </w:p>
        </w:tc>
        <w:tc>
          <w:tcPr>
            <w:tcW w:w="1374" w:type="dxa"/>
            <w:vMerge w:val="continue"/>
            <w:noWrap w:val="0"/>
            <w:vAlign w:val="center"/>
          </w:tcPr>
          <w:p>
            <w:pPr>
              <w:snapToGrid w:val="0"/>
              <w:jc w:val="center"/>
              <w:rPr>
                <w:rFonts w:hint="eastAsia" w:ascii="仿宋" w:hAnsi="仿宋" w:eastAsia="仿宋" w:cs="仿宋"/>
                <w:color w:val="000000"/>
              </w:rPr>
            </w:pPr>
          </w:p>
        </w:tc>
        <w:tc>
          <w:tcPr>
            <w:tcW w:w="1253" w:type="dxa"/>
            <w:vMerge w:val="continue"/>
            <w:noWrap w:val="0"/>
            <w:vAlign w:val="center"/>
          </w:tcPr>
          <w:p>
            <w:pPr>
              <w:snapToGrid w:val="0"/>
              <w:rPr>
                <w:rFonts w:hint="eastAsia" w:ascii="仿宋" w:hAnsi="仿宋" w:eastAsia="仿宋" w:cs="仿宋"/>
                <w:color w:val="000000"/>
              </w:rPr>
            </w:pPr>
          </w:p>
        </w:tc>
        <w:tc>
          <w:tcPr>
            <w:tcW w:w="2707" w:type="dxa"/>
            <w:vMerge w:val="continue"/>
            <w:noWrap w:val="0"/>
            <w:vAlign w:val="center"/>
          </w:tcPr>
          <w:p>
            <w:pPr>
              <w:snapToGrid w:val="0"/>
              <w:jc w:val="center"/>
              <w:rPr>
                <w:rFonts w:hint="eastAsia" w:ascii="仿宋" w:hAnsi="仿宋" w:eastAsia="仿宋" w:cs="仿宋"/>
                <w:color w:val="000000"/>
              </w:rPr>
            </w:pPr>
          </w:p>
        </w:tc>
        <w:tc>
          <w:tcPr>
            <w:tcW w:w="903" w:type="dxa"/>
            <w:noWrap w:val="0"/>
            <w:vAlign w:val="center"/>
          </w:tcPr>
          <w:p>
            <w:pPr>
              <w:jc w:val="center"/>
              <w:rPr>
                <w:rFonts w:hint="eastAsia" w:ascii="仿宋" w:hAnsi="仿宋" w:eastAsia="仿宋" w:cs="仿宋"/>
                <w:color w:val="000000"/>
                <w:kern w:val="0"/>
              </w:rPr>
            </w:pPr>
          </w:p>
        </w:tc>
        <w:tc>
          <w:tcPr>
            <w:tcW w:w="992" w:type="dxa"/>
            <w:noWrap w:val="0"/>
            <w:vAlign w:val="center"/>
          </w:tcPr>
          <w:p>
            <w:pPr>
              <w:jc w:val="center"/>
              <w:rPr>
                <w:rFonts w:hint="eastAsia" w:ascii="仿宋" w:hAnsi="仿宋" w:eastAsia="仿宋" w:cs="仿宋"/>
                <w:color w:val="000000"/>
                <w:kern w:val="0"/>
              </w:rPr>
            </w:pPr>
          </w:p>
        </w:tc>
        <w:tc>
          <w:tcPr>
            <w:tcW w:w="1134"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1"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w:t>
            </w:r>
          </w:p>
        </w:tc>
        <w:tc>
          <w:tcPr>
            <w:tcW w:w="1374"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2.1.2（1）</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营业执照</w:t>
            </w:r>
          </w:p>
        </w:tc>
        <w:tc>
          <w:tcPr>
            <w:tcW w:w="2707" w:type="dxa"/>
            <w:noWrap w:val="0"/>
            <w:vAlign w:val="center"/>
          </w:tcPr>
          <w:p>
            <w:pPr>
              <w:snapToGrid w:val="0"/>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具备有效的营业执照</w:t>
            </w:r>
          </w:p>
        </w:tc>
        <w:tc>
          <w:tcPr>
            <w:tcW w:w="903" w:type="dxa"/>
            <w:noWrap w:val="0"/>
            <w:vAlign w:val="center"/>
          </w:tcPr>
          <w:p>
            <w:pPr>
              <w:jc w:val="center"/>
              <w:rPr>
                <w:rFonts w:hint="eastAsia" w:ascii="仿宋" w:hAnsi="仿宋" w:eastAsia="仿宋" w:cs="仿宋"/>
                <w:color w:val="000000"/>
                <w:kern w:val="0"/>
              </w:rPr>
            </w:pPr>
          </w:p>
        </w:tc>
        <w:tc>
          <w:tcPr>
            <w:tcW w:w="992" w:type="dxa"/>
            <w:noWrap w:val="0"/>
            <w:vAlign w:val="center"/>
          </w:tcPr>
          <w:p>
            <w:pPr>
              <w:jc w:val="center"/>
              <w:rPr>
                <w:rFonts w:hint="eastAsia" w:ascii="仿宋" w:hAnsi="仿宋" w:eastAsia="仿宋" w:cs="仿宋"/>
                <w:color w:val="000000"/>
                <w:kern w:val="0"/>
              </w:rPr>
            </w:pPr>
          </w:p>
        </w:tc>
        <w:tc>
          <w:tcPr>
            <w:tcW w:w="1134"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1"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2</w:t>
            </w:r>
          </w:p>
        </w:tc>
        <w:tc>
          <w:tcPr>
            <w:tcW w:w="1374"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2.1.2（2）</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安全生产许可证</w:t>
            </w:r>
          </w:p>
        </w:tc>
        <w:tc>
          <w:tcPr>
            <w:tcW w:w="2707" w:type="dxa"/>
            <w:noWrap w:val="0"/>
            <w:vAlign w:val="center"/>
          </w:tcPr>
          <w:p>
            <w:pPr>
              <w:pStyle w:val="106"/>
              <w:rPr>
                <w:rFonts w:hint="eastAsia" w:ascii="仿宋" w:hAnsi="仿宋" w:eastAsia="仿宋" w:cs="仿宋"/>
                <w:sz w:val="18"/>
                <w:szCs w:val="18"/>
              </w:rPr>
            </w:pPr>
            <w:r>
              <w:rPr>
                <w:rFonts w:hint="eastAsia" w:ascii="仿宋" w:hAnsi="仿宋" w:eastAsia="仿宋" w:cs="仿宋"/>
                <w:sz w:val="18"/>
                <w:szCs w:val="18"/>
              </w:rPr>
              <w:t>具备有效的安全生产许可证</w:t>
            </w:r>
          </w:p>
        </w:tc>
        <w:tc>
          <w:tcPr>
            <w:tcW w:w="903" w:type="dxa"/>
            <w:noWrap w:val="0"/>
            <w:vAlign w:val="center"/>
          </w:tcPr>
          <w:p>
            <w:pPr>
              <w:jc w:val="center"/>
              <w:rPr>
                <w:rFonts w:hint="eastAsia" w:ascii="仿宋" w:hAnsi="仿宋" w:eastAsia="仿宋" w:cs="仿宋"/>
                <w:color w:val="000000"/>
                <w:kern w:val="0"/>
              </w:rPr>
            </w:pPr>
          </w:p>
        </w:tc>
        <w:tc>
          <w:tcPr>
            <w:tcW w:w="992" w:type="dxa"/>
            <w:noWrap w:val="0"/>
            <w:vAlign w:val="center"/>
          </w:tcPr>
          <w:p>
            <w:pPr>
              <w:jc w:val="center"/>
              <w:rPr>
                <w:rFonts w:hint="eastAsia" w:ascii="仿宋" w:hAnsi="仿宋" w:eastAsia="仿宋" w:cs="仿宋"/>
                <w:color w:val="000000"/>
                <w:kern w:val="0"/>
              </w:rPr>
            </w:pPr>
          </w:p>
        </w:tc>
        <w:tc>
          <w:tcPr>
            <w:tcW w:w="1134"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1"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3</w:t>
            </w:r>
          </w:p>
        </w:tc>
        <w:tc>
          <w:tcPr>
            <w:tcW w:w="1374"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2.1.2（3）</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资质证书</w:t>
            </w:r>
          </w:p>
        </w:tc>
        <w:tc>
          <w:tcPr>
            <w:tcW w:w="2707" w:type="dxa"/>
            <w:noWrap w:val="0"/>
            <w:vAlign w:val="center"/>
          </w:tcPr>
          <w:p>
            <w:pPr>
              <w:pStyle w:val="106"/>
              <w:rPr>
                <w:rFonts w:hint="eastAsia" w:ascii="仿宋" w:hAnsi="仿宋" w:eastAsia="仿宋" w:cs="仿宋"/>
                <w:sz w:val="18"/>
                <w:szCs w:val="18"/>
              </w:rPr>
            </w:pPr>
            <w:r>
              <w:rPr>
                <w:rFonts w:hint="eastAsia" w:ascii="仿宋" w:hAnsi="仿宋" w:eastAsia="仿宋" w:cs="仿宋"/>
                <w:sz w:val="18"/>
                <w:szCs w:val="18"/>
              </w:rPr>
              <w:t>具备有效的资质证书且资质等级符合第二章投标人须知第1.4.1项规定</w:t>
            </w:r>
          </w:p>
        </w:tc>
        <w:tc>
          <w:tcPr>
            <w:tcW w:w="903" w:type="dxa"/>
            <w:noWrap w:val="0"/>
            <w:vAlign w:val="center"/>
          </w:tcPr>
          <w:p>
            <w:pPr>
              <w:jc w:val="center"/>
              <w:rPr>
                <w:rFonts w:hint="eastAsia" w:ascii="仿宋" w:hAnsi="仿宋" w:eastAsia="仿宋" w:cs="仿宋"/>
                <w:color w:val="000000"/>
                <w:kern w:val="0"/>
              </w:rPr>
            </w:pPr>
          </w:p>
        </w:tc>
        <w:tc>
          <w:tcPr>
            <w:tcW w:w="992" w:type="dxa"/>
            <w:noWrap w:val="0"/>
            <w:vAlign w:val="center"/>
          </w:tcPr>
          <w:p>
            <w:pPr>
              <w:jc w:val="center"/>
              <w:rPr>
                <w:rFonts w:hint="eastAsia" w:ascii="仿宋" w:hAnsi="仿宋" w:eastAsia="仿宋" w:cs="仿宋"/>
                <w:color w:val="000000"/>
                <w:kern w:val="0"/>
              </w:rPr>
            </w:pPr>
          </w:p>
        </w:tc>
        <w:tc>
          <w:tcPr>
            <w:tcW w:w="1134"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1"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4</w:t>
            </w:r>
          </w:p>
        </w:tc>
        <w:tc>
          <w:tcPr>
            <w:tcW w:w="1374"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2.1.2（4）</w:t>
            </w:r>
          </w:p>
        </w:tc>
        <w:tc>
          <w:tcPr>
            <w:tcW w:w="1253" w:type="dxa"/>
            <w:noWrap w:val="0"/>
            <w:vAlign w:val="center"/>
          </w:tcPr>
          <w:p>
            <w:pPr>
              <w:pStyle w:val="118"/>
              <w:widowControl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业绩</w:t>
            </w:r>
            <w:r>
              <w:rPr>
                <w:rFonts w:hint="eastAsia" w:ascii="仿宋" w:hAnsi="仿宋" w:eastAsia="仿宋" w:cs="仿宋"/>
                <w:b/>
                <w:i/>
                <w:color w:val="000000"/>
                <w:sz w:val="18"/>
                <w:szCs w:val="18"/>
              </w:rPr>
              <w:t>（如作为资格条件）</w:t>
            </w:r>
          </w:p>
        </w:tc>
        <w:tc>
          <w:tcPr>
            <w:tcW w:w="2707" w:type="dxa"/>
            <w:noWrap w:val="0"/>
            <w:vAlign w:val="center"/>
          </w:tcPr>
          <w:p>
            <w:pPr>
              <w:pStyle w:val="118"/>
              <w:widowControl w:val="0"/>
              <w:rPr>
                <w:rFonts w:hint="eastAsia" w:ascii="仿宋" w:hAnsi="仿宋" w:eastAsia="仿宋" w:cs="仿宋"/>
                <w:color w:val="000000"/>
                <w:sz w:val="18"/>
                <w:szCs w:val="18"/>
              </w:rPr>
            </w:pPr>
            <w:r>
              <w:rPr>
                <w:rFonts w:hint="eastAsia" w:ascii="仿宋" w:hAnsi="仿宋" w:eastAsia="仿宋" w:cs="仿宋"/>
                <w:color w:val="000000"/>
                <w:sz w:val="18"/>
                <w:szCs w:val="18"/>
              </w:rPr>
              <w:t>业绩符合第二章投标人须知第1.4.1项规定</w:t>
            </w:r>
          </w:p>
        </w:tc>
        <w:tc>
          <w:tcPr>
            <w:tcW w:w="903" w:type="dxa"/>
            <w:noWrap w:val="0"/>
            <w:vAlign w:val="center"/>
          </w:tcPr>
          <w:p>
            <w:pPr>
              <w:jc w:val="center"/>
              <w:rPr>
                <w:rFonts w:hint="eastAsia" w:ascii="仿宋" w:hAnsi="仿宋" w:eastAsia="仿宋" w:cs="仿宋"/>
                <w:color w:val="000000"/>
                <w:kern w:val="0"/>
              </w:rPr>
            </w:pPr>
          </w:p>
        </w:tc>
        <w:tc>
          <w:tcPr>
            <w:tcW w:w="992" w:type="dxa"/>
            <w:noWrap w:val="0"/>
            <w:vAlign w:val="center"/>
          </w:tcPr>
          <w:p>
            <w:pPr>
              <w:jc w:val="center"/>
              <w:rPr>
                <w:rFonts w:hint="eastAsia" w:ascii="仿宋" w:hAnsi="仿宋" w:eastAsia="仿宋" w:cs="仿宋"/>
                <w:color w:val="000000"/>
                <w:kern w:val="0"/>
              </w:rPr>
            </w:pPr>
          </w:p>
        </w:tc>
        <w:tc>
          <w:tcPr>
            <w:tcW w:w="1134"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1"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5</w:t>
            </w:r>
          </w:p>
        </w:tc>
        <w:tc>
          <w:tcPr>
            <w:tcW w:w="1374"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2.1.2（5）</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信誉</w:t>
            </w:r>
          </w:p>
        </w:tc>
        <w:tc>
          <w:tcPr>
            <w:tcW w:w="2707" w:type="dxa"/>
            <w:noWrap w:val="0"/>
            <w:vAlign w:val="center"/>
          </w:tcPr>
          <w:p>
            <w:pPr>
              <w:pStyle w:val="106"/>
              <w:rPr>
                <w:rFonts w:hint="eastAsia" w:ascii="仿宋" w:hAnsi="仿宋" w:eastAsia="仿宋" w:cs="仿宋"/>
                <w:kern w:val="2"/>
                <w:sz w:val="18"/>
                <w:szCs w:val="18"/>
              </w:rPr>
            </w:pPr>
            <w:r>
              <w:rPr>
                <w:rFonts w:hint="eastAsia" w:ascii="仿宋" w:hAnsi="仿宋" w:eastAsia="仿宋" w:cs="仿宋"/>
                <w:sz w:val="18"/>
                <w:szCs w:val="18"/>
              </w:rPr>
              <w:t>信誉</w:t>
            </w:r>
            <w:r>
              <w:rPr>
                <w:rFonts w:hint="eastAsia" w:ascii="仿宋" w:hAnsi="仿宋" w:eastAsia="仿宋" w:cs="仿宋"/>
                <w:kern w:val="2"/>
                <w:sz w:val="18"/>
                <w:szCs w:val="18"/>
              </w:rPr>
              <w:t>符合第二章投标人须知第1.4.1项规定</w:t>
            </w:r>
          </w:p>
        </w:tc>
        <w:tc>
          <w:tcPr>
            <w:tcW w:w="903" w:type="dxa"/>
            <w:noWrap w:val="0"/>
            <w:vAlign w:val="center"/>
          </w:tcPr>
          <w:p>
            <w:pPr>
              <w:jc w:val="center"/>
              <w:rPr>
                <w:rFonts w:hint="eastAsia" w:ascii="仿宋" w:hAnsi="仿宋" w:eastAsia="仿宋" w:cs="仿宋"/>
                <w:color w:val="000000"/>
                <w:kern w:val="0"/>
              </w:rPr>
            </w:pPr>
          </w:p>
        </w:tc>
        <w:tc>
          <w:tcPr>
            <w:tcW w:w="992" w:type="dxa"/>
            <w:noWrap w:val="0"/>
            <w:vAlign w:val="center"/>
          </w:tcPr>
          <w:p>
            <w:pPr>
              <w:jc w:val="center"/>
              <w:rPr>
                <w:rFonts w:hint="eastAsia" w:ascii="仿宋" w:hAnsi="仿宋" w:eastAsia="仿宋" w:cs="仿宋"/>
                <w:color w:val="000000"/>
                <w:kern w:val="0"/>
              </w:rPr>
            </w:pPr>
          </w:p>
        </w:tc>
        <w:tc>
          <w:tcPr>
            <w:tcW w:w="1134"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1"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6</w:t>
            </w:r>
          </w:p>
        </w:tc>
        <w:tc>
          <w:tcPr>
            <w:tcW w:w="1374"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2.1.2（6）</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项目负责人</w:t>
            </w:r>
          </w:p>
        </w:tc>
        <w:tc>
          <w:tcPr>
            <w:tcW w:w="2707" w:type="dxa"/>
            <w:noWrap w:val="0"/>
            <w:vAlign w:val="center"/>
          </w:tcPr>
          <w:p>
            <w:pPr>
              <w:pStyle w:val="106"/>
              <w:rPr>
                <w:rFonts w:hint="eastAsia" w:ascii="仿宋" w:hAnsi="仿宋" w:eastAsia="仿宋" w:cs="仿宋"/>
                <w:sz w:val="18"/>
                <w:szCs w:val="18"/>
              </w:rPr>
            </w:pPr>
            <w:r>
              <w:rPr>
                <w:rFonts w:hint="eastAsia" w:ascii="仿宋" w:hAnsi="仿宋" w:eastAsia="仿宋" w:cs="仿宋"/>
                <w:sz w:val="18"/>
                <w:szCs w:val="18"/>
              </w:rPr>
              <w:t>项目负责人资格符合第二章投标人须知第1.4.1项规定</w:t>
            </w:r>
          </w:p>
        </w:tc>
        <w:tc>
          <w:tcPr>
            <w:tcW w:w="903" w:type="dxa"/>
            <w:noWrap w:val="0"/>
            <w:vAlign w:val="center"/>
          </w:tcPr>
          <w:p>
            <w:pPr>
              <w:jc w:val="center"/>
              <w:rPr>
                <w:rFonts w:hint="eastAsia" w:ascii="仿宋" w:hAnsi="仿宋" w:eastAsia="仿宋" w:cs="仿宋"/>
                <w:color w:val="000000"/>
                <w:kern w:val="0"/>
              </w:rPr>
            </w:pPr>
          </w:p>
        </w:tc>
        <w:tc>
          <w:tcPr>
            <w:tcW w:w="992" w:type="dxa"/>
            <w:noWrap w:val="0"/>
            <w:vAlign w:val="center"/>
          </w:tcPr>
          <w:p>
            <w:pPr>
              <w:jc w:val="center"/>
              <w:rPr>
                <w:rFonts w:hint="eastAsia" w:ascii="仿宋" w:hAnsi="仿宋" w:eastAsia="仿宋" w:cs="仿宋"/>
                <w:color w:val="000000"/>
                <w:kern w:val="0"/>
              </w:rPr>
            </w:pPr>
          </w:p>
        </w:tc>
        <w:tc>
          <w:tcPr>
            <w:tcW w:w="1134"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1"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7</w:t>
            </w:r>
          </w:p>
        </w:tc>
        <w:tc>
          <w:tcPr>
            <w:tcW w:w="1374"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2.1.2（7）</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企业负责人</w:t>
            </w:r>
          </w:p>
        </w:tc>
        <w:tc>
          <w:tcPr>
            <w:tcW w:w="2707" w:type="dxa"/>
            <w:noWrap w:val="0"/>
            <w:vAlign w:val="center"/>
          </w:tcPr>
          <w:p>
            <w:pPr>
              <w:pStyle w:val="106"/>
              <w:rPr>
                <w:rFonts w:hint="eastAsia" w:ascii="仿宋" w:hAnsi="仿宋" w:eastAsia="仿宋" w:cs="仿宋"/>
                <w:sz w:val="18"/>
                <w:szCs w:val="18"/>
              </w:rPr>
            </w:pPr>
            <w:r>
              <w:rPr>
                <w:rFonts w:hint="eastAsia" w:ascii="仿宋" w:hAnsi="仿宋" w:eastAsia="仿宋" w:cs="仿宋"/>
                <w:sz w:val="18"/>
                <w:szCs w:val="18"/>
              </w:rPr>
              <w:t>企业负责人具备有效的建设或水行政主管部门颁发的安全生产考核合格证书</w:t>
            </w:r>
          </w:p>
        </w:tc>
        <w:tc>
          <w:tcPr>
            <w:tcW w:w="903" w:type="dxa"/>
            <w:noWrap w:val="0"/>
            <w:vAlign w:val="center"/>
          </w:tcPr>
          <w:p>
            <w:pPr>
              <w:jc w:val="center"/>
              <w:rPr>
                <w:rFonts w:hint="eastAsia" w:ascii="仿宋" w:hAnsi="仿宋" w:eastAsia="仿宋" w:cs="仿宋"/>
                <w:color w:val="000000"/>
                <w:kern w:val="0"/>
              </w:rPr>
            </w:pPr>
          </w:p>
        </w:tc>
        <w:tc>
          <w:tcPr>
            <w:tcW w:w="992" w:type="dxa"/>
            <w:noWrap w:val="0"/>
            <w:vAlign w:val="center"/>
          </w:tcPr>
          <w:p>
            <w:pPr>
              <w:jc w:val="center"/>
              <w:rPr>
                <w:rFonts w:hint="eastAsia" w:ascii="仿宋" w:hAnsi="仿宋" w:eastAsia="仿宋" w:cs="仿宋"/>
                <w:color w:val="000000"/>
                <w:kern w:val="0"/>
              </w:rPr>
            </w:pPr>
          </w:p>
        </w:tc>
        <w:tc>
          <w:tcPr>
            <w:tcW w:w="1134"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1"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8</w:t>
            </w:r>
          </w:p>
        </w:tc>
        <w:tc>
          <w:tcPr>
            <w:tcW w:w="1374"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2.1.2（8）</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技术负责人</w:t>
            </w:r>
          </w:p>
        </w:tc>
        <w:tc>
          <w:tcPr>
            <w:tcW w:w="2707" w:type="dxa"/>
            <w:noWrap w:val="0"/>
            <w:vAlign w:val="center"/>
          </w:tcPr>
          <w:p>
            <w:pPr>
              <w:rPr>
                <w:rFonts w:hint="eastAsia" w:ascii="仿宋" w:hAnsi="仿宋" w:eastAsia="仿宋" w:cs="仿宋"/>
                <w:color w:val="000000"/>
                <w:sz w:val="18"/>
                <w:szCs w:val="18"/>
              </w:rPr>
            </w:pPr>
            <w:r>
              <w:rPr>
                <w:rFonts w:hint="eastAsia" w:ascii="仿宋" w:hAnsi="仿宋" w:eastAsia="仿宋" w:cs="仿宋"/>
                <w:color w:val="000000"/>
                <w:sz w:val="18"/>
                <w:szCs w:val="18"/>
              </w:rPr>
              <w:t>技术负责人资格符合第二章投标人须知第1.4.1项规定</w:t>
            </w:r>
          </w:p>
        </w:tc>
        <w:tc>
          <w:tcPr>
            <w:tcW w:w="903" w:type="dxa"/>
            <w:noWrap w:val="0"/>
            <w:vAlign w:val="center"/>
          </w:tcPr>
          <w:p>
            <w:pPr>
              <w:jc w:val="center"/>
              <w:rPr>
                <w:rFonts w:hint="eastAsia" w:ascii="仿宋" w:hAnsi="仿宋" w:eastAsia="仿宋" w:cs="仿宋"/>
                <w:color w:val="000000"/>
                <w:kern w:val="0"/>
              </w:rPr>
            </w:pPr>
          </w:p>
        </w:tc>
        <w:tc>
          <w:tcPr>
            <w:tcW w:w="992" w:type="dxa"/>
            <w:noWrap w:val="0"/>
            <w:vAlign w:val="center"/>
          </w:tcPr>
          <w:p>
            <w:pPr>
              <w:jc w:val="center"/>
              <w:rPr>
                <w:rFonts w:hint="eastAsia" w:ascii="仿宋" w:hAnsi="仿宋" w:eastAsia="仿宋" w:cs="仿宋"/>
                <w:color w:val="000000"/>
                <w:kern w:val="0"/>
              </w:rPr>
            </w:pPr>
          </w:p>
        </w:tc>
        <w:tc>
          <w:tcPr>
            <w:tcW w:w="1134"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1"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9</w:t>
            </w:r>
          </w:p>
        </w:tc>
        <w:tc>
          <w:tcPr>
            <w:tcW w:w="1374"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2.1.2（9）</w:t>
            </w:r>
          </w:p>
        </w:tc>
        <w:tc>
          <w:tcPr>
            <w:tcW w:w="1253" w:type="dxa"/>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专职安全员</w:t>
            </w:r>
          </w:p>
        </w:tc>
        <w:tc>
          <w:tcPr>
            <w:tcW w:w="2707" w:type="dxa"/>
            <w:noWrap w:val="0"/>
            <w:vAlign w:val="center"/>
          </w:tcPr>
          <w:p>
            <w:pPr>
              <w:rPr>
                <w:rFonts w:hint="eastAsia" w:ascii="仿宋" w:hAnsi="仿宋" w:eastAsia="仿宋" w:cs="仿宋"/>
                <w:color w:val="000000"/>
                <w:sz w:val="18"/>
                <w:szCs w:val="18"/>
              </w:rPr>
            </w:pPr>
            <w:r>
              <w:rPr>
                <w:rFonts w:hint="eastAsia" w:ascii="仿宋" w:hAnsi="仿宋" w:eastAsia="仿宋" w:cs="仿宋"/>
                <w:color w:val="000000"/>
                <w:sz w:val="18"/>
                <w:szCs w:val="18"/>
              </w:rPr>
              <w:t>专职安全员资格符合第二章投标人须知第1.4.1项规定</w:t>
            </w:r>
          </w:p>
        </w:tc>
        <w:tc>
          <w:tcPr>
            <w:tcW w:w="903" w:type="dxa"/>
            <w:noWrap w:val="0"/>
            <w:vAlign w:val="center"/>
          </w:tcPr>
          <w:p>
            <w:pPr>
              <w:jc w:val="center"/>
              <w:rPr>
                <w:rFonts w:hint="eastAsia" w:ascii="仿宋" w:hAnsi="仿宋" w:eastAsia="仿宋" w:cs="仿宋"/>
                <w:color w:val="000000"/>
                <w:kern w:val="0"/>
              </w:rPr>
            </w:pPr>
          </w:p>
        </w:tc>
        <w:tc>
          <w:tcPr>
            <w:tcW w:w="992" w:type="dxa"/>
            <w:noWrap w:val="0"/>
            <w:vAlign w:val="center"/>
          </w:tcPr>
          <w:p>
            <w:pPr>
              <w:jc w:val="center"/>
              <w:rPr>
                <w:rFonts w:hint="eastAsia" w:ascii="仿宋" w:hAnsi="仿宋" w:eastAsia="仿宋" w:cs="仿宋"/>
                <w:color w:val="000000"/>
                <w:kern w:val="0"/>
              </w:rPr>
            </w:pPr>
          </w:p>
        </w:tc>
        <w:tc>
          <w:tcPr>
            <w:tcW w:w="1134"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1"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10</w:t>
            </w:r>
          </w:p>
        </w:tc>
        <w:tc>
          <w:tcPr>
            <w:tcW w:w="1374"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2.1.2（10）</w:t>
            </w:r>
          </w:p>
        </w:tc>
        <w:tc>
          <w:tcPr>
            <w:tcW w:w="1253" w:type="dxa"/>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其他要求</w:t>
            </w:r>
          </w:p>
        </w:tc>
        <w:tc>
          <w:tcPr>
            <w:tcW w:w="2707" w:type="dxa"/>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其他要求符合第二章投标人须知第1.4.1项规定</w:t>
            </w:r>
          </w:p>
        </w:tc>
        <w:tc>
          <w:tcPr>
            <w:tcW w:w="903" w:type="dxa"/>
            <w:noWrap w:val="0"/>
            <w:vAlign w:val="center"/>
          </w:tcPr>
          <w:p>
            <w:pPr>
              <w:jc w:val="center"/>
              <w:rPr>
                <w:rFonts w:hint="eastAsia" w:ascii="仿宋" w:hAnsi="仿宋" w:eastAsia="仿宋" w:cs="仿宋"/>
                <w:color w:val="000000"/>
                <w:kern w:val="0"/>
              </w:rPr>
            </w:pPr>
          </w:p>
        </w:tc>
        <w:tc>
          <w:tcPr>
            <w:tcW w:w="992" w:type="dxa"/>
            <w:noWrap w:val="0"/>
            <w:vAlign w:val="center"/>
          </w:tcPr>
          <w:p>
            <w:pPr>
              <w:jc w:val="center"/>
              <w:rPr>
                <w:rFonts w:hint="eastAsia" w:ascii="仿宋" w:hAnsi="仿宋" w:eastAsia="仿宋" w:cs="仿宋"/>
                <w:color w:val="000000"/>
                <w:kern w:val="0"/>
              </w:rPr>
            </w:pPr>
          </w:p>
        </w:tc>
        <w:tc>
          <w:tcPr>
            <w:tcW w:w="1134"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1"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11</w:t>
            </w:r>
          </w:p>
        </w:tc>
        <w:tc>
          <w:tcPr>
            <w:tcW w:w="1374"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2.1.2（11）</w:t>
            </w:r>
          </w:p>
        </w:tc>
        <w:tc>
          <w:tcPr>
            <w:tcW w:w="1253" w:type="dxa"/>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联合体投标人（如有）</w:t>
            </w:r>
          </w:p>
        </w:tc>
        <w:tc>
          <w:tcPr>
            <w:tcW w:w="2707" w:type="dxa"/>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符合第二章投标人须知第1.4.2项规定</w:t>
            </w:r>
          </w:p>
        </w:tc>
        <w:tc>
          <w:tcPr>
            <w:tcW w:w="903" w:type="dxa"/>
            <w:noWrap w:val="0"/>
            <w:vAlign w:val="center"/>
          </w:tcPr>
          <w:p>
            <w:pPr>
              <w:jc w:val="center"/>
              <w:rPr>
                <w:rFonts w:hint="eastAsia" w:ascii="仿宋" w:hAnsi="仿宋" w:eastAsia="仿宋" w:cs="仿宋"/>
                <w:color w:val="000000"/>
                <w:kern w:val="0"/>
              </w:rPr>
            </w:pPr>
          </w:p>
        </w:tc>
        <w:tc>
          <w:tcPr>
            <w:tcW w:w="992" w:type="dxa"/>
            <w:noWrap w:val="0"/>
            <w:vAlign w:val="center"/>
          </w:tcPr>
          <w:p>
            <w:pPr>
              <w:jc w:val="center"/>
              <w:rPr>
                <w:rFonts w:hint="eastAsia" w:ascii="仿宋" w:hAnsi="仿宋" w:eastAsia="仿宋" w:cs="仿宋"/>
                <w:color w:val="000000"/>
                <w:kern w:val="0"/>
              </w:rPr>
            </w:pPr>
          </w:p>
        </w:tc>
        <w:tc>
          <w:tcPr>
            <w:tcW w:w="1134"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1"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12</w:t>
            </w:r>
          </w:p>
        </w:tc>
        <w:tc>
          <w:tcPr>
            <w:tcW w:w="1374"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2.1.2（12）</w:t>
            </w:r>
          </w:p>
        </w:tc>
        <w:tc>
          <w:tcPr>
            <w:tcW w:w="1253" w:type="dxa"/>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其它标准</w:t>
            </w:r>
          </w:p>
        </w:tc>
        <w:tc>
          <w:tcPr>
            <w:tcW w:w="2707" w:type="dxa"/>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不存在第二章“投标人须知”第1.4.3 项规定的任何一种情形</w:t>
            </w:r>
          </w:p>
        </w:tc>
        <w:tc>
          <w:tcPr>
            <w:tcW w:w="903" w:type="dxa"/>
            <w:noWrap w:val="0"/>
            <w:vAlign w:val="center"/>
          </w:tcPr>
          <w:p>
            <w:pPr>
              <w:jc w:val="center"/>
              <w:rPr>
                <w:rFonts w:hint="eastAsia" w:ascii="仿宋" w:hAnsi="仿宋" w:eastAsia="仿宋" w:cs="仿宋"/>
                <w:color w:val="000000"/>
                <w:kern w:val="0"/>
              </w:rPr>
            </w:pPr>
          </w:p>
        </w:tc>
        <w:tc>
          <w:tcPr>
            <w:tcW w:w="992" w:type="dxa"/>
            <w:noWrap w:val="0"/>
            <w:vAlign w:val="center"/>
          </w:tcPr>
          <w:p>
            <w:pPr>
              <w:jc w:val="center"/>
              <w:rPr>
                <w:rFonts w:hint="eastAsia" w:ascii="仿宋" w:hAnsi="仿宋" w:eastAsia="仿宋" w:cs="仿宋"/>
                <w:color w:val="000000"/>
                <w:kern w:val="0"/>
              </w:rPr>
            </w:pPr>
          </w:p>
        </w:tc>
        <w:tc>
          <w:tcPr>
            <w:tcW w:w="1134"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1"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13</w:t>
            </w:r>
          </w:p>
        </w:tc>
        <w:tc>
          <w:tcPr>
            <w:tcW w:w="1374"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2.1.2（13）</w:t>
            </w:r>
          </w:p>
        </w:tc>
        <w:tc>
          <w:tcPr>
            <w:tcW w:w="1253" w:type="dxa"/>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多标段投标</w:t>
            </w:r>
          </w:p>
        </w:tc>
        <w:tc>
          <w:tcPr>
            <w:tcW w:w="2707" w:type="dxa"/>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符合第二章投标人须知第10.9项规定</w:t>
            </w:r>
          </w:p>
        </w:tc>
        <w:tc>
          <w:tcPr>
            <w:tcW w:w="903" w:type="dxa"/>
            <w:noWrap w:val="0"/>
            <w:vAlign w:val="center"/>
          </w:tcPr>
          <w:p>
            <w:pPr>
              <w:jc w:val="center"/>
              <w:rPr>
                <w:rFonts w:hint="eastAsia" w:ascii="仿宋" w:hAnsi="仿宋" w:eastAsia="仿宋" w:cs="仿宋"/>
                <w:color w:val="000000"/>
                <w:kern w:val="0"/>
              </w:rPr>
            </w:pPr>
          </w:p>
        </w:tc>
        <w:tc>
          <w:tcPr>
            <w:tcW w:w="992" w:type="dxa"/>
            <w:noWrap w:val="0"/>
            <w:vAlign w:val="center"/>
          </w:tcPr>
          <w:p>
            <w:pPr>
              <w:jc w:val="center"/>
              <w:rPr>
                <w:rFonts w:hint="eastAsia" w:ascii="仿宋" w:hAnsi="仿宋" w:eastAsia="仿宋" w:cs="仿宋"/>
                <w:color w:val="000000"/>
                <w:kern w:val="0"/>
              </w:rPr>
            </w:pPr>
          </w:p>
        </w:tc>
        <w:tc>
          <w:tcPr>
            <w:tcW w:w="1134"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1"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14</w:t>
            </w:r>
          </w:p>
        </w:tc>
        <w:tc>
          <w:tcPr>
            <w:tcW w:w="1374" w:type="dxa"/>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2.1.2（14）</w:t>
            </w:r>
          </w:p>
        </w:tc>
        <w:tc>
          <w:tcPr>
            <w:tcW w:w="1253" w:type="dxa"/>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其他</w:t>
            </w:r>
          </w:p>
        </w:tc>
        <w:tc>
          <w:tcPr>
            <w:tcW w:w="2707" w:type="dxa"/>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符合第二章投标人须知第10.10项规定</w:t>
            </w:r>
          </w:p>
        </w:tc>
        <w:tc>
          <w:tcPr>
            <w:tcW w:w="903" w:type="dxa"/>
            <w:noWrap w:val="0"/>
            <w:vAlign w:val="center"/>
          </w:tcPr>
          <w:p>
            <w:pPr>
              <w:jc w:val="center"/>
              <w:rPr>
                <w:rFonts w:hint="eastAsia" w:ascii="仿宋" w:hAnsi="仿宋" w:eastAsia="仿宋" w:cs="仿宋"/>
                <w:color w:val="000000"/>
                <w:kern w:val="0"/>
              </w:rPr>
            </w:pPr>
          </w:p>
        </w:tc>
        <w:tc>
          <w:tcPr>
            <w:tcW w:w="992" w:type="dxa"/>
            <w:noWrap w:val="0"/>
            <w:vAlign w:val="center"/>
          </w:tcPr>
          <w:p>
            <w:pPr>
              <w:jc w:val="center"/>
              <w:rPr>
                <w:rFonts w:hint="eastAsia" w:ascii="仿宋" w:hAnsi="仿宋" w:eastAsia="仿宋" w:cs="仿宋"/>
                <w:color w:val="000000"/>
                <w:kern w:val="0"/>
              </w:rPr>
            </w:pPr>
          </w:p>
        </w:tc>
        <w:tc>
          <w:tcPr>
            <w:tcW w:w="1134"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1" w:type="dxa"/>
            <w:noWrap w:val="0"/>
            <w:vAlign w:val="center"/>
          </w:tcPr>
          <w:p>
            <w:pPr>
              <w:jc w:val="center"/>
              <w:rPr>
                <w:rFonts w:hint="eastAsia" w:ascii="仿宋" w:hAnsi="仿宋" w:eastAsia="仿宋" w:cs="仿宋"/>
                <w:color w:val="000000"/>
                <w:kern w:val="0"/>
              </w:rPr>
            </w:pPr>
          </w:p>
        </w:tc>
        <w:tc>
          <w:tcPr>
            <w:tcW w:w="5334" w:type="dxa"/>
            <w:gridSpan w:val="3"/>
            <w:noWrap w:val="0"/>
            <w:vAlign w:val="center"/>
          </w:tcPr>
          <w:p>
            <w:pPr>
              <w:jc w:val="center"/>
              <w:rPr>
                <w:rFonts w:hint="eastAsia" w:ascii="仿宋" w:hAnsi="仿宋" w:eastAsia="仿宋" w:cs="仿宋"/>
                <w:b/>
                <w:bCs/>
                <w:color w:val="000000"/>
                <w:kern w:val="0"/>
              </w:rPr>
            </w:pPr>
            <w:r>
              <w:rPr>
                <w:rFonts w:hint="eastAsia" w:ascii="仿宋" w:hAnsi="仿宋" w:eastAsia="仿宋" w:cs="仿宋"/>
                <w:b/>
                <w:bCs/>
                <w:color w:val="000000"/>
                <w:kern w:val="0"/>
              </w:rPr>
              <w:t>评审结论（合格/不合格）</w:t>
            </w:r>
          </w:p>
        </w:tc>
        <w:tc>
          <w:tcPr>
            <w:tcW w:w="903" w:type="dxa"/>
            <w:noWrap w:val="0"/>
            <w:vAlign w:val="center"/>
          </w:tcPr>
          <w:p>
            <w:pPr>
              <w:jc w:val="center"/>
              <w:rPr>
                <w:rFonts w:hint="eastAsia" w:ascii="仿宋" w:hAnsi="仿宋" w:eastAsia="仿宋" w:cs="仿宋"/>
                <w:color w:val="000000"/>
                <w:kern w:val="0"/>
              </w:rPr>
            </w:pPr>
          </w:p>
        </w:tc>
        <w:tc>
          <w:tcPr>
            <w:tcW w:w="992" w:type="dxa"/>
            <w:noWrap w:val="0"/>
            <w:vAlign w:val="center"/>
          </w:tcPr>
          <w:p>
            <w:pPr>
              <w:jc w:val="center"/>
              <w:rPr>
                <w:rFonts w:hint="eastAsia" w:ascii="仿宋" w:hAnsi="仿宋" w:eastAsia="仿宋" w:cs="仿宋"/>
                <w:color w:val="000000"/>
                <w:kern w:val="0"/>
              </w:rPr>
            </w:pPr>
          </w:p>
        </w:tc>
        <w:tc>
          <w:tcPr>
            <w:tcW w:w="1134" w:type="dxa"/>
            <w:noWrap w:val="0"/>
            <w:vAlign w:val="center"/>
          </w:tcPr>
          <w:p>
            <w:pPr>
              <w:jc w:val="center"/>
              <w:rPr>
                <w:rFonts w:hint="eastAsia" w:ascii="仿宋" w:hAnsi="仿宋" w:eastAsia="仿宋" w:cs="仿宋"/>
                <w:color w:val="000000"/>
                <w:kern w:val="0"/>
              </w:rPr>
            </w:pPr>
          </w:p>
        </w:tc>
      </w:tr>
    </w:tbl>
    <w:p>
      <w:pPr>
        <w:rPr>
          <w:rFonts w:hint="eastAsia" w:ascii="仿宋" w:hAnsi="仿宋" w:eastAsia="仿宋" w:cs="仿宋"/>
          <w:color w:val="000000"/>
          <w:sz w:val="18"/>
          <w:szCs w:val="18"/>
        </w:rPr>
      </w:pPr>
      <w:r>
        <w:rPr>
          <w:rFonts w:hint="eastAsia" w:ascii="仿宋" w:hAnsi="仿宋" w:eastAsia="仿宋" w:cs="仿宋"/>
          <w:b/>
          <w:color w:val="000000"/>
        </w:rPr>
        <w:t>备注：</w:t>
      </w:r>
      <w:r>
        <w:rPr>
          <w:rFonts w:hint="eastAsia" w:ascii="仿宋" w:hAnsi="仿宋" w:eastAsia="仿宋" w:cs="仿宋"/>
          <w:color w:val="000000"/>
          <w:sz w:val="18"/>
          <w:szCs w:val="18"/>
        </w:rPr>
        <w:t>1.评审项目合格的打“√”，不合格的打“×”。上表中有一项不符合评审标准的，其评审结论为不合格，则不进入投标文件下一轮的评审。</w:t>
      </w:r>
    </w:p>
    <w:p>
      <w:pPr>
        <w:snapToGrid w:val="0"/>
        <w:ind w:firstLine="657" w:firstLineChars="365"/>
        <w:rPr>
          <w:rFonts w:hint="eastAsia" w:ascii="仿宋" w:hAnsi="仿宋" w:eastAsia="仿宋" w:cs="仿宋"/>
          <w:color w:val="000000"/>
          <w:sz w:val="18"/>
          <w:szCs w:val="18"/>
        </w:rPr>
      </w:pPr>
      <w:r>
        <w:rPr>
          <w:rFonts w:hint="eastAsia" w:ascii="仿宋" w:hAnsi="仿宋" w:eastAsia="仿宋" w:cs="仿宋"/>
          <w:color w:val="000000"/>
          <w:sz w:val="18"/>
          <w:szCs w:val="18"/>
        </w:rPr>
        <w:t>2.本表由评标委员会集体评议，评标委员会成员中对评审结论有不同意见时，按少数服从多数的原则，确定评审结论。</w:t>
      </w:r>
    </w:p>
    <w:p>
      <w:pPr>
        <w:snapToGrid w:val="0"/>
        <w:ind w:firstLine="657" w:firstLineChars="365"/>
        <w:rPr>
          <w:rFonts w:hint="eastAsia" w:ascii="仿宋" w:hAnsi="仿宋" w:eastAsia="仿宋" w:cs="仿宋"/>
          <w:color w:val="000000"/>
          <w:sz w:val="18"/>
          <w:szCs w:val="18"/>
        </w:rPr>
      </w:pPr>
      <w:r>
        <w:rPr>
          <w:rFonts w:hint="eastAsia" w:ascii="仿宋" w:hAnsi="仿宋" w:eastAsia="仿宋" w:cs="仿宋"/>
          <w:color w:val="000000"/>
          <w:sz w:val="18"/>
          <w:szCs w:val="18"/>
        </w:rPr>
        <w:t>3.根据</w:t>
      </w:r>
      <w:r>
        <w:rPr>
          <w:rFonts w:hint="eastAsia" w:ascii="仿宋" w:hAnsi="仿宋" w:eastAsia="仿宋" w:cs="仿宋"/>
          <w:color w:val="000000"/>
          <w:sz w:val="18"/>
          <w:szCs w:val="18"/>
          <w:u w:val="single"/>
        </w:rPr>
        <w:t>住建部建办市函〔2016〕462号</w:t>
      </w:r>
      <w:r>
        <w:rPr>
          <w:rFonts w:hint="eastAsia" w:ascii="仿宋" w:hAnsi="仿宋" w:eastAsia="仿宋" w:cs="仿宋"/>
          <w:color w:val="000000"/>
          <w:sz w:val="18"/>
          <w:szCs w:val="18"/>
        </w:rPr>
        <w:t>“招标活动中，不得要求企业提供建筑业企业资质证书原件，企业资质情况可通过扫描建筑业企业资质证书复印件的二维码查询”要求，企业资质情况通过扫描证书复印件的二维码查询。</w:t>
      </w:r>
    </w:p>
    <w:p>
      <w:pPr>
        <w:snapToGrid w:val="0"/>
        <w:spacing w:line="600" w:lineRule="exact"/>
        <w:rPr>
          <w:rFonts w:hint="eastAsia" w:ascii="仿宋" w:hAnsi="仿宋" w:eastAsia="仿宋" w:cs="仿宋"/>
          <w:color w:val="000000"/>
          <w:sz w:val="28"/>
          <w:szCs w:val="28"/>
        </w:rPr>
      </w:pPr>
      <w:r>
        <w:rPr>
          <w:rFonts w:hint="eastAsia" w:ascii="仿宋" w:hAnsi="仿宋" w:eastAsia="仿宋" w:cs="仿宋"/>
          <w:color w:val="000000"/>
          <w:sz w:val="28"/>
          <w:szCs w:val="28"/>
        </w:rPr>
        <w:t>评标委员会全体成员签字：</w:t>
      </w:r>
    </w:p>
    <w:p>
      <w:pPr>
        <w:pStyle w:val="32"/>
        <w:spacing w:line="490" w:lineRule="exact"/>
        <w:ind w:left="420" w:hanging="420"/>
        <w:outlineLvl w:val="4"/>
        <w:rPr>
          <w:rFonts w:eastAsia="黑体"/>
          <w:bCs/>
          <w:color w:val="000000"/>
          <w:sz w:val="28"/>
          <w:szCs w:val="20"/>
        </w:rPr>
      </w:pPr>
      <w:r>
        <w:rPr>
          <w:rFonts w:hint="eastAsia" w:ascii="仿宋" w:hAnsi="仿宋" w:eastAsia="仿宋" w:cs="仿宋"/>
          <w:color w:val="000000"/>
        </w:rPr>
        <w:br w:type="page"/>
      </w:r>
      <w:r>
        <w:rPr>
          <w:rFonts w:eastAsia="黑体"/>
          <w:bCs/>
          <w:color w:val="000000"/>
          <w:sz w:val="28"/>
          <w:szCs w:val="20"/>
        </w:rPr>
        <w:t>附表3-3（3）：响应性评审表</w:t>
      </w:r>
    </w:p>
    <w:p>
      <w:pPr>
        <w:spacing w:before="240" w:beforeLines="100" w:after="240" w:afterLines="100" w:line="600" w:lineRule="exact"/>
        <w:jc w:val="center"/>
        <w:rPr>
          <w:rFonts w:hint="eastAsia" w:ascii="方正小标宋简体" w:eastAsia="方正小标宋简体"/>
          <w:color w:val="000000"/>
          <w:sz w:val="40"/>
          <w:szCs w:val="28"/>
        </w:rPr>
      </w:pPr>
      <w:r>
        <w:rPr>
          <w:rFonts w:hint="eastAsia" w:ascii="方正小标宋简体" w:eastAsia="方正小标宋简体"/>
          <w:color w:val="000000"/>
          <w:sz w:val="40"/>
          <w:szCs w:val="28"/>
        </w:rPr>
        <w:t>响应性评审表</w:t>
      </w:r>
    </w:p>
    <w:p>
      <w:pPr>
        <w:snapToGrid w:val="0"/>
        <w:spacing w:line="480" w:lineRule="exact"/>
        <w:rPr>
          <w:rFonts w:hint="eastAsia" w:ascii="仿宋" w:hAnsi="仿宋" w:eastAsia="仿宋" w:cs="仿宋"/>
          <w:color w:val="000000"/>
          <w:sz w:val="24"/>
          <w:u w:val="single"/>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（标段名称）</w:t>
      </w:r>
      <w:r>
        <w:rPr>
          <w:rFonts w:hint="eastAsia" w:ascii="仿宋" w:hAnsi="仿宋" w:eastAsia="仿宋" w:cs="仿宋"/>
          <w:color w:val="000000"/>
          <w:sz w:val="24"/>
          <w:u w:val="single"/>
        </w:rPr>
        <w:t xml:space="preserve">                      </w:t>
      </w:r>
    </w:p>
    <w:p>
      <w:pPr>
        <w:snapToGrid w:val="0"/>
        <w:spacing w:line="480" w:lineRule="exact"/>
        <w:rPr>
          <w:rFonts w:hint="eastAsia" w:ascii="仿宋" w:hAnsi="仿宋" w:eastAsia="仿宋" w:cs="仿宋"/>
          <w:color w:val="000000"/>
          <w:sz w:val="24"/>
          <w:u w:val="single"/>
        </w:rPr>
      </w:pPr>
      <w:r>
        <w:rPr>
          <w:rFonts w:hint="eastAsia" w:ascii="仿宋" w:hAnsi="仿宋" w:eastAsia="仿宋" w:cs="仿宋"/>
          <w:color w:val="000000"/>
          <w:sz w:val="24"/>
        </w:rPr>
        <w:t>项目管理编号：</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tbl>
      <w:tblPr>
        <w:tblStyle w:val="47"/>
        <w:tblW w:w="9194"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1260"/>
        <w:gridCol w:w="1253"/>
        <w:gridCol w:w="2707"/>
        <w:gridCol w:w="1139"/>
        <w:gridCol w:w="1140"/>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5" w:type="dxa"/>
            <w:vMerge w:val="restart"/>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序号</w:t>
            </w:r>
          </w:p>
        </w:tc>
        <w:tc>
          <w:tcPr>
            <w:tcW w:w="1260" w:type="dxa"/>
            <w:vMerge w:val="restart"/>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条款号</w:t>
            </w:r>
          </w:p>
        </w:tc>
        <w:tc>
          <w:tcPr>
            <w:tcW w:w="1253" w:type="dxa"/>
            <w:vMerge w:val="restart"/>
            <w:noWrap w:val="0"/>
            <w:vAlign w:val="center"/>
          </w:tcPr>
          <w:p>
            <w:pPr>
              <w:snapToGrid w:val="0"/>
              <w:rPr>
                <w:rFonts w:hint="eastAsia" w:ascii="仿宋" w:hAnsi="仿宋" w:eastAsia="仿宋" w:cs="仿宋"/>
                <w:color w:val="000000"/>
              </w:rPr>
            </w:pPr>
            <w:r>
              <w:rPr>
                <w:rFonts w:hint="eastAsia" w:ascii="仿宋" w:hAnsi="仿宋" w:eastAsia="仿宋" w:cs="仿宋"/>
                <w:color w:val="000000"/>
              </w:rPr>
              <w:t>评审因素</w:t>
            </w:r>
          </w:p>
        </w:tc>
        <w:tc>
          <w:tcPr>
            <w:tcW w:w="2707" w:type="dxa"/>
            <w:vMerge w:val="restart"/>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评审标准</w:t>
            </w:r>
          </w:p>
        </w:tc>
        <w:tc>
          <w:tcPr>
            <w:tcW w:w="3419" w:type="dxa"/>
            <w:gridSpan w:val="3"/>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投标人名称及评审意见</w:t>
            </w:r>
          </w:p>
          <w:p>
            <w:pPr>
              <w:jc w:val="center"/>
              <w:rPr>
                <w:rFonts w:hint="eastAsia" w:ascii="仿宋" w:hAnsi="仿宋" w:eastAsia="仿宋" w:cs="仿宋"/>
                <w:color w:val="000000"/>
                <w:kern w:val="0"/>
              </w:rPr>
            </w:pPr>
            <w:r>
              <w:rPr>
                <w:rFonts w:hint="eastAsia" w:ascii="仿宋" w:hAnsi="仿宋" w:eastAsia="仿宋" w:cs="仿宋"/>
                <w:bCs/>
                <w:color w:val="000000"/>
                <w:kern w:val="0"/>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5" w:type="dxa"/>
            <w:vMerge w:val="continue"/>
            <w:noWrap w:val="0"/>
            <w:vAlign w:val="center"/>
          </w:tcPr>
          <w:p>
            <w:pPr>
              <w:jc w:val="center"/>
              <w:rPr>
                <w:rFonts w:hint="eastAsia" w:ascii="仿宋" w:hAnsi="仿宋" w:eastAsia="仿宋" w:cs="仿宋"/>
                <w:color w:val="000000"/>
                <w:kern w:val="0"/>
              </w:rPr>
            </w:pPr>
          </w:p>
        </w:tc>
        <w:tc>
          <w:tcPr>
            <w:tcW w:w="1260" w:type="dxa"/>
            <w:vMerge w:val="continue"/>
            <w:noWrap w:val="0"/>
            <w:vAlign w:val="center"/>
          </w:tcPr>
          <w:p>
            <w:pPr>
              <w:snapToGrid w:val="0"/>
              <w:jc w:val="center"/>
              <w:rPr>
                <w:rFonts w:hint="eastAsia" w:ascii="仿宋" w:hAnsi="仿宋" w:eastAsia="仿宋" w:cs="仿宋"/>
                <w:color w:val="000000"/>
              </w:rPr>
            </w:pPr>
          </w:p>
        </w:tc>
        <w:tc>
          <w:tcPr>
            <w:tcW w:w="1253" w:type="dxa"/>
            <w:vMerge w:val="continue"/>
            <w:noWrap w:val="0"/>
            <w:vAlign w:val="center"/>
          </w:tcPr>
          <w:p>
            <w:pPr>
              <w:snapToGrid w:val="0"/>
              <w:rPr>
                <w:rFonts w:hint="eastAsia" w:ascii="仿宋" w:hAnsi="仿宋" w:eastAsia="仿宋" w:cs="仿宋"/>
                <w:color w:val="000000"/>
              </w:rPr>
            </w:pPr>
          </w:p>
        </w:tc>
        <w:tc>
          <w:tcPr>
            <w:tcW w:w="2707" w:type="dxa"/>
            <w:vMerge w:val="continue"/>
            <w:noWrap w:val="0"/>
            <w:vAlign w:val="center"/>
          </w:tcPr>
          <w:p>
            <w:pPr>
              <w:snapToGrid w:val="0"/>
              <w:jc w:val="center"/>
              <w:rPr>
                <w:rFonts w:hint="eastAsia" w:ascii="仿宋" w:hAnsi="仿宋" w:eastAsia="仿宋" w:cs="仿宋"/>
                <w:color w:val="000000"/>
              </w:rPr>
            </w:pPr>
          </w:p>
        </w:tc>
        <w:tc>
          <w:tcPr>
            <w:tcW w:w="1139"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1</w:t>
            </w:r>
          </w:p>
        </w:tc>
        <w:tc>
          <w:tcPr>
            <w:tcW w:w="1140"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2</w:t>
            </w:r>
          </w:p>
        </w:tc>
        <w:tc>
          <w:tcPr>
            <w:tcW w:w="1140"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5" w:type="dxa"/>
            <w:vMerge w:val="continue"/>
            <w:noWrap w:val="0"/>
            <w:vAlign w:val="center"/>
          </w:tcPr>
          <w:p>
            <w:pPr>
              <w:jc w:val="center"/>
              <w:rPr>
                <w:rFonts w:hint="eastAsia" w:ascii="仿宋" w:hAnsi="仿宋" w:eastAsia="仿宋" w:cs="仿宋"/>
                <w:color w:val="000000"/>
                <w:kern w:val="0"/>
              </w:rPr>
            </w:pPr>
          </w:p>
        </w:tc>
        <w:tc>
          <w:tcPr>
            <w:tcW w:w="1260" w:type="dxa"/>
            <w:vMerge w:val="continue"/>
            <w:noWrap w:val="0"/>
            <w:vAlign w:val="center"/>
          </w:tcPr>
          <w:p>
            <w:pPr>
              <w:snapToGrid w:val="0"/>
              <w:jc w:val="center"/>
              <w:rPr>
                <w:rFonts w:hint="eastAsia" w:ascii="仿宋" w:hAnsi="仿宋" w:eastAsia="仿宋" w:cs="仿宋"/>
                <w:color w:val="000000"/>
              </w:rPr>
            </w:pPr>
          </w:p>
        </w:tc>
        <w:tc>
          <w:tcPr>
            <w:tcW w:w="1253" w:type="dxa"/>
            <w:vMerge w:val="continue"/>
            <w:noWrap w:val="0"/>
            <w:vAlign w:val="center"/>
          </w:tcPr>
          <w:p>
            <w:pPr>
              <w:snapToGrid w:val="0"/>
              <w:rPr>
                <w:rFonts w:hint="eastAsia" w:ascii="仿宋" w:hAnsi="仿宋" w:eastAsia="仿宋" w:cs="仿宋"/>
                <w:color w:val="000000"/>
              </w:rPr>
            </w:pPr>
          </w:p>
        </w:tc>
        <w:tc>
          <w:tcPr>
            <w:tcW w:w="2707" w:type="dxa"/>
            <w:vMerge w:val="continue"/>
            <w:noWrap w:val="0"/>
            <w:vAlign w:val="center"/>
          </w:tcPr>
          <w:p>
            <w:pPr>
              <w:snapToGrid w:val="0"/>
              <w:jc w:val="center"/>
              <w:rPr>
                <w:rFonts w:hint="eastAsia" w:ascii="仿宋" w:hAnsi="仿宋" w:eastAsia="仿宋" w:cs="仿宋"/>
                <w:color w:val="000000"/>
              </w:rPr>
            </w:pP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w:t>
            </w:r>
          </w:p>
        </w:tc>
        <w:tc>
          <w:tcPr>
            <w:tcW w:w="1260"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2.1.3（1）</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投标范围</w:t>
            </w:r>
          </w:p>
        </w:tc>
        <w:tc>
          <w:tcPr>
            <w:tcW w:w="2707"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投标范围符合第二章投标人须知第1.3.1项规定</w:t>
            </w: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2</w:t>
            </w:r>
          </w:p>
        </w:tc>
        <w:tc>
          <w:tcPr>
            <w:tcW w:w="1260"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2.1.3（2）</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工期</w:t>
            </w:r>
          </w:p>
        </w:tc>
        <w:tc>
          <w:tcPr>
            <w:tcW w:w="2707"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计划工期符合第二章投标人须知第1.3.2项规定</w:t>
            </w: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3</w:t>
            </w:r>
          </w:p>
        </w:tc>
        <w:tc>
          <w:tcPr>
            <w:tcW w:w="1260"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2.1.3（3）</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工程质量</w:t>
            </w:r>
          </w:p>
        </w:tc>
        <w:tc>
          <w:tcPr>
            <w:tcW w:w="2707"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工程质量符合第二章投标人须知第1.3.3项规定</w:t>
            </w: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4</w:t>
            </w:r>
          </w:p>
        </w:tc>
        <w:tc>
          <w:tcPr>
            <w:tcW w:w="1260"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2.1.3（4）</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投标有效期</w:t>
            </w:r>
          </w:p>
        </w:tc>
        <w:tc>
          <w:tcPr>
            <w:tcW w:w="2707"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投标有效期符合第二章投标人须知第3.3.1项规定</w:t>
            </w: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5</w:t>
            </w:r>
          </w:p>
        </w:tc>
        <w:tc>
          <w:tcPr>
            <w:tcW w:w="1260"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2.1.3（5）</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投标担保</w:t>
            </w:r>
          </w:p>
        </w:tc>
        <w:tc>
          <w:tcPr>
            <w:tcW w:w="2707"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投标担保符合第二章投标人须知第3.4款规定</w:t>
            </w: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6</w:t>
            </w:r>
          </w:p>
        </w:tc>
        <w:tc>
          <w:tcPr>
            <w:tcW w:w="1260"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2.1.3（6）</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权利义务</w:t>
            </w:r>
          </w:p>
        </w:tc>
        <w:tc>
          <w:tcPr>
            <w:tcW w:w="2707"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权利义务符合第四章合同条款及格式规定的权利义务</w:t>
            </w: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7</w:t>
            </w:r>
          </w:p>
        </w:tc>
        <w:tc>
          <w:tcPr>
            <w:tcW w:w="1260" w:type="dxa"/>
            <w:noWrap w:val="0"/>
            <w:vAlign w:val="center"/>
          </w:tcPr>
          <w:p>
            <w:pPr>
              <w:snapToGrid w:val="0"/>
              <w:ind w:left="-92" w:leftChars="-44"/>
              <w:jc w:val="center"/>
              <w:rPr>
                <w:rFonts w:hint="eastAsia" w:ascii="仿宋" w:hAnsi="仿宋" w:eastAsia="仿宋" w:cs="仿宋"/>
                <w:color w:val="000000"/>
              </w:rPr>
            </w:pPr>
            <w:r>
              <w:rPr>
                <w:rFonts w:hint="eastAsia" w:ascii="仿宋" w:hAnsi="仿宋" w:eastAsia="仿宋" w:cs="仿宋"/>
                <w:color w:val="000000"/>
              </w:rPr>
              <w:t>2.1.3（7）</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工程量清单</w:t>
            </w:r>
          </w:p>
        </w:tc>
        <w:tc>
          <w:tcPr>
            <w:tcW w:w="2707"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已标价工程量清单符合第五章工程量清单的有关要求</w:t>
            </w: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8</w:t>
            </w:r>
          </w:p>
        </w:tc>
        <w:tc>
          <w:tcPr>
            <w:tcW w:w="1260"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2.1.3（8）</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技术标准和要求</w:t>
            </w:r>
          </w:p>
        </w:tc>
        <w:tc>
          <w:tcPr>
            <w:tcW w:w="2707"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技术标准和要求符合第七章技术标准和要求（合同技术条款）的规定</w:t>
            </w: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9</w:t>
            </w:r>
          </w:p>
        </w:tc>
        <w:tc>
          <w:tcPr>
            <w:tcW w:w="1260"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2.1.3（9）</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对投标人的纪律要求</w:t>
            </w:r>
          </w:p>
        </w:tc>
        <w:tc>
          <w:tcPr>
            <w:tcW w:w="2707"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符合第二章“投标人须知”第9.2款规定</w:t>
            </w: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10</w:t>
            </w:r>
          </w:p>
        </w:tc>
        <w:tc>
          <w:tcPr>
            <w:tcW w:w="1260"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2.1.3（10）</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工程结算款支付账户</w:t>
            </w:r>
          </w:p>
        </w:tc>
        <w:tc>
          <w:tcPr>
            <w:tcW w:w="2707"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符合第二章“投标人须知”第10.3款规定</w:t>
            </w: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11</w:t>
            </w:r>
          </w:p>
        </w:tc>
        <w:tc>
          <w:tcPr>
            <w:tcW w:w="1260"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2.1.3（11）</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最高投标限价</w:t>
            </w:r>
          </w:p>
        </w:tc>
        <w:tc>
          <w:tcPr>
            <w:tcW w:w="2707"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符合第二章“投标人须知</w:t>
            </w:r>
            <w:r>
              <w:rPr>
                <w:rFonts w:hint="eastAsia" w:ascii="仿宋" w:hAnsi="仿宋" w:eastAsia="仿宋" w:cs="仿宋"/>
                <w:kern w:val="2"/>
                <w:sz w:val="18"/>
                <w:szCs w:val="18"/>
              </w:rPr>
              <w:t>”第10.5款</w:t>
            </w:r>
            <w:r>
              <w:rPr>
                <w:rFonts w:hint="eastAsia" w:ascii="仿宋" w:hAnsi="仿宋" w:eastAsia="仿宋" w:cs="仿宋"/>
                <w:sz w:val="18"/>
                <w:szCs w:val="18"/>
              </w:rPr>
              <w:t>规定</w:t>
            </w: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5" w:type="dxa"/>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12</w:t>
            </w:r>
          </w:p>
        </w:tc>
        <w:tc>
          <w:tcPr>
            <w:tcW w:w="1260"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w:t>
            </w:r>
          </w:p>
        </w:tc>
        <w:tc>
          <w:tcPr>
            <w:tcW w:w="1253"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w:t>
            </w:r>
          </w:p>
        </w:tc>
        <w:tc>
          <w:tcPr>
            <w:tcW w:w="2707"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w:t>
            </w: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5" w:type="dxa"/>
            <w:noWrap w:val="0"/>
            <w:vAlign w:val="center"/>
          </w:tcPr>
          <w:p>
            <w:pPr>
              <w:jc w:val="center"/>
              <w:rPr>
                <w:rFonts w:hint="eastAsia" w:ascii="仿宋" w:hAnsi="仿宋" w:eastAsia="仿宋" w:cs="仿宋"/>
                <w:color w:val="000000"/>
                <w:kern w:val="0"/>
              </w:rPr>
            </w:pPr>
          </w:p>
        </w:tc>
        <w:tc>
          <w:tcPr>
            <w:tcW w:w="5220" w:type="dxa"/>
            <w:gridSpan w:val="3"/>
            <w:noWrap w:val="0"/>
            <w:vAlign w:val="center"/>
          </w:tcPr>
          <w:p>
            <w:pPr>
              <w:jc w:val="center"/>
              <w:rPr>
                <w:rFonts w:hint="eastAsia" w:ascii="仿宋" w:hAnsi="仿宋" w:eastAsia="仿宋" w:cs="仿宋"/>
                <w:b/>
                <w:bCs/>
                <w:color w:val="000000"/>
                <w:kern w:val="0"/>
              </w:rPr>
            </w:pPr>
            <w:r>
              <w:rPr>
                <w:rFonts w:hint="eastAsia" w:ascii="仿宋" w:hAnsi="仿宋" w:eastAsia="仿宋" w:cs="仿宋"/>
                <w:b/>
                <w:bCs/>
                <w:color w:val="000000"/>
                <w:kern w:val="0"/>
              </w:rPr>
              <w:t>评审结论（合格/不合格）</w:t>
            </w:r>
          </w:p>
        </w:tc>
        <w:tc>
          <w:tcPr>
            <w:tcW w:w="1139"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c>
          <w:tcPr>
            <w:tcW w:w="1140" w:type="dxa"/>
            <w:noWrap w:val="0"/>
            <w:vAlign w:val="center"/>
          </w:tcPr>
          <w:p>
            <w:pPr>
              <w:jc w:val="center"/>
              <w:rPr>
                <w:rFonts w:hint="eastAsia" w:ascii="仿宋" w:hAnsi="仿宋" w:eastAsia="仿宋" w:cs="仿宋"/>
                <w:color w:val="000000"/>
                <w:kern w:val="0"/>
              </w:rPr>
            </w:pPr>
          </w:p>
        </w:tc>
      </w:tr>
    </w:tbl>
    <w:p>
      <w:pPr>
        <w:rPr>
          <w:rFonts w:hint="eastAsia" w:ascii="仿宋" w:hAnsi="仿宋" w:eastAsia="仿宋" w:cs="仿宋"/>
          <w:color w:val="000000"/>
          <w:sz w:val="18"/>
          <w:szCs w:val="18"/>
        </w:rPr>
      </w:pPr>
      <w:r>
        <w:rPr>
          <w:rFonts w:hint="eastAsia" w:ascii="仿宋" w:hAnsi="仿宋" w:eastAsia="仿宋" w:cs="仿宋"/>
          <w:b/>
          <w:color w:val="000000"/>
        </w:rPr>
        <w:t>备注：</w:t>
      </w:r>
      <w:r>
        <w:rPr>
          <w:rFonts w:hint="eastAsia" w:ascii="仿宋" w:hAnsi="仿宋" w:eastAsia="仿宋" w:cs="仿宋"/>
          <w:color w:val="000000"/>
          <w:sz w:val="18"/>
          <w:szCs w:val="18"/>
        </w:rPr>
        <w:t>1.评审项目合格的打“√”，不合格的打“×”。上表中有一项不符合评审标准的，其评审结论为不合格，则不进入投标文件下一轮的评审。</w:t>
      </w:r>
    </w:p>
    <w:p>
      <w:pPr>
        <w:snapToGrid w:val="0"/>
        <w:ind w:firstLine="615" w:firstLineChars="342"/>
        <w:rPr>
          <w:rFonts w:hint="eastAsia" w:ascii="仿宋" w:hAnsi="仿宋" w:eastAsia="仿宋" w:cs="仿宋"/>
          <w:color w:val="000000"/>
          <w:sz w:val="18"/>
          <w:szCs w:val="18"/>
        </w:rPr>
      </w:pPr>
      <w:r>
        <w:rPr>
          <w:rFonts w:hint="eastAsia" w:ascii="仿宋" w:hAnsi="仿宋" w:eastAsia="仿宋" w:cs="仿宋"/>
          <w:color w:val="000000"/>
          <w:sz w:val="18"/>
          <w:szCs w:val="18"/>
        </w:rPr>
        <w:t>2.已标价工程量清单：投标人提供的已标价的工程量清单应符合第五章《工程量清单》的有关要求及给出的范围，给出的范围不得增加和删除，否则视为不符合评审标准。</w:t>
      </w:r>
    </w:p>
    <w:p>
      <w:pPr>
        <w:snapToGrid w:val="0"/>
        <w:ind w:firstLine="615" w:firstLineChars="342"/>
        <w:rPr>
          <w:rFonts w:hint="eastAsia" w:ascii="仿宋" w:hAnsi="仿宋" w:eastAsia="仿宋" w:cs="仿宋"/>
          <w:color w:val="000000"/>
          <w:sz w:val="18"/>
          <w:szCs w:val="18"/>
        </w:rPr>
      </w:pPr>
      <w:r>
        <w:rPr>
          <w:rFonts w:hint="eastAsia" w:ascii="仿宋" w:hAnsi="仿宋" w:eastAsia="仿宋" w:cs="仿宋"/>
          <w:color w:val="000000"/>
          <w:sz w:val="18"/>
          <w:szCs w:val="18"/>
        </w:rPr>
        <w:t>3.本表由评标委员会集体评议，评标委员会成员中对评审结论有不同意见时，按少数服从多数的原则，确定评审结论。</w:t>
      </w:r>
    </w:p>
    <w:p>
      <w:pPr>
        <w:snapToGrid w:val="0"/>
        <w:spacing w:line="480" w:lineRule="exact"/>
        <w:rPr>
          <w:rFonts w:hint="eastAsia" w:ascii="仿宋" w:hAnsi="仿宋" w:eastAsia="仿宋" w:cs="仿宋"/>
          <w:color w:val="000000"/>
          <w:sz w:val="28"/>
          <w:szCs w:val="28"/>
        </w:rPr>
      </w:pPr>
      <w:r>
        <w:rPr>
          <w:rFonts w:hint="eastAsia" w:ascii="仿宋" w:hAnsi="仿宋" w:eastAsia="仿宋" w:cs="仿宋"/>
          <w:color w:val="000000"/>
          <w:sz w:val="28"/>
          <w:szCs w:val="28"/>
        </w:rPr>
        <w:t>评标委员会全体成员签字：</w:t>
      </w:r>
    </w:p>
    <w:p>
      <w:pPr>
        <w:snapToGrid w:val="0"/>
        <w:spacing w:line="480" w:lineRule="exact"/>
        <w:outlineLvl w:val="4"/>
        <w:rPr>
          <w:rFonts w:eastAsia="黑体"/>
          <w:bCs/>
          <w:color w:val="000000"/>
          <w:sz w:val="28"/>
          <w:szCs w:val="20"/>
        </w:rPr>
      </w:pPr>
      <w:r>
        <w:rPr>
          <w:rFonts w:hint="eastAsia" w:ascii="仿宋" w:hAnsi="仿宋" w:eastAsia="仿宋" w:cs="仿宋"/>
          <w:color w:val="000000"/>
        </w:rPr>
        <w:br w:type="page"/>
      </w:r>
      <w:r>
        <w:rPr>
          <w:rFonts w:eastAsia="黑体"/>
          <w:bCs/>
          <w:color w:val="000000"/>
          <w:sz w:val="28"/>
          <w:szCs w:val="20"/>
        </w:rPr>
        <w:t>附表3-3（4）：技术投标文件评审表</w:t>
      </w:r>
    </w:p>
    <w:p>
      <w:pPr>
        <w:spacing w:before="240" w:beforeLines="100" w:after="240" w:afterLines="100" w:line="600" w:lineRule="exact"/>
        <w:jc w:val="center"/>
        <w:rPr>
          <w:rFonts w:hint="eastAsia" w:ascii="方正小标宋简体" w:eastAsia="方正小标宋简体"/>
          <w:color w:val="000000"/>
          <w:sz w:val="40"/>
          <w:szCs w:val="28"/>
        </w:rPr>
      </w:pPr>
      <w:r>
        <w:rPr>
          <w:rFonts w:hint="eastAsia" w:ascii="方正小标宋简体" w:eastAsia="方正小标宋简体"/>
          <w:color w:val="000000"/>
          <w:sz w:val="40"/>
          <w:szCs w:val="28"/>
        </w:rPr>
        <w:t>技术投标文件评审表</w:t>
      </w:r>
    </w:p>
    <w:p>
      <w:pPr>
        <w:snapToGrid w:val="0"/>
        <w:spacing w:line="500" w:lineRule="exact"/>
        <w:rPr>
          <w:rFonts w:hint="eastAsia" w:ascii="仿宋" w:hAnsi="仿宋" w:eastAsia="仿宋" w:cs="仿宋"/>
          <w:color w:val="000000"/>
          <w:sz w:val="24"/>
          <w:u w:val="single"/>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（标段名称）</w:t>
      </w:r>
      <w:r>
        <w:rPr>
          <w:rFonts w:hint="eastAsia" w:ascii="仿宋" w:hAnsi="仿宋" w:eastAsia="仿宋" w:cs="仿宋"/>
          <w:color w:val="000000"/>
          <w:sz w:val="24"/>
          <w:u w:val="single"/>
        </w:rPr>
        <w:t xml:space="preserve">                      </w:t>
      </w:r>
    </w:p>
    <w:p>
      <w:pPr>
        <w:snapToGrid w:val="0"/>
        <w:spacing w:line="500" w:lineRule="exact"/>
        <w:rPr>
          <w:rFonts w:hint="eastAsia" w:ascii="仿宋" w:hAnsi="仿宋" w:eastAsia="仿宋" w:cs="仿宋"/>
          <w:color w:val="000000"/>
          <w:sz w:val="24"/>
        </w:rPr>
      </w:pPr>
      <w:r>
        <w:rPr>
          <w:rFonts w:hint="eastAsia" w:ascii="仿宋" w:hAnsi="仿宋" w:eastAsia="仿宋" w:cs="仿宋"/>
          <w:color w:val="000000"/>
          <w:sz w:val="24"/>
        </w:rPr>
        <w:t>项目管理编号：</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tbl>
      <w:tblPr>
        <w:tblStyle w:val="47"/>
        <w:tblW w:w="9498"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38"/>
        <w:gridCol w:w="2322"/>
        <w:gridCol w:w="2538"/>
        <w:gridCol w:w="864"/>
        <w:gridCol w:w="567"/>
        <w:gridCol w:w="851"/>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426" w:type="dxa"/>
            <w:vMerge w:val="restart"/>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序号</w:t>
            </w:r>
          </w:p>
        </w:tc>
        <w:tc>
          <w:tcPr>
            <w:tcW w:w="938" w:type="dxa"/>
            <w:vMerge w:val="restart"/>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条款号</w:t>
            </w:r>
          </w:p>
        </w:tc>
        <w:tc>
          <w:tcPr>
            <w:tcW w:w="2322" w:type="dxa"/>
            <w:vMerge w:val="restart"/>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评审因素</w:t>
            </w:r>
          </w:p>
        </w:tc>
        <w:tc>
          <w:tcPr>
            <w:tcW w:w="3402" w:type="dxa"/>
            <w:gridSpan w:val="2"/>
            <w:vMerge w:val="restart"/>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评分标准</w:t>
            </w:r>
          </w:p>
        </w:tc>
        <w:tc>
          <w:tcPr>
            <w:tcW w:w="2410" w:type="dxa"/>
            <w:gridSpan w:val="3"/>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投标人名称及评审意见</w:t>
            </w:r>
          </w:p>
          <w:p>
            <w:pPr>
              <w:jc w:val="center"/>
              <w:rPr>
                <w:rFonts w:hint="eastAsia" w:ascii="仿宋" w:hAnsi="仿宋" w:eastAsia="仿宋" w:cs="仿宋"/>
                <w:color w:val="000000"/>
                <w:kern w:val="0"/>
              </w:rPr>
            </w:pPr>
            <w:r>
              <w:rPr>
                <w:rFonts w:hint="eastAsia" w:ascii="仿宋" w:hAnsi="仿宋" w:eastAsia="仿宋" w:cs="仿宋"/>
                <w:bCs/>
                <w:color w:val="000000"/>
                <w:kern w:val="0"/>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426" w:type="dxa"/>
            <w:vMerge w:val="continue"/>
            <w:noWrap w:val="0"/>
            <w:vAlign w:val="center"/>
          </w:tcPr>
          <w:p>
            <w:pPr>
              <w:jc w:val="center"/>
              <w:rPr>
                <w:rFonts w:hint="eastAsia" w:ascii="仿宋" w:hAnsi="仿宋" w:eastAsia="仿宋" w:cs="仿宋"/>
                <w:b/>
                <w:color w:val="000000"/>
                <w:kern w:val="0"/>
              </w:rPr>
            </w:pPr>
          </w:p>
        </w:tc>
        <w:tc>
          <w:tcPr>
            <w:tcW w:w="938" w:type="dxa"/>
            <w:vMerge w:val="continue"/>
            <w:noWrap w:val="0"/>
            <w:vAlign w:val="center"/>
          </w:tcPr>
          <w:p>
            <w:pPr>
              <w:snapToGrid w:val="0"/>
              <w:jc w:val="center"/>
              <w:rPr>
                <w:rFonts w:hint="eastAsia" w:ascii="仿宋" w:hAnsi="仿宋" w:eastAsia="仿宋" w:cs="仿宋"/>
                <w:b/>
                <w:color w:val="000000"/>
              </w:rPr>
            </w:pPr>
          </w:p>
        </w:tc>
        <w:tc>
          <w:tcPr>
            <w:tcW w:w="2322" w:type="dxa"/>
            <w:vMerge w:val="continue"/>
            <w:noWrap w:val="0"/>
            <w:vAlign w:val="center"/>
          </w:tcPr>
          <w:p>
            <w:pPr>
              <w:snapToGrid w:val="0"/>
              <w:jc w:val="center"/>
              <w:rPr>
                <w:rFonts w:hint="eastAsia" w:ascii="仿宋" w:hAnsi="仿宋" w:eastAsia="仿宋" w:cs="仿宋"/>
                <w:b/>
                <w:color w:val="000000"/>
              </w:rPr>
            </w:pPr>
          </w:p>
        </w:tc>
        <w:tc>
          <w:tcPr>
            <w:tcW w:w="3402" w:type="dxa"/>
            <w:gridSpan w:val="2"/>
            <w:vMerge w:val="continue"/>
            <w:noWrap w:val="0"/>
            <w:vAlign w:val="center"/>
          </w:tcPr>
          <w:p>
            <w:pPr>
              <w:snapToGrid w:val="0"/>
              <w:jc w:val="center"/>
              <w:rPr>
                <w:rFonts w:hint="eastAsia" w:ascii="仿宋" w:hAnsi="仿宋" w:eastAsia="仿宋" w:cs="仿宋"/>
                <w:b/>
                <w:color w:val="000000"/>
              </w:rPr>
            </w:pPr>
          </w:p>
        </w:tc>
        <w:tc>
          <w:tcPr>
            <w:tcW w:w="567"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1</w:t>
            </w:r>
          </w:p>
        </w:tc>
        <w:tc>
          <w:tcPr>
            <w:tcW w:w="851"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2</w:t>
            </w:r>
          </w:p>
        </w:tc>
        <w:tc>
          <w:tcPr>
            <w:tcW w:w="992"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426" w:type="dxa"/>
            <w:vMerge w:val="continue"/>
            <w:noWrap w:val="0"/>
            <w:vAlign w:val="center"/>
          </w:tcPr>
          <w:p>
            <w:pPr>
              <w:jc w:val="center"/>
              <w:rPr>
                <w:rFonts w:hint="eastAsia" w:ascii="仿宋" w:hAnsi="仿宋" w:eastAsia="仿宋" w:cs="仿宋"/>
                <w:color w:val="000000"/>
                <w:kern w:val="0"/>
              </w:rPr>
            </w:pPr>
          </w:p>
        </w:tc>
        <w:tc>
          <w:tcPr>
            <w:tcW w:w="938" w:type="dxa"/>
            <w:vMerge w:val="continue"/>
            <w:noWrap w:val="0"/>
            <w:vAlign w:val="center"/>
          </w:tcPr>
          <w:p>
            <w:pPr>
              <w:snapToGrid w:val="0"/>
              <w:jc w:val="center"/>
              <w:rPr>
                <w:rFonts w:hint="eastAsia" w:ascii="仿宋" w:hAnsi="仿宋" w:eastAsia="仿宋" w:cs="仿宋"/>
                <w:color w:val="000000"/>
              </w:rPr>
            </w:pPr>
          </w:p>
        </w:tc>
        <w:tc>
          <w:tcPr>
            <w:tcW w:w="2322" w:type="dxa"/>
            <w:vMerge w:val="continue"/>
            <w:noWrap w:val="0"/>
            <w:vAlign w:val="center"/>
          </w:tcPr>
          <w:p>
            <w:pPr>
              <w:snapToGrid w:val="0"/>
              <w:rPr>
                <w:rFonts w:hint="eastAsia" w:ascii="仿宋" w:hAnsi="仿宋" w:eastAsia="仿宋" w:cs="仿宋"/>
                <w:color w:val="000000"/>
              </w:rPr>
            </w:pPr>
          </w:p>
        </w:tc>
        <w:tc>
          <w:tcPr>
            <w:tcW w:w="3402" w:type="dxa"/>
            <w:gridSpan w:val="2"/>
            <w:vMerge w:val="continue"/>
            <w:noWrap w:val="0"/>
            <w:vAlign w:val="center"/>
          </w:tcPr>
          <w:p>
            <w:pPr>
              <w:snapToGrid w:val="0"/>
              <w:jc w:val="center"/>
              <w:rPr>
                <w:rFonts w:hint="eastAsia" w:ascii="仿宋" w:hAnsi="仿宋" w:eastAsia="仿宋" w:cs="仿宋"/>
                <w:color w:val="000000"/>
              </w:rPr>
            </w:pPr>
          </w:p>
        </w:tc>
        <w:tc>
          <w:tcPr>
            <w:tcW w:w="567" w:type="dxa"/>
            <w:noWrap w:val="0"/>
            <w:vAlign w:val="center"/>
          </w:tcPr>
          <w:p>
            <w:pPr>
              <w:jc w:val="center"/>
              <w:rPr>
                <w:rFonts w:hint="eastAsia" w:ascii="仿宋" w:hAnsi="仿宋" w:eastAsia="仿宋" w:cs="仿宋"/>
                <w:color w:val="000000"/>
                <w:kern w:val="0"/>
              </w:rPr>
            </w:pPr>
          </w:p>
        </w:tc>
        <w:tc>
          <w:tcPr>
            <w:tcW w:w="851" w:type="dxa"/>
            <w:noWrap w:val="0"/>
            <w:vAlign w:val="center"/>
          </w:tcPr>
          <w:p>
            <w:pPr>
              <w:jc w:val="center"/>
              <w:rPr>
                <w:rFonts w:hint="eastAsia" w:ascii="仿宋" w:hAnsi="仿宋" w:eastAsia="仿宋" w:cs="仿宋"/>
                <w:color w:val="000000"/>
                <w:kern w:val="0"/>
              </w:rPr>
            </w:pPr>
          </w:p>
        </w:tc>
        <w:tc>
          <w:tcPr>
            <w:tcW w:w="992"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426" w:type="dxa"/>
            <w:vMerge w:val="restart"/>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w:t>
            </w:r>
          </w:p>
        </w:tc>
        <w:tc>
          <w:tcPr>
            <w:tcW w:w="938" w:type="dxa"/>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2.2.4（1）</w:t>
            </w:r>
          </w:p>
        </w:tc>
        <w:tc>
          <w:tcPr>
            <w:tcW w:w="2322" w:type="dxa"/>
            <w:vMerge w:val="restart"/>
            <w:noWrap w:val="0"/>
            <w:vAlign w:val="center"/>
          </w:tcPr>
          <w:p>
            <w:pPr>
              <w:jc w:val="center"/>
              <w:rPr>
                <w:rFonts w:hint="eastAsia" w:ascii="仿宋" w:hAnsi="仿宋" w:eastAsia="仿宋" w:cs="仿宋"/>
                <w:color w:val="000000"/>
                <w:sz w:val="18"/>
                <w:szCs w:val="18"/>
              </w:rPr>
            </w:pPr>
            <w:r>
              <w:rPr>
                <w:rFonts w:hint="eastAsia" w:ascii="仿宋" w:hAnsi="仿宋" w:eastAsia="仿宋" w:cs="仿宋"/>
                <w:color w:val="000000"/>
                <w:sz w:val="18"/>
                <w:szCs w:val="18"/>
              </w:rPr>
              <w:t>内容完整性和编制水平</w:t>
            </w:r>
          </w:p>
        </w:tc>
        <w:tc>
          <w:tcPr>
            <w:tcW w:w="2538"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内容基本完整</w:t>
            </w:r>
          </w:p>
        </w:tc>
        <w:tc>
          <w:tcPr>
            <w:tcW w:w="864"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合格</w:t>
            </w:r>
          </w:p>
        </w:tc>
        <w:tc>
          <w:tcPr>
            <w:tcW w:w="567" w:type="dxa"/>
            <w:vMerge w:val="restart"/>
            <w:noWrap w:val="0"/>
            <w:vAlign w:val="center"/>
          </w:tcPr>
          <w:p>
            <w:pPr>
              <w:pStyle w:val="106"/>
              <w:jc w:val="center"/>
              <w:rPr>
                <w:rFonts w:hint="eastAsia" w:ascii="仿宋" w:hAnsi="仿宋" w:eastAsia="仿宋" w:cs="仿宋"/>
                <w:sz w:val="18"/>
                <w:szCs w:val="18"/>
              </w:rPr>
            </w:pPr>
          </w:p>
        </w:tc>
        <w:tc>
          <w:tcPr>
            <w:tcW w:w="851" w:type="dxa"/>
            <w:vMerge w:val="restart"/>
            <w:noWrap w:val="0"/>
            <w:vAlign w:val="center"/>
          </w:tcPr>
          <w:p>
            <w:pPr>
              <w:jc w:val="center"/>
              <w:rPr>
                <w:rFonts w:hint="eastAsia" w:ascii="仿宋" w:hAnsi="仿宋" w:eastAsia="仿宋" w:cs="仿宋"/>
                <w:color w:val="000000"/>
                <w:kern w:val="0"/>
                <w:sz w:val="18"/>
                <w:szCs w:val="18"/>
              </w:rPr>
            </w:pPr>
          </w:p>
        </w:tc>
        <w:tc>
          <w:tcPr>
            <w:tcW w:w="992" w:type="dxa"/>
            <w:vMerge w:val="restart"/>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26" w:type="dxa"/>
            <w:vMerge w:val="continue"/>
            <w:noWrap w:val="0"/>
            <w:vAlign w:val="center"/>
          </w:tcPr>
          <w:p>
            <w:pPr>
              <w:jc w:val="center"/>
              <w:rPr>
                <w:rFonts w:hint="eastAsia" w:ascii="仿宋" w:hAnsi="仿宋" w:eastAsia="仿宋" w:cs="仿宋"/>
                <w:color w:val="000000"/>
                <w:kern w:val="0"/>
                <w:sz w:val="18"/>
                <w:szCs w:val="18"/>
              </w:rPr>
            </w:pPr>
          </w:p>
        </w:tc>
        <w:tc>
          <w:tcPr>
            <w:tcW w:w="938" w:type="dxa"/>
            <w:vMerge w:val="continue"/>
            <w:noWrap w:val="0"/>
            <w:vAlign w:val="center"/>
          </w:tcPr>
          <w:p>
            <w:pPr>
              <w:snapToGrid w:val="0"/>
              <w:jc w:val="center"/>
              <w:rPr>
                <w:rFonts w:hint="eastAsia" w:ascii="仿宋" w:hAnsi="仿宋" w:eastAsia="仿宋" w:cs="仿宋"/>
                <w:color w:val="000000"/>
              </w:rPr>
            </w:pPr>
          </w:p>
        </w:tc>
        <w:tc>
          <w:tcPr>
            <w:tcW w:w="2322" w:type="dxa"/>
            <w:vMerge w:val="continue"/>
            <w:noWrap w:val="0"/>
            <w:vAlign w:val="center"/>
          </w:tcPr>
          <w:p>
            <w:pPr>
              <w:pStyle w:val="106"/>
              <w:jc w:val="center"/>
              <w:rPr>
                <w:rFonts w:hint="eastAsia" w:ascii="仿宋" w:hAnsi="仿宋" w:eastAsia="仿宋" w:cs="仿宋"/>
                <w:sz w:val="18"/>
                <w:szCs w:val="18"/>
              </w:rPr>
            </w:pPr>
          </w:p>
        </w:tc>
        <w:tc>
          <w:tcPr>
            <w:tcW w:w="2538" w:type="dxa"/>
            <w:noWrap w:val="0"/>
            <w:vAlign w:val="center"/>
          </w:tcPr>
          <w:p>
            <w:pPr>
              <w:pStyle w:val="106"/>
              <w:jc w:val="center"/>
              <w:rPr>
                <w:rFonts w:ascii="仿宋" w:hAnsi="仿宋" w:eastAsia="仿宋" w:cs="仿宋"/>
                <w:sz w:val="18"/>
                <w:szCs w:val="18"/>
              </w:rPr>
            </w:pPr>
            <w:r>
              <w:rPr>
                <w:rFonts w:hint="eastAsia" w:ascii="仿宋" w:hAnsi="仿宋" w:eastAsia="仿宋" w:cs="仿宋"/>
                <w:sz w:val="18"/>
                <w:szCs w:val="18"/>
              </w:rPr>
              <w:t>内容缺项；引用强制性技术标准错误，或明显违反国家和省有关规定</w:t>
            </w:r>
          </w:p>
        </w:tc>
        <w:tc>
          <w:tcPr>
            <w:tcW w:w="864"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不合格</w:t>
            </w:r>
          </w:p>
        </w:tc>
        <w:tc>
          <w:tcPr>
            <w:tcW w:w="567" w:type="dxa"/>
            <w:vMerge w:val="continue"/>
            <w:noWrap w:val="0"/>
            <w:vAlign w:val="center"/>
          </w:tcPr>
          <w:p>
            <w:pPr>
              <w:pStyle w:val="106"/>
              <w:jc w:val="center"/>
              <w:rPr>
                <w:rFonts w:hint="eastAsia" w:ascii="仿宋" w:hAnsi="仿宋" w:eastAsia="仿宋" w:cs="仿宋"/>
                <w:sz w:val="18"/>
                <w:szCs w:val="18"/>
              </w:rPr>
            </w:pPr>
          </w:p>
        </w:tc>
        <w:tc>
          <w:tcPr>
            <w:tcW w:w="851" w:type="dxa"/>
            <w:vMerge w:val="continue"/>
            <w:noWrap w:val="0"/>
            <w:vAlign w:val="center"/>
          </w:tcPr>
          <w:p>
            <w:pPr>
              <w:jc w:val="center"/>
              <w:rPr>
                <w:rFonts w:hint="eastAsia" w:ascii="仿宋" w:hAnsi="仿宋" w:eastAsia="仿宋" w:cs="仿宋"/>
                <w:color w:val="000000"/>
                <w:kern w:val="0"/>
                <w:sz w:val="18"/>
                <w:szCs w:val="18"/>
              </w:rPr>
            </w:pPr>
          </w:p>
        </w:tc>
        <w:tc>
          <w:tcPr>
            <w:tcW w:w="992" w:type="dxa"/>
            <w:vMerge w:val="continue"/>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426" w:type="dxa"/>
            <w:vMerge w:val="restart"/>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2</w:t>
            </w:r>
          </w:p>
        </w:tc>
        <w:tc>
          <w:tcPr>
            <w:tcW w:w="938" w:type="dxa"/>
            <w:vMerge w:val="continue"/>
            <w:noWrap w:val="0"/>
            <w:vAlign w:val="center"/>
          </w:tcPr>
          <w:p>
            <w:pPr>
              <w:snapToGrid w:val="0"/>
              <w:jc w:val="center"/>
              <w:rPr>
                <w:rFonts w:hint="eastAsia" w:ascii="仿宋" w:hAnsi="仿宋" w:eastAsia="仿宋" w:cs="仿宋"/>
                <w:color w:val="000000"/>
              </w:rPr>
            </w:pPr>
          </w:p>
        </w:tc>
        <w:tc>
          <w:tcPr>
            <w:tcW w:w="2322" w:type="dxa"/>
            <w:vMerge w:val="restart"/>
            <w:noWrap w:val="0"/>
            <w:vAlign w:val="center"/>
          </w:tcPr>
          <w:p>
            <w:pPr>
              <w:jc w:val="center"/>
              <w:rPr>
                <w:rFonts w:hint="eastAsia" w:ascii="仿宋" w:hAnsi="仿宋" w:eastAsia="仿宋" w:cs="仿宋"/>
                <w:b/>
                <w:color w:val="000000"/>
                <w:sz w:val="18"/>
                <w:szCs w:val="18"/>
              </w:rPr>
            </w:pPr>
            <w:r>
              <w:rPr>
                <w:rFonts w:hint="eastAsia" w:ascii="仿宋" w:hAnsi="仿宋" w:eastAsia="仿宋" w:cs="仿宋"/>
                <w:b/>
                <w:color w:val="000000"/>
                <w:sz w:val="18"/>
                <w:szCs w:val="18"/>
              </w:rPr>
              <w:t>施工方案与技术措施</w:t>
            </w:r>
          </w:p>
        </w:tc>
        <w:tc>
          <w:tcPr>
            <w:tcW w:w="2538"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内容基本完整</w:t>
            </w:r>
          </w:p>
        </w:tc>
        <w:tc>
          <w:tcPr>
            <w:tcW w:w="864"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合格</w:t>
            </w:r>
          </w:p>
        </w:tc>
        <w:tc>
          <w:tcPr>
            <w:tcW w:w="567" w:type="dxa"/>
            <w:vMerge w:val="restart"/>
            <w:noWrap w:val="0"/>
            <w:vAlign w:val="center"/>
          </w:tcPr>
          <w:p>
            <w:pPr>
              <w:pStyle w:val="134"/>
              <w:keepNext w:val="0"/>
              <w:keepLines w:val="0"/>
              <w:widowControl w:val="0"/>
              <w:spacing w:before="0" w:line="240" w:lineRule="auto"/>
              <w:jc w:val="center"/>
              <w:rPr>
                <w:rFonts w:hint="eastAsia" w:ascii="仿宋" w:hAnsi="仿宋" w:eastAsia="仿宋" w:cs="仿宋"/>
                <w:color w:val="000000"/>
                <w:sz w:val="18"/>
                <w:szCs w:val="18"/>
              </w:rPr>
            </w:pPr>
          </w:p>
        </w:tc>
        <w:tc>
          <w:tcPr>
            <w:tcW w:w="851" w:type="dxa"/>
            <w:vMerge w:val="restart"/>
            <w:noWrap w:val="0"/>
            <w:vAlign w:val="center"/>
          </w:tcPr>
          <w:p>
            <w:pPr>
              <w:jc w:val="center"/>
              <w:rPr>
                <w:rFonts w:hint="eastAsia" w:ascii="仿宋" w:hAnsi="仿宋" w:eastAsia="仿宋" w:cs="仿宋"/>
                <w:color w:val="000000"/>
                <w:kern w:val="0"/>
                <w:sz w:val="18"/>
                <w:szCs w:val="18"/>
              </w:rPr>
            </w:pPr>
          </w:p>
        </w:tc>
        <w:tc>
          <w:tcPr>
            <w:tcW w:w="992" w:type="dxa"/>
            <w:vMerge w:val="restart"/>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26" w:type="dxa"/>
            <w:vMerge w:val="continue"/>
            <w:noWrap w:val="0"/>
            <w:vAlign w:val="center"/>
          </w:tcPr>
          <w:p>
            <w:pPr>
              <w:jc w:val="center"/>
              <w:rPr>
                <w:rFonts w:hint="eastAsia" w:ascii="仿宋" w:hAnsi="仿宋" w:eastAsia="仿宋" w:cs="仿宋"/>
                <w:color w:val="000000"/>
                <w:kern w:val="0"/>
                <w:sz w:val="18"/>
                <w:szCs w:val="18"/>
              </w:rPr>
            </w:pPr>
          </w:p>
        </w:tc>
        <w:tc>
          <w:tcPr>
            <w:tcW w:w="938" w:type="dxa"/>
            <w:vMerge w:val="continue"/>
            <w:noWrap w:val="0"/>
            <w:vAlign w:val="center"/>
          </w:tcPr>
          <w:p>
            <w:pPr>
              <w:snapToGrid w:val="0"/>
              <w:jc w:val="center"/>
              <w:rPr>
                <w:rFonts w:hint="eastAsia" w:ascii="仿宋" w:hAnsi="仿宋" w:eastAsia="仿宋" w:cs="仿宋"/>
                <w:color w:val="000000"/>
              </w:rPr>
            </w:pPr>
          </w:p>
        </w:tc>
        <w:tc>
          <w:tcPr>
            <w:tcW w:w="2322" w:type="dxa"/>
            <w:vMerge w:val="continue"/>
            <w:noWrap w:val="0"/>
            <w:vAlign w:val="center"/>
          </w:tcPr>
          <w:p>
            <w:pPr>
              <w:pStyle w:val="106"/>
              <w:jc w:val="center"/>
              <w:rPr>
                <w:rFonts w:hint="eastAsia" w:ascii="仿宋" w:hAnsi="仿宋" w:eastAsia="仿宋" w:cs="仿宋"/>
                <w:sz w:val="18"/>
                <w:szCs w:val="18"/>
              </w:rPr>
            </w:pPr>
          </w:p>
        </w:tc>
        <w:tc>
          <w:tcPr>
            <w:tcW w:w="2538"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内容缺项；引用强制性技术标准错误，或明显违反国家和省有关规定</w:t>
            </w:r>
          </w:p>
        </w:tc>
        <w:tc>
          <w:tcPr>
            <w:tcW w:w="864"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不合格</w:t>
            </w:r>
          </w:p>
        </w:tc>
        <w:tc>
          <w:tcPr>
            <w:tcW w:w="567" w:type="dxa"/>
            <w:vMerge w:val="continue"/>
            <w:noWrap w:val="0"/>
            <w:vAlign w:val="center"/>
          </w:tcPr>
          <w:p>
            <w:pPr>
              <w:pStyle w:val="134"/>
              <w:keepNext w:val="0"/>
              <w:keepLines w:val="0"/>
              <w:widowControl w:val="0"/>
              <w:spacing w:before="0" w:line="240" w:lineRule="auto"/>
              <w:jc w:val="center"/>
              <w:rPr>
                <w:rFonts w:hint="eastAsia" w:ascii="仿宋" w:hAnsi="仿宋" w:eastAsia="仿宋" w:cs="仿宋"/>
                <w:b w:val="0"/>
                <w:color w:val="000000"/>
                <w:sz w:val="18"/>
                <w:szCs w:val="18"/>
              </w:rPr>
            </w:pPr>
          </w:p>
        </w:tc>
        <w:tc>
          <w:tcPr>
            <w:tcW w:w="851" w:type="dxa"/>
            <w:vMerge w:val="continue"/>
            <w:noWrap w:val="0"/>
            <w:vAlign w:val="center"/>
          </w:tcPr>
          <w:p>
            <w:pPr>
              <w:jc w:val="center"/>
              <w:rPr>
                <w:rFonts w:hint="eastAsia" w:ascii="仿宋" w:hAnsi="仿宋" w:eastAsia="仿宋" w:cs="仿宋"/>
                <w:color w:val="000000"/>
                <w:kern w:val="0"/>
                <w:sz w:val="18"/>
                <w:szCs w:val="18"/>
              </w:rPr>
            </w:pPr>
          </w:p>
        </w:tc>
        <w:tc>
          <w:tcPr>
            <w:tcW w:w="992" w:type="dxa"/>
            <w:vMerge w:val="continue"/>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426" w:type="dxa"/>
            <w:vMerge w:val="restart"/>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3</w:t>
            </w:r>
          </w:p>
        </w:tc>
        <w:tc>
          <w:tcPr>
            <w:tcW w:w="938" w:type="dxa"/>
            <w:vMerge w:val="continue"/>
            <w:noWrap w:val="0"/>
            <w:vAlign w:val="center"/>
          </w:tcPr>
          <w:p>
            <w:pPr>
              <w:snapToGrid w:val="0"/>
              <w:jc w:val="center"/>
              <w:rPr>
                <w:rFonts w:hint="eastAsia" w:ascii="仿宋" w:hAnsi="仿宋" w:eastAsia="仿宋" w:cs="仿宋"/>
                <w:color w:val="000000"/>
              </w:rPr>
            </w:pPr>
          </w:p>
        </w:tc>
        <w:tc>
          <w:tcPr>
            <w:tcW w:w="2322" w:type="dxa"/>
            <w:vMerge w:val="restart"/>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质量管理体系与措施</w:t>
            </w:r>
          </w:p>
        </w:tc>
        <w:tc>
          <w:tcPr>
            <w:tcW w:w="2538"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内容基本完整</w:t>
            </w:r>
          </w:p>
        </w:tc>
        <w:tc>
          <w:tcPr>
            <w:tcW w:w="864"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合格</w:t>
            </w:r>
          </w:p>
        </w:tc>
        <w:tc>
          <w:tcPr>
            <w:tcW w:w="567" w:type="dxa"/>
            <w:vMerge w:val="restart"/>
            <w:noWrap w:val="0"/>
            <w:vAlign w:val="center"/>
          </w:tcPr>
          <w:p>
            <w:pPr>
              <w:pStyle w:val="106"/>
              <w:jc w:val="center"/>
              <w:rPr>
                <w:rFonts w:hint="eastAsia" w:ascii="仿宋" w:hAnsi="仿宋" w:eastAsia="仿宋" w:cs="仿宋"/>
                <w:sz w:val="18"/>
                <w:szCs w:val="18"/>
              </w:rPr>
            </w:pPr>
          </w:p>
        </w:tc>
        <w:tc>
          <w:tcPr>
            <w:tcW w:w="851" w:type="dxa"/>
            <w:vMerge w:val="restart"/>
            <w:noWrap w:val="0"/>
            <w:vAlign w:val="center"/>
          </w:tcPr>
          <w:p>
            <w:pPr>
              <w:jc w:val="center"/>
              <w:rPr>
                <w:rFonts w:hint="eastAsia" w:ascii="仿宋" w:hAnsi="仿宋" w:eastAsia="仿宋" w:cs="仿宋"/>
                <w:color w:val="000000"/>
                <w:kern w:val="0"/>
                <w:sz w:val="18"/>
                <w:szCs w:val="18"/>
              </w:rPr>
            </w:pPr>
          </w:p>
        </w:tc>
        <w:tc>
          <w:tcPr>
            <w:tcW w:w="992" w:type="dxa"/>
            <w:vMerge w:val="restart"/>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26" w:type="dxa"/>
            <w:vMerge w:val="continue"/>
            <w:noWrap w:val="0"/>
            <w:vAlign w:val="center"/>
          </w:tcPr>
          <w:p>
            <w:pPr>
              <w:jc w:val="center"/>
              <w:rPr>
                <w:rFonts w:hint="eastAsia" w:ascii="仿宋" w:hAnsi="仿宋" w:eastAsia="仿宋" w:cs="仿宋"/>
                <w:color w:val="000000"/>
                <w:kern w:val="0"/>
                <w:sz w:val="18"/>
                <w:szCs w:val="18"/>
              </w:rPr>
            </w:pPr>
          </w:p>
        </w:tc>
        <w:tc>
          <w:tcPr>
            <w:tcW w:w="938" w:type="dxa"/>
            <w:vMerge w:val="continue"/>
            <w:noWrap w:val="0"/>
            <w:vAlign w:val="center"/>
          </w:tcPr>
          <w:p>
            <w:pPr>
              <w:snapToGrid w:val="0"/>
              <w:jc w:val="center"/>
              <w:rPr>
                <w:rFonts w:hint="eastAsia" w:ascii="仿宋" w:hAnsi="仿宋" w:eastAsia="仿宋" w:cs="仿宋"/>
                <w:color w:val="000000"/>
              </w:rPr>
            </w:pPr>
          </w:p>
        </w:tc>
        <w:tc>
          <w:tcPr>
            <w:tcW w:w="2322" w:type="dxa"/>
            <w:vMerge w:val="continue"/>
            <w:noWrap w:val="0"/>
            <w:vAlign w:val="center"/>
          </w:tcPr>
          <w:p>
            <w:pPr>
              <w:pStyle w:val="106"/>
              <w:jc w:val="center"/>
              <w:rPr>
                <w:rFonts w:hint="eastAsia" w:ascii="仿宋" w:hAnsi="仿宋" w:eastAsia="仿宋" w:cs="仿宋"/>
                <w:sz w:val="18"/>
                <w:szCs w:val="18"/>
              </w:rPr>
            </w:pPr>
          </w:p>
        </w:tc>
        <w:tc>
          <w:tcPr>
            <w:tcW w:w="2538"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内容缺项；引用强制性技术标准错误，或明显违反国家和省有关规定</w:t>
            </w:r>
          </w:p>
        </w:tc>
        <w:tc>
          <w:tcPr>
            <w:tcW w:w="864"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不合格</w:t>
            </w:r>
          </w:p>
        </w:tc>
        <w:tc>
          <w:tcPr>
            <w:tcW w:w="567" w:type="dxa"/>
            <w:vMerge w:val="continue"/>
            <w:noWrap w:val="0"/>
            <w:vAlign w:val="center"/>
          </w:tcPr>
          <w:p>
            <w:pPr>
              <w:pStyle w:val="106"/>
              <w:jc w:val="center"/>
              <w:rPr>
                <w:rFonts w:hint="eastAsia" w:ascii="仿宋" w:hAnsi="仿宋" w:eastAsia="仿宋" w:cs="仿宋"/>
                <w:sz w:val="18"/>
                <w:szCs w:val="18"/>
              </w:rPr>
            </w:pPr>
          </w:p>
        </w:tc>
        <w:tc>
          <w:tcPr>
            <w:tcW w:w="851" w:type="dxa"/>
            <w:vMerge w:val="continue"/>
            <w:noWrap w:val="0"/>
            <w:vAlign w:val="center"/>
          </w:tcPr>
          <w:p>
            <w:pPr>
              <w:jc w:val="center"/>
              <w:rPr>
                <w:rFonts w:hint="eastAsia" w:ascii="仿宋" w:hAnsi="仿宋" w:eastAsia="仿宋" w:cs="仿宋"/>
                <w:color w:val="000000"/>
                <w:kern w:val="0"/>
                <w:sz w:val="18"/>
                <w:szCs w:val="18"/>
              </w:rPr>
            </w:pPr>
          </w:p>
        </w:tc>
        <w:tc>
          <w:tcPr>
            <w:tcW w:w="992" w:type="dxa"/>
            <w:vMerge w:val="continue"/>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426" w:type="dxa"/>
            <w:vMerge w:val="restart"/>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4</w:t>
            </w:r>
          </w:p>
        </w:tc>
        <w:tc>
          <w:tcPr>
            <w:tcW w:w="938" w:type="dxa"/>
            <w:vMerge w:val="continue"/>
            <w:noWrap w:val="0"/>
            <w:vAlign w:val="center"/>
          </w:tcPr>
          <w:p>
            <w:pPr>
              <w:snapToGrid w:val="0"/>
              <w:jc w:val="center"/>
              <w:rPr>
                <w:rFonts w:hint="eastAsia" w:ascii="仿宋" w:hAnsi="仿宋" w:eastAsia="仿宋" w:cs="仿宋"/>
                <w:color w:val="000000"/>
              </w:rPr>
            </w:pPr>
          </w:p>
        </w:tc>
        <w:tc>
          <w:tcPr>
            <w:tcW w:w="2322" w:type="dxa"/>
            <w:vMerge w:val="restart"/>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安全管理体系与措施</w:t>
            </w:r>
          </w:p>
        </w:tc>
        <w:tc>
          <w:tcPr>
            <w:tcW w:w="2538"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内容基本完整</w:t>
            </w:r>
          </w:p>
        </w:tc>
        <w:tc>
          <w:tcPr>
            <w:tcW w:w="864"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合格</w:t>
            </w:r>
          </w:p>
        </w:tc>
        <w:tc>
          <w:tcPr>
            <w:tcW w:w="567" w:type="dxa"/>
            <w:vMerge w:val="restart"/>
            <w:noWrap w:val="0"/>
            <w:vAlign w:val="center"/>
          </w:tcPr>
          <w:p>
            <w:pPr>
              <w:pStyle w:val="106"/>
              <w:jc w:val="center"/>
              <w:rPr>
                <w:rFonts w:hint="eastAsia" w:ascii="仿宋" w:hAnsi="仿宋" w:eastAsia="仿宋" w:cs="仿宋"/>
                <w:sz w:val="18"/>
                <w:szCs w:val="18"/>
              </w:rPr>
            </w:pPr>
          </w:p>
        </w:tc>
        <w:tc>
          <w:tcPr>
            <w:tcW w:w="851" w:type="dxa"/>
            <w:vMerge w:val="restart"/>
            <w:noWrap w:val="0"/>
            <w:vAlign w:val="center"/>
          </w:tcPr>
          <w:p>
            <w:pPr>
              <w:jc w:val="center"/>
              <w:rPr>
                <w:rFonts w:hint="eastAsia" w:ascii="仿宋" w:hAnsi="仿宋" w:eastAsia="仿宋" w:cs="仿宋"/>
                <w:color w:val="000000"/>
                <w:kern w:val="0"/>
                <w:sz w:val="18"/>
                <w:szCs w:val="18"/>
              </w:rPr>
            </w:pPr>
          </w:p>
        </w:tc>
        <w:tc>
          <w:tcPr>
            <w:tcW w:w="992" w:type="dxa"/>
            <w:vMerge w:val="restart"/>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26" w:type="dxa"/>
            <w:vMerge w:val="continue"/>
            <w:noWrap w:val="0"/>
            <w:vAlign w:val="center"/>
          </w:tcPr>
          <w:p>
            <w:pPr>
              <w:jc w:val="center"/>
              <w:rPr>
                <w:rFonts w:hint="eastAsia" w:ascii="仿宋" w:hAnsi="仿宋" w:eastAsia="仿宋" w:cs="仿宋"/>
                <w:color w:val="000000"/>
                <w:kern w:val="0"/>
                <w:sz w:val="18"/>
                <w:szCs w:val="18"/>
              </w:rPr>
            </w:pPr>
          </w:p>
        </w:tc>
        <w:tc>
          <w:tcPr>
            <w:tcW w:w="938" w:type="dxa"/>
            <w:vMerge w:val="continue"/>
            <w:noWrap w:val="0"/>
            <w:vAlign w:val="center"/>
          </w:tcPr>
          <w:p>
            <w:pPr>
              <w:snapToGrid w:val="0"/>
              <w:jc w:val="center"/>
              <w:rPr>
                <w:rFonts w:hint="eastAsia" w:ascii="仿宋" w:hAnsi="仿宋" w:eastAsia="仿宋" w:cs="仿宋"/>
                <w:color w:val="000000"/>
              </w:rPr>
            </w:pPr>
          </w:p>
        </w:tc>
        <w:tc>
          <w:tcPr>
            <w:tcW w:w="2322" w:type="dxa"/>
            <w:vMerge w:val="continue"/>
            <w:noWrap w:val="0"/>
            <w:vAlign w:val="center"/>
          </w:tcPr>
          <w:p>
            <w:pPr>
              <w:pStyle w:val="106"/>
              <w:jc w:val="center"/>
              <w:rPr>
                <w:rFonts w:hint="eastAsia" w:ascii="仿宋" w:hAnsi="仿宋" w:eastAsia="仿宋" w:cs="仿宋"/>
                <w:sz w:val="18"/>
                <w:szCs w:val="18"/>
              </w:rPr>
            </w:pPr>
          </w:p>
        </w:tc>
        <w:tc>
          <w:tcPr>
            <w:tcW w:w="2538"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内容缺项；引用强制性技术标准错误，或明显违反国家和省有关规定</w:t>
            </w:r>
          </w:p>
        </w:tc>
        <w:tc>
          <w:tcPr>
            <w:tcW w:w="864"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不合格</w:t>
            </w:r>
          </w:p>
        </w:tc>
        <w:tc>
          <w:tcPr>
            <w:tcW w:w="567" w:type="dxa"/>
            <w:vMerge w:val="continue"/>
            <w:noWrap w:val="0"/>
            <w:vAlign w:val="center"/>
          </w:tcPr>
          <w:p>
            <w:pPr>
              <w:pStyle w:val="106"/>
              <w:jc w:val="center"/>
              <w:rPr>
                <w:rFonts w:hint="eastAsia" w:ascii="仿宋" w:hAnsi="仿宋" w:eastAsia="仿宋" w:cs="仿宋"/>
                <w:sz w:val="18"/>
                <w:szCs w:val="18"/>
              </w:rPr>
            </w:pPr>
          </w:p>
        </w:tc>
        <w:tc>
          <w:tcPr>
            <w:tcW w:w="851" w:type="dxa"/>
            <w:vMerge w:val="continue"/>
            <w:noWrap w:val="0"/>
            <w:vAlign w:val="center"/>
          </w:tcPr>
          <w:p>
            <w:pPr>
              <w:jc w:val="center"/>
              <w:rPr>
                <w:rFonts w:hint="eastAsia" w:ascii="仿宋" w:hAnsi="仿宋" w:eastAsia="仿宋" w:cs="仿宋"/>
                <w:color w:val="000000"/>
                <w:kern w:val="0"/>
                <w:sz w:val="18"/>
                <w:szCs w:val="18"/>
              </w:rPr>
            </w:pPr>
          </w:p>
        </w:tc>
        <w:tc>
          <w:tcPr>
            <w:tcW w:w="992" w:type="dxa"/>
            <w:vMerge w:val="continue"/>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426" w:type="dxa"/>
            <w:vMerge w:val="restart"/>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5</w:t>
            </w:r>
          </w:p>
        </w:tc>
        <w:tc>
          <w:tcPr>
            <w:tcW w:w="938" w:type="dxa"/>
            <w:vMerge w:val="continue"/>
            <w:noWrap w:val="0"/>
            <w:vAlign w:val="center"/>
          </w:tcPr>
          <w:p>
            <w:pPr>
              <w:snapToGrid w:val="0"/>
              <w:jc w:val="center"/>
              <w:rPr>
                <w:rFonts w:hint="eastAsia" w:ascii="仿宋" w:hAnsi="仿宋" w:eastAsia="仿宋" w:cs="仿宋"/>
                <w:color w:val="000000"/>
              </w:rPr>
            </w:pPr>
          </w:p>
        </w:tc>
        <w:tc>
          <w:tcPr>
            <w:tcW w:w="2322" w:type="dxa"/>
            <w:vMerge w:val="restart"/>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环境保护管理体系与措施</w:t>
            </w:r>
          </w:p>
        </w:tc>
        <w:tc>
          <w:tcPr>
            <w:tcW w:w="2538"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内容基本完整</w:t>
            </w:r>
          </w:p>
        </w:tc>
        <w:tc>
          <w:tcPr>
            <w:tcW w:w="864"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合格</w:t>
            </w:r>
          </w:p>
        </w:tc>
        <w:tc>
          <w:tcPr>
            <w:tcW w:w="567" w:type="dxa"/>
            <w:vMerge w:val="restart"/>
            <w:noWrap w:val="0"/>
            <w:vAlign w:val="center"/>
          </w:tcPr>
          <w:p>
            <w:pPr>
              <w:pStyle w:val="106"/>
              <w:jc w:val="center"/>
              <w:rPr>
                <w:rFonts w:hint="eastAsia" w:ascii="仿宋" w:hAnsi="仿宋" w:eastAsia="仿宋" w:cs="仿宋"/>
                <w:sz w:val="18"/>
                <w:szCs w:val="18"/>
              </w:rPr>
            </w:pPr>
          </w:p>
        </w:tc>
        <w:tc>
          <w:tcPr>
            <w:tcW w:w="851" w:type="dxa"/>
            <w:vMerge w:val="restart"/>
            <w:noWrap w:val="0"/>
            <w:vAlign w:val="center"/>
          </w:tcPr>
          <w:p>
            <w:pPr>
              <w:jc w:val="center"/>
              <w:rPr>
                <w:rFonts w:hint="eastAsia" w:ascii="仿宋" w:hAnsi="仿宋" w:eastAsia="仿宋" w:cs="仿宋"/>
                <w:color w:val="000000"/>
                <w:kern w:val="0"/>
                <w:sz w:val="18"/>
                <w:szCs w:val="18"/>
              </w:rPr>
            </w:pPr>
          </w:p>
        </w:tc>
        <w:tc>
          <w:tcPr>
            <w:tcW w:w="992" w:type="dxa"/>
            <w:vMerge w:val="restart"/>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26" w:type="dxa"/>
            <w:vMerge w:val="continue"/>
            <w:noWrap w:val="0"/>
            <w:vAlign w:val="center"/>
          </w:tcPr>
          <w:p>
            <w:pPr>
              <w:jc w:val="center"/>
              <w:rPr>
                <w:rFonts w:hint="eastAsia" w:ascii="仿宋" w:hAnsi="仿宋" w:eastAsia="仿宋" w:cs="仿宋"/>
                <w:color w:val="000000"/>
                <w:kern w:val="0"/>
                <w:sz w:val="18"/>
                <w:szCs w:val="18"/>
              </w:rPr>
            </w:pPr>
          </w:p>
        </w:tc>
        <w:tc>
          <w:tcPr>
            <w:tcW w:w="938" w:type="dxa"/>
            <w:vMerge w:val="continue"/>
            <w:noWrap w:val="0"/>
            <w:vAlign w:val="center"/>
          </w:tcPr>
          <w:p>
            <w:pPr>
              <w:snapToGrid w:val="0"/>
              <w:jc w:val="center"/>
              <w:rPr>
                <w:rFonts w:hint="eastAsia" w:ascii="仿宋" w:hAnsi="仿宋" w:eastAsia="仿宋" w:cs="仿宋"/>
                <w:color w:val="000000"/>
              </w:rPr>
            </w:pPr>
          </w:p>
        </w:tc>
        <w:tc>
          <w:tcPr>
            <w:tcW w:w="2322" w:type="dxa"/>
            <w:vMerge w:val="continue"/>
            <w:noWrap w:val="0"/>
            <w:vAlign w:val="center"/>
          </w:tcPr>
          <w:p>
            <w:pPr>
              <w:pStyle w:val="106"/>
              <w:jc w:val="center"/>
              <w:rPr>
                <w:rFonts w:hint="eastAsia" w:ascii="仿宋" w:hAnsi="仿宋" w:eastAsia="仿宋" w:cs="仿宋"/>
                <w:sz w:val="18"/>
                <w:szCs w:val="18"/>
              </w:rPr>
            </w:pPr>
          </w:p>
        </w:tc>
        <w:tc>
          <w:tcPr>
            <w:tcW w:w="2538"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内容缺项；引用强制性技术标准错误，或明显违反国家和省有关规定</w:t>
            </w:r>
          </w:p>
        </w:tc>
        <w:tc>
          <w:tcPr>
            <w:tcW w:w="864"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不合格</w:t>
            </w:r>
          </w:p>
        </w:tc>
        <w:tc>
          <w:tcPr>
            <w:tcW w:w="567" w:type="dxa"/>
            <w:vMerge w:val="continue"/>
            <w:noWrap w:val="0"/>
            <w:vAlign w:val="center"/>
          </w:tcPr>
          <w:p>
            <w:pPr>
              <w:pStyle w:val="106"/>
              <w:jc w:val="center"/>
              <w:rPr>
                <w:rFonts w:hint="eastAsia" w:ascii="仿宋" w:hAnsi="仿宋" w:eastAsia="仿宋" w:cs="仿宋"/>
                <w:sz w:val="18"/>
                <w:szCs w:val="18"/>
              </w:rPr>
            </w:pPr>
          </w:p>
        </w:tc>
        <w:tc>
          <w:tcPr>
            <w:tcW w:w="851" w:type="dxa"/>
            <w:vMerge w:val="continue"/>
            <w:noWrap w:val="0"/>
            <w:vAlign w:val="center"/>
          </w:tcPr>
          <w:p>
            <w:pPr>
              <w:jc w:val="center"/>
              <w:rPr>
                <w:rFonts w:hint="eastAsia" w:ascii="仿宋" w:hAnsi="仿宋" w:eastAsia="仿宋" w:cs="仿宋"/>
                <w:color w:val="000000"/>
                <w:kern w:val="0"/>
                <w:sz w:val="18"/>
                <w:szCs w:val="18"/>
              </w:rPr>
            </w:pPr>
          </w:p>
        </w:tc>
        <w:tc>
          <w:tcPr>
            <w:tcW w:w="992" w:type="dxa"/>
            <w:vMerge w:val="continue"/>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426" w:type="dxa"/>
            <w:vMerge w:val="restart"/>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6</w:t>
            </w:r>
          </w:p>
        </w:tc>
        <w:tc>
          <w:tcPr>
            <w:tcW w:w="938" w:type="dxa"/>
            <w:vMerge w:val="continue"/>
            <w:noWrap w:val="0"/>
            <w:vAlign w:val="center"/>
          </w:tcPr>
          <w:p>
            <w:pPr>
              <w:snapToGrid w:val="0"/>
              <w:jc w:val="center"/>
              <w:rPr>
                <w:rFonts w:hint="eastAsia" w:ascii="仿宋" w:hAnsi="仿宋" w:eastAsia="仿宋" w:cs="仿宋"/>
                <w:color w:val="000000"/>
              </w:rPr>
            </w:pPr>
          </w:p>
        </w:tc>
        <w:tc>
          <w:tcPr>
            <w:tcW w:w="2322" w:type="dxa"/>
            <w:vMerge w:val="restart"/>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工程进度计划与措施</w:t>
            </w:r>
          </w:p>
        </w:tc>
        <w:tc>
          <w:tcPr>
            <w:tcW w:w="2538"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内容基本完整</w:t>
            </w:r>
          </w:p>
        </w:tc>
        <w:tc>
          <w:tcPr>
            <w:tcW w:w="864"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合格</w:t>
            </w:r>
          </w:p>
        </w:tc>
        <w:tc>
          <w:tcPr>
            <w:tcW w:w="567" w:type="dxa"/>
            <w:vMerge w:val="restart"/>
            <w:noWrap w:val="0"/>
            <w:vAlign w:val="center"/>
          </w:tcPr>
          <w:p>
            <w:pPr>
              <w:pStyle w:val="106"/>
              <w:jc w:val="center"/>
              <w:rPr>
                <w:rFonts w:hint="eastAsia" w:ascii="仿宋" w:hAnsi="仿宋" w:eastAsia="仿宋" w:cs="仿宋"/>
                <w:sz w:val="18"/>
                <w:szCs w:val="18"/>
              </w:rPr>
            </w:pPr>
          </w:p>
        </w:tc>
        <w:tc>
          <w:tcPr>
            <w:tcW w:w="851" w:type="dxa"/>
            <w:vMerge w:val="restart"/>
            <w:noWrap w:val="0"/>
            <w:vAlign w:val="center"/>
          </w:tcPr>
          <w:p>
            <w:pPr>
              <w:jc w:val="center"/>
              <w:rPr>
                <w:rFonts w:hint="eastAsia" w:ascii="仿宋" w:hAnsi="仿宋" w:eastAsia="仿宋" w:cs="仿宋"/>
                <w:color w:val="000000"/>
                <w:kern w:val="0"/>
                <w:sz w:val="18"/>
                <w:szCs w:val="18"/>
              </w:rPr>
            </w:pPr>
          </w:p>
        </w:tc>
        <w:tc>
          <w:tcPr>
            <w:tcW w:w="992" w:type="dxa"/>
            <w:vMerge w:val="restart"/>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26" w:type="dxa"/>
            <w:vMerge w:val="continue"/>
            <w:noWrap w:val="0"/>
            <w:vAlign w:val="center"/>
          </w:tcPr>
          <w:p>
            <w:pPr>
              <w:jc w:val="center"/>
              <w:rPr>
                <w:rFonts w:hint="eastAsia" w:ascii="仿宋" w:hAnsi="仿宋" w:eastAsia="仿宋" w:cs="仿宋"/>
                <w:color w:val="000000"/>
                <w:kern w:val="0"/>
                <w:sz w:val="18"/>
                <w:szCs w:val="18"/>
              </w:rPr>
            </w:pPr>
          </w:p>
        </w:tc>
        <w:tc>
          <w:tcPr>
            <w:tcW w:w="938" w:type="dxa"/>
            <w:vMerge w:val="continue"/>
            <w:noWrap w:val="0"/>
            <w:vAlign w:val="center"/>
          </w:tcPr>
          <w:p>
            <w:pPr>
              <w:snapToGrid w:val="0"/>
              <w:jc w:val="center"/>
              <w:rPr>
                <w:rFonts w:hint="eastAsia" w:ascii="仿宋" w:hAnsi="仿宋" w:eastAsia="仿宋" w:cs="仿宋"/>
                <w:color w:val="000000"/>
              </w:rPr>
            </w:pPr>
          </w:p>
        </w:tc>
        <w:tc>
          <w:tcPr>
            <w:tcW w:w="2322" w:type="dxa"/>
            <w:vMerge w:val="continue"/>
            <w:noWrap w:val="0"/>
            <w:vAlign w:val="center"/>
          </w:tcPr>
          <w:p>
            <w:pPr>
              <w:pStyle w:val="106"/>
              <w:jc w:val="center"/>
              <w:rPr>
                <w:rFonts w:hint="eastAsia" w:ascii="仿宋" w:hAnsi="仿宋" w:eastAsia="仿宋" w:cs="仿宋"/>
                <w:sz w:val="18"/>
                <w:szCs w:val="18"/>
              </w:rPr>
            </w:pPr>
          </w:p>
        </w:tc>
        <w:tc>
          <w:tcPr>
            <w:tcW w:w="2538"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内容缺项；引用强制性技术标准错误，或明显违反国家和省有关规定</w:t>
            </w:r>
          </w:p>
        </w:tc>
        <w:tc>
          <w:tcPr>
            <w:tcW w:w="864"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不合格</w:t>
            </w:r>
          </w:p>
        </w:tc>
        <w:tc>
          <w:tcPr>
            <w:tcW w:w="567" w:type="dxa"/>
            <w:vMerge w:val="continue"/>
            <w:noWrap w:val="0"/>
            <w:vAlign w:val="center"/>
          </w:tcPr>
          <w:p>
            <w:pPr>
              <w:pStyle w:val="106"/>
              <w:jc w:val="center"/>
              <w:rPr>
                <w:rFonts w:hint="eastAsia" w:ascii="仿宋" w:hAnsi="仿宋" w:eastAsia="仿宋" w:cs="仿宋"/>
                <w:sz w:val="18"/>
                <w:szCs w:val="18"/>
              </w:rPr>
            </w:pPr>
          </w:p>
        </w:tc>
        <w:tc>
          <w:tcPr>
            <w:tcW w:w="851" w:type="dxa"/>
            <w:vMerge w:val="continue"/>
            <w:noWrap w:val="0"/>
            <w:vAlign w:val="center"/>
          </w:tcPr>
          <w:p>
            <w:pPr>
              <w:jc w:val="center"/>
              <w:rPr>
                <w:rFonts w:hint="eastAsia" w:ascii="仿宋" w:hAnsi="仿宋" w:eastAsia="仿宋" w:cs="仿宋"/>
                <w:color w:val="000000"/>
                <w:kern w:val="0"/>
                <w:sz w:val="18"/>
                <w:szCs w:val="18"/>
              </w:rPr>
            </w:pPr>
          </w:p>
        </w:tc>
        <w:tc>
          <w:tcPr>
            <w:tcW w:w="992" w:type="dxa"/>
            <w:vMerge w:val="continue"/>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26" w:type="dxa"/>
            <w:vMerge w:val="restart"/>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7</w:t>
            </w:r>
          </w:p>
        </w:tc>
        <w:tc>
          <w:tcPr>
            <w:tcW w:w="938" w:type="dxa"/>
            <w:vMerge w:val="continue"/>
            <w:noWrap w:val="0"/>
            <w:vAlign w:val="center"/>
          </w:tcPr>
          <w:p>
            <w:pPr>
              <w:snapToGrid w:val="0"/>
              <w:jc w:val="center"/>
              <w:rPr>
                <w:rFonts w:hint="eastAsia" w:ascii="仿宋" w:hAnsi="仿宋" w:eastAsia="仿宋" w:cs="仿宋"/>
                <w:color w:val="000000"/>
              </w:rPr>
            </w:pPr>
          </w:p>
        </w:tc>
        <w:tc>
          <w:tcPr>
            <w:tcW w:w="2322" w:type="dxa"/>
            <w:vMerge w:val="restart"/>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施工总布置</w:t>
            </w:r>
          </w:p>
        </w:tc>
        <w:tc>
          <w:tcPr>
            <w:tcW w:w="2538"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内容基本完整</w:t>
            </w:r>
          </w:p>
        </w:tc>
        <w:tc>
          <w:tcPr>
            <w:tcW w:w="864"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合格</w:t>
            </w:r>
          </w:p>
        </w:tc>
        <w:tc>
          <w:tcPr>
            <w:tcW w:w="567" w:type="dxa"/>
            <w:vMerge w:val="restart"/>
            <w:noWrap w:val="0"/>
            <w:vAlign w:val="center"/>
          </w:tcPr>
          <w:p>
            <w:pPr>
              <w:pStyle w:val="106"/>
              <w:jc w:val="center"/>
              <w:rPr>
                <w:rFonts w:hint="eastAsia" w:ascii="仿宋" w:hAnsi="仿宋" w:eastAsia="仿宋" w:cs="仿宋"/>
                <w:sz w:val="18"/>
                <w:szCs w:val="18"/>
              </w:rPr>
            </w:pPr>
          </w:p>
        </w:tc>
        <w:tc>
          <w:tcPr>
            <w:tcW w:w="851" w:type="dxa"/>
            <w:vMerge w:val="restart"/>
            <w:noWrap w:val="0"/>
            <w:vAlign w:val="center"/>
          </w:tcPr>
          <w:p>
            <w:pPr>
              <w:jc w:val="center"/>
              <w:rPr>
                <w:rFonts w:hint="eastAsia" w:ascii="仿宋" w:hAnsi="仿宋" w:eastAsia="仿宋" w:cs="仿宋"/>
                <w:color w:val="000000"/>
                <w:kern w:val="0"/>
                <w:sz w:val="18"/>
                <w:szCs w:val="18"/>
              </w:rPr>
            </w:pPr>
          </w:p>
        </w:tc>
        <w:tc>
          <w:tcPr>
            <w:tcW w:w="992" w:type="dxa"/>
            <w:vMerge w:val="restart"/>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26" w:type="dxa"/>
            <w:vMerge w:val="continue"/>
            <w:noWrap w:val="0"/>
            <w:vAlign w:val="center"/>
          </w:tcPr>
          <w:p>
            <w:pPr>
              <w:jc w:val="center"/>
              <w:rPr>
                <w:rFonts w:hint="eastAsia" w:ascii="仿宋" w:hAnsi="仿宋" w:eastAsia="仿宋" w:cs="仿宋"/>
                <w:color w:val="000000"/>
                <w:kern w:val="0"/>
                <w:sz w:val="18"/>
                <w:szCs w:val="18"/>
              </w:rPr>
            </w:pPr>
          </w:p>
        </w:tc>
        <w:tc>
          <w:tcPr>
            <w:tcW w:w="938" w:type="dxa"/>
            <w:vMerge w:val="continue"/>
            <w:noWrap w:val="0"/>
            <w:vAlign w:val="center"/>
          </w:tcPr>
          <w:p>
            <w:pPr>
              <w:snapToGrid w:val="0"/>
              <w:jc w:val="center"/>
              <w:rPr>
                <w:rFonts w:hint="eastAsia" w:ascii="仿宋" w:hAnsi="仿宋" w:eastAsia="仿宋" w:cs="仿宋"/>
                <w:color w:val="000000"/>
              </w:rPr>
            </w:pPr>
          </w:p>
        </w:tc>
        <w:tc>
          <w:tcPr>
            <w:tcW w:w="2322" w:type="dxa"/>
            <w:vMerge w:val="continue"/>
            <w:noWrap w:val="0"/>
            <w:vAlign w:val="center"/>
          </w:tcPr>
          <w:p>
            <w:pPr>
              <w:pStyle w:val="106"/>
              <w:jc w:val="center"/>
              <w:rPr>
                <w:rFonts w:hint="eastAsia" w:ascii="仿宋" w:hAnsi="仿宋" w:eastAsia="仿宋" w:cs="仿宋"/>
                <w:sz w:val="18"/>
                <w:szCs w:val="18"/>
              </w:rPr>
            </w:pPr>
          </w:p>
        </w:tc>
        <w:tc>
          <w:tcPr>
            <w:tcW w:w="2538"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内容缺项；引用强制性技术标准错误，或明显违反国家和省有关规定</w:t>
            </w:r>
          </w:p>
        </w:tc>
        <w:tc>
          <w:tcPr>
            <w:tcW w:w="864"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不合格</w:t>
            </w:r>
          </w:p>
        </w:tc>
        <w:tc>
          <w:tcPr>
            <w:tcW w:w="567" w:type="dxa"/>
            <w:vMerge w:val="continue"/>
            <w:noWrap w:val="0"/>
            <w:vAlign w:val="center"/>
          </w:tcPr>
          <w:p>
            <w:pPr>
              <w:pStyle w:val="106"/>
              <w:jc w:val="center"/>
              <w:rPr>
                <w:rFonts w:hint="eastAsia" w:ascii="仿宋" w:hAnsi="仿宋" w:eastAsia="仿宋" w:cs="仿宋"/>
                <w:sz w:val="18"/>
                <w:szCs w:val="18"/>
              </w:rPr>
            </w:pPr>
          </w:p>
        </w:tc>
        <w:tc>
          <w:tcPr>
            <w:tcW w:w="851" w:type="dxa"/>
            <w:vMerge w:val="continue"/>
            <w:noWrap w:val="0"/>
            <w:vAlign w:val="center"/>
          </w:tcPr>
          <w:p>
            <w:pPr>
              <w:jc w:val="center"/>
              <w:rPr>
                <w:rFonts w:hint="eastAsia" w:ascii="仿宋" w:hAnsi="仿宋" w:eastAsia="仿宋" w:cs="仿宋"/>
                <w:color w:val="000000"/>
                <w:kern w:val="0"/>
                <w:sz w:val="18"/>
                <w:szCs w:val="18"/>
              </w:rPr>
            </w:pPr>
          </w:p>
        </w:tc>
        <w:tc>
          <w:tcPr>
            <w:tcW w:w="992" w:type="dxa"/>
            <w:vMerge w:val="continue"/>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426" w:type="dxa"/>
            <w:vMerge w:val="restart"/>
            <w:noWrap w:val="0"/>
            <w:vAlign w:val="center"/>
          </w:tcPr>
          <w:p>
            <w:pPr>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8</w:t>
            </w:r>
          </w:p>
        </w:tc>
        <w:tc>
          <w:tcPr>
            <w:tcW w:w="938" w:type="dxa"/>
            <w:vMerge w:val="continue"/>
            <w:noWrap w:val="0"/>
            <w:vAlign w:val="center"/>
          </w:tcPr>
          <w:p>
            <w:pPr>
              <w:snapToGrid w:val="0"/>
              <w:jc w:val="center"/>
              <w:rPr>
                <w:rFonts w:hint="eastAsia" w:ascii="仿宋" w:hAnsi="仿宋" w:eastAsia="仿宋" w:cs="仿宋"/>
                <w:color w:val="000000"/>
              </w:rPr>
            </w:pPr>
          </w:p>
        </w:tc>
        <w:tc>
          <w:tcPr>
            <w:tcW w:w="2322" w:type="dxa"/>
            <w:vMerge w:val="restart"/>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资源配备计划</w:t>
            </w:r>
          </w:p>
        </w:tc>
        <w:tc>
          <w:tcPr>
            <w:tcW w:w="2538"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内容基本完整</w:t>
            </w:r>
          </w:p>
        </w:tc>
        <w:tc>
          <w:tcPr>
            <w:tcW w:w="864"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合格</w:t>
            </w:r>
          </w:p>
        </w:tc>
        <w:tc>
          <w:tcPr>
            <w:tcW w:w="567" w:type="dxa"/>
            <w:vMerge w:val="restart"/>
            <w:noWrap w:val="0"/>
            <w:vAlign w:val="center"/>
          </w:tcPr>
          <w:p>
            <w:pPr>
              <w:pStyle w:val="106"/>
              <w:jc w:val="center"/>
              <w:rPr>
                <w:rFonts w:hint="eastAsia" w:ascii="仿宋" w:hAnsi="仿宋" w:eastAsia="仿宋" w:cs="仿宋"/>
                <w:sz w:val="18"/>
                <w:szCs w:val="18"/>
              </w:rPr>
            </w:pPr>
          </w:p>
        </w:tc>
        <w:tc>
          <w:tcPr>
            <w:tcW w:w="851" w:type="dxa"/>
            <w:vMerge w:val="restart"/>
            <w:noWrap w:val="0"/>
            <w:vAlign w:val="center"/>
          </w:tcPr>
          <w:p>
            <w:pPr>
              <w:jc w:val="center"/>
              <w:rPr>
                <w:rFonts w:hint="eastAsia" w:ascii="仿宋" w:hAnsi="仿宋" w:eastAsia="仿宋" w:cs="仿宋"/>
                <w:color w:val="000000"/>
                <w:kern w:val="0"/>
                <w:sz w:val="18"/>
                <w:szCs w:val="18"/>
              </w:rPr>
            </w:pPr>
          </w:p>
        </w:tc>
        <w:tc>
          <w:tcPr>
            <w:tcW w:w="992" w:type="dxa"/>
            <w:vMerge w:val="restart"/>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26" w:type="dxa"/>
            <w:vMerge w:val="continue"/>
            <w:noWrap w:val="0"/>
            <w:vAlign w:val="center"/>
          </w:tcPr>
          <w:p>
            <w:pPr>
              <w:jc w:val="center"/>
              <w:rPr>
                <w:rFonts w:hint="eastAsia" w:ascii="仿宋" w:hAnsi="仿宋" w:eastAsia="仿宋" w:cs="仿宋"/>
                <w:color w:val="000000"/>
                <w:kern w:val="0"/>
                <w:sz w:val="18"/>
                <w:szCs w:val="18"/>
              </w:rPr>
            </w:pPr>
          </w:p>
        </w:tc>
        <w:tc>
          <w:tcPr>
            <w:tcW w:w="938" w:type="dxa"/>
            <w:vMerge w:val="continue"/>
            <w:noWrap w:val="0"/>
            <w:vAlign w:val="center"/>
          </w:tcPr>
          <w:p>
            <w:pPr>
              <w:snapToGrid w:val="0"/>
              <w:jc w:val="center"/>
              <w:rPr>
                <w:rFonts w:hint="eastAsia" w:ascii="仿宋" w:hAnsi="仿宋" w:eastAsia="仿宋" w:cs="仿宋"/>
                <w:color w:val="000000"/>
              </w:rPr>
            </w:pPr>
          </w:p>
        </w:tc>
        <w:tc>
          <w:tcPr>
            <w:tcW w:w="2322" w:type="dxa"/>
            <w:vMerge w:val="continue"/>
            <w:noWrap w:val="0"/>
            <w:vAlign w:val="center"/>
          </w:tcPr>
          <w:p>
            <w:pPr>
              <w:pStyle w:val="106"/>
              <w:jc w:val="center"/>
              <w:rPr>
                <w:rFonts w:hint="eastAsia" w:ascii="仿宋" w:hAnsi="仿宋" w:eastAsia="仿宋" w:cs="仿宋"/>
                <w:sz w:val="18"/>
                <w:szCs w:val="18"/>
              </w:rPr>
            </w:pPr>
          </w:p>
        </w:tc>
        <w:tc>
          <w:tcPr>
            <w:tcW w:w="2538"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内容缺项；引用强制性技术标准错误，或明显违反国家和省有关规定</w:t>
            </w:r>
          </w:p>
        </w:tc>
        <w:tc>
          <w:tcPr>
            <w:tcW w:w="864" w:type="dxa"/>
            <w:noWrap w:val="0"/>
            <w:vAlign w:val="center"/>
          </w:tcPr>
          <w:p>
            <w:pPr>
              <w:pStyle w:val="106"/>
              <w:jc w:val="center"/>
              <w:rPr>
                <w:rFonts w:hint="eastAsia" w:ascii="仿宋" w:hAnsi="仿宋" w:eastAsia="仿宋" w:cs="仿宋"/>
                <w:sz w:val="18"/>
                <w:szCs w:val="18"/>
              </w:rPr>
            </w:pPr>
            <w:r>
              <w:rPr>
                <w:rFonts w:hint="eastAsia" w:ascii="仿宋" w:hAnsi="仿宋" w:eastAsia="仿宋" w:cs="仿宋"/>
                <w:sz w:val="18"/>
                <w:szCs w:val="18"/>
              </w:rPr>
              <w:t>不合格</w:t>
            </w:r>
          </w:p>
        </w:tc>
        <w:tc>
          <w:tcPr>
            <w:tcW w:w="567" w:type="dxa"/>
            <w:vMerge w:val="continue"/>
            <w:noWrap w:val="0"/>
            <w:vAlign w:val="center"/>
          </w:tcPr>
          <w:p>
            <w:pPr>
              <w:pStyle w:val="106"/>
              <w:jc w:val="center"/>
              <w:rPr>
                <w:rFonts w:hint="eastAsia" w:ascii="仿宋" w:hAnsi="仿宋" w:eastAsia="仿宋" w:cs="仿宋"/>
                <w:sz w:val="18"/>
                <w:szCs w:val="18"/>
              </w:rPr>
            </w:pPr>
          </w:p>
        </w:tc>
        <w:tc>
          <w:tcPr>
            <w:tcW w:w="851" w:type="dxa"/>
            <w:vMerge w:val="continue"/>
            <w:noWrap w:val="0"/>
            <w:vAlign w:val="center"/>
          </w:tcPr>
          <w:p>
            <w:pPr>
              <w:jc w:val="center"/>
              <w:rPr>
                <w:rFonts w:hint="eastAsia" w:ascii="仿宋" w:hAnsi="仿宋" w:eastAsia="仿宋" w:cs="仿宋"/>
                <w:color w:val="000000"/>
                <w:kern w:val="0"/>
                <w:sz w:val="18"/>
                <w:szCs w:val="18"/>
              </w:rPr>
            </w:pPr>
          </w:p>
        </w:tc>
        <w:tc>
          <w:tcPr>
            <w:tcW w:w="992" w:type="dxa"/>
            <w:vMerge w:val="continue"/>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26" w:type="dxa"/>
            <w:vMerge w:val="restart"/>
            <w:noWrap w:val="0"/>
            <w:vAlign w:val="center"/>
          </w:tcPr>
          <w:p>
            <w:pPr>
              <w:jc w:val="center"/>
              <w:rPr>
                <w:rFonts w:hint="eastAsia" w:ascii="仿宋" w:hAnsi="仿宋" w:eastAsia="仿宋" w:cs="仿宋"/>
                <w:color w:val="000000"/>
                <w:kern w:val="0"/>
                <w:sz w:val="18"/>
                <w:szCs w:val="18"/>
              </w:rPr>
            </w:pPr>
          </w:p>
        </w:tc>
        <w:tc>
          <w:tcPr>
            <w:tcW w:w="938" w:type="dxa"/>
            <w:vMerge w:val="continue"/>
            <w:noWrap w:val="0"/>
            <w:vAlign w:val="center"/>
          </w:tcPr>
          <w:p>
            <w:pPr>
              <w:snapToGrid w:val="0"/>
              <w:jc w:val="center"/>
              <w:rPr>
                <w:rFonts w:hint="eastAsia" w:ascii="仿宋" w:hAnsi="仿宋" w:eastAsia="仿宋" w:cs="仿宋"/>
                <w:color w:val="000000"/>
              </w:rPr>
            </w:pPr>
          </w:p>
        </w:tc>
        <w:tc>
          <w:tcPr>
            <w:tcW w:w="2322" w:type="dxa"/>
            <w:vMerge w:val="restart"/>
            <w:noWrap w:val="0"/>
            <w:vAlign w:val="center"/>
          </w:tcPr>
          <w:p>
            <w:pPr>
              <w:pStyle w:val="106"/>
              <w:jc w:val="center"/>
              <w:rPr>
                <w:rFonts w:hint="eastAsia" w:ascii="仿宋" w:hAnsi="仿宋" w:eastAsia="仿宋" w:cs="仿宋"/>
                <w:sz w:val="18"/>
                <w:szCs w:val="18"/>
              </w:rPr>
            </w:pPr>
            <w:r>
              <w:rPr>
                <w:rFonts w:hint="eastAsia" w:ascii="仿宋" w:hAnsi="仿宋" w:eastAsia="仿宋" w:cs="仿宋"/>
                <w:b/>
                <w:sz w:val="18"/>
                <w:szCs w:val="18"/>
              </w:rPr>
              <w:t>……</w:t>
            </w:r>
          </w:p>
        </w:tc>
        <w:tc>
          <w:tcPr>
            <w:tcW w:w="2538" w:type="dxa"/>
            <w:noWrap w:val="0"/>
            <w:vAlign w:val="center"/>
          </w:tcPr>
          <w:p>
            <w:pPr>
              <w:pStyle w:val="106"/>
              <w:jc w:val="center"/>
              <w:rPr>
                <w:rFonts w:hint="eastAsia" w:ascii="仿宋" w:hAnsi="仿宋" w:eastAsia="仿宋" w:cs="仿宋"/>
                <w:sz w:val="18"/>
                <w:szCs w:val="18"/>
              </w:rPr>
            </w:pPr>
          </w:p>
        </w:tc>
        <w:tc>
          <w:tcPr>
            <w:tcW w:w="864" w:type="dxa"/>
            <w:noWrap w:val="0"/>
            <w:vAlign w:val="center"/>
          </w:tcPr>
          <w:p>
            <w:pPr>
              <w:pStyle w:val="106"/>
              <w:jc w:val="center"/>
              <w:rPr>
                <w:rFonts w:hint="eastAsia" w:ascii="仿宋" w:hAnsi="仿宋" w:eastAsia="仿宋" w:cs="仿宋"/>
                <w:sz w:val="18"/>
                <w:szCs w:val="18"/>
              </w:rPr>
            </w:pPr>
          </w:p>
        </w:tc>
        <w:tc>
          <w:tcPr>
            <w:tcW w:w="567" w:type="dxa"/>
            <w:vMerge w:val="restart"/>
            <w:noWrap w:val="0"/>
            <w:vAlign w:val="center"/>
          </w:tcPr>
          <w:p>
            <w:pPr>
              <w:pStyle w:val="106"/>
              <w:jc w:val="center"/>
              <w:rPr>
                <w:rFonts w:hint="eastAsia" w:ascii="仿宋" w:hAnsi="仿宋" w:eastAsia="仿宋" w:cs="仿宋"/>
                <w:sz w:val="18"/>
                <w:szCs w:val="18"/>
              </w:rPr>
            </w:pPr>
          </w:p>
        </w:tc>
        <w:tc>
          <w:tcPr>
            <w:tcW w:w="851" w:type="dxa"/>
            <w:vMerge w:val="restart"/>
            <w:noWrap w:val="0"/>
            <w:vAlign w:val="center"/>
          </w:tcPr>
          <w:p>
            <w:pPr>
              <w:jc w:val="center"/>
              <w:rPr>
                <w:rFonts w:hint="eastAsia" w:ascii="仿宋" w:hAnsi="仿宋" w:eastAsia="仿宋" w:cs="仿宋"/>
                <w:color w:val="000000"/>
                <w:kern w:val="0"/>
                <w:sz w:val="18"/>
                <w:szCs w:val="18"/>
              </w:rPr>
            </w:pPr>
          </w:p>
        </w:tc>
        <w:tc>
          <w:tcPr>
            <w:tcW w:w="992" w:type="dxa"/>
            <w:vMerge w:val="restart"/>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26" w:type="dxa"/>
            <w:vMerge w:val="continue"/>
            <w:noWrap w:val="0"/>
            <w:vAlign w:val="center"/>
          </w:tcPr>
          <w:p>
            <w:pPr>
              <w:jc w:val="center"/>
              <w:rPr>
                <w:rFonts w:hint="eastAsia" w:ascii="仿宋" w:hAnsi="仿宋" w:eastAsia="仿宋" w:cs="仿宋"/>
                <w:color w:val="000000"/>
                <w:kern w:val="0"/>
                <w:sz w:val="18"/>
                <w:szCs w:val="18"/>
              </w:rPr>
            </w:pPr>
          </w:p>
        </w:tc>
        <w:tc>
          <w:tcPr>
            <w:tcW w:w="938" w:type="dxa"/>
            <w:vMerge w:val="continue"/>
            <w:noWrap w:val="0"/>
            <w:vAlign w:val="center"/>
          </w:tcPr>
          <w:p>
            <w:pPr>
              <w:snapToGrid w:val="0"/>
              <w:jc w:val="center"/>
              <w:rPr>
                <w:rFonts w:hint="eastAsia" w:ascii="仿宋" w:hAnsi="仿宋" w:eastAsia="仿宋" w:cs="仿宋"/>
                <w:color w:val="000000"/>
              </w:rPr>
            </w:pPr>
          </w:p>
        </w:tc>
        <w:tc>
          <w:tcPr>
            <w:tcW w:w="2322" w:type="dxa"/>
            <w:vMerge w:val="continue"/>
            <w:noWrap w:val="0"/>
            <w:vAlign w:val="center"/>
          </w:tcPr>
          <w:p>
            <w:pPr>
              <w:pStyle w:val="106"/>
              <w:jc w:val="center"/>
              <w:rPr>
                <w:rFonts w:hint="eastAsia" w:ascii="仿宋" w:hAnsi="仿宋" w:eastAsia="仿宋" w:cs="仿宋"/>
                <w:sz w:val="18"/>
                <w:szCs w:val="18"/>
              </w:rPr>
            </w:pPr>
          </w:p>
        </w:tc>
        <w:tc>
          <w:tcPr>
            <w:tcW w:w="2538" w:type="dxa"/>
            <w:noWrap w:val="0"/>
            <w:vAlign w:val="center"/>
          </w:tcPr>
          <w:p>
            <w:pPr>
              <w:pStyle w:val="106"/>
              <w:jc w:val="center"/>
              <w:rPr>
                <w:rFonts w:hint="eastAsia" w:ascii="仿宋" w:hAnsi="仿宋" w:eastAsia="仿宋" w:cs="仿宋"/>
                <w:sz w:val="18"/>
                <w:szCs w:val="18"/>
              </w:rPr>
            </w:pPr>
          </w:p>
        </w:tc>
        <w:tc>
          <w:tcPr>
            <w:tcW w:w="864" w:type="dxa"/>
            <w:noWrap w:val="0"/>
            <w:vAlign w:val="center"/>
          </w:tcPr>
          <w:p>
            <w:pPr>
              <w:pStyle w:val="106"/>
              <w:jc w:val="center"/>
              <w:rPr>
                <w:rFonts w:hint="eastAsia" w:ascii="仿宋" w:hAnsi="仿宋" w:eastAsia="仿宋" w:cs="仿宋"/>
                <w:sz w:val="18"/>
                <w:szCs w:val="18"/>
              </w:rPr>
            </w:pPr>
          </w:p>
        </w:tc>
        <w:tc>
          <w:tcPr>
            <w:tcW w:w="567" w:type="dxa"/>
            <w:vMerge w:val="continue"/>
            <w:noWrap w:val="0"/>
            <w:vAlign w:val="center"/>
          </w:tcPr>
          <w:p>
            <w:pPr>
              <w:pStyle w:val="106"/>
              <w:jc w:val="center"/>
              <w:rPr>
                <w:rFonts w:hint="eastAsia" w:ascii="仿宋" w:hAnsi="仿宋" w:eastAsia="仿宋" w:cs="仿宋"/>
                <w:sz w:val="18"/>
                <w:szCs w:val="18"/>
              </w:rPr>
            </w:pPr>
          </w:p>
        </w:tc>
        <w:tc>
          <w:tcPr>
            <w:tcW w:w="851" w:type="dxa"/>
            <w:vMerge w:val="continue"/>
            <w:noWrap w:val="0"/>
            <w:vAlign w:val="center"/>
          </w:tcPr>
          <w:p>
            <w:pPr>
              <w:jc w:val="center"/>
              <w:rPr>
                <w:rFonts w:hint="eastAsia" w:ascii="仿宋" w:hAnsi="仿宋" w:eastAsia="仿宋" w:cs="仿宋"/>
                <w:color w:val="000000"/>
                <w:kern w:val="0"/>
                <w:sz w:val="18"/>
                <w:szCs w:val="18"/>
              </w:rPr>
            </w:pPr>
          </w:p>
        </w:tc>
        <w:tc>
          <w:tcPr>
            <w:tcW w:w="992" w:type="dxa"/>
            <w:vMerge w:val="continue"/>
            <w:noWrap w:val="0"/>
            <w:vAlign w:val="center"/>
          </w:tcPr>
          <w:p>
            <w:pPr>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426" w:type="dxa"/>
            <w:noWrap w:val="0"/>
            <w:vAlign w:val="center"/>
          </w:tcPr>
          <w:p>
            <w:pPr>
              <w:jc w:val="center"/>
              <w:rPr>
                <w:rFonts w:hint="eastAsia" w:ascii="仿宋" w:hAnsi="仿宋" w:eastAsia="仿宋" w:cs="仿宋"/>
                <w:color w:val="000000"/>
                <w:kern w:val="0"/>
              </w:rPr>
            </w:pPr>
          </w:p>
        </w:tc>
        <w:tc>
          <w:tcPr>
            <w:tcW w:w="6662" w:type="dxa"/>
            <w:gridSpan w:val="4"/>
            <w:noWrap w:val="0"/>
            <w:vAlign w:val="center"/>
          </w:tcPr>
          <w:p>
            <w:pPr>
              <w:jc w:val="center"/>
              <w:rPr>
                <w:rFonts w:hint="eastAsia" w:ascii="仿宋" w:hAnsi="仿宋" w:eastAsia="仿宋" w:cs="仿宋"/>
                <w:b/>
                <w:bCs/>
                <w:color w:val="000000"/>
                <w:kern w:val="0"/>
              </w:rPr>
            </w:pPr>
            <w:r>
              <w:rPr>
                <w:rFonts w:hint="eastAsia" w:ascii="仿宋" w:hAnsi="仿宋" w:eastAsia="仿宋" w:cs="仿宋"/>
                <w:b/>
                <w:bCs/>
                <w:color w:val="000000"/>
                <w:kern w:val="0"/>
              </w:rPr>
              <w:t>评审结论（合格/不合格）</w:t>
            </w:r>
          </w:p>
        </w:tc>
        <w:tc>
          <w:tcPr>
            <w:tcW w:w="567" w:type="dxa"/>
            <w:noWrap w:val="0"/>
            <w:vAlign w:val="center"/>
          </w:tcPr>
          <w:p>
            <w:pPr>
              <w:jc w:val="center"/>
              <w:rPr>
                <w:rFonts w:hint="eastAsia" w:ascii="仿宋" w:hAnsi="仿宋" w:eastAsia="仿宋" w:cs="仿宋"/>
                <w:color w:val="000000"/>
                <w:kern w:val="0"/>
              </w:rPr>
            </w:pPr>
          </w:p>
        </w:tc>
        <w:tc>
          <w:tcPr>
            <w:tcW w:w="851" w:type="dxa"/>
            <w:noWrap w:val="0"/>
            <w:vAlign w:val="center"/>
          </w:tcPr>
          <w:p>
            <w:pPr>
              <w:jc w:val="center"/>
              <w:rPr>
                <w:rFonts w:hint="eastAsia" w:ascii="仿宋" w:hAnsi="仿宋" w:eastAsia="仿宋" w:cs="仿宋"/>
                <w:color w:val="000000"/>
                <w:kern w:val="0"/>
              </w:rPr>
            </w:pPr>
          </w:p>
        </w:tc>
        <w:tc>
          <w:tcPr>
            <w:tcW w:w="992" w:type="dxa"/>
            <w:noWrap w:val="0"/>
            <w:vAlign w:val="center"/>
          </w:tcPr>
          <w:p>
            <w:pPr>
              <w:jc w:val="center"/>
              <w:rPr>
                <w:rFonts w:hint="eastAsia" w:ascii="仿宋" w:hAnsi="仿宋" w:eastAsia="仿宋" w:cs="仿宋"/>
                <w:color w:val="000000"/>
                <w:kern w:val="0"/>
              </w:rPr>
            </w:pPr>
          </w:p>
        </w:tc>
      </w:tr>
    </w:tbl>
    <w:p>
      <w:pPr>
        <w:snapToGrid w:val="0"/>
        <w:rPr>
          <w:rFonts w:hint="eastAsia" w:ascii="仿宋" w:hAnsi="仿宋" w:eastAsia="仿宋" w:cs="仿宋"/>
          <w:color w:val="000000"/>
          <w:sz w:val="18"/>
          <w:szCs w:val="18"/>
        </w:rPr>
      </w:pPr>
      <w:r>
        <w:rPr>
          <w:rFonts w:hint="eastAsia" w:ascii="仿宋" w:hAnsi="仿宋" w:eastAsia="仿宋" w:cs="仿宋"/>
          <w:b/>
          <w:color w:val="000000"/>
          <w:szCs w:val="21"/>
        </w:rPr>
        <w:t>备注：</w:t>
      </w:r>
      <w:r>
        <w:rPr>
          <w:rFonts w:hint="eastAsia" w:ascii="仿宋" w:hAnsi="仿宋" w:eastAsia="仿宋" w:cs="仿宋"/>
          <w:color w:val="000000"/>
          <w:sz w:val="18"/>
          <w:szCs w:val="18"/>
        </w:rPr>
        <w:t xml:space="preserve">1.评审项目合格的打“√”，不合格的打“×”。 </w:t>
      </w:r>
    </w:p>
    <w:p>
      <w:pPr>
        <w:snapToGrid w:val="0"/>
        <w:ind w:firstLine="671" w:firstLineChars="373"/>
        <w:rPr>
          <w:rFonts w:hint="eastAsia" w:ascii="仿宋" w:hAnsi="仿宋" w:eastAsia="仿宋" w:cs="仿宋"/>
          <w:color w:val="000000"/>
          <w:sz w:val="18"/>
          <w:szCs w:val="18"/>
        </w:rPr>
      </w:pPr>
      <w:r>
        <w:rPr>
          <w:rFonts w:hint="eastAsia" w:ascii="仿宋" w:hAnsi="仿宋" w:eastAsia="仿宋" w:cs="仿宋"/>
          <w:color w:val="000000"/>
          <w:sz w:val="18"/>
          <w:szCs w:val="18"/>
        </w:rPr>
        <w:t>2.</w:t>
      </w:r>
      <w:r>
        <w:rPr>
          <w:rFonts w:hint="eastAsia" w:ascii="仿宋" w:hAnsi="仿宋" w:eastAsia="仿宋" w:cs="仿宋"/>
          <w:color w:val="000000"/>
        </w:rPr>
        <w:t xml:space="preserve"> </w:t>
      </w:r>
      <w:r>
        <w:rPr>
          <w:rFonts w:hint="eastAsia" w:ascii="仿宋" w:hAnsi="仿宋" w:eastAsia="仿宋" w:cs="仿宋"/>
          <w:color w:val="000000"/>
          <w:sz w:val="18"/>
          <w:szCs w:val="18"/>
        </w:rPr>
        <w:t>序号中有缺项的为不合格。</w:t>
      </w:r>
    </w:p>
    <w:p>
      <w:pPr>
        <w:snapToGrid w:val="0"/>
        <w:ind w:firstLine="671" w:firstLineChars="373"/>
        <w:rPr>
          <w:rFonts w:hint="eastAsia" w:ascii="仿宋" w:hAnsi="仿宋" w:eastAsia="仿宋" w:cs="仿宋"/>
          <w:color w:val="000000"/>
          <w:sz w:val="18"/>
          <w:szCs w:val="18"/>
        </w:rPr>
      </w:pPr>
      <w:r>
        <w:rPr>
          <w:rFonts w:hint="eastAsia" w:ascii="仿宋" w:hAnsi="仿宋" w:eastAsia="仿宋" w:cs="仿宋"/>
          <w:color w:val="000000"/>
          <w:sz w:val="18"/>
          <w:szCs w:val="18"/>
        </w:rPr>
        <w:t>3. 技术投标文件内不得出现投标人名称或者出现任何能直接判断出投标人和其相关人员信息的内容；图纸按规范要求绘制，不设图签，不得注明投标人和其相关人员信息或设计单位及设计人信息。否则，将否决其投标。</w:t>
      </w:r>
    </w:p>
    <w:p>
      <w:pPr>
        <w:snapToGrid w:val="0"/>
        <w:ind w:firstLine="671" w:firstLineChars="373"/>
        <w:rPr>
          <w:rFonts w:hint="eastAsia" w:ascii="仿宋" w:hAnsi="仿宋" w:eastAsia="仿宋" w:cs="仿宋"/>
          <w:color w:val="000000"/>
          <w:sz w:val="18"/>
          <w:szCs w:val="18"/>
        </w:rPr>
      </w:pPr>
      <w:r>
        <w:rPr>
          <w:rFonts w:hint="eastAsia" w:ascii="仿宋" w:hAnsi="仿宋" w:eastAsia="仿宋" w:cs="仿宋"/>
          <w:color w:val="000000"/>
          <w:sz w:val="18"/>
          <w:szCs w:val="18"/>
        </w:rPr>
        <w:t>4.评标委员会对投标人的技术投标文件进行集体评议，评标委员会成员根据集体评议意见对技术投标文件自主评价并作出书面评价。</w:t>
      </w:r>
    </w:p>
    <w:p>
      <w:pPr>
        <w:snapToGrid w:val="0"/>
        <w:ind w:firstLine="671" w:firstLineChars="373"/>
        <w:rPr>
          <w:rFonts w:hint="eastAsia" w:ascii="仿宋" w:hAnsi="仿宋" w:eastAsia="仿宋" w:cs="仿宋"/>
          <w:color w:val="000000"/>
          <w:sz w:val="18"/>
          <w:szCs w:val="18"/>
        </w:rPr>
      </w:pPr>
      <w:r>
        <w:rPr>
          <w:rFonts w:hint="eastAsia" w:ascii="仿宋" w:hAnsi="仿宋" w:eastAsia="仿宋" w:cs="仿宋"/>
          <w:color w:val="000000"/>
          <w:sz w:val="18"/>
          <w:szCs w:val="18"/>
        </w:rPr>
        <w:t>5.</w:t>
      </w:r>
      <w:r>
        <w:rPr>
          <w:rFonts w:hint="eastAsia" w:ascii="仿宋" w:hAnsi="仿宋" w:eastAsia="仿宋" w:cs="仿宋"/>
          <w:color w:val="000000"/>
          <w:sz w:val="28"/>
          <w:szCs w:val="32"/>
        </w:rPr>
        <w:t xml:space="preserve"> </w:t>
      </w:r>
      <w:r>
        <w:rPr>
          <w:rFonts w:hint="eastAsia" w:ascii="仿宋" w:hAnsi="仿宋" w:eastAsia="仿宋" w:cs="仿宋"/>
          <w:color w:val="000000"/>
          <w:sz w:val="18"/>
          <w:szCs w:val="18"/>
        </w:rPr>
        <w:t>招标人应列明技术投标文件评审因素保证项目和一般项目，保证项目中有一项及以上评价为不合格者，其评审结果为不合格；一般项目中有二项及以上评价不合格者，其评审结果为不合格。</w:t>
      </w:r>
    </w:p>
    <w:p>
      <w:pPr>
        <w:snapToGrid w:val="0"/>
        <w:ind w:firstLine="671" w:firstLineChars="373"/>
        <w:rPr>
          <w:rFonts w:hint="eastAsia" w:ascii="仿宋" w:hAnsi="仿宋" w:eastAsia="仿宋" w:cs="仿宋"/>
          <w:color w:val="000000"/>
          <w:sz w:val="18"/>
          <w:szCs w:val="18"/>
        </w:rPr>
      </w:pPr>
      <w:r>
        <w:rPr>
          <w:rFonts w:hint="eastAsia" w:ascii="仿宋" w:hAnsi="仿宋" w:eastAsia="仿宋" w:cs="仿宋"/>
          <w:color w:val="000000"/>
          <w:sz w:val="18"/>
          <w:szCs w:val="18"/>
        </w:rPr>
        <w:t>6.获三分之二及以上的评委评审不合格的技术投标文件评审结果为不合格；通过技术投标文件合格性评审的投标人，视为合格投标人。</w:t>
      </w:r>
    </w:p>
    <w:p>
      <w:pPr>
        <w:snapToGrid w:val="0"/>
        <w:ind w:firstLine="674" w:firstLineChars="373"/>
        <w:rPr>
          <w:rFonts w:hint="eastAsia" w:ascii="仿宋" w:hAnsi="仿宋" w:eastAsia="仿宋" w:cs="仿宋"/>
          <w:b/>
          <w:color w:val="000000"/>
          <w:sz w:val="18"/>
          <w:szCs w:val="18"/>
        </w:rPr>
      </w:pPr>
      <w:r>
        <w:rPr>
          <w:rFonts w:hint="eastAsia" w:ascii="仿宋" w:hAnsi="仿宋" w:eastAsia="仿宋" w:cs="仿宋"/>
          <w:b/>
          <w:color w:val="000000"/>
          <w:sz w:val="18"/>
          <w:szCs w:val="18"/>
        </w:rPr>
        <w:t>7.招标人可在技术投标文件评审标准表中根据项目的特点和需要进行调整和补充评审因素，但不得补充与项目无关的评审因素。</w:t>
      </w:r>
    </w:p>
    <w:p>
      <w:pPr>
        <w:snapToGrid w:val="0"/>
        <w:rPr>
          <w:rFonts w:hint="eastAsia" w:ascii="仿宋" w:hAnsi="仿宋" w:eastAsia="仿宋" w:cs="仿宋"/>
          <w:color w:val="000000"/>
          <w:sz w:val="28"/>
          <w:szCs w:val="28"/>
        </w:rPr>
      </w:pPr>
    </w:p>
    <w:p>
      <w:pPr>
        <w:snapToGrid w:val="0"/>
        <w:rPr>
          <w:rFonts w:hint="eastAsia" w:ascii="仿宋" w:hAnsi="仿宋" w:eastAsia="仿宋" w:cs="仿宋"/>
          <w:color w:val="000000"/>
          <w:sz w:val="28"/>
          <w:szCs w:val="28"/>
        </w:rPr>
      </w:pPr>
    </w:p>
    <w:p>
      <w:pPr>
        <w:snapToGrid w:val="0"/>
        <w:rPr>
          <w:rFonts w:hint="eastAsia" w:ascii="仿宋" w:hAnsi="仿宋" w:eastAsia="仿宋" w:cs="仿宋"/>
          <w:color w:val="000000"/>
          <w:sz w:val="28"/>
          <w:szCs w:val="28"/>
        </w:rPr>
      </w:pPr>
      <w:r>
        <w:rPr>
          <w:rFonts w:hint="eastAsia" w:ascii="仿宋" w:hAnsi="仿宋" w:eastAsia="仿宋" w:cs="仿宋"/>
          <w:color w:val="000000"/>
          <w:sz w:val="28"/>
          <w:szCs w:val="28"/>
        </w:rPr>
        <w:t>评委签字：</w:t>
      </w:r>
    </w:p>
    <w:p>
      <w:pPr>
        <w:pStyle w:val="32"/>
        <w:spacing w:line="490" w:lineRule="exact"/>
        <w:ind w:left="420" w:hanging="420"/>
        <w:outlineLvl w:val="4"/>
        <w:rPr>
          <w:rFonts w:eastAsia="黑体"/>
          <w:bCs/>
          <w:color w:val="000000"/>
          <w:sz w:val="28"/>
          <w:szCs w:val="20"/>
        </w:rPr>
      </w:pPr>
      <w:r>
        <w:rPr>
          <w:color w:val="000000"/>
        </w:rPr>
        <w:br w:type="page"/>
      </w:r>
      <w:r>
        <w:rPr>
          <w:rFonts w:eastAsia="黑体"/>
          <w:bCs/>
          <w:color w:val="000000"/>
          <w:sz w:val="28"/>
          <w:szCs w:val="20"/>
        </w:rPr>
        <w:t>附表3-4：不合格投标人名单表</w:t>
      </w:r>
    </w:p>
    <w:p>
      <w:pPr>
        <w:spacing w:line="490" w:lineRule="exact"/>
        <w:jc w:val="center"/>
        <w:rPr>
          <w:rFonts w:eastAsia="方正小标宋_GBK"/>
          <w:color w:val="000000"/>
          <w:sz w:val="36"/>
        </w:rPr>
      </w:pPr>
    </w:p>
    <w:p>
      <w:pPr>
        <w:spacing w:line="490" w:lineRule="exact"/>
        <w:jc w:val="center"/>
        <w:rPr>
          <w:rFonts w:hint="eastAsia" w:ascii="方正小标宋简体" w:eastAsia="方正小标宋简体"/>
          <w:color w:val="000000"/>
          <w:sz w:val="40"/>
          <w:szCs w:val="28"/>
        </w:rPr>
      </w:pPr>
      <w:r>
        <w:rPr>
          <w:rFonts w:hint="eastAsia" w:ascii="方正小标宋简体" w:eastAsia="方正小标宋简体"/>
          <w:color w:val="000000"/>
          <w:sz w:val="40"/>
          <w:szCs w:val="28"/>
        </w:rPr>
        <w:t>不合格投标人名单表</w:t>
      </w:r>
    </w:p>
    <w:p>
      <w:pPr>
        <w:spacing w:line="490" w:lineRule="exact"/>
        <w:jc w:val="center"/>
        <w:rPr>
          <w:rFonts w:eastAsia="方正小标宋_GBK"/>
          <w:b/>
          <w:color w:val="000000"/>
          <w:sz w:val="40"/>
          <w:szCs w:val="28"/>
        </w:rPr>
      </w:pPr>
    </w:p>
    <w:p>
      <w:pPr>
        <w:snapToGrid w:val="0"/>
        <w:spacing w:line="600" w:lineRule="exact"/>
        <w:rPr>
          <w:rFonts w:hint="eastAsia" w:ascii="仿宋" w:hAnsi="仿宋" w:eastAsia="仿宋" w:cs="仿宋"/>
          <w:color w:val="000000"/>
          <w:sz w:val="24"/>
          <w:u w:val="single"/>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（标段名称）</w:t>
      </w:r>
      <w:r>
        <w:rPr>
          <w:rFonts w:hint="eastAsia" w:ascii="仿宋" w:hAnsi="仿宋" w:eastAsia="仿宋" w:cs="仿宋"/>
          <w:color w:val="000000"/>
          <w:sz w:val="24"/>
          <w:u w:val="single"/>
        </w:rPr>
        <w:t xml:space="preserve">                      </w:t>
      </w:r>
    </w:p>
    <w:p>
      <w:pPr>
        <w:snapToGrid w:val="0"/>
        <w:spacing w:line="600" w:lineRule="exact"/>
        <w:rPr>
          <w:rFonts w:hint="eastAsia" w:ascii="仿宋" w:hAnsi="仿宋" w:eastAsia="仿宋" w:cs="仿宋"/>
          <w:color w:val="000000"/>
          <w:sz w:val="24"/>
        </w:rPr>
      </w:pPr>
      <w:r>
        <w:rPr>
          <w:rFonts w:hint="eastAsia" w:ascii="仿宋" w:hAnsi="仿宋" w:eastAsia="仿宋" w:cs="仿宋"/>
          <w:color w:val="000000"/>
          <w:sz w:val="24"/>
        </w:rPr>
        <w:t>项目管理编号：</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3427"/>
        <w:gridCol w:w="5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793"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序号</w:t>
            </w:r>
          </w:p>
        </w:tc>
        <w:tc>
          <w:tcPr>
            <w:tcW w:w="3427"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投   标    人</w:t>
            </w:r>
          </w:p>
        </w:tc>
        <w:tc>
          <w:tcPr>
            <w:tcW w:w="5066"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不合格情况的原因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793"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3427" w:type="dxa"/>
            <w:noWrap w:val="0"/>
            <w:vAlign w:val="center"/>
          </w:tcPr>
          <w:p>
            <w:pPr>
              <w:snapToGrid w:val="0"/>
              <w:jc w:val="center"/>
              <w:rPr>
                <w:rFonts w:hint="eastAsia" w:ascii="仿宋" w:hAnsi="仿宋" w:eastAsia="仿宋" w:cs="仿宋"/>
                <w:color w:val="000000"/>
                <w:szCs w:val="21"/>
              </w:rPr>
            </w:pPr>
          </w:p>
        </w:tc>
        <w:tc>
          <w:tcPr>
            <w:tcW w:w="5066" w:type="dxa"/>
            <w:noWrap w:val="0"/>
            <w:vAlign w:val="center"/>
          </w:tcPr>
          <w:p>
            <w:pPr>
              <w:snapToGrid w:val="0"/>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793"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2</w:t>
            </w:r>
          </w:p>
        </w:tc>
        <w:tc>
          <w:tcPr>
            <w:tcW w:w="3427" w:type="dxa"/>
            <w:noWrap w:val="0"/>
            <w:vAlign w:val="center"/>
          </w:tcPr>
          <w:p>
            <w:pPr>
              <w:snapToGrid w:val="0"/>
              <w:jc w:val="center"/>
              <w:rPr>
                <w:rFonts w:hint="eastAsia" w:ascii="仿宋" w:hAnsi="仿宋" w:eastAsia="仿宋" w:cs="仿宋"/>
                <w:color w:val="000000"/>
                <w:szCs w:val="21"/>
              </w:rPr>
            </w:pPr>
          </w:p>
        </w:tc>
        <w:tc>
          <w:tcPr>
            <w:tcW w:w="5066" w:type="dxa"/>
            <w:noWrap w:val="0"/>
            <w:vAlign w:val="center"/>
          </w:tcPr>
          <w:p>
            <w:pPr>
              <w:snapToGrid w:val="0"/>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793"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3</w:t>
            </w:r>
          </w:p>
        </w:tc>
        <w:tc>
          <w:tcPr>
            <w:tcW w:w="3427" w:type="dxa"/>
            <w:noWrap w:val="0"/>
            <w:vAlign w:val="center"/>
          </w:tcPr>
          <w:p>
            <w:pPr>
              <w:snapToGrid w:val="0"/>
              <w:jc w:val="center"/>
              <w:rPr>
                <w:rFonts w:hint="eastAsia" w:ascii="仿宋" w:hAnsi="仿宋" w:eastAsia="仿宋" w:cs="仿宋"/>
                <w:color w:val="000000"/>
                <w:szCs w:val="21"/>
              </w:rPr>
            </w:pPr>
          </w:p>
        </w:tc>
        <w:tc>
          <w:tcPr>
            <w:tcW w:w="5066" w:type="dxa"/>
            <w:noWrap w:val="0"/>
            <w:vAlign w:val="center"/>
          </w:tcPr>
          <w:p>
            <w:pPr>
              <w:snapToGrid w:val="0"/>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793"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4</w:t>
            </w:r>
          </w:p>
        </w:tc>
        <w:tc>
          <w:tcPr>
            <w:tcW w:w="3427" w:type="dxa"/>
            <w:noWrap w:val="0"/>
            <w:vAlign w:val="center"/>
          </w:tcPr>
          <w:p>
            <w:pPr>
              <w:snapToGrid w:val="0"/>
              <w:jc w:val="center"/>
              <w:rPr>
                <w:rFonts w:hint="eastAsia" w:ascii="仿宋" w:hAnsi="仿宋" w:eastAsia="仿宋" w:cs="仿宋"/>
                <w:color w:val="000000"/>
                <w:szCs w:val="21"/>
              </w:rPr>
            </w:pPr>
          </w:p>
        </w:tc>
        <w:tc>
          <w:tcPr>
            <w:tcW w:w="5066" w:type="dxa"/>
            <w:noWrap w:val="0"/>
            <w:vAlign w:val="center"/>
          </w:tcPr>
          <w:p>
            <w:pPr>
              <w:snapToGrid w:val="0"/>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793"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w:t>
            </w:r>
          </w:p>
        </w:tc>
        <w:tc>
          <w:tcPr>
            <w:tcW w:w="3427" w:type="dxa"/>
            <w:noWrap w:val="0"/>
            <w:vAlign w:val="center"/>
          </w:tcPr>
          <w:p>
            <w:pPr>
              <w:snapToGrid w:val="0"/>
              <w:jc w:val="center"/>
              <w:rPr>
                <w:rFonts w:hint="eastAsia" w:ascii="仿宋" w:hAnsi="仿宋" w:eastAsia="仿宋" w:cs="仿宋"/>
                <w:color w:val="000000"/>
                <w:szCs w:val="21"/>
              </w:rPr>
            </w:pPr>
          </w:p>
        </w:tc>
        <w:tc>
          <w:tcPr>
            <w:tcW w:w="5066" w:type="dxa"/>
            <w:noWrap w:val="0"/>
            <w:vAlign w:val="center"/>
          </w:tcPr>
          <w:p>
            <w:pPr>
              <w:snapToGrid w:val="0"/>
              <w:jc w:val="center"/>
              <w:rPr>
                <w:rFonts w:hint="eastAsia" w:ascii="仿宋" w:hAnsi="仿宋" w:eastAsia="仿宋" w:cs="仿宋"/>
                <w:color w:val="000000"/>
                <w:szCs w:val="21"/>
              </w:rPr>
            </w:pPr>
          </w:p>
        </w:tc>
      </w:tr>
    </w:tbl>
    <w:p>
      <w:pPr>
        <w:snapToGrid w:val="0"/>
        <w:spacing w:line="600" w:lineRule="exact"/>
        <w:rPr>
          <w:rFonts w:hint="eastAsia" w:ascii="仿宋" w:hAnsi="仿宋" w:eastAsia="仿宋" w:cs="仿宋"/>
          <w:color w:val="000000"/>
          <w:sz w:val="28"/>
        </w:rPr>
      </w:pPr>
      <w:r>
        <w:rPr>
          <w:rFonts w:hint="eastAsia" w:ascii="仿宋" w:hAnsi="仿宋" w:eastAsia="仿宋" w:cs="仿宋"/>
          <w:color w:val="000000"/>
          <w:sz w:val="28"/>
        </w:rPr>
        <w:t>评标委员会全体成员签字：</w:t>
      </w:r>
    </w:p>
    <w:p>
      <w:pPr>
        <w:outlineLvl w:val="4"/>
        <w:rPr>
          <w:rFonts w:eastAsia="黑体"/>
          <w:bCs/>
          <w:color w:val="000000"/>
          <w:sz w:val="32"/>
          <w:szCs w:val="20"/>
        </w:rPr>
      </w:pPr>
      <w:r>
        <w:rPr>
          <w:rFonts w:hint="eastAsia" w:ascii="宋体" w:hAnsi="宋体" w:cs="宋体"/>
          <w:color w:val="000000"/>
          <w:szCs w:val="21"/>
        </w:rPr>
        <w:br w:type="page"/>
      </w:r>
      <w:r>
        <w:rPr>
          <w:rFonts w:eastAsia="黑体"/>
          <w:bCs/>
          <w:color w:val="000000"/>
          <w:sz w:val="32"/>
          <w:szCs w:val="20"/>
        </w:rPr>
        <w:t>附表3-5：进入详细评审的投标人名单表</w:t>
      </w:r>
    </w:p>
    <w:p>
      <w:pPr>
        <w:spacing w:line="600" w:lineRule="exact"/>
        <w:jc w:val="center"/>
        <w:rPr>
          <w:rFonts w:eastAsia="方正小标宋_GBK"/>
          <w:b/>
          <w:color w:val="000000"/>
          <w:sz w:val="36"/>
          <w:szCs w:val="36"/>
        </w:rPr>
      </w:pPr>
    </w:p>
    <w:p>
      <w:pPr>
        <w:spacing w:line="600" w:lineRule="exact"/>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进入详细评审的投标人名单表</w:t>
      </w:r>
    </w:p>
    <w:p>
      <w:pPr>
        <w:spacing w:line="600" w:lineRule="exact"/>
        <w:jc w:val="center"/>
        <w:rPr>
          <w:rFonts w:eastAsia="方正小标宋_GBK"/>
          <w:b/>
          <w:color w:val="000000"/>
          <w:sz w:val="36"/>
          <w:szCs w:val="36"/>
        </w:rPr>
      </w:pPr>
    </w:p>
    <w:p>
      <w:pPr>
        <w:snapToGrid w:val="0"/>
        <w:spacing w:line="600" w:lineRule="exact"/>
        <w:rPr>
          <w:rFonts w:hint="eastAsia" w:ascii="仿宋" w:hAnsi="仿宋" w:eastAsia="仿宋" w:cs="仿宋"/>
          <w:color w:val="000000"/>
          <w:sz w:val="24"/>
          <w:u w:val="single"/>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（标段）</w:t>
      </w:r>
      <w:r>
        <w:rPr>
          <w:rFonts w:hint="eastAsia" w:ascii="仿宋" w:hAnsi="仿宋" w:eastAsia="仿宋" w:cs="仿宋"/>
          <w:color w:val="000000"/>
          <w:sz w:val="24"/>
          <w:u w:val="single"/>
        </w:rPr>
        <w:t xml:space="preserve">                      </w:t>
      </w:r>
    </w:p>
    <w:p>
      <w:pPr>
        <w:snapToGrid w:val="0"/>
        <w:spacing w:line="600" w:lineRule="exact"/>
        <w:rPr>
          <w:rFonts w:hint="eastAsia" w:ascii="仿宋" w:hAnsi="仿宋" w:eastAsia="仿宋" w:cs="仿宋"/>
          <w:color w:val="000000"/>
          <w:sz w:val="28"/>
          <w:u w:val="single"/>
        </w:rPr>
      </w:pPr>
      <w:r>
        <w:rPr>
          <w:rFonts w:hint="eastAsia" w:ascii="仿宋" w:hAnsi="仿宋" w:eastAsia="仿宋" w:cs="仿宋"/>
          <w:color w:val="000000"/>
          <w:sz w:val="24"/>
        </w:rPr>
        <w:t>项目管理编号：</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
        <w:gridCol w:w="6327"/>
        <w:gridCol w:w="2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序号</w:t>
            </w:r>
          </w:p>
        </w:tc>
        <w:tc>
          <w:tcPr>
            <w:tcW w:w="6327"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投标人名称</w:t>
            </w:r>
          </w:p>
        </w:tc>
        <w:tc>
          <w:tcPr>
            <w:tcW w:w="2015" w:type="dxa"/>
            <w:noWrap w:val="0"/>
            <w:vAlign w:val="center"/>
          </w:tcPr>
          <w:p>
            <w:pPr>
              <w:snapToGrid w:val="0"/>
              <w:jc w:val="center"/>
              <w:rPr>
                <w:rFonts w:hint="eastAsia" w:ascii="仿宋" w:hAnsi="仿宋" w:eastAsia="仿宋" w:cs="仿宋"/>
                <w:color w:val="000000"/>
                <w:szCs w:val="21"/>
              </w:rPr>
            </w:pPr>
            <w:r>
              <w:rPr>
                <w:rFonts w:hint="eastAsia" w:ascii="仿宋" w:hAnsi="仿宋" w:eastAsia="仿宋" w:cs="仿宋"/>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noWrap w:val="0"/>
            <w:vAlign w:val="center"/>
          </w:tcPr>
          <w:p>
            <w:pPr>
              <w:snapToGrid w:val="0"/>
              <w:ind w:firstLine="420" w:firstLineChars="200"/>
              <w:jc w:val="center"/>
              <w:rPr>
                <w:rFonts w:hint="eastAsia" w:ascii="仿宋" w:hAnsi="仿宋" w:eastAsia="仿宋" w:cs="仿宋"/>
                <w:color w:val="000000"/>
                <w:szCs w:val="21"/>
              </w:rPr>
            </w:pPr>
          </w:p>
        </w:tc>
        <w:tc>
          <w:tcPr>
            <w:tcW w:w="6327" w:type="dxa"/>
            <w:noWrap w:val="0"/>
            <w:vAlign w:val="center"/>
          </w:tcPr>
          <w:p>
            <w:pPr>
              <w:snapToGrid w:val="0"/>
              <w:ind w:firstLine="420" w:firstLineChars="200"/>
              <w:jc w:val="center"/>
              <w:rPr>
                <w:rFonts w:hint="eastAsia" w:ascii="仿宋" w:hAnsi="仿宋" w:eastAsia="仿宋" w:cs="仿宋"/>
                <w:color w:val="000000"/>
                <w:szCs w:val="21"/>
              </w:rPr>
            </w:pPr>
          </w:p>
        </w:tc>
        <w:tc>
          <w:tcPr>
            <w:tcW w:w="2015" w:type="dxa"/>
            <w:noWrap w:val="0"/>
            <w:vAlign w:val="center"/>
          </w:tcPr>
          <w:p>
            <w:pPr>
              <w:snapToGrid w:val="0"/>
              <w:ind w:firstLine="420" w:firstLineChars="200"/>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noWrap w:val="0"/>
            <w:vAlign w:val="center"/>
          </w:tcPr>
          <w:p>
            <w:pPr>
              <w:snapToGrid w:val="0"/>
              <w:ind w:firstLine="420" w:firstLineChars="200"/>
              <w:jc w:val="center"/>
              <w:rPr>
                <w:rFonts w:hint="eastAsia" w:ascii="仿宋" w:hAnsi="仿宋" w:eastAsia="仿宋" w:cs="仿宋"/>
                <w:color w:val="000000"/>
                <w:szCs w:val="21"/>
              </w:rPr>
            </w:pPr>
          </w:p>
        </w:tc>
        <w:tc>
          <w:tcPr>
            <w:tcW w:w="6327" w:type="dxa"/>
            <w:noWrap w:val="0"/>
            <w:vAlign w:val="center"/>
          </w:tcPr>
          <w:p>
            <w:pPr>
              <w:snapToGrid w:val="0"/>
              <w:ind w:firstLine="420" w:firstLineChars="200"/>
              <w:jc w:val="center"/>
              <w:rPr>
                <w:rFonts w:hint="eastAsia" w:ascii="仿宋" w:hAnsi="仿宋" w:eastAsia="仿宋" w:cs="仿宋"/>
                <w:color w:val="000000"/>
                <w:szCs w:val="21"/>
              </w:rPr>
            </w:pPr>
          </w:p>
        </w:tc>
        <w:tc>
          <w:tcPr>
            <w:tcW w:w="2015" w:type="dxa"/>
            <w:noWrap w:val="0"/>
            <w:vAlign w:val="center"/>
          </w:tcPr>
          <w:p>
            <w:pPr>
              <w:snapToGrid w:val="0"/>
              <w:ind w:firstLine="420" w:firstLineChars="200"/>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noWrap w:val="0"/>
            <w:vAlign w:val="center"/>
          </w:tcPr>
          <w:p>
            <w:pPr>
              <w:snapToGrid w:val="0"/>
              <w:ind w:firstLine="420" w:firstLineChars="200"/>
              <w:jc w:val="center"/>
              <w:rPr>
                <w:rFonts w:hint="eastAsia" w:ascii="仿宋" w:hAnsi="仿宋" w:eastAsia="仿宋" w:cs="仿宋"/>
                <w:color w:val="000000"/>
                <w:szCs w:val="21"/>
              </w:rPr>
            </w:pPr>
          </w:p>
        </w:tc>
        <w:tc>
          <w:tcPr>
            <w:tcW w:w="6327" w:type="dxa"/>
            <w:noWrap w:val="0"/>
            <w:vAlign w:val="center"/>
          </w:tcPr>
          <w:p>
            <w:pPr>
              <w:snapToGrid w:val="0"/>
              <w:ind w:firstLine="420" w:firstLineChars="200"/>
              <w:jc w:val="center"/>
              <w:rPr>
                <w:rFonts w:hint="eastAsia" w:ascii="仿宋" w:hAnsi="仿宋" w:eastAsia="仿宋" w:cs="仿宋"/>
                <w:color w:val="000000"/>
                <w:szCs w:val="21"/>
              </w:rPr>
            </w:pPr>
          </w:p>
        </w:tc>
        <w:tc>
          <w:tcPr>
            <w:tcW w:w="2015" w:type="dxa"/>
            <w:noWrap w:val="0"/>
            <w:vAlign w:val="center"/>
          </w:tcPr>
          <w:p>
            <w:pPr>
              <w:snapToGrid w:val="0"/>
              <w:ind w:firstLine="420" w:firstLineChars="200"/>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noWrap w:val="0"/>
            <w:vAlign w:val="center"/>
          </w:tcPr>
          <w:p>
            <w:pPr>
              <w:snapToGrid w:val="0"/>
              <w:ind w:firstLine="420" w:firstLineChars="200"/>
              <w:jc w:val="center"/>
              <w:rPr>
                <w:rFonts w:hint="eastAsia" w:ascii="仿宋" w:hAnsi="仿宋" w:eastAsia="仿宋" w:cs="仿宋"/>
                <w:color w:val="000000"/>
                <w:szCs w:val="21"/>
              </w:rPr>
            </w:pPr>
          </w:p>
        </w:tc>
        <w:tc>
          <w:tcPr>
            <w:tcW w:w="6327" w:type="dxa"/>
            <w:noWrap w:val="0"/>
            <w:vAlign w:val="center"/>
          </w:tcPr>
          <w:p>
            <w:pPr>
              <w:snapToGrid w:val="0"/>
              <w:ind w:firstLine="420" w:firstLineChars="200"/>
              <w:jc w:val="center"/>
              <w:rPr>
                <w:rFonts w:hint="eastAsia" w:ascii="仿宋" w:hAnsi="仿宋" w:eastAsia="仿宋" w:cs="仿宋"/>
                <w:color w:val="000000"/>
                <w:szCs w:val="21"/>
              </w:rPr>
            </w:pPr>
          </w:p>
        </w:tc>
        <w:tc>
          <w:tcPr>
            <w:tcW w:w="2015" w:type="dxa"/>
            <w:noWrap w:val="0"/>
            <w:vAlign w:val="center"/>
          </w:tcPr>
          <w:p>
            <w:pPr>
              <w:snapToGrid w:val="0"/>
              <w:ind w:firstLine="420" w:firstLineChars="200"/>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noWrap w:val="0"/>
            <w:vAlign w:val="center"/>
          </w:tcPr>
          <w:p>
            <w:pPr>
              <w:snapToGrid w:val="0"/>
              <w:ind w:firstLine="420" w:firstLineChars="200"/>
              <w:jc w:val="center"/>
              <w:rPr>
                <w:rFonts w:hint="eastAsia" w:ascii="仿宋" w:hAnsi="仿宋" w:eastAsia="仿宋" w:cs="仿宋"/>
                <w:color w:val="000000"/>
                <w:szCs w:val="21"/>
              </w:rPr>
            </w:pPr>
          </w:p>
        </w:tc>
        <w:tc>
          <w:tcPr>
            <w:tcW w:w="6327" w:type="dxa"/>
            <w:noWrap w:val="0"/>
            <w:vAlign w:val="center"/>
          </w:tcPr>
          <w:p>
            <w:pPr>
              <w:snapToGrid w:val="0"/>
              <w:ind w:firstLine="420" w:firstLineChars="200"/>
              <w:jc w:val="center"/>
              <w:rPr>
                <w:rFonts w:hint="eastAsia" w:ascii="仿宋" w:hAnsi="仿宋" w:eastAsia="仿宋" w:cs="仿宋"/>
                <w:color w:val="000000"/>
                <w:szCs w:val="21"/>
              </w:rPr>
            </w:pPr>
          </w:p>
        </w:tc>
        <w:tc>
          <w:tcPr>
            <w:tcW w:w="2015" w:type="dxa"/>
            <w:noWrap w:val="0"/>
            <w:vAlign w:val="center"/>
          </w:tcPr>
          <w:p>
            <w:pPr>
              <w:snapToGrid w:val="0"/>
              <w:ind w:firstLine="420" w:firstLineChars="200"/>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noWrap w:val="0"/>
            <w:vAlign w:val="center"/>
          </w:tcPr>
          <w:p>
            <w:pPr>
              <w:snapToGrid w:val="0"/>
              <w:ind w:firstLine="420" w:firstLineChars="200"/>
              <w:jc w:val="center"/>
              <w:rPr>
                <w:rFonts w:hint="eastAsia" w:ascii="仿宋" w:hAnsi="仿宋" w:eastAsia="仿宋" w:cs="仿宋"/>
                <w:color w:val="000000"/>
                <w:szCs w:val="21"/>
              </w:rPr>
            </w:pPr>
          </w:p>
        </w:tc>
        <w:tc>
          <w:tcPr>
            <w:tcW w:w="6327" w:type="dxa"/>
            <w:noWrap w:val="0"/>
            <w:vAlign w:val="center"/>
          </w:tcPr>
          <w:p>
            <w:pPr>
              <w:snapToGrid w:val="0"/>
              <w:ind w:firstLine="420" w:firstLineChars="200"/>
              <w:jc w:val="center"/>
              <w:rPr>
                <w:rFonts w:hint="eastAsia" w:ascii="仿宋" w:hAnsi="仿宋" w:eastAsia="仿宋" w:cs="仿宋"/>
                <w:color w:val="000000"/>
                <w:szCs w:val="21"/>
              </w:rPr>
            </w:pPr>
          </w:p>
        </w:tc>
        <w:tc>
          <w:tcPr>
            <w:tcW w:w="2015" w:type="dxa"/>
            <w:noWrap w:val="0"/>
            <w:vAlign w:val="center"/>
          </w:tcPr>
          <w:p>
            <w:pPr>
              <w:snapToGrid w:val="0"/>
              <w:ind w:firstLine="420" w:firstLineChars="200"/>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noWrap w:val="0"/>
            <w:vAlign w:val="center"/>
          </w:tcPr>
          <w:p>
            <w:pPr>
              <w:snapToGrid w:val="0"/>
              <w:ind w:firstLine="420" w:firstLineChars="200"/>
              <w:jc w:val="center"/>
              <w:rPr>
                <w:rFonts w:hint="eastAsia" w:ascii="仿宋" w:hAnsi="仿宋" w:eastAsia="仿宋" w:cs="仿宋"/>
                <w:color w:val="000000"/>
                <w:szCs w:val="21"/>
              </w:rPr>
            </w:pPr>
          </w:p>
        </w:tc>
        <w:tc>
          <w:tcPr>
            <w:tcW w:w="6327" w:type="dxa"/>
            <w:noWrap w:val="0"/>
            <w:vAlign w:val="center"/>
          </w:tcPr>
          <w:p>
            <w:pPr>
              <w:snapToGrid w:val="0"/>
              <w:ind w:firstLine="420" w:firstLineChars="200"/>
              <w:jc w:val="center"/>
              <w:rPr>
                <w:rFonts w:hint="eastAsia" w:ascii="仿宋" w:hAnsi="仿宋" w:eastAsia="仿宋" w:cs="仿宋"/>
                <w:color w:val="000000"/>
                <w:szCs w:val="21"/>
              </w:rPr>
            </w:pPr>
          </w:p>
        </w:tc>
        <w:tc>
          <w:tcPr>
            <w:tcW w:w="2015" w:type="dxa"/>
            <w:noWrap w:val="0"/>
            <w:vAlign w:val="center"/>
          </w:tcPr>
          <w:p>
            <w:pPr>
              <w:snapToGrid w:val="0"/>
              <w:ind w:firstLine="420" w:firstLineChars="200"/>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noWrap w:val="0"/>
            <w:vAlign w:val="center"/>
          </w:tcPr>
          <w:p>
            <w:pPr>
              <w:snapToGrid w:val="0"/>
              <w:ind w:firstLine="420" w:firstLineChars="200"/>
              <w:jc w:val="center"/>
              <w:rPr>
                <w:rFonts w:hint="eastAsia" w:ascii="仿宋" w:hAnsi="仿宋" w:eastAsia="仿宋" w:cs="仿宋"/>
                <w:color w:val="000000"/>
                <w:szCs w:val="21"/>
              </w:rPr>
            </w:pPr>
          </w:p>
        </w:tc>
        <w:tc>
          <w:tcPr>
            <w:tcW w:w="6327" w:type="dxa"/>
            <w:noWrap w:val="0"/>
            <w:vAlign w:val="center"/>
          </w:tcPr>
          <w:p>
            <w:pPr>
              <w:snapToGrid w:val="0"/>
              <w:ind w:firstLine="420" w:firstLineChars="200"/>
              <w:jc w:val="center"/>
              <w:rPr>
                <w:rFonts w:hint="eastAsia" w:ascii="仿宋" w:hAnsi="仿宋" w:eastAsia="仿宋" w:cs="仿宋"/>
                <w:color w:val="000000"/>
                <w:szCs w:val="21"/>
              </w:rPr>
            </w:pPr>
          </w:p>
        </w:tc>
        <w:tc>
          <w:tcPr>
            <w:tcW w:w="2015" w:type="dxa"/>
            <w:noWrap w:val="0"/>
            <w:vAlign w:val="center"/>
          </w:tcPr>
          <w:p>
            <w:pPr>
              <w:snapToGrid w:val="0"/>
              <w:ind w:firstLine="420" w:firstLineChars="200"/>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noWrap w:val="0"/>
            <w:vAlign w:val="center"/>
          </w:tcPr>
          <w:p>
            <w:pPr>
              <w:snapToGrid w:val="0"/>
              <w:ind w:firstLine="420" w:firstLineChars="200"/>
              <w:jc w:val="center"/>
              <w:rPr>
                <w:rFonts w:hint="eastAsia" w:ascii="仿宋" w:hAnsi="仿宋" w:eastAsia="仿宋" w:cs="仿宋"/>
                <w:color w:val="000000"/>
                <w:szCs w:val="21"/>
              </w:rPr>
            </w:pPr>
          </w:p>
        </w:tc>
        <w:tc>
          <w:tcPr>
            <w:tcW w:w="6327" w:type="dxa"/>
            <w:noWrap w:val="0"/>
            <w:vAlign w:val="center"/>
          </w:tcPr>
          <w:p>
            <w:pPr>
              <w:snapToGrid w:val="0"/>
              <w:ind w:firstLine="420" w:firstLineChars="200"/>
              <w:jc w:val="center"/>
              <w:rPr>
                <w:rFonts w:hint="eastAsia" w:ascii="仿宋" w:hAnsi="仿宋" w:eastAsia="仿宋" w:cs="仿宋"/>
                <w:color w:val="000000"/>
                <w:szCs w:val="21"/>
              </w:rPr>
            </w:pPr>
          </w:p>
        </w:tc>
        <w:tc>
          <w:tcPr>
            <w:tcW w:w="2015" w:type="dxa"/>
            <w:noWrap w:val="0"/>
            <w:vAlign w:val="center"/>
          </w:tcPr>
          <w:p>
            <w:pPr>
              <w:snapToGrid w:val="0"/>
              <w:ind w:firstLine="420" w:firstLineChars="200"/>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noWrap w:val="0"/>
            <w:vAlign w:val="center"/>
          </w:tcPr>
          <w:p>
            <w:pPr>
              <w:snapToGrid w:val="0"/>
              <w:ind w:firstLine="420" w:firstLineChars="200"/>
              <w:jc w:val="center"/>
              <w:rPr>
                <w:rFonts w:hint="eastAsia" w:ascii="仿宋" w:hAnsi="仿宋" w:eastAsia="仿宋" w:cs="仿宋"/>
                <w:color w:val="000000"/>
                <w:szCs w:val="21"/>
              </w:rPr>
            </w:pPr>
          </w:p>
        </w:tc>
        <w:tc>
          <w:tcPr>
            <w:tcW w:w="6327" w:type="dxa"/>
            <w:noWrap w:val="0"/>
            <w:vAlign w:val="center"/>
          </w:tcPr>
          <w:p>
            <w:pPr>
              <w:snapToGrid w:val="0"/>
              <w:ind w:firstLine="420" w:firstLineChars="200"/>
              <w:jc w:val="center"/>
              <w:rPr>
                <w:rFonts w:hint="eastAsia" w:ascii="仿宋" w:hAnsi="仿宋" w:eastAsia="仿宋" w:cs="仿宋"/>
                <w:color w:val="000000"/>
                <w:szCs w:val="21"/>
              </w:rPr>
            </w:pPr>
          </w:p>
        </w:tc>
        <w:tc>
          <w:tcPr>
            <w:tcW w:w="2015" w:type="dxa"/>
            <w:noWrap w:val="0"/>
            <w:vAlign w:val="center"/>
          </w:tcPr>
          <w:p>
            <w:pPr>
              <w:snapToGrid w:val="0"/>
              <w:ind w:firstLine="420" w:firstLineChars="200"/>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noWrap w:val="0"/>
            <w:vAlign w:val="center"/>
          </w:tcPr>
          <w:p>
            <w:pPr>
              <w:snapToGrid w:val="0"/>
              <w:ind w:firstLine="420" w:firstLineChars="200"/>
              <w:jc w:val="center"/>
              <w:rPr>
                <w:rFonts w:hint="eastAsia" w:ascii="仿宋" w:hAnsi="仿宋" w:eastAsia="仿宋" w:cs="仿宋"/>
                <w:color w:val="000000"/>
                <w:szCs w:val="21"/>
              </w:rPr>
            </w:pPr>
          </w:p>
        </w:tc>
        <w:tc>
          <w:tcPr>
            <w:tcW w:w="6327" w:type="dxa"/>
            <w:noWrap w:val="0"/>
            <w:vAlign w:val="center"/>
          </w:tcPr>
          <w:p>
            <w:pPr>
              <w:snapToGrid w:val="0"/>
              <w:ind w:firstLine="420" w:firstLineChars="200"/>
              <w:jc w:val="center"/>
              <w:rPr>
                <w:rFonts w:hint="eastAsia" w:ascii="仿宋" w:hAnsi="仿宋" w:eastAsia="仿宋" w:cs="仿宋"/>
                <w:color w:val="000000"/>
                <w:szCs w:val="21"/>
              </w:rPr>
            </w:pPr>
          </w:p>
        </w:tc>
        <w:tc>
          <w:tcPr>
            <w:tcW w:w="2015" w:type="dxa"/>
            <w:noWrap w:val="0"/>
            <w:vAlign w:val="center"/>
          </w:tcPr>
          <w:p>
            <w:pPr>
              <w:snapToGrid w:val="0"/>
              <w:ind w:firstLine="420" w:firstLineChars="200"/>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noWrap w:val="0"/>
            <w:vAlign w:val="center"/>
          </w:tcPr>
          <w:p>
            <w:pPr>
              <w:snapToGrid w:val="0"/>
              <w:ind w:firstLine="420" w:firstLineChars="200"/>
              <w:jc w:val="center"/>
              <w:rPr>
                <w:rFonts w:hint="eastAsia" w:ascii="仿宋" w:hAnsi="仿宋" w:eastAsia="仿宋" w:cs="仿宋"/>
                <w:color w:val="000000"/>
                <w:szCs w:val="21"/>
              </w:rPr>
            </w:pPr>
          </w:p>
        </w:tc>
        <w:tc>
          <w:tcPr>
            <w:tcW w:w="6327" w:type="dxa"/>
            <w:noWrap w:val="0"/>
            <w:vAlign w:val="center"/>
          </w:tcPr>
          <w:p>
            <w:pPr>
              <w:snapToGrid w:val="0"/>
              <w:ind w:firstLine="420" w:firstLineChars="200"/>
              <w:jc w:val="center"/>
              <w:rPr>
                <w:rFonts w:hint="eastAsia" w:ascii="仿宋" w:hAnsi="仿宋" w:eastAsia="仿宋" w:cs="仿宋"/>
                <w:color w:val="000000"/>
                <w:szCs w:val="21"/>
              </w:rPr>
            </w:pPr>
          </w:p>
        </w:tc>
        <w:tc>
          <w:tcPr>
            <w:tcW w:w="2015" w:type="dxa"/>
            <w:noWrap w:val="0"/>
            <w:vAlign w:val="center"/>
          </w:tcPr>
          <w:p>
            <w:pPr>
              <w:snapToGrid w:val="0"/>
              <w:ind w:firstLine="420" w:firstLineChars="200"/>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noWrap w:val="0"/>
            <w:vAlign w:val="center"/>
          </w:tcPr>
          <w:p>
            <w:pPr>
              <w:snapToGrid w:val="0"/>
              <w:ind w:firstLine="420" w:firstLineChars="200"/>
              <w:jc w:val="center"/>
              <w:rPr>
                <w:rFonts w:hint="eastAsia" w:ascii="仿宋" w:hAnsi="仿宋" w:eastAsia="仿宋" w:cs="仿宋"/>
                <w:color w:val="000000"/>
                <w:szCs w:val="21"/>
              </w:rPr>
            </w:pPr>
          </w:p>
        </w:tc>
        <w:tc>
          <w:tcPr>
            <w:tcW w:w="6327" w:type="dxa"/>
            <w:noWrap w:val="0"/>
            <w:vAlign w:val="center"/>
          </w:tcPr>
          <w:p>
            <w:pPr>
              <w:snapToGrid w:val="0"/>
              <w:ind w:firstLine="420" w:firstLineChars="200"/>
              <w:jc w:val="center"/>
              <w:rPr>
                <w:rFonts w:hint="eastAsia" w:ascii="仿宋" w:hAnsi="仿宋" w:eastAsia="仿宋" w:cs="仿宋"/>
                <w:color w:val="000000"/>
                <w:szCs w:val="21"/>
              </w:rPr>
            </w:pPr>
          </w:p>
        </w:tc>
        <w:tc>
          <w:tcPr>
            <w:tcW w:w="2015" w:type="dxa"/>
            <w:noWrap w:val="0"/>
            <w:vAlign w:val="center"/>
          </w:tcPr>
          <w:p>
            <w:pPr>
              <w:snapToGrid w:val="0"/>
              <w:ind w:firstLine="420" w:firstLineChars="200"/>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noWrap w:val="0"/>
            <w:vAlign w:val="center"/>
          </w:tcPr>
          <w:p>
            <w:pPr>
              <w:snapToGrid w:val="0"/>
              <w:ind w:firstLine="420" w:firstLineChars="200"/>
              <w:jc w:val="center"/>
              <w:rPr>
                <w:rFonts w:hint="eastAsia" w:ascii="仿宋" w:hAnsi="仿宋" w:eastAsia="仿宋" w:cs="仿宋"/>
                <w:color w:val="000000"/>
                <w:szCs w:val="21"/>
              </w:rPr>
            </w:pPr>
          </w:p>
        </w:tc>
        <w:tc>
          <w:tcPr>
            <w:tcW w:w="6327" w:type="dxa"/>
            <w:noWrap w:val="0"/>
            <w:vAlign w:val="center"/>
          </w:tcPr>
          <w:p>
            <w:pPr>
              <w:snapToGrid w:val="0"/>
              <w:ind w:firstLine="420" w:firstLineChars="200"/>
              <w:jc w:val="center"/>
              <w:rPr>
                <w:rFonts w:hint="eastAsia" w:ascii="仿宋" w:hAnsi="仿宋" w:eastAsia="仿宋" w:cs="仿宋"/>
                <w:color w:val="000000"/>
                <w:szCs w:val="21"/>
              </w:rPr>
            </w:pPr>
          </w:p>
        </w:tc>
        <w:tc>
          <w:tcPr>
            <w:tcW w:w="2015" w:type="dxa"/>
            <w:noWrap w:val="0"/>
            <w:vAlign w:val="center"/>
          </w:tcPr>
          <w:p>
            <w:pPr>
              <w:snapToGrid w:val="0"/>
              <w:ind w:firstLine="420" w:firstLineChars="200"/>
              <w:jc w:val="center"/>
              <w:rPr>
                <w:rFonts w:hint="eastAsia" w:ascii="仿宋" w:hAnsi="仿宋" w:eastAsia="仿宋" w:cs="仿宋"/>
                <w:color w:val="000000"/>
                <w:szCs w:val="21"/>
              </w:rPr>
            </w:pPr>
          </w:p>
        </w:tc>
      </w:tr>
    </w:tbl>
    <w:p>
      <w:pPr>
        <w:snapToGrid w:val="0"/>
        <w:spacing w:line="600" w:lineRule="exact"/>
        <w:rPr>
          <w:rFonts w:hint="eastAsia" w:ascii="仿宋" w:hAnsi="仿宋" w:eastAsia="仿宋" w:cs="仿宋"/>
          <w:color w:val="000000"/>
          <w:sz w:val="28"/>
        </w:rPr>
      </w:pPr>
      <w:r>
        <w:rPr>
          <w:rFonts w:hint="eastAsia" w:ascii="仿宋" w:hAnsi="仿宋" w:eastAsia="仿宋" w:cs="仿宋"/>
          <w:color w:val="000000"/>
          <w:sz w:val="28"/>
        </w:rPr>
        <w:t>评标委员会全体成员签字：</w:t>
      </w:r>
    </w:p>
    <w:p>
      <w:pPr>
        <w:snapToGrid w:val="0"/>
        <w:spacing w:line="600" w:lineRule="exact"/>
        <w:rPr>
          <w:rFonts w:hint="eastAsia" w:ascii="仿宋" w:hAnsi="仿宋" w:eastAsia="仿宋" w:cs="仿宋"/>
          <w:color w:val="000000"/>
          <w:sz w:val="28"/>
        </w:rPr>
      </w:pPr>
    </w:p>
    <w:p>
      <w:pPr>
        <w:snapToGrid w:val="0"/>
        <w:spacing w:line="600" w:lineRule="exact"/>
        <w:rPr>
          <w:rFonts w:hint="eastAsia" w:ascii="仿宋" w:hAnsi="仿宋" w:eastAsia="仿宋" w:cs="仿宋"/>
          <w:color w:val="000000"/>
          <w:sz w:val="28"/>
        </w:rPr>
      </w:pPr>
      <w:r>
        <w:rPr>
          <w:rFonts w:hint="eastAsia" w:ascii="仿宋" w:hAnsi="仿宋" w:eastAsia="仿宋" w:cs="仿宋"/>
          <w:color w:val="000000"/>
          <w:sz w:val="28"/>
        </w:rPr>
        <w:t>备注：本表中投标人排名不分先后。</w:t>
      </w:r>
    </w:p>
    <w:p>
      <w:pPr>
        <w:rPr>
          <w:rFonts w:hint="eastAsia" w:ascii="仿宋" w:hAnsi="仿宋" w:eastAsia="仿宋" w:cs="仿宋"/>
          <w:color w:val="000000"/>
          <w:sz w:val="24"/>
          <w:szCs w:val="28"/>
        </w:rPr>
      </w:pPr>
    </w:p>
    <w:p>
      <w:pPr>
        <w:snapToGrid w:val="0"/>
        <w:spacing w:line="360" w:lineRule="auto"/>
        <w:rPr>
          <w:color w:val="000000"/>
          <w:kern w:val="0"/>
        </w:rPr>
      </w:pPr>
    </w:p>
    <w:p>
      <w:pPr>
        <w:pStyle w:val="32"/>
        <w:spacing w:line="600" w:lineRule="exact"/>
        <w:ind w:left="420" w:hanging="420"/>
        <w:outlineLvl w:val="4"/>
        <w:rPr>
          <w:rFonts w:eastAsia="黑体"/>
          <w:bCs/>
          <w:color w:val="000000"/>
          <w:sz w:val="32"/>
          <w:szCs w:val="20"/>
        </w:rPr>
      </w:pPr>
      <w:r>
        <w:rPr>
          <w:color w:val="000000"/>
        </w:rPr>
        <w:br w:type="page"/>
      </w:r>
      <w:r>
        <w:rPr>
          <w:rFonts w:eastAsia="黑体"/>
          <w:bCs/>
          <w:color w:val="000000"/>
          <w:sz w:val="32"/>
          <w:szCs w:val="20"/>
        </w:rPr>
        <w:t>附表3-6：算术错误检查表</w:t>
      </w:r>
    </w:p>
    <w:p>
      <w:pPr>
        <w:spacing w:line="600" w:lineRule="exact"/>
        <w:jc w:val="center"/>
        <w:rPr>
          <w:rFonts w:eastAsia="方正小标宋_GBK"/>
          <w:b/>
          <w:color w:val="000000"/>
          <w:sz w:val="36"/>
          <w:szCs w:val="36"/>
        </w:rPr>
      </w:pPr>
    </w:p>
    <w:p>
      <w:pPr>
        <w:spacing w:line="600" w:lineRule="exact"/>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算术错误检查表</w:t>
      </w:r>
    </w:p>
    <w:p>
      <w:pPr>
        <w:spacing w:line="600" w:lineRule="exact"/>
        <w:jc w:val="center"/>
        <w:rPr>
          <w:rFonts w:eastAsia="方正小标宋_GBK"/>
          <w:b/>
          <w:color w:val="000000"/>
          <w:sz w:val="36"/>
          <w:szCs w:val="36"/>
        </w:rPr>
      </w:pPr>
    </w:p>
    <w:p>
      <w:pPr>
        <w:snapToGrid w:val="0"/>
        <w:spacing w:line="600" w:lineRule="exact"/>
        <w:rPr>
          <w:rFonts w:hint="eastAsia" w:ascii="仿宋" w:hAnsi="仿宋" w:eastAsia="仿宋" w:cs="仿宋"/>
          <w:color w:val="000000"/>
          <w:sz w:val="24"/>
          <w:u w:val="single"/>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（标段名称）</w:t>
      </w:r>
      <w:r>
        <w:rPr>
          <w:rFonts w:hint="eastAsia" w:ascii="仿宋" w:hAnsi="仿宋" w:eastAsia="仿宋" w:cs="仿宋"/>
          <w:color w:val="000000"/>
          <w:sz w:val="24"/>
          <w:u w:val="single"/>
        </w:rPr>
        <w:t xml:space="preserve">                      </w:t>
      </w:r>
    </w:p>
    <w:p>
      <w:pPr>
        <w:snapToGrid w:val="0"/>
        <w:spacing w:line="600" w:lineRule="exact"/>
        <w:rPr>
          <w:rFonts w:hint="eastAsia" w:ascii="仿宋" w:hAnsi="仿宋" w:eastAsia="仿宋" w:cs="仿宋"/>
          <w:color w:val="000000"/>
          <w:sz w:val="24"/>
          <w:u w:val="single"/>
        </w:rPr>
      </w:pPr>
      <w:r>
        <w:rPr>
          <w:rFonts w:hint="eastAsia" w:ascii="仿宋" w:hAnsi="仿宋" w:eastAsia="仿宋" w:cs="仿宋"/>
          <w:color w:val="000000"/>
          <w:sz w:val="24"/>
        </w:rPr>
        <w:t>项目管理编号：</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tbl>
      <w:tblPr>
        <w:tblStyle w:val="47"/>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1134"/>
        <w:gridCol w:w="1093"/>
        <w:gridCol w:w="1217"/>
        <w:gridCol w:w="1217"/>
        <w:gridCol w:w="1217"/>
        <w:gridCol w:w="1217"/>
        <w:gridCol w:w="1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582"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序号</w:t>
            </w:r>
          </w:p>
        </w:tc>
        <w:tc>
          <w:tcPr>
            <w:tcW w:w="1134" w:type="dxa"/>
            <w:noWrap w:val="0"/>
            <w:vAlign w:val="center"/>
          </w:tcPr>
          <w:p>
            <w:pPr>
              <w:snapToGrid w:val="0"/>
              <w:jc w:val="center"/>
              <w:rPr>
                <w:rFonts w:hint="eastAsia" w:ascii="仿宋" w:hAnsi="仿宋" w:eastAsia="仿宋" w:cs="仿宋"/>
                <w:color w:val="000000"/>
              </w:rPr>
            </w:pPr>
            <w:r>
              <w:rPr>
                <w:rFonts w:hint="eastAsia" w:ascii="仿宋" w:hAnsi="仿宋" w:eastAsia="仿宋" w:cs="仿宋"/>
                <w:color w:val="000000"/>
              </w:rPr>
              <w:t>投标人名称</w:t>
            </w:r>
          </w:p>
        </w:tc>
        <w:tc>
          <w:tcPr>
            <w:tcW w:w="1093" w:type="dxa"/>
            <w:noWrap w:val="0"/>
            <w:vAlign w:val="center"/>
          </w:tcPr>
          <w:p>
            <w:pPr>
              <w:jc w:val="center"/>
              <w:rPr>
                <w:rFonts w:hint="eastAsia" w:ascii="仿宋" w:hAnsi="仿宋" w:eastAsia="仿宋" w:cs="仿宋"/>
                <w:color w:val="000000"/>
              </w:rPr>
            </w:pPr>
            <w:r>
              <w:rPr>
                <w:rFonts w:hint="eastAsia" w:ascii="仿宋" w:hAnsi="仿宋" w:eastAsia="仿宋" w:cs="仿宋"/>
                <w:color w:val="000000"/>
              </w:rPr>
              <w:t>投标报价</w:t>
            </w:r>
          </w:p>
        </w:tc>
        <w:tc>
          <w:tcPr>
            <w:tcW w:w="1217" w:type="dxa"/>
            <w:noWrap w:val="0"/>
            <w:vAlign w:val="center"/>
          </w:tcPr>
          <w:p>
            <w:pPr>
              <w:jc w:val="center"/>
              <w:rPr>
                <w:rFonts w:hint="eastAsia" w:ascii="仿宋" w:hAnsi="仿宋" w:eastAsia="仿宋" w:cs="仿宋"/>
                <w:color w:val="000000"/>
              </w:rPr>
            </w:pPr>
            <w:r>
              <w:rPr>
                <w:rFonts w:hint="eastAsia" w:ascii="仿宋" w:hAnsi="仿宋" w:eastAsia="仿宋" w:cs="仿宋"/>
                <w:color w:val="000000"/>
              </w:rPr>
              <w:t>是否有算术错误</w:t>
            </w:r>
          </w:p>
        </w:tc>
        <w:tc>
          <w:tcPr>
            <w:tcW w:w="1217" w:type="dxa"/>
            <w:noWrap w:val="0"/>
            <w:vAlign w:val="center"/>
          </w:tcPr>
          <w:p>
            <w:pPr>
              <w:jc w:val="center"/>
              <w:rPr>
                <w:rFonts w:hint="eastAsia" w:ascii="仿宋" w:hAnsi="仿宋" w:eastAsia="仿宋" w:cs="仿宋"/>
                <w:color w:val="000000"/>
              </w:rPr>
            </w:pPr>
            <w:r>
              <w:rPr>
                <w:rFonts w:hint="eastAsia" w:ascii="仿宋" w:hAnsi="仿宋" w:eastAsia="仿宋" w:cs="仿宋"/>
                <w:color w:val="000000"/>
              </w:rPr>
              <w:t>修正后的投标报价</w:t>
            </w:r>
          </w:p>
        </w:tc>
        <w:tc>
          <w:tcPr>
            <w:tcW w:w="1217" w:type="dxa"/>
            <w:noWrap w:val="0"/>
            <w:vAlign w:val="center"/>
          </w:tcPr>
          <w:p>
            <w:pPr>
              <w:jc w:val="center"/>
              <w:rPr>
                <w:rFonts w:hint="eastAsia" w:ascii="仿宋" w:hAnsi="仿宋" w:eastAsia="仿宋" w:cs="仿宋"/>
                <w:color w:val="000000"/>
              </w:rPr>
            </w:pPr>
            <w:r>
              <w:rPr>
                <w:rFonts w:hint="eastAsia" w:ascii="仿宋" w:hAnsi="仿宋" w:eastAsia="仿宋" w:cs="仿宋"/>
                <w:color w:val="000000"/>
              </w:rPr>
              <w:t>算术错误调整值</w:t>
            </w:r>
          </w:p>
        </w:tc>
        <w:tc>
          <w:tcPr>
            <w:tcW w:w="1217" w:type="dxa"/>
            <w:noWrap w:val="0"/>
            <w:vAlign w:val="center"/>
          </w:tcPr>
          <w:p>
            <w:pPr>
              <w:jc w:val="center"/>
              <w:rPr>
                <w:rFonts w:hint="eastAsia" w:ascii="仿宋" w:hAnsi="仿宋" w:eastAsia="仿宋" w:cs="仿宋"/>
                <w:color w:val="000000"/>
              </w:rPr>
            </w:pPr>
            <w:r>
              <w:rPr>
                <w:rFonts w:hint="eastAsia" w:ascii="仿宋" w:hAnsi="仿宋" w:eastAsia="仿宋" w:cs="仿宋"/>
                <w:color w:val="000000"/>
              </w:rPr>
              <w:t>与投标总价的正负偏差率</w:t>
            </w:r>
          </w:p>
        </w:tc>
        <w:tc>
          <w:tcPr>
            <w:tcW w:w="1217" w:type="dxa"/>
            <w:noWrap w:val="0"/>
            <w:vAlign w:val="center"/>
          </w:tcPr>
          <w:p>
            <w:pPr>
              <w:jc w:val="center"/>
              <w:rPr>
                <w:rFonts w:hint="eastAsia" w:ascii="仿宋" w:hAnsi="仿宋" w:eastAsia="仿宋" w:cs="仿宋"/>
                <w:color w:val="000000"/>
                <w:kern w:val="0"/>
              </w:rPr>
            </w:pPr>
            <w:r>
              <w:rPr>
                <w:rFonts w:hint="eastAsia" w:ascii="仿宋" w:hAnsi="仿宋" w:eastAsia="仿宋" w:cs="仿宋"/>
                <w:color w:val="000000"/>
                <w:kern w:val="0"/>
              </w:rPr>
              <w:t>算术错误的原因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582" w:type="dxa"/>
            <w:noWrap w:val="0"/>
            <w:vAlign w:val="center"/>
          </w:tcPr>
          <w:p>
            <w:pPr>
              <w:jc w:val="center"/>
              <w:rPr>
                <w:rFonts w:hint="eastAsia" w:ascii="仿宋" w:hAnsi="仿宋" w:eastAsia="仿宋" w:cs="仿宋"/>
                <w:color w:val="000000"/>
                <w:kern w:val="0"/>
              </w:rPr>
            </w:pPr>
          </w:p>
        </w:tc>
        <w:tc>
          <w:tcPr>
            <w:tcW w:w="1134" w:type="dxa"/>
            <w:noWrap w:val="0"/>
            <w:vAlign w:val="center"/>
          </w:tcPr>
          <w:p>
            <w:pPr>
              <w:snapToGrid w:val="0"/>
              <w:jc w:val="center"/>
              <w:rPr>
                <w:rFonts w:hint="eastAsia" w:ascii="仿宋" w:hAnsi="仿宋" w:eastAsia="仿宋" w:cs="仿宋"/>
                <w:color w:val="000000"/>
              </w:rPr>
            </w:pPr>
          </w:p>
        </w:tc>
        <w:tc>
          <w:tcPr>
            <w:tcW w:w="1093" w:type="dxa"/>
            <w:noWrap w:val="0"/>
            <w:vAlign w:val="center"/>
          </w:tcPr>
          <w:p>
            <w:pPr>
              <w:snapToGrid w:val="0"/>
              <w:jc w:val="center"/>
              <w:rPr>
                <w:rFonts w:hint="eastAsia" w:ascii="仿宋" w:hAnsi="仿宋" w:eastAsia="仿宋" w:cs="仿宋"/>
                <w:color w:val="00000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582" w:type="dxa"/>
            <w:noWrap w:val="0"/>
            <w:vAlign w:val="center"/>
          </w:tcPr>
          <w:p>
            <w:pPr>
              <w:jc w:val="center"/>
              <w:rPr>
                <w:rFonts w:hint="eastAsia" w:ascii="仿宋" w:hAnsi="仿宋" w:eastAsia="仿宋" w:cs="仿宋"/>
                <w:color w:val="000000"/>
                <w:kern w:val="0"/>
              </w:rPr>
            </w:pPr>
          </w:p>
        </w:tc>
        <w:tc>
          <w:tcPr>
            <w:tcW w:w="1134" w:type="dxa"/>
            <w:noWrap w:val="0"/>
            <w:vAlign w:val="center"/>
          </w:tcPr>
          <w:p>
            <w:pPr>
              <w:snapToGrid w:val="0"/>
              <w:jc w:val="center"/>
              <w:rPr>
                <w:rFonts w:hint="eastAsia" w:ascii="仿宋" w:hAnsi="仿宋" w:eastAsia="仿宋" w:cs="仿宋"/>
                <w:color w:val="000000"/>
              </w:rPr>
            </w:pPr>
          </w:p>
        </w:tc>
        <w:tc>
          <w:tcPr>
            <w:tcW w:w="1093" w:type="dxa"/>
            <w:noWrap w:val="0"/>
            <w:vAlign w:val="center"/>
          </w:tcPr>
          <w:p>
            <w:pPr>
              <w:snapToGrid w:val="0"/>
              <w:jc w:val="center"/>
              <w:rPr>
                <w:rFonts w:hint="eastAsia" w:ascii="仿宋" w:hAnsi="仿宋" w:eastAsia="仿宋" w:cs="仿宋"/>
                <w:color w:val="00000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582" w:type="dxa"/>
            <w:noWrap w:val="0"/>
            <w:vAlign w:val="center"/>
          </w:tcPr>
          <w:p>
            <w:pPr>
              <w:jc w:val="center"/>
              <w:rPr>
                <w:rFonts w:hint="eastAsia" w:ascii="仿宋" w:hAnsi="仿宋" w:eastAsia="仿宋" w:cs="仿宋"/>
                <w:color w:val="000000"/>
                <w:kern w:val="0"/>
              </w:rPr>
            </w:pPr>
          </w:p>
        </w:tc>
        <w:tc>
          <w:tcPr>
            <w:tcW w:w="1134" w:type="dxa"/>
            <w:noWrap w:val="0"/>
            <w:vAlign w:val="center"/>
          </w:tcPr>
          <w:p>
            <w:pPr>
              <w:snapToGrid w:val="0"/>
              <w:jc w:val="center"/>
              <w:rPr>
                <w:rFonts w:hint="eastAsia" w:ascii="仿宋" w:hAnsi="仿宋" w:eastAsia="仿宋" w:cs="仿宋"/>
                <w:color w:val="000000"/>
              </w:rPr>
            </w:pPr>
          </w:p>
        </w:tc>
        <w:tc>
          <w:tcPr>
            <w:tcW w:w="1093" w:type="dxa"/>
            <w:noWrap w:val="0"/>
            <w:vAlign w:val="center"/>
          </w:tcPr>
          <w:p>
            <w:pPr>
              <w:jc w:val="center"/>
              <w:rPr>
                <w:rFonts w:hint="eastAsia" w:ascii="仿宋" w:hAnsi="仿宋" w:eastAsia="仿宋" w:cs="仿宋"/>
                <w:color w:val="00000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582" w:type="dxa"/>
            <w:noWrap w:val="0"/>
            <w:vAlign w:val="center"/>
          </w:tcPr>
          <w:p>
            <w:pPr>
              <w:jc w:val="center"/>
              <w:rPr>
                <w:rFonts w:hint="eastAsia" w:ascii="仿宋" w:hAnsi="仿宋" w:eastAsia="仿宋" w:cs="仿宋"/>
                <w:color w:val="000000"/>
                <w:kern w:val="0"/>
              </w:rPr>
            </w:pPr>
          </w:p>
        </w:tc>
        <w:tc>
          <w:tcPr>
            <w:tcW w:w="1134" w:type="dxa"/>
            <w:noWrap w:val="0"/>
            <w:vAlign w:val="center"/>
          </w:tcPr>
          <w:p>
            <w:pPr>
              <w:snapToGrid w:val="0"/>
              <w:jc w:val="center"/>
              <w:rPr>
                <w:rFonts w:hint="eastAsia" w:ascii="仿宋" w:hAnsi="仿宋" w:eastAsia="仿宋" w:cs="仿宋"/>
                <w:color w:val="000000"/>
              </w:rPr>
            </w:pPr>
          </w:p>
        </w:tc>
        <w:tc>
          <w:tcPr>
            <w:tcW w:w="1093" w:type="dxa"/>
            <w:noWrap w:val="0"/>
            <w:vAlign w:val="center"/>
          </w:tcPr>
          <w:p>
            <w:pPr>
              <w:snapToGrid w:val="0"/>
              <w:jc w:val="center"/>
              <w:rPr>
                <w:rFonts w:hint="eastAsia" w:ascii="仿宋" w:hAnsi="仿宋" w:eastAsia="仿宋" w:cs="仿宋"/>
                <w:color w:val="00000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582" w:type="dxa"/>
            <w:noWrap w:val="0"/>
            <w:vAlign w:val="center"/>
          </w:tcPr>
          <w:p>
            <w:pPr>
              <w:jc w:val="center"/>
              <w:rPr>
                <w:rFonts w:hint="eastAsia" w:ascii="仿宋" w:hAnsi="仿宋" w:eastAsia="仿宋" w:cs="仿宋"/>
                <w:color w:val="000000"/>
                <w:kern w:val="0"/>
              </w:rPr>
            </w:pPr>
          </w:p>
        </w:tc>
        <w:tc>
          <w:tcPr>
            <w:tcW w:w="1134" w:type="dxa"/>
            <w:noWrap w:val="0"/>
            <w:vAlign w:val="center"/>
          </w:tcPr>
          <w:p>
            <w:pPr>
              <w:snapToGrid w:val="0"/>
              <w:jc w:val="center"/>
              <w:rPr>
                <w:rFonts w:hint="eastAsia" w:ascii="仿宋" w:hAnsi="仿宋" w:eastAsia="仿宋" w:cs="仿宋"/>
                <w:color w:val="000000"/>
              </w:rPr>
            </w:pPr>
          </w:p>
        </w:tc>
        <w:tc>
          <w:tcPr>
            <w:tcW w:w="1093" w:type="dxa"/>
            <w:noWrap w:val="0"/>
            <w:vAlign w:val="center"/>
          </w:tcPr>
          <w:p>
            <w:pPr>
              <w:snapToGrid w:val="0"/>
              <w:jc w:val="center"/>
              <w:rPr>
                <w:rFonts w:hint="eastAsia" w:ascii="仿宋" w:hAnsi="仿宋" w:eastAsia="仿宋" w:cs="仿宋"/>
                <w:color w:val="00000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582" w:type="dxa"/>
            <w:noWrap w:val="0"/>
            <w:vAlign w:val="center"/>
          </w:tcPr>
          <w:p>
            <w:pPr>
              <w:jc w:val="center"/>
              <w:rPr>
                <w:rFonts w:hint="eastAsia" w:ascii="仿宋" w:hAnsi="仿宋" w:eastAsia="仿宋" w:cs="仿宋"/>
                <w:color w:val="000000"/>
                <w:kern w:val="0"/>
              </w:rPr>
            </w:pPr>
          </w:p>
        </w:tc>
        <w:tc>
          <w:tcPr>
            <w:tcW w:w="1134" w:type="dxa"/>
            <w:noWrap w:val="0"/>
            <w:vAlign w:val="center"/>
          </w:tcPr>
          <w:p>
            <w:pPr>
              <w:snapToGrid w:val="0"/>
              <w:jc w:val="center"/>
              <w:rPr>
                <w:rFonts w:hint="eastAsia" w:ascii="仿宋" w:hAnsi="仿宋" w:eastAsia="仿宋" w:cs="仿宋"/>
                <w:color w:val="000000"/>
              </w:rPr>
            </w:pPr>
          </w:p>
        </w:tc>
        <w:tc>
          <w:tcPr>
            <w:tcW w:w="1093" w:type="dxa"/>
            <w:noWrap w:val="0"/>
            <w:vAlign w:val="center"/>
          </w:tcPr>
          <w:p>
            <w:pPr>
              <w:snapToGrid w:val="0"/>
              <w:jc w:val="center"/>
              <w:rPr>
                <w:rFonts w:hint="eastAsia" w:ascii="仿宋" w:hAnsi="仿宋" w:eastAsia="仿宋" w:cs="仿宋"/>
                <w:color w:val="00000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582" w:type="dxa"/>
            <w:noWrap w:val="0"/>
            <w:vAlign w:val="center"/>
          </w:tcPr>
          <w:p>
            <w:pPr>
              <w:jc w:val="center"/>
              <w:rPr>
                <w:rFonts w:hint="eastAsia" w:ascii="仿宋" w:hAnsi="仿宋" w:eastAsia="仿宋" w:cs="仿宋"/>
                <w:color w:val="000000"/>
                <w:kern w:val="0"/>
              </w:rPr>
            </w:pPr>
          </w:p>
        </w:tc>
        <w:tc>
          <w:tcPr>
            <w:tcW w:w="1134" w:type="dxa"/>
            <w:noWrap w:val="0"/>
            <w:vAlign w:val="center"/>
          </w:tcPr>
          <w:p>
            <w:pPr>
              <w:snapToGrid w:val="0"/>
              <w:jc w:val="center"/>
              <w:rPr>
                <w:rFonts w:hint="eastAsia" w:ascii="仿宋" w:hAnsi="仿宋" w:eastAsia="仿宋" w:cs="仿宋"/>
                <w:color w:val="000000"/>
              </w:rPr>
            </w:pPr>
          </w:p>
        </w:tc>
        <w:tc>
          <w:tcPr>
            <w:tcW w:w="1093" w:type="dxa"/>
            <w:noWrap w:val="0"/>
            <w:vAlign w:val="center"/>
          </w:tcPr>
          <w:p>
            <w:pPr>
              <w:snapToGrid w:val="0"/>
              <w:jc w:val="center"/>
              <w:rPr>
                <w:rFonts w:hint="eastAsia" w:ascii="仿宋" w:hAnsi="仿宋" w:eastAsia="仿宋" w:cs="仿宋"/>
                <w:color w:val="00000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c>
          <w:tcPr>
            <w:tcW w:w="1217" w:type="dxa"/>
            <w:noWrap w:val="0"/>
            <w:vAlign w:val="center"/>
          </w:tcPr>
          <w:p>
            <w:pPr>
              <w:jc w:val="center"/>
              <w:rPr>
                <w:rFonts w:hint="eastAsia" w:ascii="仿宋" w:hAnsi="仿宋" w:eastAsia="仿宋" w:cs="仿宋"/>
                <w:color w:val="000000"/>
                <w:kern w:val="0"/>
              </w:rPr>
            </w:pPr>
          </w:p>
        </w:tc>
      </w:tr>
    </w:tbl>
    <w:p>
      <w:pPr>
        <w:snapToGrid w:val="0"/>
        <w:spacing w:line="360" w:lineRule="auto"/>
        <w:rPr>
          <w:rFonts w:hint="eastAsia" w:ascii="仿宋" w:hAnsi="仿宋" w:eastAsia="仿宋" w:cs="仿宋"/>
          <w:color w:val="000000"/>
        </w:rPr>
      </w:pPr>
    </w:p>
    <w:p>
      <w:pPr>
        <w:snapToGrid w:val="0"/>
        <w:spacing w:line="600" w:lineRule="exact"/>
        <w:rPr>
          <w:rFonts w:hint="eastAsia" w:ascii="仿宋" w:hAnsi="仿宋" w:eastAsia="仿宋" w:cs="仿宋"/>
          <w:color w:val="000000"/>
          <w:sz w:val="28"/>
          <w:szCs w:val="28"/>
        </w:rPr>
      </w:pPr>
      <w:r>
        <w:rPr>
          <w:rFonts w:hint="eastAsia" w:ascii="仿宋" w:hAnsi="仿宋" w:eastAsia="仿宋" w:cs="仿宋"/>
          <w:color w:val="000000"/>
          <w:sz w:val="28"/>
          <w:szCs w:val="28"/>
        </w:rPr>
        <w:t>评标委员会全体成员签字：</w:t>
      </w:r>
    </w:p>
    <w:p>
      <w:pPr>
        <w:snapToGrid w:val="0"/>
        <w:spacing w:line="360" w:lineRule="auto"/>
        <w:rPr>
          <w:color w:val="000000"/>
          <w:kern w:val="0"/>
        </w:rPr>
      </w:pPr>
    </w:p>
    <w:p>
      <w:pPr>
        <w:snapToGrid w:val="0"/>
        <w:spacing w:line="360" w:lineRule="auto"/>
        <w:rPr>
          <w:color w:val="000000"/>
        </w:rPr>
      </w:pPr>
    </w:p>
    <w:p>
      <w:pPr>
        <w:snapToGrid w:val="0"/>
        <w:spacing w:line="360" w:lineRule="auto"/>
        <w:rPr>
          <w:color w:val="000000"/>
        </w:rPr>
      </w:pPr>
    </w:p>
    <w:p>
      <w:pPr>
        <w:rPr>
          <w:color w:val="000000"/>
        </w:rPr>
      </w:pPr>
    </w:p>
    <w:p>
      <w:pPr>
        <w:pStyle w:val="32"/>
        <w:spacing w:line="600" w:lineRule="exact"/>
        <w:ind w:left="420" w:hanging="420"/>
        <w:outlineLvl w:val="4"/>
        <w:rPr>
          <w:rFonts w:eastAsia="黑体"/>
          <w:bCs/>
          <w:color w:val="000000"/>
          <w:sz w:val="32"/>
          <w:szCs w:val="20"/>
        </w:rPr>
      </w:pPr>
      <w:r>
        <w:rPr>
          <w:color w:val="000000"/>
        </w:rPr>
        <w:br w:type="page"/>
      </w:r>
      <w:r>
        <w:rPr>
          <w:rFonts w:eastAsia="黑体"/>
          <w:bCs/>
          <w:color w:val="000000"/>
          <w:sz w:val="32"/>
          <w:szCs w:val="20"/>
        </w:rPr>
        <w:t>附表3-7（</w:t>
      </w:r>
      <w:r>
        <w:rPr>
          <w:rFonts w:hint="eastAsia" w:eastAsia="黑体"/>
          <w:bCs/>
          <w:color w:val="000000"/>
          <w:sz w:val="32"/>
          <w:szCs w:val="20"/>
        </w:rPr>
        <w:t>1</w:t>
      </w:r>
      <w:r>
        <w:rPr>
          <w:rFonts w:eastAsia="黑体"/>
          <w:bCs/>
          <w:color w:val="000000"/>
          <w:sz w:val="32"/>
          <w:szCs w:val="20"/>
        </w:rPr>
        <w:t>）：详细评审</w:t>
      </w:r>
      <w:r>
        <w:rPr>
          <w:rFonts w:hint="eastAsia" w:eastAsia="黑体"/>
          <w:bCs/>
          <w:color w:val="000000"/>
          <w:sz w:val="32"/>
          <w:szCs w:val="20"/>
        </w:rPr>
        <w:t>－</w:t>
      </w:r>
      <w:r>
        <w:rPr>
          <w:rFonts w:eastAsia="黑体"/>
          <w:bCs/>
          <w:color w:val="000000"/>
          <w:sz w:val="32"/>
          <w:szCs w:val="20"/>
        </w:rPr>
        <w:t>信誉等其他评分因素评分标准表（一）</w:t>
      </w:r>
    </w:p>
    <w:p>
      <w:pPr>
        <w:spacing w:line="600" w:lineRule="exact"/>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信誉等其他评分因素评分标准表（一）</w:t>
      </w:r>
    </w:p>
    <w:p>
      <w:pPr>
        <w:spacing w:line="440" w:lineRule="exact"/>
        <w:jc w:val="left"/>
        <w:rPr>
          <w:rFonts w:hint="eastAsia" w:ascii="仿宋" w:hAnsi="仿宋" w:eastAsia="仿宋" w:cs="仿宋"/>
          <w:color w:val="000000"/>
          <w:sz w:val="24"/>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（标段名称）</w:t>
      </w:r>
      <w:r>
        <w:rPr>
          <w:rFonts w:hint="eastAsia" w:ascii="仿宋" w:hAnsi="仿宋" w:eastAsia="仿宋" w:cs="仿宋"/>
          <w:color w:val="000000"/>
          <w:sz w:val="24"/>
          <w:u w:val="single"/>
        </w:rPr>
        <w:t xml:space="preserve">                      </w:t>
      </w:r>
    </w:p>
    <w:p>
      <w:pPr>
        <w:spacing w:line="440" w:lineRule="exact"/>
        <w:jc w:val="left"/>
        <w:rPr>
          <w:rFonts w:hint="eastAsia" w:ascii="仿宋" w:hAnsi="仿宋" w:eastAsia="仿宋" w:cs="仿宋"/>
          <w:color w:val="000000"/>
          <w:sz w:val="24"/>
        </w:rPr>
      </w:pPr>
      <w:r>
        <w:rPr>
          <w:rFonts w:hint="eastAsia" w:ascii="仿宋" w:hAnsi="仿宋" w:eastAsia="仿宋" w:cs="仿宋"/>
          <w:color w:val="000000"/>
          <w:sz w:val="24"/>
        </w:rPr>
        <w:t>项目管理编号：</w:t>
      </w:r>
      <w:r>
        <w:rPr>
          <w:rFonts w:hint="eastAsia" w:ascii="仿宋" w:hAnsi="仿宋" w:eastAsia="仿宋" w:cs="仿宋"/>
          <w:color w:val="000000"/>
          <w:sz w:val="24"/>
          <w:u w:val="single"/>
        </w:rPr>
        <w:t xml:space="preserve">                    </w:t>
      </w:r>
    </w:p>
    <w:tbl>
      <w:tblPr>
        <w:tblStyle w:val="47"/>
        <w:tblW w:w="90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784"/>
        <w:gridCol w:w="1348"/>
        <w:gridCol w:w="1134"/>
        <w:gridCol w:w="2835"/>
        <w:gridCol w:w="708"/>
        <w:gridCol w:w="567"/>
        <w:gridCol w:w="567"/>
        <w:gridCol w:w="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序号</w:t>
            </w:r>
          </w:p>
        </w:tc>
        <w:tc>
          <w:tcPr>
            <w:tcW w:w="784" w:type="dxa"/>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条款号</w:t>
            </w:r>
          </w:p>
        </w:tc>
        <w:tc>
          <w:tcPr>
            <w:tcW w:w="1348" w:type="dxa"/>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评分因素</w:t>
            </w:r>
          </w:p>
        </w:tc>
        <w:tc>
          <w:tcPr>
            <w:tcW w:w="4677" w:type="dxa"/>
            <w:gridSpan w:val="3"/>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评分标准</w:t>
            </w:r>
          </w:p>
        </w:tc>
        <w:tc>
          <w:tcPr>
            <w:tcW w:w="1710" w:type="dxa"/>
            <w:gridSpan w:val="3"/>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投标人名称及评审计分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snapToGrid w:val="0"/>
              <w:jc w:val="center"/>
              <w:rPr>
                <w:rFonts w:hint="eastAsia" w:ascii="仿宋" w:hAnsi="仿宋" w:eastAsia="仿宋" w:cs="仿宋"/>
                <w:color w:val="000000"/>
                <w:sz w:val="18"/>
                <w:szCs w:val="18"/>
              </w:rPr>
            </w:pPr>
          </w:p>
        </w:tc>
        <w:tc>
          <w:tcPr>
            <w:tcW w:w="4677" w:type="dxa"/>
            <w:gridSpan w:val="3"/>
            <w:vMerge w:val="continue"/>
            <w:noWrap w:val="0"/>
            <w:vAlign w:val="center"/>
          </w:tcPr>
          <w:p>
            <w:pPr>
              <w:snapToGrid w:val="0"/>
              <w:jc w:val="center"/>
              <w:rPr>
                <w:rFonts w:hint="eastAsia" w:ascii="仿宋" w:hAnsi="仿宋" w:eastAsia="仿宋" w:cs="仿宋"/>
                <w:color w:val="000000"/>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w:t>
            </w:r>
          </w:p>
        </w:tc>
        <w:tc>
          <w:tcPr>
            <w:tcW w:w="567"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2</w:t>
            </w:r>
          </w:p>
        </w:tc>
        <w:tc>
          <w:tcPr>
            <w:tcW w:w="576"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snapToGrid w:val="0"/>
              <w:jc w:val="center"/>
              <w:rPr>
                <w:rFonts w:hint="eastAsia" w:ascii="仿宋" w:hAnsi="仿宋" w:eastAsia="仿宋" w:cs="仿宋"/>
                <w:color w:val="000000"/>
                <w:sz w:val="18"/>
                <w:szCs w:val="18"/>
              </w:rPr>
            </w:pPr>
          </w:p>
        </w:tc>
        <w:tc>
          <w:tcPr>
            <w:tcW w:w="4677" w:type="dxa"/>
            <w:gridSpan w:val="3"/>
            <w:vMerge w:val="continue"/>
            <w:noWrap w:val="0"/>
            <w:vAlign w:val="center"/>
          </w:tcPr>
          <w:p>
            <w:pPr>
              <w:snapToGrid w:val="0"/>
              <w:jc w:val="center"/>
              <w:rPr>
                <w:rFonts w:hint="eastAsia" w:ascii="仿宋" w:hAnsi="仿宋" w:eastAsia="仿宋" w:cs="仿宋"/>
                <w:color w:val="000000"/>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exac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w:t>
            </w:r>
          </w:p>
        </w:tc>
        <w:tc>
          <w:tcPr>
            <w:tcW w:w="784" w:type="dxa"/>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2.2.4（2）</w:t>
            </w:r>
          </w:p>
        </w:tc>
        <w:tc>
          <w:tcPr>
            <w:tcW w:w="1348"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投标人信用等级</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（0～45分）</w:t>
            </w:r>
          </w:p>
        </w:tc>
        <w:tc>
          <w:tcPr>
            <w:tcW w:w="3969" w:type="dxa"/>
            <w:gridSpan w:val="2"/>
            <w:noWrap w:val="0"/>
            <w:vAlign w:val="center"/>
          </w:tcPr>
          <w:p>
            <w:pPr>
              <w:tabs>
                <w:tab w:val="left" w:pos="420"/>
              </w:tabs>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湖南省智慧住建云－公共服务平台—诚信评价（90-100分）或信用等级（全国水利建设市场主体）为AAA级或信用等级（湖南省水利建设市场主体）A+级（100％）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76" w:type="dxa"/>
            <w:vMerge w:val="restart"/>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snapToGrid w:val="0"/>
              <w:jc w:val="center"/>
              <w:rPr>
                <w:rFonts w:hint="eastAsia" w:ascii="仿宋" w:hAnsi="仿宋" w:eastAsia="仿宋" w:cs="仿宋"/>
                <w:color w:val="000000"/>
                <w:sz w:val="18"/>
                <w:szCs w:val="18"/>
              </w:rPr>
            </w:pPr>
          </w:p>
        </w:tc>
        <w:tc>
          <w:tcPr>
            <w:tcW w:w="3969" w:type="dxa"/>
            <w:gridSpan w:val="2"/>
            <w:noWrap w:val="0"/>
            <w:vAlign w:val="center"/>
          </w:tcPr>
          <w:p>
            <w:pPr>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湖南省智慧住建云－公共服务平台—诚信评价（80-89分）或信用等级（全国水利建设市场主体）为AA级或信用等级（湖南省水利建设市场主体）A级（85％）</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snapToGrid w:val="0"/>
              <w:jc w:val="center"/>
              <w:rPr>
                <w:rFonts w:hint="eastAsia" w:ascii="仿宋" w:hAnsi="仿宋" w:eastAsia="仿宋" w:cs="仿宋"/>
                <w:color w:val="000000"/>
                <w:sz w:val="18"/>
                <w:szCs w:val="18"/>
              </w:rPr>
            </w:pPr>
          </w:p>
        </w:tc>
        <w:tc>
          <w:tcPr>
            <w:tcW w:w="3969" w:type="dxa"/>
            <w:gridSpan w:val="2"/>
            <w:noWrap w:val="0"/>
            <w:vAlign w:val="center"/>
          </w:tcPr>
          <w:p>
            <w:pPr>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湖南省智慧住建云－公共服务平台—诚信评价（70-79分）或信用等级（全国水利建设市场主体）为A级或信用等级（湖南省水利建设市场主体）A-级（70％）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snapToGrid w:val="0"/>
              <w:jc w:val="center"/>
              <w:rPr>
                <w:rFonts w:hint="eastAsia" w:ascii="仿宋" w:hAnsi="仿宋" w:eastAsia="仿宋" w:cs="仿宋"/>
                <w:color w:val="000000"/>
                <w:sz w:val="18"/>
                <w:szCs w:val="18"/>
              </w:rPr>
            </w:pPr>
          </w:p>
        </w:tc>
        <w:tc>
          <w:tcPr>
            <w:tcW w:w="3969" w:type="dxa"/>
            <w:gridSpan w:val="2"/>
            <w:noWrap w:val="0"/>
            <w:vAlign w:val="center"/>
          </w:tcPr>
          <w:p>
            <w:pPr>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湖南省智慧住建云－公共服务平台—诚信评价（60-69分）或信用等级（全国水利建设市场主体）为B级或信用等级（湖南省水利建设市场主体）B级（55％）</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3969" w:type="dxa"/>
            <w:gridSpan w:val="2"/>
            <w:noWrap w:val="0"/>
            <w:vAlign w:val="center"/>
          </w:tcPr>
          <w:p>
            <w:pPr>
              <w:pStyle w:val="106"/>
              <w:snapToGrid w:val="0"/>
              <w:jc w:val="both"/>
              <w:rPr>
                <w:rFonts w:hint="eastAsia" w:ascii="仿宋" w:hAnsi="仿宋" w:eastAsia="仿宋" w:cs="仿宋"/>
                <w:sz w:val="18"/>
                <w:szCs w:val="18"/>
              </w:rPr>
            </w:pPr>
            <w:r>
              <w:rPr>
                <w:rFonts w:hint="eastAsia" w:ascii="仿宋" w:hAnsi="仿宋" w:eastAsia="仿宋" w:cs="仿宋"/>
                <w:sz w:val="18"/>
                <w:szCs w:val="18"/>
              </w:rPr>
              <w:t>湖南省智慧住建云－公共服务平台—诚信评价（60分以下，不包含60分）或信用等级（全国水利建设市场主体）为C级或信用等级（湖南省水利建设市场主体）C级（0分）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574"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2</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noWrap w:val="0"/>
            <w:vAlign w:val="center"/>
          </w:tcPr>
          <w:p>
            <w:pPr>
              <w:pStyle w:val="106"/>
              <w:snapToGrid w:val="0"/>
              <w:jc w:val="center"/>
              <w:rPr>
                <w:rFonts w:hint="eastAsia" w:ascii="仿宋" w:hAnsi="仿宋" w:eastAsia="仿宋" w:cs="仿宋"/>
                <w:b/>
                <w:sz w:val="18"/>
                <w:szCs w:val="18"/>
              </w:rPr>
            </w:pPr>
            <w:r>
              <w:rPr>
                <w:rFonts w:hint="eastAsia" w:ascii="仿宋" w:hAnsi="仿宋" w:eastAsia="仿宋" w:cs="仿宋"/>
                <w:sz w:val="18"/>
                <w:szCs w:val="18"/>
              </w:rPr>
              <w:t>类似项目经验（近</w:t>
            </w:r>
            <w:r>
              <w:rPr>
                <w:rFonts w:hint="eastAsia" w:ascii="仿宋" w:hAnsi="仿宋" w:eastAsia="仿宋" w:cs="仿宋"/>
                <w:sz w:val="18"/>
                <w:szCs w:val="18"/>
                <w:u w:val="single"/>
              </w:rPr>
              <w:t xml:space="preserve">   </w:t>
            </w:r>
            <w:r>
              <w:rPr>
                <w:rFonts w:hint="eastAsia" w:ascii="仿宋" w:hAnsi="仿宋" w:eastAsia="仿宋" w:cs="仿宋"/>
                <w:sz w:val="18"/>
                <w:szCs w:val="18"/>
              </w:rPr>
              <w:t>年）（0～40分）</w:t>
            </w:r>
          </w:p>
        </w:tc>
        <w:tc>
          <w:tcPr>
            <w:tcW w:w="4677" w:type="dxa"/>
            <w:gridSpan w:val="3"/>
            <w:noWrap w:val="0"/>
            <w:vAlign w:val="center"/>
          </w:tcPr>
          <w:p>
            <w:pPr>
              <w:pStyle w:val="106"/>
              <w:snapToGrid w:val="0"/>
              <w:ind w:firstLine="180" w:firstLineChars="100"/>
              <w:rPr>
                <w:rFonts w:hint="eastAsia" w:ascii="仿宋" w:hAnsi="仿宋" w:eastAsia="仿宋" w:cs="仿宋"/>
                <w:sz w:val="18"/>
                <w:szCs w:val="18"/>
              </w:rPr>
            </w:pPr>
            <w:r>
              <w:rPr>
                <w:rFonts w:hint="eastAsia" w:ascii="仿宋" w:hAnsi="仿宋" w:eastAsia="仿宋" w:cs="仿宋"/>
                <w:sz w:val="18"/>
                <w:szCs w:val="18"/>
              </w:rPr>
              <w:t>满足招标文件的计</w:t>
            </w:r>
            <w:r>
              <w:rPr>
                <w:rFonts w:hint="eastAsia" w:ascii="仿宋" w:hAnsi="仿宋" w:eastAsia="仿宋" w:cs="仿宋"/>
                <w:sz w:val="18"/>
                <w:szCs w:val="18"/>
                <w:u w:val="single"/>
              </w:rPr>
              <w:t xml:space="preserve">  </w:t>
            </w:r>
            <w:r>
              <w:rPr>
                <w:rFonts w:hint="eastAsia" w:ascii="仿宋" w:hAnsi="仿宋" w:eastAsia="仿宋" w:cs="仿宋"/>
                <w:sz w:val="18"/>
                <w:szCs w:val="18"/>
              </w:rPr>
              <w:t>分，每增加一个类似业绩加</w:t>
            </w:r>
            <w:r>
              <w:rPr>
                <w:rFonts w:hint="eastAsia" w:ascii="仿宋" w:hAnsi="仿宋" w:eastAsia="仿宋" w:cs="仿宋"/>
                <w:sz w:val="18"/>
                <w:szCs w:val="18"/>
                <w:u w:val="single"/>
              </w:rPr>
              <w:t xml:space="preserve">  </w:t>
            </w:r>
            <w:r>
              <w:rPr>
                <w:rFonts w:hint="eastAsia" w:ascii="仿宋" w:hAnsi="仿宋" w:eastAsia="仿宋" w:cs="仿宋"/>
                <w:sz w:val="18"/>
                <w:szCs w:val="18"/>
              </w:rPr>
              <w:t>分，最多增加二个类似业绩。</w:t>
            </w: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3</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财务状况</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（10～20分）</w:t>
            </w:r>
          </w:p>
        </w:tc>
        <w:tc>
          <w:tcPr>
            <w:tcW w:w="1134"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流动比率（4～7分）</w:t>
            </w:r>
          </w:p>
        </w:tc>
        <w:tc>
          <w:tcPr>
            <w:tcW w:w="2835"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流动比率2倍（含）以上</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76" w:type="dxa"/>
            <w:vMerge w:val="restart"/>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vMerge w:val="continue"/>
            <w:noWrap w:val="0"/>
            <w:vAlign w:val="center"/>
          </w:tcPr>
          <w:p>
            <w:pPr>
              <w:pStyle w:val="106"/>
              <w:snapToGrid w:val="0"/>
              <w:jc w:val="center"/>
              <w:rPr>
                <w:rFonts w:hint="eastAsia" w:ascii="仿宋" w:hAnsi="仿宋" w:eastAsia="仿宋" w:cs="仿宋"/>
                <w:sz w:val="18"/>
                <w:szCs w:val="18"/>
              </w:rPr>
            </w:pPr>
          </w:p>
        </w:tc>
        <w:tc>
          <w:tcPr>
            <w:tcW w:w="2835"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流动比率2倍以下</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企业利润（2～6分）</w:t>
            </w:r>
          </w:p>
        </w:tc>
        <w:tc>
          <w:tcPr>
            <w:tcW w:w="2835"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净利润＞0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企业资产负债率</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（4～7分）</w:t>
            </w:r>
          </w:p>
        </w:tc>
        <w:tc>
          <w:tcPr>
            <w:tcW w:w="2835"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资产负债率＜70％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76" w:type="dxa"/>
            <w:vMerge w:val="restart"/>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vMerge w:val="continue"/>
            <w:noWrap w:val="0"/>
            <w:vAlign w:val="center"/>
          </w:tcPr>
          <w:p>
            <w:pPr>
              <w:pStyle w:val="106"/>
              <w:snapToGrid w:val="0"/>
              <w:jc w:val="center"/>
              <w:rPr>
                <w:rFonts w:hint="eastAsia" w:ascii="仿宋" w:hAnsi="仿宋" w:eastAsia="仿宋" w:cs="仿宋"/>
                <w:sz w:val="18"/>
                <w:szCs w:val="18"/>
              </w:rPr>
            </w:pPr>
          </w:p>
        </w:tc>
        <w:tc>
          <w:tcPr>
            <w:tcW w:w="2835"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sz w:val="18"/>
                <w:szCs w:val="18"/>
              </w:rPr>
              <w:t>90％＞资产负债率≥70％</w:t>
            </w:r>
          </w:p>
        </w:tc>
        <w:tc>
          <w:tcPr>
            <w:tcW w:w="708" w:type="dxa"/>
            <w:noWrap w:val="0"/>
            <w:vAlign w:val="center"/>
          </w:tcPr>
          <w:p>
            <w:pPr>
              <w:snapToGrid w:val="0"/>
              <w:jc w:val="center"/>
              <w:rPr>
                <w:rFonts w:hint="eastAsia" w:ascii="仿宋" w:hAnsi="仿宋" w:eastAsia="仿宋" w:cs="仿宋"/>
                <w:color w:val="000000"/>
                <w:kern w:val="0"/>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4</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工程获奖</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（近</w:t>
            </w:r>
            <w:r>
              <w:rPr>
                <w:rFonts w:hint="eastAsia" w:ascii="仿宋" w:hAnsi="仿宋" w:eastAsia="仿宋" w:cs="仿宋"/>
                <w:sz w:val="18"/>
                <w:szCs w:val="18"/>
                <w:u w:val="single"/>
              </w:rPr>
              <w:t xml:space="preserve">    </w:t>
            </w:r>
            <w:r>
              <w:rPr>
                <w:rFonts w:hint="eastAsia" w:ascii="仿宋" w:hAnsi="仿宋" w:eastAsia="仿宋" w:cs="仿宋"/>
                <w:sz w:val="18"/>
                <w:szCs w:val="18"/>
              </w:rPr>
              <w:t>年）</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（0～20分）</w:t>
            </w:r>
          </w:p>
        </w:tc>
        <w:tc>
          <w:tcPr>
            <w:tcW w:w="1134" w:type="dxa"/>
            <w:noWrap w:val="0"/>
            <w:vAlign w:val="center"/>
          </w:tcPr>
          <w:p>
            <w:pPr>
              <w:pStyle w:val="106"/>
              <w:snapToGrid w:val="0"/>
              <w:jc w:val="center"/>
              <w:rPr>
                <w:rFonts w:ascii="仿宋" w:hAnsi="仿宋" w:eastAsia="仿宋" w:cs="仿宋"/>
                <w:sz w:val="18"/>
                <w:szCs w:val="18"/>
              </w:rPr>
            </w:pPr>
            <w:r>
              <w:rPr>
                <w:rFonts w:hint="eastAsia" w:ascii="仿宋" w:hAnsi="仿宋" w:eastAsia="仿宋" w:cs="仿宋"/>
                <w:sz w:val="18"/>
                <w:szCs w:val="18"/>
              </w:rPr>
              <w:t>0～20</w:t>
            </w:r>
          </w:p>
        </w:tc>
        <w:tc>
          <w:tcPr>
            <w:tcW w:w="2835" w:type="dxa"/>
            <w:noWrap w:val="0"/>
            <w:vAlign w:val="center"/>
          </w:tcPr>
          <w:p>
            <w:pPr>
              <w:pStyle w:val="106"/>
              <w:snapToGrid w:val="0"/>
              <w:rPr>
                <w:rFonts w:hint="eastAsia" w:ascii="仿宋" w:hAnsi="仿宋" w:eastAsia="仿宋" w:cs="仿宋"/>
                <w:sz w:val="18"/>
                <w:szCs w:val="18"/>
                <w:u w:val="single"/>
              </w:rPr>
            </w:pPr>
            <w:r>
              <w:rPr>
                <w:rFonts w:hint="eastAsia" w:ascii="仿宋" w:hAnsi="仿宋" w:eastAsia="仿宋" w:cs="仿宋"/>
                <w:sz w:val="18"/>
                <w:szCs w:val="18"/>
              </w:rPr>
              <w:t>国家优质工程奖、农业农村部质量奖（均指农田建设项目工程获奖），每项计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0～15</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省政府或省级农业农村主管部门颁发的优质农田建设项目工程奖项每项计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0～12</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市政府或市级农业农村主管部门颁发的优质农田建设项目工程奖项每项计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exac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5</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年度考核</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（近</w:t>
            </w:r>
            <w:r>
              <w:rPr>
                <w:rFonts w:hint="eastAsia" w:ascii="仿宋" w:hAnsi="仿宋" w:eastAsia="仿宋" w:cs="仿宋"/>
                <w:sz w:val="18"/>
                <w:szCs w:val="18"/>
                <w:u w:val="single"/>
              </w:rPr>
              <w:t xml:space="preserve">    </w:t>
            </w:r>
            <w:r>
              <w:rPr>
                <w:rFonts w:hint="eastAsia" w:ascii="仿宋" w:hAnsi="仿宋" w:eastAsia="仿宋" w:cs="仿宋"/>
                <w:sz w:val="18"/>
                <w:szCs w:val="18"/>
              </w:rPr>
              <w:t>年）</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（18～35分）</w:t>
            </w: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21～35</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省级农业农村主管部门考核第一名100%；第二名95%；第三名85%；其他60%；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ascii="仿宋" w:hAnsi="仿宋" w:eastAsia="仿宋" w:cs="仿宋"/>
                <w:sz w:val="18"/>
                <w:szCs w:val="18"/>
              </w:rPr>
            </w:pPr>
            <w:r>
              <w:rPr>
                <w:rFonts w:hint="eastAsia" w:ascii="仿宋" w:hAnsi="仿宋" w:eastAsia="仿宋" w:cs="仿宋"/>
                <w:sz w:val="18"/>
                <w:szCs w:val="18"/>
              </w:rPr>
              <w:t>18～30</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县/区级农业农村主管部门考核第一名100%；第二名95%；第三名85%；其他60%；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exac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6</w:t>
            </w:r>
          </w:p>
        </w:tc>
        <w:tc>
          <w:tcPr>
            <w:tcW w:w="784" w:type="dxa"/>
            <w:vMerge w:val="restart"/>
            <w:noWrap w:val="0"/>
            <w:vAlign w:val="center"/>
          </w:tcPr>
          <w:p>
            <w:pPr>
              <w:snapToGrid w:val="0"/>
              <w:jc w:val="center"/>
              <w:rPr>
                <w:rFonts w:hint="eastAsia" w:ascii="仿宋" w:hAnsi="仿宋" w:eastAsia="仿宋" w:cs="仿宋"/>
                <w:color w:val="000000"/>
                <w:sz w:val="18"/>
                <w:szCs w:val="18"/>
              </w:rPr>
            </w:pPr>
          </w:p>
        </w:tc>
        <w:tc>
          <w:tcPr>
            <w:tcW w:w="1348"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技术创新</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（近</w:t>
            </w:r>
            <w:r>
              <w:rPr>
                <w:rFonts w:hint="eastAsia" w:ascii="仿宋" w:hAnsi="仿宋" w:eastAsia="仿宋" w:cs="仿宋"/>
                <w:sz w:val="18"/>
                <w:szCs w:val="18"/>
                <w:u w:val="single"/>
              </w:rPr>
              <w:t xml:space="preserve">    </w:t>
            </w:r>
            <w:r>
              <w:rPr>
                <w:rFonts w:hint="eastAsia" w:ascii="仿宋" w:hAnsi="仿宋" w:eastAsia="仿宋" w:cs="仿宋"/>
                <w:sz w:val="18"/>
                <w:szCs w:val="18"/>
              </w:rPr>
              <w:t>年）</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（0～15分）</w:t>
            </w: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0～8</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国家科技进步奖或国家技术发明奖（均指农田建设项目工程获奖）每项计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0～4</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省科技进步奖或省技术发明奖（均指农田建设项目工程获奖）每项计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0～3</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省级行业协会（学会）颁发的科技进步奖（均指农田建设项目工程获奖）每项计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574" w:type="dxa"/>
            <w:noWrap w:val="0"/>
            <w:vAlign w:val="center"/>
          </w:tcPr>
          <w:p>
            <w:pPr>
              <w:snapToGrid w:val="0"/>
              <w:jc w:val="center"/>
              <w:rPr>
                <w:rFonts w:hint="eastAsia" w:ascii="仿宋" w:hAnsi="仿宋" w:eastAsia="仿宋" w:cs="仿宋"/>
                <w:color w:val="000000"/>
                <w:kern w:val="0"/>
              </w:rPr>
            </w:pPr>
          </w:p>
        </w:tc>
        <w:tc>
          <w:tcPr>
            <w:tcW w:w="6809" w:type="dxa"/>
            <w:gridSpan w:val="5"/>
            <w:noWrap w:val="0"/>
            <w:vAlign w:val="center"/>
          </w:tcPr>
          <w:p>
            <w:pPr>
              <w:snapToGrid w:val="0"/>
              <w:jc w:val="center"/>
              <w:rPr>
                <w:rFonts w:hint="eastAsia" w:ascii="仿宋" w:hAnsi="仿宋" w:eastAsia="仿宋" w:cs="仿宋"/>
                <w:b/>
                <w:bCs/>
                <w:color w:val="000000"/>
                <w:kern w:val="0"/>
              </w:rPr>
            </w:pPr>
            <w:r>
              <w:rPr>
                <w:rFonts w:hint="eastAsia" w:ascii="仿宋" w:hAnsi="仿宋" w:eastAsia="仿宋" w:cs="仿宋"/>
                <w:b/>
                <w:bCs/>
                <w:color w:val="000000"/>
                <w:kern w:val="0"/>
              </w:rPr>
              <w:t>合计</w:t>
            </w:r>
          </w:p>
        </w:tc>
        <w:tc>
          <w:tcPr>
            <w:tcW w:w="567" w:type="dxa"/>
            <w:noWrap w:val="0"/>
            <w:vAlign w:val="center"/>
          </w:tcPr>
          <w:p>
            <w:pPr>
              <w:snapToGrid w:val="0"/>
              <w:jc w:val="center"/>
              <w:rPr>
                <w:rFonts w:hint="eastAsia" w:ascii="仿宋" w:hAnsi="仿宋" w:eastAsia="仿宋" w:cs="仿宋"/>
                <w:color w:val="000000"/>
                <w:kern w:val="0"/>
              </w:rPr>
            </w:pPr>
          </w:p>
        </w:tc>
        <w:tc>
          <w:tcPr>
            <w:tcW w:w="567" w:type="dxa"/>
            <w:noWrap w:val="0"/>
            <w:vAlign w:val="center"/>
          </w:tcPr>
          <w:p>
            <w:pPr>
              <w:snapToGrid w:val="0"/>
              <w:jc w:val="center"/>
              <w:rPr>
                <w:rFonts w:hint="eastAsia" w:ascii="仿宋" w:hAnsi="仿宋" w:eastAsia="仿宋" w:cs="仿宋"/>
                <w:color w:val="000000"/>
                <w:kern w:val="0"/>
              </w:rPr>
            </w:pPr>
          </w:p>
        </w:tc>
        <w:tc>
          <w:tcPr>
            <w:tcW w:w="576" w:type="dxa"/>
            <w:noWrap w:val="0"/>
            <w:vAlign w:val="center"/>
          </w:tcPr>
          <w:p>
            <w:pPr>
              <w:snapToGrid w:val="0"/>
              <w:jc w:val="center"/>
              <w:rPr>
                <w:rFonts w:hint="eastAsia" w:ascii="仿宋" w:hAnsi="仿宋" w:eastAsia="仿宋" w:cs="仿宋"/>
                <w:color w:val="000000"/>
                <w:kern w:val="0"/>
              </w:rPr>
            </w:pPr>
          </w:p>
        </w:tc>
      </w:tr>
    </w:tbl>
    <w:p>
      <w:pPr>
        <w:jc w:val="left"/>
        <w:rPr>
          <w:rFonts w:hint="eastAsia" w:ascii="仿宋" w:hAnsi="仿宋" w:eastAsia="仿宋" w:cs="仿宋"/>
          <w:color w:val="000000"/>
          <w:kern w:val="0"/>
          <w:sz w:val="18"/>
          <w:szCs w:val="18"/>
        </w:rPr>
      </w:pPr>
      <w:r>
        <w:rPr>
          <w:rFonts w:hint="eastAsia" w:ascii="仿宋" w:hAnsi="仿宋" w:eastAsia="仿宋" w:cs="仿宋"/>
          <w:b/>
          <w:color w:val="000000"/>
          <w:kern w:val="0"/>
          <w:sz w:val="18"/>
          <w:szCs w:val="18"/>
        </w:rPr>
        <w:t>备注：</w:t>
      </w:r>
      <w:r>
        <w:rPr>
          <w:rFonts w:hint="eastAsia" w:ascii="仿宋" w:hAnsi="仿宋" w:eastAsia="仿宋" w:cs="仿宋"/>
          <w:color w:val="000000"/>
          <w:kern w:val="0"/>
          <w:sz w:val="18"/>
          <w:szCs w:val="18"/>
        </w:rPr>
        <w:t>1.本表适用于非联合体投标人评审。</w:t>
      </w:r>
    </w:p>
    <w:p>
      <w:pPr>
        <w:ind w:firstLine="540" w:firstLineChars="300"/>
        <w:jc w:val="left"/>
        <w:rPr>
          <w:rFonts w:hint="eastAsia" w:ascii="仿宋" w:hAnsi="仿宋" w:eastAsia="仿宋" w:cs="仿宋"/>
          <w:color w:val="000000"/>
          <w:sz w:val="18"/>
          <w:szCs w:val="18"/>
        </w:rPr>
      </w:pPr>
      <w:r>
        <w:rPr>
          <w:rFonts w:hint="eastAsia" w:ascii="仿宋" w:hAnsi="仿宋" w:eastAsia="仿宋" w:cs="仿宋"/>
          <w:color w:val="000000"/>
          <w:kern w:val="0"/>
          <w:sz w:val="18"/>
          <w:szCs w:val="18"/>
        </w:rPr>
        <w:t>2.本表小计总分为100分。</w:t>
      </w:r>
      <w:r>
        <w:rPr>
          <w:rFonts w:hint="eastAsia" w:ascii="仿宋" w:hAnsi="仿宋" w:eastAsia="仿宋" w:cs="仿宋"/>
          <w:color w:val="000000"/>
          <w:sz w:val="18"/>
          <w:szCs w:val="18"/>
        </w:rPr>
        <w:t>由评标委员会集体评议，统一计分。评标委员会成员中对结论有不同意见时，按少数服从多数的原则，确定得分。</w:t>
      </w:r>
    </w:p>
    <w:p>
      <w:pPr>
        <w:pStyle w:val="164"/>
        <w:widowControl w:val="0"/>
        <w:snapToGrid w:val="0"/>
        <w:spacing w:before="0" w:beforeAutospacing="0" w:after="0" w:afterAutospacing="0"/>
        <w:ind w:firstLine="542" w:firstLineChars="300"/>
        <w:rPr>
          <w:rFonts w:hint="eastAsia" w:ascii="仿宋" w:hAnsi="仿宋" w:eastAsia="仿宋" w:cs="仿宋"/>
          <w:b/>
          <w:bCs/>
          <w:color w:val="000000"/>
          <w:sz w:val="18"/>
          <w:szCs w:val="18"/>
        </w:rPr>
      </w:pPr>
      <w:r>
        <w:rPr>
          <w:rFonts w:hint="eastAsia" w:ascii="仿宋" w:hAnsi="仿宋" w:eastAsia="仿宋" w:cs="仿宋"/>
          <w:b/>
          <w:bCs/>
          <w:color w:val="000000"/>
          <w:sz w:val="18"/>
          <w:szCs w:val="18"/>
        </w:rPr>
        <w:t>3.（1）以建筑工程施工总承包或市政公用工程施工总承包资质投标时，施工单位信用评价情况采用提交投标文件截止之时最新公告的信用评价结果。评标时以在“湖南省智慧住建云”中查询的结果为准；</w:t>
      </w:r>
    </w:p>
    <w:p>
      <w:pPr>
        <w:pStyle w:val="164"/>
        <w:widowControl w:val="0"/>
        <w:snapToGrid w:val="0"/>
        <w:spacing w:before="0" w:beforeAutospacing="0" w:after="0" w:afterAutospacing="0"/>
        <w:ind w:firstLine="361" w:firstLineChars="200"/>
        <w:rPr>
          <w:rFonts w:hint="eastAsia" w:ascii="仿宋" w:hAnsi="仿宋" w:eastAsia="仿宋" w:cs="仿宋"/>
          <w:b/>
          <w:bCs/>
          <w:color w:val="000000"/>
          <w:sz w:val="18"/>
          <w:szCs w:val="18"/>
        </w:rPr>
      </w:pPr>
      <w:r>
        <w:rPr>
          <w:rFonts w:hint="eastAsia" w:ascii="仿宋" w:hAnsi="仿宋" w:eastAsia="仿宋" w:cs="仿宋"/>
          <w:b/>
          <w:bCs/>
          <w:color w:val="000000"/>
          <w:sz w:val="18"/>
          <w:szCs w:val="18"/>
        </w:rPr>
        <w:t>（2）以建筑工程施工总承包或市政公用工程施工总承包资质投标时，未参加信用评价的投标人（含联合体各成员方），按照信用评价处于末位的合格投标人的分值计取，其中被列入省公管办或省住建厅发布的失信黑名单的投标人，按照信用评价处于末位的合格投标人的分值扣除60分计取。</w:t>
      </w:r>
    </w:p>
    <w:p>
      <w:pPr>
        <w:pStyle w:val="164"/>
        <w:widowControl w:val="0"/>
        <w:snapToGrid w:val="0"/>
        <w:spacing w:before="0" w:beforeAutospacing="0" w:after="0" w:afterAutospacing="0"/>
        <w:ind w:firstLine="361" w:firstLineChars="200"/>
        <w:rPr>
          <w:rFonts w:hint="eastAsia" w:ascii="仿宋" w:hAnsi="仿宋" w:eastAsia="仿宋" w:cs="仿宋"/>
          <w:b/>
          <w:bCs/>
          <w:color w:val="000000"/>
          <w:sz w:val="18"/>
          <w:szCs w:val="18"/>
        </w:rPr>
      </w:pPr>
      <w:r>
        <w:rPr>
          <w:rFonts w:hint="eastAsia" w:ascii="仿宋" w:hAnsi="仿宋" w:eastAsia="仿宋" w:cs="仿宋"/>
          <w:b/>
          <w:bCs/>
          <w:color w:val="000000"/>
          <w:sz w:val="18"/>
          <w:szCs w:val="18"/>
        </w:rPr>
        <w:t>（3）以水利水电施工总承包资质投标时，投标人信用等级得分以全国和湖南省水利建设市场主体信用评级机构评定的信用等级对应得分中较低的一个分数为准，如某投标人的信用等级（全国水利建设市场主体）为AAA级，信用等级（湖南省水利建设市场主体）为A-级，则其信用等级得分以信用等级（湖南省水利建设市场主体）A-级得分为准。</w:t>
      </w:r>
    </w:p>
    <w:p>
      <w:pPr>
        <w:pStyle w:val="164"/>
        <w:widowControl w:val="0"/>
        <w:snapToGrid w:val="0"/>
        <w:spacing w:before="0" w:beforeAutospacing="0" w:after="0" w:afterAutospacing="0"/>
        <w:ind w:firstLine="361" w:firstLineChars="200"/>
        <w:rPr>
          <w:rFonts w:hint="eastAsia" w:ascii="仿宋" w:hAnsi="仿宋" w:eastAsia="仿宋" w:cs="仿宋"/>
          <w:b/>
          <w:bCs/>
          <w:color w:val="000000"/>
          <w:sz w:val="18"/>
          <w:szCs w:val="18"/>
        </w:rPr>
      </w:pPr>
      <w:r>
        <w:rPr>
          <w:rFonts w:hint="eastAsia" w:ascii="仿宋" w:hAnsi="仿宋" w:eastAsia="仿宋" w:cs="仿宋"/>
          <w:b/>
          <w:bCs/>
          <w:color w:val="000000"/>
          <w:sz w:val="18"/>
          <w:szCs w:val="18"/>
        </w:rPr>
        <w:t>首次进入湖南省水利建设市场、未申请信用评价以及连续两年无在建项目的市场主体单位，其湖南省信用等级默认为B级；未取得全国水利建设市场主体信用评价证书的，在湖南省水利建设市场其全国信用等级视为B级。</w:t>
      </w:r>
    </w:p>
    <w:p>
      <w:pPr>
        <w:pStyle w:val="164"/>
        <w:widowControl w:val="0"/>
        <w:snapToGrid w:val="0"/>
        <w:spacing w:before="0" w:beforeAutospacing="0" w:after="0" w:afterAutospacing="0"/>
        <w:ind w:firstLine="540" w:firstLineChars="300"/>
        <w:rPr>
          <w:rFonts w:hint="eastAsia" w:ascii="仿宋" w:hAnsi="仿宋" w:eastAsia="仿宋" w:cs="仿宋"/>
          <w:color w:val="000000"/>
          <w:sz w:val="18"/>
          <w:szCs w:val="18"/>
        </w:rPr>
      </w:pPr>
      <w:r>
        <w:rPr>
          <w:rFonts w:hint="eastAsia" w:ascii="仿宋" w:hAnsi="仿宋" w:eastAsia="仿宋" w:cs="仿宋"/>
          <w:color w:val="000000"/>
          <w:sz w:val="18"/>
          <w:szCs w:val="18"/>
        </w:rPr>
        <w:t>4.企业类似项目经验要求见本文件第二章投标须知前附表第10.1款第2项的规定。</w:t>
      </w:r>
    </w:p>
    <w:p>
      <w:pPr>
        <w:pStyle w:val="164"/>
        <w:widowControl w:val="0"/>
        <w:snapToGrid w:val="0"/>
        <w:spacing w:before="0" w:beforeAutospacing="0" w:after="0" w:afterAutospacing="0"/>
        <w:ind w:firstLine="540" w:firstLineChars="300"/>
        <w:rPr>
          <w:rFonts w:hint="eastAsia" w:ascii="仿宋" w:hAnsi="仿宋" w:eastAsia="仿宋" w:cs="仿宋"/>
          <w:color w:val="000000"/>
          <w:sz w:val="18"/>
          <w:szCs w:val="18"/>
        </w:rPr>
      </w:pPr>
      <w:r>
        <w:rPr>
          <w:rFonts w:hint="eastAsia" w:ascii="仿宋" w:hAnsi="仿宋" w:eastAsia="仿宋" w:cs="仿宋"/>
          <w:color w:val="000000"/>
          <w:sz w:val="18"/>
          <w:szCs w:val="18"/>
        </w:rPr>
        <w:t>5.财务状况计算公式：流动比率=流动资产除以流动负债*100%；利润总额=营业利润+营业外收入-营业外支出；净利润=利润总额-所得税费用；资产负债率=负债合计除以资产合计*100%。</w:t>
      </w:r>
    </w:p>
    <w:p>
      <w:pPr>
        <w:pStyle w:val="164"/>
        <w:widowControl w:val="0"/>
        <w:snapToGrid w:val="0"/>
        <w:spacing w:before="0" w:beforeAutospacing="0" w:after="0" w:afterAutospacing="0"/>
        <w:ind w:firstLine="540" w:firstLineChars="300"/>
        <w:rPr>
          <w:rFonts w:hint="eastAsia" w:ascii="仿宋" w:hAnsi="仿宋" w:eastAsia="仿宋" w:cs="仿宋"/>
          <w:color w:val="000000"/>
          <w:sz w:val="18"/>
          <w:szCs w:val="18"/>
        </w:rPr>
      </w:pPr>
      <w:r>
        <w:rPr>
          <w:rFonts w:hint="eastAsia" w:ascii="仿宋" w:hAnsi="仿宋" w:eastAsia="仿宋" w:cs="仿宋"/>
          <w:color w:val="000000"/>
          <w:sz w:val="18"/>
          <w:szCs w:val="18"/>
        </w:rPr>
        <w:t>6.工程获奖、年度考核、技术创新在评标办法中是否计分由招标人根据项目情况选择使用。招标人不得对投标人获得的上述奖项以外的其他奖项进行计分。本评分标准表中的工程获奖均指农田建设项目工程的获奖，且为单位（标段）获奖。同一标段获得多个奖项的，不重复计分（以得分最高计）。同一单位考核获得多个名次的，不重复计分（以得分最高计，首次进入或未得到考核名次的按其他计分），省级考核适用于全省范围、县区级考核仅适用于本行政范围。同一技术创新获得多个奖项的，不重复计分（以得分最高计）。</w:t>
      </w:r>
    </w:p>
    <w:p>
      <w:pPr>
        <w:spacing w:line="600" w:lineRule="exact"/>
        <w:jc w:val="left"/>
        <w:rPr>
          <w:rFonts w:hint="eastAsia" w:ascii="仿宋" w:hAnsi="仿宋" w:eastAsia="仿宋" w:cs="仿宋"/>
          <w:color w:val="000000"/>
          <w:sz w:val="28"/>
          <w:szCs w:val="21"/>
        </w:rPr>
      </w:pPr>
      <w:r>
        <w:rPr>
          <w:rFonts w:hint="eastAsia" w:ascii="仿宋" w:hAnsi="仿宋" w:eastAsia="仿宋" w:cs="仿宋"/>
          <w:color w:val="000000"/>
          <w:sz w:val="28"/>
          <w:szCs w:val="21"/>
        </w:rPr>
        <w:t>评委签字：</w:t>
      </w:r>
    </w:p>
    <w:p>
      <w:pPr>
        <w:snapToGrid w:val="0"/>
        <w:spacing w:line="600" w:lineRule="exact"/>
        <w:rPr>
          <w:rFonts w:eastAsia="黑体"/>
          <w:bCs/>
          <w:color w:val="000000"/>
          <w:sz w:val="32"/>
          <w:szCs w:val="20"/>
        </w:rPr>
      </w:pPr>
      <w:r>
        <w:rPr>
          <w:rFonts w:hint="eastAsia" w:ascii="仿宋" w:hAnsi="仿宋" w:eastAsia="仿宋" w:cs="仿宋"/>
          <w:color w:val="000000"/>
          <w:sz w:val="28"/>
          <w:szCs w:val="21"/>
        </w:rPr>
        <w:br w:type="page"/>
      </w:r>
      <w:r>
        <w:rPr>
          <w:rFonts w:eastAsia="黑体"/>
          <w:bCs/>
          <w:color w:val="000000"/>
          <w:sz w:val="32"/>
          <w:szCs w:val="20"/>
        </w:rPr>
        <w:t>附表3-7（</w:t>
      </w:r>
      <w:r>
        <w:rPr>
          <w:rFonts w:hint="eastAsia" w:eastAsia="黑体"/>
          <w:bCs/>
          <w:color w:val="000000"/>
          <w:sz w:val="32"/>
          <w:szCs w:val="20"/>
        </w:rPr>
        <w:t>1</w:t>
      </w:r>
      <w:r>
        <w:rPr>
          <w:rFonts w:eastAsia="黑体"/>
          <w:bCs/>
          <w:color w:val="000000"/>
          <w:sz w:val="32"/>
          <w:szCs w:val="20"/>
        </w:rPr>
        <w:t>）：详细评审</w:t>
      </w:r>
      <w:r>
        <w:rPr>
          <w:rFonts w:hint="eastAsia" w:eastAsia="黑体"/>
          <w:bCs/>
          <w:color w:val="000000"/>
          <w:sz w:val="32"/>
          <w:szCs w:val="20"/>
        </w:rPr>
        <w:t>－</w:t>
      </w:r>
      <w:r>
        <w:rPr>
          <w:rFonts w:eastAsia="黑体"/>
          <w:bCs/>
          <w:color w:val="000000"/>
          <w:sz w:val="32"/>
          <w:szCs w:val="20"/>
        </w:rPr>
        <w:t>信誉等其他评分因素评分标准表（</w:t>
      </w:r>
      <w:r>
        <w:rPr>
          <w:rFonts w:hint="eastAsia" w:eastAsia="黑体"/>
          <w:bCs/>
          <w:color w:val="000000"/>
          <w:sz w:val="32"/>
          <w:szCs w:val="20"/>
        </w:rPr>
        <w:t>二</w:t>
      </w:r>
      <w:r>
        <w:rPr>
          <w:rFonts w:eastAsia="黑体"/>
          <w:bCs/>
          <w:color w:val="000000"/>
          <w:sz w:val="32"/>
          <w:szCs w:val="20"/>
        </w:rPr>
        <w:t>）</w:t>
      </w:r>
    </w:p>
    <w:p>
      <w:pPr>
        <w:spacing w:line="600" w:lineRule="exact"/>
        <w:jc w:val="center"/>
        <w:rPr>
          <w:rFonts w:hint="eastAsia" w:ascii="方正小标宋简体" w:eastAsia="方正小标宋简体"/>
          <w:color w:val="000000"/>
          <w:sz w:val="40"/>
          <w:szCs w:val="40"/>
        </w:rPr>
      </w:pPr>
      <w:r>
        <w:rPr>
          <w:rFonts w:hint="eastAsia" w:ascii="方正小标宋简体" w:eastAsia="方正小标宋简体"/>
          <w:color w:val="000000"/>
          <w:sz w:val="40"/>
          <w:szCs w:val="40"/>
        </w:rPr>
        <w:t>信誉等其他评分因素评分标准表（二）</w:t>
      </w:r>
    </w:p>
    <w:p>
      <w:pPr>
        <w:spacing w:line="440" w:lineRule="exact"/>
        <w:jc w:val="left"/>
        <w:rPr>
          <w:rFonts w:eastAsia="仿宋_GB2312"/>
          <w:color w:val="000000"/>
          <w:sz w:val="24"/>
        </w:rPr>
      </w:pPr>
    </w:p>
    <w:p>
      <w:pPr>
        <w:spacing w:line="440" w:lineRule="exact"/>
        <w:jc w:val="left"/>
        <w:rPr>
          <w:rFonts w:hint="eastAsia" w:ascii="仿宋" w:hAnsi="仿宋" w:eastAsia="仿宋" w:cs="仿宋"/>
          <w:color w:val="000000"/>
          <w:sz w:val="24"/>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（标段名称）</w:t>
      </w:r>
      <w:r>
        <w:rPr>
          <w:rFonts w:hint="eastAsia" w:ascii="仿宋" w:hAnsi="仿宋" w:eastAsia="仿宋" w:cs="仿宋"/>
          <w:color w:val="000000"/>
          <w:sz w:val="24"/>
          <w:u w:val="single"/>
        </w:rPr>
        <w:t xml:space="preserve">                      </w:t>
      </w:r>
    </w:p>
    <w:p>
      <w:pPr>
        <w:spacing w:line="440" w:lineRule="exact"/>
        <w:jc w:val="left"/>
        <w:rPr>
          <w:rFonts w:hint="eastAsia" w:ascii="仿宋" w:hAnsi="仿宋" w:eastAsia="仿宋" w:cs="仿宋"/>
          <w:color w:val="000000"/>
          <w:sz w:val="24"/>
        </w:rPr>
      </w:pPr>
      <w:r>
        <w:rPr>
          <w:rFonts w:hint="eastAsia" w:ascii="仿宋" w:hAnsi="仿宋" w:eastAsia="仿宋" w:cs="仿宋"/>
          <w:color w:val="000000"/>
          <w:sz w:val="24"/>
        </w:rPr>
        <w:t>项目管理编号：</w:t>
      </w:r>
      <w:r>
        <w:rPr>
          <w:rFonts w:hint="eastAsia" w:ascii="仿宋" w:hAnsi="仿宋" w:eastAsia="仿宋" w:cs="仿宋"/>
          <w:color w:val="000000"/>
          <w:sz w:val="24"/>
          <w:u w:val="single"/>
        </w:rPr>
        <w:t xml:space="preserve">                    </w:t>
      </w:r>
    </w:p>
    <w:tbl>
      <w:tblPr>
        <w:tblStyle w:val="47"/>
        <w:tblW w:w="90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784"/>
        <w:gridCol w:w="1348"/>
        <w:gridCol w:w="1134"/>
        <w:gridCol w:w="2835"/>
        <w:gridCol w:w="708"/>
        <w:gridCol w:w="567"/>
        <w:gridCol w:w="567"/>
        <w:gridCol w:w="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序号</w:t>
            </w:r>
          </w:p>
        </w:tc>
        <w:tc>
          <w:tcPr>
            <w:tcW w:w="784" w:type="dxa"/>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条款号</w:t>
            </w:r>
          </w:p>
        </w:tc>
        <w:tc>
          <w:tcPr>
            <w:tcW w:w="1348" w:type="dxa"/>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评分因素</w:t>
            </w:r>
          </w:p>
        </w:tc>
        <w:tc>
          <w:tcPr>
            <w:tcW w:w="4677" w:type="dxa"/>
            <w:gridSpan w:val="3"/>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评分标准</w:t>
            </w:r>
          </w:p>
        </w:tc>
        <w:tc>
          <w:tcPr>
            <w:tcW w:w="1710" w:type="dxa"/>
            <w:gridSpan w:val="3"/>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投标人名称及评审计分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snapToGrid w:val="0"/>
              <w:jc w:val="center"/>
              <w:rPr>
                <w:rFonts w:hint="eastAsia" w:ascii="仿宋" w:hAnsi="仿宋" w:eastAsia="仿宋" w:cs="仿宋"/>
                <w:color w:val="000000"/>
                <w:sz w:val="18"/>
                <w:szCs w:val="18"/>
              </w:rPr>
            </w:pPr>
          </w:p>
        </w:tc>
        <w:tc>
          <w:tcPr>
            <w:tcW w:w="4677" w:type="dxa"/>
            <w:gridSpan w:val="3"/>
            <w:vMerge w:val="continue"/>
            <w:noWrap w:val="0"/>
            <w:vAlign w:val="center"/>
          </w:tcPr>
          <w:p>
            <w:pPr>
              <w:snapToGrid w:val="0"/>
              <w:jc w:val="center"/>
              <w:rPr>
                <w:rFonts w:hint="eastAsia" w:ascii="仿宋" w:hAnsi="仿宋" w:eastAsia="仿宋" w:cs="仿宋"/>
                <w:color w:val="000000"/>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w:t>
            </w:r>
          </w:p>
        </w:tc>
        <w:tc>
          <w:tcPr>
            <w:tcW w:w="567"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2</w:t>
            </w:r>
          </w:p>
        </w:tc>
        <w:tc>
          <w:tcPr>
            <w:tcW w:w="576"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snapToGrid w:val="0"/>
              <w:jc w:val="center"/>
              <w:rPr>
                <w:rFonts w:hint="eastAsia" w:ascii="仿宋" w:hAnsi="仿宋" w:eastAsia="仿宋" w:cs="仿宋"/>
                <w:color w:val="000000"/>
                <w:sz w:val="18"/>
                <w:szCs w:val="18"/>
              </w:rPr>
            </w:pPr>
          </w:p>
        </w:tc>
        <w:tc>
          <w:tcPr>
            <w:tcW w:w="4677" w:type="dxa"/>
            <w:gridSpan w:val="3"/>
            <w:vMerge w:val="continue"/>
            <w:noWrap w:val="0"/>
            <w:vAlign w:val="center"/>
          </w:tcPr>
          <w:p>
            <w:pPr>
              <w:snapToGrid w:val="0"/>
              <w:jc w:val="center"/>
              <w:rPr>
                <w:rFonts w:hint="eastAsia" w:ascii="仿宋" w:hAnsi="仿宋" w:eastAsia="仿宋" w:cs="仿宋"/>
                <w:color w:val="000000"/>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exac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w:t>
            </w:r>
          </w:p>
        </w:tc>
        <w:tc>
          <w:tcPr>
            <w:tcW w:w="784" w:type="dxa"/>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2.2.4（2）</w:t>
            </w:r>
          </w:p>
        </w:tc>
        <w:tc>
          <w:tcPr>
            <w:tcW w:w="1348"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投标人信用等级</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（0～45分）</w:t>
            </w:r>
          </w:p>
        </w:tc>
        <w:tc>
          <w:tcPr>
            <w:tcW w:w="3969" w:type="dxa"/>
            <w:gridSpan w:val="2"/>
            <w:noWrap w:val="0"/>
            <w:vAlign w:val="center"/>
          </w:tcPr>
          <w:p>
            <w:pPr>
              <w:tabs>
                <w:tab w:val="left" w:pos="420"/>
              </w:tabs>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信用等级（全国水利建设市场主体）为AAA级或信用等级（湖南省水利建设市场主体）A+级的（100％）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76" w:type="dxa"/>
            <w:vMerge w:val="restart"/>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snapToGrid w:val="0"/>
              <w:jc w:val="center"/>
              <w:rPr>
                <w:rFonts w:hint="eastAsia" w:ascii="仿宋" w:hAnsi="仿宋" w:eastAsia="仿宋" w:cs="仿宋"/>
                <w:color w:val="000000"/>
                <w:sz w:val="18"/>
                <w:szCs w:val="18"/>
              </w:rPr>
            </w:pPr>
          </w:p>
        </w:tc>
        <w:tc>
          <w:tcPr>
            <w:tcW w:w="3969" w:type="dxa"/>
            <w:gridSpan w:val="2"/>
            <w:noWrap w:val="0"/>
            <w:vAlign w:val="center"/>
          </w:tcPr>
          <w:p>
            <w:pPr>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信用等级（全国水利建设市场主体）为AA级或信用等级（湖南省水利建设市场主体）A级的（85％）</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snapToGrid w:val="0"/>
              <w:jc w:val="center"/>
              <w:rPr>
                <w:rFonts w:hint="eastAsia" w:ascii="仿宋" w:hAnsi="仿宋" w:eastAsia="仿宋" w:cs="仿宋"/>
                <w:color w:val="000000"/>
                <w:sz w:val="18"/>
                <w:szCs w:val="18"/>
              </w:rPr>
            </w:pPr>
          </w:p>
        </w:tc>
        <w:tc>
          <w:tcPr>
            <w:tcW w:w="3969" w:type="dxa"/>
            <w:gridSpan w:val="2"/>
            <w:noWrap w:val="0"/>
            <w:vAlign w:val="center"/>
          </w:tcPr>
          <w:p>
            <w:pPr>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信用等级（全国水利建设市场主体）为A级或信用等级（湖南省水利建设市场主体）A-级的（70％）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snapToGrid w:val="0"/>
              <w:jc w:val="center"/>
              <w:rPr>
                <w:rFonts w:hint="eastAsia" w:ascii="仿宋" w:hAnsi="仿宋" w:eastAsia="仿宋" w:cs="仿宋"/>
                <w:color w:val="000000"/>
                <w:sz w:val="18"/>
                <w:szCs w:val="18"/>
              </w:rPr>
            </w:pPr>
          </w:p>
        </w:tc>
        <w:tc>
          <w:tcPr>
            <w:tcW w:w="3969" w:type="dxa"/>
            <w:gridSpan w:val="2"/>
            <w:noWrap w:val="0"/>
            <w:vAlign w:val="center"/>
          </w:tcPr>
          <w:p>
            <w:pPr>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信用等级（全国水利建设市场主体）为B级或信用等级（湖南省水利建设市场主体）B级的（55％）</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3969" w:type="dxa"/>
            <w:gridSpan w:val="2"/>
            <w:noWrap w:val="0"/>
            <w:vAlign w:val="center"/>
          </w:tcPr>
          <w:p>
            <w:pPr>
              <w:pStyle w:val="106"/>
              <w:snapToGrid w:val="0"/>
              <w:jc w:val="both"/>
              <w:rPr>
                <w:rFonts w:hint="eastAsia" w:ascii="仿宋" w:hAnsi="仿宋" w:eastAsia="仿宋" w:cs="仿宋"/>
                <w:sz w:val="18"/>
                <w:szCs w:val="18"/>
              </w:rPr>
            </w:pPr>
            <w:r>
              <w:rPr>
                <w:rFonts w:hint="eastAsia" w:ascii="仿宋" w:hAnsi="仿宋" w:eastAsia="仿宋" w:cs="仿宋"/>
                <w:sz w:val="18"/>
                <w:szCs w:val="18"/>
              </w:rPr>
              <w:t>信用等级（全国水利建设市场主体）为C级或信用等级（湖南省水利建设市场主体）C级的（0分）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574"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2</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noWrap w:val="0"/>
            <w:vAlign w:val="center"/>
          </w:tcPr>
          <w:p>
            <w:pPr>
              <w:pStyle w:val="106"/>
              <w:snapToGrid w:val="0"/>
              <w:jc w:val="center"/>
              <w:rPr>
                <w:rFonts w:hint="eastAsia" w:ascii="仿宋" w:hAnsi="仿宋" w:eastAsia="仿宋" w:cs="仿宋"/>
                <w:b/>
                <w:sz w:val="18"/>
                <w:szCs w:val="18"/>
              </w:rPr>
            </w:pPr>
            <w:r>
              <w:rPr>
                <w:rFonts w:hint="eastAsia" w:ascii="仿宋" w:hAnsi="仿宋" w:eastAsia="仿宋" w:cs="仿宋"/>
                <w:sz w:val="18"/>
                <w:szCs w:val="18"/>
              </w:rPr>
              <w:t>类似项目经验（近</w:t>
            </w:r>
            <w:r>
              <w:rPr>
                <w:rFonts w:hint="eastAsia" w:ascii="仿宋" w:hAnsi="仿宋" w:eastAsia="仿宋" w:cs="仿宋"/>
                <w:sz w:val="18"/>
                <w:szCs w:val="18"/>
                <w:u w:val="single"/>
              </w:rPr>
              <w:t xml:space="preserve">   </w:t>
            </w:r>
            <w:r>
              <w:rPr>
                <w:rFonts w:hint="eastAsia" w:ascii="仿宋" w:hAnsi="仿宋" w:eastAsia="仿宋" w:cs="仿宋"/>
                <w:sz w:val="18"/>
                <w:szCs w:val="18"/>
              </w:rPr>
              <w:t>年）（0～40分）</w:t>
            </w:r>
          </w:p>
        </w:tc>
        <w:tc>
          <w:tcPr>
            <w:tcW w:w="4677" w:type="dxa"/>
            <w:gridSpan w:val="3"/>
            <w:noWrap w:val="0"/>
            <w:vAlign w:val="center"/>
          </w:tcPr>
          <w:p>
            <w:pPr>
              <w:pStyle w:val="106"/>
              <w:snapToGrid w:val="0"/>
              <w:ind w:firstLine="180" w:firstLineChars="100"/>
              <w:rPr>
                <w:rFonts w:hint="eastAsia" w:ascii="仿宋" w:hAnsi="仿宋" w:eastAsia="仿宋" w:cs="仿宋"/>
                <w:sz w:val="18"/>
                <w:szCs w:val="18"/>
              </w:rPr>
            </w:pPr>
            <w:r>
              <w:rPr>
                <w:rFonts w:hint="eastAsia" w:ascii="仿宋" w:hAnsi="仿宋" w:eastAsia="仿宋" w:cs="仿宋"/>
                <w:sz w:val="18"/>
                <w:szCs w:val="18"/>
              </w:rPr>
              <w:t>满足招标文件的计</w:t>
            </w:r>
            <w:r>
              <w:rPr>
                <w:rFonts w:hint="eastAsia" w:ascii="仿宋" w:hAnsi="仿宋" w:eastAsia="仿宋" w:cs="仿宋"/>
                <w:sz w:val="18"/>
                <w:szCs w:val="18"/>
                <w:u w:val="single"/>
              </w:rPr>
              <w:t xml:space="preserve">  </w:t>
            </w:r>
            <w:r>
              <w:rPr>
                <w:rFonts w:hint="eastAsia" w:ascii="仿宋" w:hAnsi="仿宋" w:eastAsia="仿宋" w:cs="仿宋"/>
                <w:sz w:val="18"/>
                <w:szCs w:val="18"/>
              </w:rPr>
              <w:t>分，每增加一个类似业绩加</w:t>
            </w:r>
            <w:r>
              <w:rPr>
                <w:rFonts w:hint="eastAsia" w:ascii="仿宋" w:hAnsi="仿宋" w:eastAsia="仿宋" w:cs="仿宋"/>
                <w:sz w:val="18"/>
                <w:szCs w:val="18"/>
                <w:u w:val="single"/>
              </w:rPr>
              <w:t xml:space="preserve">  </w:t>
            </w:r>
            <w:r>
              <w:rPr>
                <w:rFonts w:hint="eastAsia" w:ascii="仿宋" w:hAnsi="仿宋" w:eastAsia="仿宋" w:cs="仿宋"/>
                <w:sz w:val="18"/>
                <w:szCs w:val="18"/>
              </w:rPr>
              <w:t>分，最多增加二个类似业绩。</w:t>
            </w: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3</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财务状况</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（10～20分）</w:t>
            </w:r>
          </w:p>
        </w:tc>
        <w:tc>
          <w:tcPr>
            <w:tcW w:w="1134"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流动比率（4～7分）</w:t>
            </w:r>
          </w:p>
        </w:tc>
        <w:tc>
          <w:tcPr>
            <w:tcW w:w="2835"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流动比率2倍（含）以上</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76" w:type="dxa"/>
            <w:vMerge w:val="restart"/>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vMerge w:val="continue"/>
            <w:noWrap w:val="0"/>
            <w:vAlign w:val="center"/>
          </w:tcPr>
          <w:p>
            <w:pPr>
              <w:pStyle w:val="106"/>
              <w:snapToGrid w:val="0"/>
              <w:jc w:val="center"/>
              <w:rPr>
                <w:rFonts w:hint="eastAsia" w:ascii="仿宋" w:hAnsi="仿宋" w:eastAsia="仿宋" w:cs="仿宋"/>
                <w:sz w:val="18"/>
                <w:szCs w:val="18"/>
              </w:rPr>
            </w:pPr>
          </w:p>
        </w:tc>
        <w:tc>
          <w:tcPr>
            <w:tcW w:w="2835"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流动比率2倍以下</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企业利润（2～6分）</w:t>
            </w:r>
          </w:p>
        </w:tc>
        <w:tc>
          <w:tcPr>
            <w:tcW w:w="2835"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净利润＞0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企业资产负债率</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（4～7分）</w:t>
            </w:r>
          </w:p>
        </w:tc>
        <w:tc>
          <w:tcPr>
            <w:tcW w:w="2835"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资产负债率＜70％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76" w:type="dxa"/>
            <w:vMerge w:val="restart"/>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vMerge w:val="continue"/>
            <w:noWrap w:val="0"/>
            <w:vAlign w:val="center"/>
          </w:tcPr>
          <w:p>
            <w:pPr>
              <w:pStyle w:val="106"/>
              <w:snapToGrid w:val="0"/>
              <w:jc w:val="center"/>
              <w:rPr>
                <w:rFonts w:hint="eastAsia" w:ascii="仿宋" w:hAnsi="仿宋" w:eastAsia="仿宋" w:cs="仿宋"/>
                <w:sz w:val="18"/>
                <w:szCs w:val="18"/>
              </w:rPr>
            </w:pPr>
          </w:p>
        </w:tc>
        <w:tc>
          <w:tcPr>
            <w:tcW w:w="2835"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sz w:val="18"/>
                <w:szCs w:val="18"/>
              </w:rPr>
              <w:t>90％＞资产负债率≥70％</w:t>
            </w:r>
          </w:p>
        </w:tc>
        <w:tc>
          <w:tcPr>
            <w:tcW w:w="708" w:type="dxa"/>
            <w:noWrap w:val="0"/>
            <w:vAlign w:val="center"/>
          </w:tcPr>
          <w:p>
            <w:pPr>
              <w:snapToGrid w:val="0"/>
              <w:jc w:val="center"/>
              <w:rPr>
                <w:rFonts w:hint="eastAsia" w:ascii="仿宋" w:hAnsi="仿宋" w:eastAsia="仿宋" w:cs="仿宋"/>
                <w:color w:val="000000"/>
                <w:kern w:val="0"/>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4</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工程获奖</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（近</w:t>
            </w:r>
            <w:r>
              <w:rPr>
                <w:rFonts w:hint="eastAsia" w:ascii="仿宋" w:hAnsi="仿宋" w:eastAsia="仿宋" w:cs="仿宋"/>
                <w:sz w:val="18"/>
                <w:szCs w:val="18"/>
                <w:u w:val="single"/>
              </w:rPr>
              <w:t xml:space="preserve">    </w:t>
            </w:r>
            <w:r>
              <w:rPr>
                <w:rFonts w:hint="eastAsia" w:ascii="仿宋" w:hAnsi="仿宋" w:eastAsia="仿宋" w:cs="仿宋"/>
                <w:sz w:val="18"/>
                <w:szCs w:val="18"/>
              </w:rPr>
              <w:t>年）</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（0～20分）</w:t>
            </w:r>
          </w:p>
        </w:tc>
        <w:tc>
          <w:tcPr>
            <w:tcW w:w="1134" w:type="dxa"/>
            <w:noWrap w:val="0"/>
            <w:vAlign w:val="center"/>
          </w:tcPr>
          <w:p>
            <w:pPr>
              <w:pStyle w:val="106"/>
              <w:snapToGrid w:val="0"/>
              <w:jc w:val="center"/>
              <w:rPr>
                <w:rFonts w:ascii="仿宋" w:hAnsi="仿宋" w:eastAsia="仿宋" w:cs="仿宋"/>
                <w:sz w:val="18"/>
                <w:szCs w:val="18"/>
              </w:rPr>
            </w:pPr>
            <w:r>
              <w:rPr>
                <w:rFonts w:hint="eastAsia" w:ascii="仿宋" w:hAnsi="仿宋" w:eastAsia="仿宋" w:cs="仿宋"/>
                <w:sz w:val="18"/>
                <w:szCs w:val="18"/>
              </w:rPr>
              <w:t>0～20</w:t>
            </w:r>
          </w:p>
        </w:tc>
        <w:tc>
          <w:tcPr>
            <w:tcW w:w="2835" w:type="dxa"/>
            <w:noWrap w:val="0"/>
            <w:vAlign w:val="center"/>
          </w:tcPr>
          <w:p>
            <w:pPr>
              <w:pStyle w:val="106"/>
              <w:snapToGrid w:val="0"/>
              <w:rPr>
                <w:rFonts w:hint="eastAsia" w:ascii="仿宋" w:hAnsi="仿宋" w:eastAsia="仿宋" w:cs="仿宋"/>
                <w:sz w:val="18"/>
                <w:szCs w:val="18"/>
                <w:u w:val="single"/>
              </w:rPr>
            </w:pPr>
            <w:r>
              <w:rPr>
                <w:rFonts w:hint="eastAsia" w:ascii="仿宋" w:hAnsi="仿宋" w:eastAsia="仿宋" w:cs="仿宋"/>
                <w:sz w:val="18"/>
                <w:szCs w:val="18"/>
              </w:rPr>
              <w:t>国家优质工程奖、农业农村部质量奖（均指农田建设项目工程获奖），每项计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ascii="仿宋" w:hAnsi="仿宋" w:eastAsia="仿宋" w:cs="仿宋"/>
                <w:sz w:val="18"/>
                <w:szCs w:val="18"/>
              </w:rPr>
            </w:pPr>
            <w:r>
              <w:rPr>
                <w:rFonts w:hint="eastAsia" w:ascii="仿宋" w:hAnsi="仿宋" w:eastAsia="仿宋" w:cs="仿宋"/>
                <w:sz w:val="18"/>
                <w:szCs w:val="18"/>
              </w:rPr>
              <w:t>0～15</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省政府或省级农业农村主管部门颁发的优质农田建设项目工程奖项每项计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0～12</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市政府或市级农业农村主管部门颁发的优质农田建设项目工程奖项每项计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5</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年度考核</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（近</w:t>
            </w:r>
            <w:r>
              <w:rPr>
                <w:rFonts w:hint="eastAsia" w:ascii="仿宋" w:hAnsi="仿宋" w:eastAsia="仿宋" w:cs="仿宋"/>
                <w:sz w:val="18"/>
                <w:szCs w:val="18"/>
                <w:u w:val="single"/>
              </w:rPr>
              <w:t xml:space="preserve">    </w:t>
            </w:r>
            <w:r>
              <w:rPr>
                <w:rFonts w:hint="eastAsia" w:ascii="仿宋" w:hAnsi="仿宋" w:eastAsia="仿宋" w:cs="仿宋"/>
                <w:sz w:val="18"/>
                <w:szCs w:val="18"/>
              </w:rPr>
              <w:t>年）</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（18～35分）</w:t>
            </w: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21～35</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省级农业农村主管部门考核第一名100%；第二名95%；第三名85%；其他60%；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ascii="仿宋" w:hAnsi="仿宋" w:eastAsia="仿宋" w:cs="仿宋"/>
                <w:sz w:val="18"/>
                <w:szCs w:val="18"/>
              </w:rPr>
            </w:pPr>
            <w:r>
              <w:rPr>
                <w:rFonts w:hint="eastAsia" w:ascii="仿宋" w:hAnsi="仿宋" w:eastAsia="仿宋" w:cs="仿宋"/>
                <w:sz w:val="18"/>
                <w:szCs w:val="18"/>
              </w:rPr>
              <w:t>18～30</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县/区级农业农村主管部门考核第一名100%；第二名95%；第三名85%；其他60%；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exac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6</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技术创新</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（近</w:t>
            </w:r>
            <w:r>
              <w:rPr>
                <w:rFonts w:hint="eastAsia" w:ascii="仿宋" w:hAnsi="仿宋" w:eastAsia="仿宋" w:cs="仿宋"/>
                <w:sz w:val="18"/>
                <w:szCs w:val="18"/>
                <w:u w:val="single"/>
              </w:rPr>
              <w:t xml:space="preserve">    </w:t>
            </w:r>
            <w:r>
              <w:rPr>
                <w:rFonts w:hint="eastAsia" w:ascii="仿宋" w:hAnsi="仿宋" w:eastAsia="仿宋" w:cs="仿宋"/>
                <w:sz w:val="18"/>
                <w:szCs w:val="18"/>
              </w:rPr>
              <w:t>年）</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（0～15分）</w:t>
            </w: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0～8</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国家科技进步奖或国家技术发明奖（均指农田建设项目工程获奖）每项计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0～4</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省科技进步奖或省技术发明奖（均指农田建设项目工程获奖）每项计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0～3</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省级行业协会（学会）颁发的科技进步奖（均指农田建设项目工程获奖）每项计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574" w:type="dxa"/>
            <w:noWrap w:val="0"/>
            <w:vAlign w:val="center"/>
          </w:tcPr>
          <w:p>
            <w:pPr>
              <w:snapToGrid w:val="0"/>
              <w:jc w:val="center"/>
              <w:rPr>
                <w:rFonts w:hint="eastAsia" w:ascii="仿宋" w:hAnsi="仿宋" w:eastAsia="仿宋" w:cs="仿宋"/>
                <w:color w:val="000000"/>
                <w:kern w:val="0"/>
              </w:rPr>
            </w:pPr>
          </w:p>
        </w:tc>
        <w:tc>
          <w:tcPr>
            <w:tcW w:w="6809" w:type="dxa"/>
            <w:gridSpan w:val="5"/>
            <w:noWrap w:val="0"/>
            <w:vAlign w:val="center"/>
          </w:tcPr>
          <w:p>
            <w:pPr>
              <w:snapToGrid w:val="0"/>
              <w:jc w:val="center"/>
              <w:rPr>
                <w:rFonts w:hint="eastAsia" w:ascii="仿宋" w:hAnsi="仿宋" w:eastAsia="仿宋" w:cs="仿宋"/>
                <w:b/>
                <w:bCs/>
                <w:color w:val="000000"/>
                <w:kern w:val="0"/>
              </w:rPr>
            </w:pPr>
            <w:r>
              <w:rPr>
                <w:rFonts w:hint="eastAsia" w:ascii="仿宋" w:hAnsi="仿宋" w:eastAsia="仿宋" w:cs="仿宋"/>
                <w:b/>
                <w:bCs/>
                <w:color w:val="000000"/>
                <w:kern w:val="0"/>
              </w:rPr>
              <w:t>合计</w:t>
            </w:r>
          </w:p>
        </w:tc>
        <w:tc>
          <w:tcPr>
            <w:tcW w:w="567" w:type="dxa"/>
            <w:noWrap w:val="0"/>
            <w:vAlign w:val="center"/>
          </w:tcPr>
          <w:p>
            <w:pPr>
              <w:snapToGrid w:val="0"/>
              <w:jc w:val="center"/>
              <w:rPr>
                <w:rFonts w:hint="eastAsia" w:ascii="仿宋" w:hAnsi="仿宋" w:eastAsia="仿宋" w:cs="仿宋"/>
                <w:color w:val="000000"/>
                <w:kern w:val="0"/>
              </w:rPr>
            </w:pPr>
          </w:p>
        </w:tc>
        <w:tc>
          <w:tcPr>
            <w:tcW w:w="567" w:type="dxa"/>
            <w:noWrap w:val="0"/>
            <w:vAlign w:val="center"/>
          </w:tcPr>
          <w:p>
            <w:pPr>
              <w:snapToGrid w:val="0"/>
              <w:jc w:val="center"/>
              <w:rPr>
                <w:rFonts w:hint="eastAsia" w:ascii="仿宋" w:hAnsi="仿宋" w:eastAsia="仿宋" w:cs="仿宋"/>
                <w:color w:val="000000"/>
                <w:kern w:val="0"/>
              </w:rPr>
            </w:pPr>
          </w:p>
        </w:tc>
        <w:tc>
          <w:tcPr>
            <w:tcW w:w="576" w:type="dxa"/>
            <w:noWrap w:val="0"/>
            <w:vAlign w:val="center"/>
          </w:tcPr>
          <w:p>
            <w:pPr>
              <w:snapToGrid w:val="0"/>
              <w:jc w:val="center"/>
              <w:rPr>
                <w:rFonts w:hint="eastAsia" w:ascii="仿宋" w:hAnsi="仿宋" w:eastAsia="仿宋" w:cs="仿宋"/>
                <w:color w:val="000000"/>
                <w:kern w:val="0"/>
              </w:rPr>
            </w:pPr>
          </w:p>
        </w:tc>
      </w:tr>
    </w:tbl>
    <w:p>
      <w:pPr>
        <w:rPr>
          <w:rFonts w:hint="eastAsia" w:ascii="仿宋" w:hAnsi="仿宋" w:eastAsia="仿宋" w:cs="仿宋"/>
          <w:color w:val="000000"/>
          <w:kern w:val="0"/>
          <w:sz w:val="18"/>
          <w:szCs w:val="18"/>
        </w:rPr>
      </w:pPr>
      <w:r>
        <w:rPr>
          <w:rFonts w:hint="eastAsia" w:ascii="仿宋" w:hAnsi="仿宋" w:eastAsia="仿宋" w:cs="仿宋"/>
          <w:b/>
          <w:color w:val="000000"/>
          <w:kern w:val="0"/>
          <w:sz w:val="18"/>
          <w:szCs w:val="18"/>
        </w:rPr>
        <w:t>备注：</w:t>
      </w:r>
      <w:r>
        <w:rPr>
          <w:rFonts w:hint="eastAsia" w:ascii="仿宋" w:hAnsi="仿宋" w:eastAsia="仿宋" w:cs="仿宋"/>
          <w:color w:val="000000"/>
          <w:kern w:val="0"/>
          <w:sz w:val="18"/>
          <w:szCs w:val="18"/>
        </w:rPr>
        <w:t>1.本表适用于非联合体投标人评审。</w:t>
      </w:r>
    </w:p>
    <w:p>
      <w:pPr>
        <w:ind w:firstLine="540" w:firstLineChars="300"/>
        <w:rPr>
          <w:rFonts w:hint="eastAsia" w:ascii="仿宋" w:hAnsi="仿宋" w:eastAsia="仿宋" w:cs="仿宋"/>
          <w:color w:val="000000"/>
          <w:sz w:val="18"/>
          <w:szCs w:val="18"/>
        </w:rPr>
      </w:pPr>
      <w:r>
        <w:rPr>
          <w:rFonts w:hint="eastAsia" w:ascii="仿宋" w:hAnsi="仿宋" w:eastAsia="仿宋" w:cs="仿宋"/>
          <w:color w:val="000000"/>
          <w:kern w:val="0"/>
          <w:sz w:val="18"/>
          <w:szCs w:val="18"/>
        </w:rPr>
        <w:t>2.本表小计总分为100分。</w:t>
      </w:r>
      <w:r>
        <w:rPr>
          <w:rFonts w:hint="eastAsia" w:ascii="仿宋" w:hAnsi="仿宋" w:eastAsia="仿宋" w:cs="仿宋"/>
          <w:color w:val="000000"/>
          <w:sz w:val="18"/>
          <w:szCs w:val="18"/>
        </w:rPr>
        <w:t>由评标委员会集体评议，统一计分。评标委员会成员中对结论有不同意见时，按少数服从多数的原则，确定得分。</w:t>
      </w:r>
    </w:p>
    <w:p>
      <w:pPr>
        <w:pStyle w:val="164"/>
        <w:widowControl w:val="0"/>
        <w:snapToGrid w:val="0"/>
        <w:spacing w:before="0" w:beforeAutospacing="0" w:after="0" w:afterAutospacing="0"/>
        <w:ind w:firstLine="542" w:firstLineChars="300"/>
        <w:jc w:val="both"/>
        <w:rPr>
          <w:rFonts w:hint="eastAsia" w:ascii="仿宋" w:hAnsi="仿宋" w:eastAsia="仿宋" w:cs="仿宋"/>
          <w:b/>
          <w:bCs/>
          <w:color w:val="000000"/>
          <w:sz w:val="18"/>
          <w:szCs w:val="18"/>
        </w:rPr>
      </w:pPr>
      <w:r>
        <w:rPr>
          <w:rFonts w:hint="eastAsia" w:ascii="仿宋" w:hAnsi="仿宋" w:eastAsia="仿宋" w:cs="仿宋"/>
          <w:b/>
          <w:bCs/>
          <w:color w:val="000000"/>
          <w:sz w:val="18"/>
          <w:szCs w:val="18"/>
        </w:rPr>
        <w:t>3.以水利水电施工总承包资质投标时，投标人信用等级得分以全国和湖南省水利建设市场主体信用评级机构评定的信用等级对应得分中较低的一个分数为准，如某投标人的信用等级（全国水利建设市场主体）为AAA级，信用等级（湖南省水利建设市场主体）为A-级，则其信用等级得分以信用等级（湖南省水利建设市场主体）A-级得分为准。</w:t>
      </w:r>
    </w:p>
    <w:p>
      <w:pPr>
        <w:pStyle w:val="164"/>
        <w:widowControl w:val="0"/>
        <w:snapToGrid w:val="0"/>
        <w:spacing w:before="0" w:beforeAutospacing="0" w:after="0" w:afterAutospacing="0"/>
        <w:ind w:firstLine="542" w:firstLineChars="300"/>
        <w:jc w:val="both"/>
        <w:rPr>
          <w:rFonts w:hint="eastAsia" w:ascii="仿宋" w:hAnsi="仿宋" w:eastAsia="仿宋" w:cs="仿宋"/>
          <w:b/>
          <w:bCs/>
          <w:color w:val="000000"/>
          <w:sz w:val="18"/>
          <w:szCs w:val="18"/>
        </w:rPr>
      </w:pPr>
      <w:r>
        <w:rPr>
          <w:rFonts w:hint="eastAsia" w:ascii="仿宋" w:hAnsi="仿宋" w:eastAsia="仿宋" w:cs="仿宋"/>
          <w:b/>
          <w:bCs/>
          <w:color w:val="000000"/>
          <w:sz w:val="18"/>
          <w:szCs w:val="18"/>
        </w:rPr>
        <w:t>首次进入湖南省水利建设市场、未申请信用评价以及连续两年无在建项目的市场主体单位，其湖南省信用等级默认为B级；未取得全国水利建设市场主体信用评价证书的，在湖南省水利建设市场其全国信用等级视为B级。</w:t>
      </w:r>
    </w:p>
    <w:p>
      <w:pPr>
        <w:pStyle w:val="164"/>
        <w:widowControl w:val="0"/>
        <w:snapToGrid w:val="0"/>
        <w:spacing w:before="0" w:beforeAutospacing="0" w:after="0" w:afterAutospacing="0"/>
        <w:ind w:firstLine="540" w:firstLineChars="300"/>
        <w:jc w:val="both"/>
        <w:rPr>
          <w:rFonts w:hint="eastAsia" w:ascii="仿宋" w:hAnsi="仿宋" w:eastAsia="仿宋" w:cs="仿宋"/>
          <w:color w:val="000000"/>
          <w:sz w:val="18"/>
          <w:szCs w:val="18"/>
        </w:rPr>
      </w:pPr>
      <w:r>
        <w:rPr>
          <w:rFonts w:hint="eastAsia" w:ascii="仿宋" w:hAnsi="仿宋" w:eastAsia="仿宋" w:cs="仿宋"/>
          <w:color w:val="000000"/>
          <w:sz w:val="18"/>
          <w:szCs w:val="18"/>
        </w:rPr>
        <w:t>4.企业类似项目经验要求见本文件第二章投标须知前附表第10.1款第2项的规定。</w:t>
      </w:r>
    </w:p>
    <w:p>
      <w:pPr>
        <w:pStyle w:val="164"/>
        <w:widowControl w:val="0"/>
        <w:snapToGrid w:val="0"/>
        <w:spacing w:before="0" w:beforeAutospacing="0" w:after="0" w:afterAutospacing="0"/>
        <w:ind w:firstLine="540" w:firstLineChars="300"/>
        <w:rPr>
          <w:rFonts w:hint="eastAsia" w:ascii="仿宋" w:hAnsi="仿宋" w:eastAsia="仿宋" w:cs="仿宋"/>
          <w:color w:val="000000"/>
          <w:sz w:val="18"/>
          <w:szCs w:val="18"/>
        </w:rPr>
      </w:pPr>
      <w:r>
        <w:rPr>
          <w:rFonts w:hint="eastAsia" w:ascii="仿宋" w:hAnsi="仿宋" w:eastAsia="仿宋" w:cs="仿宋"/>
          <w:color w:val="000000"/>
          <w:sz w:val="18"/>
          <w:szCs w:val="18"/>
        </w:rPr>
        <w:t>5.财务状况计算公式：流动比率=流动资产除以流动负债*100%；利润总额=营业利润+营业外收入-营业外支出；净利润=利润总额-所得税费用；资产负债率=负债合计除以资产合计*100%。</w:t>
      </w:r>
    </w:p>
    <w:p>
      <w:pPr>
        <w:pStyle w:val="164"/>
        <w:widowControl w:val="0"/>
        <w:snapToGrid w:val="0"/>
        <w:spacing w:before="0" w:beforeAutospacing="0" w:after="0" w:afterAutospacing="0"/>
        <w:ind w:firstLine="540" w:firstLineChars="300"/>
        <w:jc w:val="both"/>
        <w:rPr>
          <w:rFonts w:hint="eastAsia" w:ascii="仿宋" w:hAnsi="仿宋" w:eastAsia="仿宋" w:cs="仿宋"/>
          <w:color w:val="000000"/>
          <w:sz w:val="18"/>
          <w:szCs w:val="18"/>
        </w:rPr>
      </w:pPr>
      <w:r>
        <w:rPr>
          <w:rFonts w:hint="eastAsia" w:ascii="仿宋" w:hAnsi="仿宋" w:eastAsia="仿宋" w:cs="仿宋"/>
          <w:color w:val="000000"/>
          <w:sz w:val="18"/>
          <w:szCs w:val="18"/>
        </w:rPr>
        <w:t>6.工程获奖、年度考核、技术创新在评标办法中是否计分由招标人根据项目情况选择使用。招标人不得对投标人获得的上述奖项以外的其他奖项进行计分。本评分标准表中的工程获奖均指农田建设项目工程的获奖，且为单位（标段）获奖。同一标段获得多个奖项的，不重复计分（以得分最高计）。同一单位考核获得多个名次的，不重复计分（以得分最高计，首次进入或未得到考核名次的按其他计分），省级考核适用于全省范围、县区级考核仅适用于本行政范围。同一技术创新获得多个奖项的，不重复计分（以得分最高计）。</w:t>
      </w:r>
    </w:p>
    <w:p>
      <w:pPr>
        <w:pStyle w:val="164"/>
        <w:widowControl w:val="0"/>
        <w:snapToGrid w:val="0"/>
        <w:spacing w:line="300" w:lineRule="exact"/>
        <w:ind w:firstLine="559" w:firstLineChars="311"/>
        <w:rPr>
          <w:rFonts w:hint="eastAsia" w:ascii="仿宋" w:hAnsi="仿宋" w:eastAsia="仿宋" w:cs="仿宋"/>
          <w:color w:val="000000"/>
          <w:sz w:val="18"/>
          <w:szCs w:val="18"/>
        </w:rPr>
      </w:pPr>
    </w:p>
    <w:p>
      <w:pPr>
        <w:spacing w:line="600" w:lineRule="exact"/>
        <w:jc w:val="left"/>
        <w:rPr>
          <w:rFonts w:hint="eastAsia" w:ascii="仿宋" w:hAnsi="仿宋" w:eastAsia="仿宋" w:cs="仿宋"/>
          <w:color w:val="000000"/>
          <w:sz w:val="28"/>
          <w:szCs w:val="21"/>
        </w:rPr>
      </w:pPr>
      <w:r>
        <w:rPr>
          <w:rFonts w:hint="eastAsia" w:ascii="仿宋" w:hAnsi="仿宋" w:eastAsia="仿宋" w:cs="仿宋"/>
          <w:color w:val="000000"/>
          <w:sz w:val="28"/>
          <w:szCs w:val="21"/>
        </w:rPr>
        <w:t>评委签字：</w:t>
      </w:r>
    </w:p>
    <w:p>
      <w:pPr>
        <w:spacing w:line="600" w:lineRule="exact"/>
        <w:jc w:val="left"/>
        <w:rPr>
          <w:rFonts w:hint="eastAsia" w:ascii="仿宋" w:hAnsi="仿宋" w:eastAsia="仿宋" w:cs="仿宋"/>
          <w:color w:val="000000"/>
          <w:sz w:val="28"/>
          <w:szCs w:val="21"/>
        </w:rPr>
      </w:pPr>
    </w:p>
    <w:p>
      <w:pPr>
        <w:spacing w:line="600" w:lineRule="exact"/>
        <w:rPr>
          <w:rFonts w:eastAsia="黑体"/>
          <w:bCs/>
          <w:color w:val="000000"/>
          <w:sz w:val="28"/>
          <w:szCs w:val="20"/>
        </w:rPr>
      </w:pPr>
      <w:r>
        <w:rPr>
          <w:rFonts w:eastAsia="仿宋_GB2312"/>
          <w:color w:val="000000"/>
          <w:sz w:val="28"/>
          <w:szCs w:val="21"/>
        </w:rPr>
        <w:br w:type="page"/>
      </w:r>
      <w:r>
        <w:rPr>
          <w:rFonts w:eastAsia="黑体"/>
          <w:bCs/>
          <w:color w:val="000000"/>
          <w:sz w:val="28"/>
          <w:szCs w:val="20"/>
        </w:rPr>
        <w:t>附表3-7（</w:t>
      </w:r>
      <w:r>
        <w:rPr>
          <w:rFonts w:hint="eastAsia" w:eastAsia="黑体"/>
          <w:bCs/>
          <w:color w:val="000000"/>
          <w:sz w:val="28"/>
          <w:szCs w:val="20"/>
        </w:rPr>
        <w:t>1</w:t>
      </w:r>
      <w:r>
        <w:rPr>
          <w:rFonts w:eastAsia="黑体"/>
          <w:bCs/>
          <w:color w:val="000000"/>
          <w:sz w:val="28"/>
          <w:szCs w:val="20"/>
        </w:rPr>
        <w:t>）：详细评审</w:t>
      </w:r>
      <w:r>
        <w:rPr>
          <w:rFonts w:hint="eastAsia" w:eastAsia="黑体"/>
          <w:bCs/>
          <w:color w:val="000000"/>
          <w:sz w:val="28"/>
          <w:szCs w:val="20"/>
        </w:rPr>
        <w:t>－</w:t>
      </w:r>
      <w:r>
        <w:rPr>
          <w:rFonts w:eastAsia="黑体"/>
          <w:bCs/>
          <w:color w:val="000000"/>
          <w:sz w:val="28"/>
          <w:szCs w:val="20"/>
        </w:rPr>
        <w:t>信誉等其他评分因素评分标准表（</w:t>
      </w:r>
      <w:r>
        <w:rPr>
          <w:rFonts w:hint="eastAsia" w:eastAsia="黑体"/>
          <w:bCs/>
          <w:color w:val="000000"/>
          <w:sz w:val="28"/>
          <w:szCs w:val="20"/>
        </w:rPr>
        <w:t>三</w:t>
      </w:r>
      <w:r>
        <w:rPr>
          <w:rFonts w:eastAsia="黑体"/>
          <w:bCs/>
          <w:color w:val="000000"/>
          <w:sz w:val="28"/>
          <w:szCs w:val="20"/>
        </w:rPr>
        <w:t>）</w:t>
      </w:r>
    </w:p>
    <w:p>
      <w:pPr>
        <w:pStyle w:val="32"/>
        <w:spacing w:before="120" w:beforeLines="50" w:after="120" w:afterLines="50" w:line="600" w:lineRule="exact"/>
        <w:ind w:left="0" w:firstLine="0" w:firstLineChars="0"/>
        <w:jc w:val="center"/>
        <w:rPr>
          <w:rFonts w:hint="eastAsia" w:ascii="方正小标宋简体" w:eastAsia="方正小标宋简体"/>
          <w:bCs/>
          <w:color w:val="000000"/>
          <w:sz w:val="40"/>
          <w:szCs w:val="40"/>
        </w:rPr>
      </w:pPr>
      <w:r>
        <w:rPr>
          <w:rFonts w:hint="eastAsia" w:ascii="方正小标宋简体" w:eastAsia="方正小标宋简体"/>
          <w:bCs/>
          <w:color w:val="000000"/>
          <w:sz w:val="40"/>
          <w:szCs w:val="40"/>
        </w:rPr>
        <w:t>信誉等其他评分因素评分标准表（三）</w:t>
      </w:r>
    </w:p>
    <w:p>
      <w:pPr>
        <w:snapToGrid w:val="0"/>
        <w:spacing w:line="490" w:lineRule="exact"/>
        <w:rPr>
          <w:rFonts w:hint="eastAsia" w:ascii="仿宋" w:hAnsi="仿宋" w:eastAsia="仿宋" w:cs="仿宋"/>
          <w:color w:val="000000"/>
          <w:sz w:val="24"/>
          <w:u w:val="single"/>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（标段名称）</w:t>
      </w:r>
      <w:r>
        <w:rPr>
          <w:rFonts w:hint="eastAsia" w:ascii="仿宋" w:hAnsi="仿宋" w:eastAsia="仿宋" w:cs="仿宋"/>
          <w:color w:val="000000"/>
          <w:sz w:val="24"/>
          <w:u w:val="single"/>
        </w:rPr>
        <w:t xml:space="preserve">                      </w:t>
      </w:r>
    </w:p>
    <w:p>
      <w:pPr>
        <w:snapToGrid w:val="0"/>
        <w:spacing w:line="490" w:lineRule="exact"/>
        <w:rPr>
          <w:rFonts w:hint="eastAsia" w:ascii="仿宋" w:hAnsi="仿宋" w:eastAsia="仿宋" w:cs="仿宋"/>
          <w:color w:val="000000"/>
          <w:sz w:val="24"/>
        </w:rPr>
      </w:pPr>
      <w:r>
        <w:rPr>
          <w:rFonts w:hint="eastAsia" w:ascii="仿宋" w:hAnsi="仿宋" w:eastAsia="仿宋" w:cs="仿宋"/>
          <w:color w:val="000000"/>
          <w:sz w:val="24"/>
        </w:rPr>
        <w:t>项目管理编号：</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tbl>
      <w:tblPr>
        <w:tblStyle w:val="47"/>
        <w:tblW w:w="90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784"/>
        <w:gridCol w:w="674"/>
        <w:gridCol w:w="674"/>
        <w:gridCol w:w="1134"/>
        <w:gridCol w:w="2835"/>
        <w:gridCol w:w="708"/>
        <w:gridCol w:w="567"/>
        <w:gridCol w:w="567"/>
        <w:gridCol w:w="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序号</w:t>
            </w:r>
          </w:p>
        </w:tc>
        <w:tc>
          <w:tcPr>
            <w:tcW w:w="784" w:type="dxa"/>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条款号</w:t>
            </w:r>
          </w:p>
        </w:tc>
        <w:tc>
          <w:tcPr>
            <w:tcW w:w="1348" w:type="dxa"/>
            <w:gridSpan w:val="2"/>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评分因素</w:t>
            </w:r>
          </w:p>
        </w:tc>
        <w:tc>
          <w:tcPr>
            <w:tcW w:w="4677" w:type="dxa"/>
            <w:gridSpan w:val="3"/>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评分标准</w:t>
            </w:r>
          </w:p>
        </w:tc>
        <w:tc>
          <w:tcPr>
            <w:tcW w:w="1710" w:type="dxa"/>
            <w:gridSpan w:val="3"/>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投标人名称及评审计分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snapToGrid w:val="0"/>
              <w:jc w:val="center"/>
              <w:rPr>
                <w:rFonts w:hint="eastAsia" w:ascii="仿宋" w:hAnsi="仿宋" w:eastAsia="仿宋" w:cs="仿宋"/>
                <w:color w:val="000000"/>
                <w:sz w:val="18"/>
                <w:szCs w:val="18"/>
              </w:rPr>
            </w:pPr>
          </w:p>
        </w:tc>
        <w:tc>
          <w:tcPr>
            <w:tcW w:w="4677" w:type="dxa"/>
            <w:gridSpan w:val="3"/>
            <w:vMerge w:val="continue"/>
            <w:noWrap w:val="0"/>
            <w:vAlign w:val="center"/>
          </w:tcPr>
          <w:p>
            <w:pPr>
              <w:snapToGrid w:val="0"/>
              <w:jc w:val="center"/>
              <w:rPr>
                <w:rFonts w:hint="eastAsia" w:ascii="仿宋" w:hAnsi="仿宋" w:eastAsia="仿宋" w:cs="仿宋"/>
                <w:color w:val="000000"/>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w:t>
            </w:r>
          </w:p>
        </w:tc>
        <w:tc>
          <w:tcPr>
            <w:tcW w:w="567"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2</w:t>
            </w:r>
          </w:p>
        </w:tc>
        <w:tc>
          <w:tcPr>
            <w:tcW w:w="576"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snapToGrid w:val="0"/>
              <w:jc w:val="center"/>
              <w:rPr>
                <w:rFonts w:hint="eastAsia" w:ascii="仿宋" w:hAnsi="仿宋" w:eastAsia="仿宋" w:cs="仿宋"/>
                <w:color w:val="000000"/>
                <w:sz w:val="18"/>
                <w:szCs w:val="18"/>
              </w:rPr>
            </w:pPr>
          </w:p>
        </w:tc>
        <w:tc>
          <w:tcPr>
            <w:tcW w:w="4677" w:type="dxa"/>
            <w:gridSpan w:val="3"/>
            <w:vMerge w:val="continue"/>
            <w:noWrap w:val="0"/>
            <w:vAlign w:val="center"/>
          </w:tcPr>
          <w:p>
            <w:pPr>
              <w:snapToGrid w:val="0"/>
              <w:jc w:val="center"/>
              <w:rPr>
                <w:rFonts w:hint="eastAsia" w:ascii="仿宋" w:hAnsi="仿宋" w:eastAsia="仿宋" w:cs="仿宋"/>
                <w:color w:val="000000"/>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4" w:type="dxa"/>
            <w:vMerge w:val="restart"/>
            <w:noWrap w:val="0"/>
            <w:vAlign w:val="center"/>
          </w:tcPr>
          <w:p>
            <w:pPr>
              <w:snapToGrid w:val="0"/>
              <w:spacing w:line="230" w:lineRule="exact"/>
              <w:jc w:val="center"/>
              <w:textAlignment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w:t>
            </w:r>
          </w:p>
        </w:tc>
        <w:tc>
          <w:tcPr>
            <w:tcW w:w="784" w:type="dxa"/>
            <w:vMerge w:val="restart"/>
            <w:noWrap w:val="0"/>
            <w:vAlign w:val="center"/>
          </w:tcPr>
          <w:p>
            <w:pPr>
              <w:snapToGrid w:val="0"/>
              <w:spacing w:line="230" w:lineRule="exact"/>
              <w:jc w:val="center"/>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2.2.4（2）</w:t>
            </w:r>
          </w:p>
        </w:tc>
        <w:tc>
          <w:tcPr>
            <w:tcW w:w="674" w:type="dxa"/>
            <w:vMerge w:val="restart"/>
            <w:noWrap w:val="0"/>
            <w:vAlign w:val="center"/>
          </w:tcPr>
          <w:p>
            <w:pPr>
              <w:pStyle w:val="106"/>
              <w:snapToGrid w:val="0"/>
              <w:spacing w:line="230" w:lineRule="exact"/>
              <w:jc w:val="center"/>
              <w:textAlignment w:val="center"/>
              <w:rPr>
                <w:rFonts w:hint="eastAsia" w:ascii="仿宋" w:hAnsi="仿宋" w:eastAsia="仿宋" w:cs="仿宋"/>
                <w:sz w:val="18"/>
                <w:szCs w:val="18"/>
              </w:rPr>
            </w:pPr>
            <w:r>
              <w:rPr>
                <w:rFonts w:hint="eastAsia" w:ascii="仿宋" w:hAnsi="仿宋" w:eastAsia="仿宋" w:cs="仿宋"/>
                <w:sz w:val="18"/>
                <w:szCs w:val="18"/>
              </w:rPr>
              <w:t>投标人信用等级（0～45分）</w:t>
            </w:r>
          </w:p>
        </w:tc>
        <w:tc>
          <w:tcPr>
            <w:tcW w:w="674" w:type="dxa"/>
            <w:vMerge w:val="restart"/>
            <w:noWrap w:val="0"/>
            <w:vAlign w:val="center"/>
          </w:tcPr>
          <w:p>
            <w:pPr>
              <w:pStyle w:val="106"/>
              <w:snapToGrid w:val="0"/>
              <w:spacing w:line="230" w:lineRule="exact"/>
              <w:jc w:val="center"/>
              <w:textAlignment w:val="center"/>
              <w:rPr>
                <w:rFonts w:hint="eastAsia" w:ascii="仿宋" w:hAnsi="仿宋" w:eastAsia="仿宋" w:cs="仿宋"/>
                <w:sz w:val="18"/>
                <w:szCs w:val="18"/>
              </w:rPr>
            </w:pPr>
            <w:r>
              <w:rPr>
                <w:rFonts w:hint="eastAsia" w:ascii="仿宋" w:hAnsi="仿宋" w:eastAsia="仿宋" w:cs="仿宋"/>
                <w:sz w:val="18"/>
                <w:szCs w:val="18"/>
              </w:rPr>
              <w:t>联合体牵头人（30～45分）×承担工作量所占比例</w:t>
            </w:r>
          </w:p>
        </w:tc>
        <w:tc>
          <w:tcPr>
            <w:tcW w:w="3969" w:type="dxa"/>
            <w:gridSpan w:val="2"/>
            <w:noWrap w:val="0"/>
            <w:vAlign w:val="center"/>
          </w:tcPr>
          <w:p>
            <w:pPr>
              <w:tabs>
                <w:tab w:val="left" w:pos="420"/>
              </w:tabs>
              <w:snapToGrid w:val="0"/>
              <w:spacing w:line="230" w:lineRule="exac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湖南省智慧住建云－公共服务平台—诚信评价（90-100分）或信用等级（全国水利建设市场主体）为AAA级或信用等级（湖南省水利建设市场主体）A+级（100％）</w:t>
            </w:r>
          </w:p>
        </w:tc>
        <w:tc>
          <w:tcPr>
            <w:tcW w:w="708" w:type="dxa"/>
            <w:noWrap w:val="0"/>
            <w:vAlign w:val="center"/>
          </w:tcPr>
          <w:p>
            <w:pPr>
              <w:pStyle w:val="106"/>
              <w:snapToGrid w:val="0"/>
              <w:spacing w:line="230" w:lineRule="exact"/>
              <w:jc w:val="center"/>
              <w:textAlignment w:val="center"/>
              <w:rPr>
                <w:rFonts w:hint="eastAsia" w:ascii="仿宋" w:hAnsi="仿宋" w:eastAsia="仿宋" w:cs="仿宋"/>
                <w:sz w:val="18"/>
                <w:szCs w:val="18"/>
              </w:rPr>
            </w:pPr>
          </w:p>
        </w:tc>
        <w:tc>
          <w:tcPr>
            <w:tcW w:w="567" w:type="dxa"/>
            <w:vMerge w:val="restart"/>
            <w:noWrap w:val="0"/>
            <w:vAlign w:val="center"/>
          </w:tcPr>
          <w:p>
            <w:pPr>
              <w:pStyle w:val="106"/>
              <w:snapToGrid w:val="0"/>
              <w:spacing w:line="230" w:lineRule="exact"/>
              <w:jc w:val="center"/>
              <w:textAlignment w:val="center"/>
              <w:rPr>
                <w:rFonts w:hint="eastAsia" w:ascii="仿宋" w:hAnsi="仿宋" w:eastAsia="仿宋" w:cs="仿宋"/>
                <w:sz w:val="18"/>
                <w:szCs w:val="18"/>
              </w:rPr>
            </w:pPr>
          </w:p>
        </w:tc>
        <w:tc>
          <w:tcPr>
            <w:tcW w:w="567" w:type="dxa"/>
            <w:vMerge w:val="restart"/>
            <w:noWrap w:val="0"/>
            <w:vAlign w:val="center"/>
          </w:tcPr>
          <w:p>
            <w:pPr>
              <w:snapToGrid w:val="0"/>
              <w:spacing w:line="230" w:lineRule="exact"/>
              <w:jc w:val="center"/>
              <w:textAlignment w:val="center"/>
              <w:rPr>
                <w:rFonts w:hint="eastAsia" w:ascii="仿宋" w:hAnsi="仿宋" w:eastAsia="仿宋" w:cs="仿宋"/>
                <w:color w:val="000000"/>
                <w:kern w:val="0"/>
                <w:sz w:val="18"/>
                <w:szCs w:val="18"/>
              </w:rPr>
            </w:pPr>
          </w:p>
        </w:tc>
        <w:tc>
          <w:tcPr>
            <w:tcW w:w="576" w:type="dxa"/>
            <w:vMerge w:val="restart"/>
            <w:noWrap w:val="0"/>
            <w:vAlign w:val="center"/>
          </w:tcPr>
          <w:p>
            <w:pPr>
              <w:snapToGrid w:val="0"/>
              <w:spacing w:line="230" w:lineRule="exact"/>
              <w:jc w:val="center"/>
              <w:textAlignment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4" w:type="dxa"/>
            <w:vMerge w:val="continue"/>
            <w:noWrap w:val="0"/>
            <w:vAlign w:val="center"/>
          </w:tcPr>
          <w:p>
            <w:pPr>
              <w:snapToGrid w:val="0"/>
              <w:spacing w:line="230" w:lineRule="exact"/>
              <w:jc w:val="center"/>
              <w:textAlignment w:val="center"/>
              <w:rPr>
                <w:rFonts w:hint="eastAsia" w:ascii="仿宋" w:hAnsi="仿宋" w:eastAsia="仿宋" w:cs="仿宋"/>
                <w:color w:val="000000"/>
                <w:kern w:val="0"/>
                <w:sz w:val="18"/>
                <w:szCs w:val="18"/>
              </w:rPr>
            </w:pPr>
          </w:p>
        </w:tc>
        <w:tc>
          <w:tcPr>
            <w:tcW w:w="784" w:type="dxa"/>
            <w:vMerge w:val="continue"/>
            <w:noWrap w:val="0"/>
            <w:vAlign w:val="center"/>
          </w:tcPr>
          <w:p>
            <w:pPr>
              <w:snapToGrid w:val="0"/>
              <w:spacing w:line="230" w:lineRule="exact"/>
              <w:jc w:val="center"/>
              <w:textAlignment w:val="center"/>
              <w:rPr>
                <w:rFonts w:hint="eastAsia" w:ascii="仿宋" w:hAnsi="仿宋" w:eastAsia="仿宋" w:cs="仿宋"/>
                <w:color w:val="000000"/>
                <w:sz w:val="18"/>
                <w:szCs w:val="18"/>
              </w:rPr>
            </w:pPr>
          </w:p>
        </w:tc>
        <w:tc>
          <w:tcPr>
            <w:tcW w:w="674" w:type="dxa"/>
            <w:vMerge w:val="continue"/>
            <w:noWrap w:val="0"/>
            <w:vAlign w:val="center"/>
          </w:tcPr>
          <w:p>
            <w:pPr>
              <w:snapToGrid w:val="0"/>
              <w:spacing w:line="230" w:lineRule="exact"/>
              <w:jc w:val="center"/>
              <w:textAlignment w:val="center"/>
              <w:rPr>
                <w:rFonts w:hint="eastAsia" w:ascii="仿宋" w:hAnsi="仿宋" w:eastAsia="仿宋" w:cs="仿宋"/>
                <w:color w:val="000000"/>
                <w:sz w:val="18"/>
                <w:szCs w:val="18"/>
              </w:rPr>
            </w:pPr>
          </w:p>
        </w:tc>
        <w:tc>
          <w:tcPr>
            <w:tcW w:w="674" w:type="dxa"/>
            <w:vMerge w:val="continue"/>
            <w:noWrap w:val="0"/>
            <w:vAlign w:val="center"/>
          </w:tcPr>
          <w:p>
            <w:pPr>
              <w:snapToGrid w:val="0"/>
              <w:spacing w:line="230" w:lineRule="exact"/>
              <w:jc w:val="center"/>
              <w:textAlignment w:val="center"/>
              <w:rPr>
                <w:rFonts w:hint="eastAsia" w:ascii="仿宋" w:hAnsi="仿宋" w:eastAsia="仿宋" w:cs="仿宋"/>
                <w:color w:val="000000"/>
                <w:sz w:val="18"/>
                <w:szCs w:val="18"/>
              </w:rPr>
            </w:pPr>
          </w:p>
        </w:tc>
        <w:tc>
          <w:tcPr>
            <w:tcW w:w="3969" w:type="dxa"/>
            <w:gridSpan w:val="2"/>
            <w:noWrap w:val="0"/>
            <w:vAlign w:val="center"/>
          </w:tcPr>
          <w:p>
            <w:pPr>
              <w:snapToGrid w:val="0"/>
              <w:spacing w:line="230" w:lineRule="exac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湖南省智慧住建云－公共服务平台—诚信评价（80-89分）或信用等级（全国水利建设市场主体）为AA级或信用等级（湖南省水利建设市场主体）A级（85％）</w:t>
            </w:r>
          </w:p>
        </w:tc>
        <w:tc>
          <w:tcPr>
            <w:tcW w:w="708" w:type="dxa"/>
            <w:noWrap w:val="0"/>
            <w:vAlign w:val="center"/>
          </w:tcPr>
          <w:p>
            <w:pPr>
              <w:pStyle w:val="106"/>
              <w:snapToGrid w:val="0"/>
              <w:spacing w:line="230" w:lineRule="exact"/>
              <w:jc w:val="center"/>
              <w:textAlignment w:val="center"/>
              <w:rPr>
                <w:rFonts w:hint="eastAsia" w:ascii="仿宋" w:hAnsi="仿宋" w:eastAsia="仿宋" w:cs="仿宋"/>
                <w:sz w:val="18"/>
                <w:szCs w:val="18"/>
              </w:rPr>
            </w:pPr>
          </w:p>
        </w:tc>
        <w:tc>
          <w:tcPr>
            <w:tcW w:w="567" w:type="dxa"/>
            <w:vMerge w:val="continue"/>
            <w:noWrap w:val="0"/>
            <w:vAlign w:val="center"/>
          </w:tcPr>
          <w:p>
            <w:pPr>
              <w:pStyle w:val="106"/>
              <w:snapToGrid w:val="0"/>
              <w:spacing w:line="230" w:lineRule="exact"/>
              <w:jc w:val="center"/>
              <w:textAlignment w:val="center"/>
              <w:rPr>
                <w:rFonts w:hint="eastAsia" w:ascii="仿宋" w:hAnsi="仿宋" w:eastAsia="仿宋" w:cs="仿宋"/>
                <w:sz w:val="18"/>
                <w:szCs w:val="18"/>
              </w:rPr>
            </w:pPr>
          </w:p>
        </w:tc>
        <w:tc>
          <w:tcPr>
            <w:tcW w:w="567" w:type="dxa"/>
            <w:vMerge w:val="continue"/>
            <w:noWrap w:val="0"/>
            <w:vAlign w:val="center"/>
          </w:tcPr>
          <w:p>
            <w:pPr>
              <w:snapToGrid w:val="0"/>
              <w:spacing w:line="230" w:lineRule="exact"/>
              <w:jc w:val="center"/>
              <w:textAlignment w:val="center"/>
              <w:rPr>
                <w:rFonts w:hint="eastAsia" w:ascii="仿宋" w:hAnsi="仿宋" w:eastAsia="仿宋" w:cs="仿宋"/>
                <w:color w:val="000000"/>
                <w:kern w:val="0"/>
                <w:sz w:val="18"/>
                <w:szCs w:val="18"/>
              </w:rPr>
            </w:pPr>
          </w:p>
        </w:tc>
        <w:tc>
          <w:tcPr>
            <w:tcW w:w="576" w:type="dxa"/>
            <w:vMerge w:val="continue"/>
            <w:noWrap w:val="0"/>
            <w:vAlign w:val="center"/>
          </w:tcPr>
          <w:p>
            <w:pPr>
              <w:snapToGrid w:val="0"/>
              <w:spacing w:line="230" w:lineRule="exact"/>
              <w:jc w:val="center"/>
              <w:textAlignment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4" w:type="dxa"/>
            <w:vMerge w:val="continue"/>
            <w:noWrap w:val="0"/>
            <w:vAlign w:val="center"/>
          </w:tcPr>
          <w:p>
            <w:pPr>
              <w:snapToGrid w:val="0"/>
              <w:spacing w:line="230" w:lineRule="exact"/>
              <w:jc w:val="center"/>
              <w:textAlignment w:val="center"/>
              <w:rPr>
                <w:rFonts w:hint="eastAsia" w:ascii="仿宋" w:hAnsi="仿宋" w:eastAsia="仿宋" w:cs="仿宋"/>
                <w:color w:val="000000"/>
                <w:kern w:val="0"/>
                <w:sz w:val="18"/>
                <w:szCs w:val="18"/>
              </w:rPr>
            </w:pPr>
          </w:p>
        </w:tc>
        <w:tc>
          <w:tcPr>
            <w:tcW w:w="784" w:type="dxa"/>
            <w:vMerge w:val="continue"/>
            <w:noWrap w:val="0"/>
            <w:vAlign w:val="center"/>
          </w:tcPr>
          <w:p>
            <w:pPr>
              <w:snapToGrid w:val="0"/>
              <w:spacing w:line="230" w:lineRule="exact"/>
              <w:jc w:val="center"/>
              <w:textAlignment w:val="center"/>
              <w:rPr>
                <w:rFonts w:hint="eastAsia" w:ascii="仿宋" w:hAnsi="仿宋" w:eastAsia="仿宋" w:cs="仿宋"/>
                <w:color w:val="000000"/>
                <w:sz w:val="18"/>
                <w:szCs w:val="18"/>
              </w:rPr>
            </w:pPr>
          </w:p>
        </w:tc>
        <w:tc>
          <w:tcPr>
            <w:tcW w:w="674" w:type="dxa"/>
            <w:vMerge w:val="continue"/>
            <w:noWrap w:val="0"/>
            <w:vAlign w:val="center"/>
          </w:tcPr>
          <w:p>
            <w:pPr>
              <w:snapToGrid w:val="0"/>
              <w:spacing w:line="230" w:lineRule="exact"/>
              <w:jc w:val="center"/>
              <w:textAlignment w:val="center"/>
              <w:rPr>
                <w:rFonts w:hint="eastAsia" w:ascii="仿宋" w:hAnsi="仿宋" w:eastAsia="仿宋" w:cs="仿宋"/>
                <w:color w:val="000000"/>
                <w:sz w:val="18"/>
                <w:szCs w:val="18"/>
              </w:rPr>
            </w:pPr>
          </w:p>
        </w:tc>
        <w:tc>
          <w:tcPr>
            <w:tcW w:w="674" w:type="dxa"/>
            <w:vMerge w:val="continue"/>
            <w:noWrap w:val="0"/>
            <w:vAlign w:val="center"/>
          </w:tcPr>
          <w:p>
            <w:pPr>
              <w:snapToGrid w:val="0"/>
              <w:spacing w:line="230" w:lineRule="exact"/>
              <w:jc w:val="center"/>
              <w:textAlignment w:val="center"/>
              <w:rPr>
                <w:rFonts w:hint="eastAsia" w:ascii="仿宋" w:hAnsi="仿宋" w:eastAsia="仿宋" w:cs="仿宋"/>
                <w:color w:val="000000"/>
                <w:sz w:val="18"/>
                <w:szCs w:val="18"/>
              </w:rPr>
            </w:pPr>
          </w:p>
        </w:tc>
        <w:tc>
          <w:tcPr>
            <w:tcW w:w="3969" w:type="dxa"/>
            <w:gridSpan w:val="2"/>
            <w:noWrap w:val="0"/>
            <w:vAlign w:val="center"/>
          </w:tcPr>
          <w:p>
            <w:pPr>
              <w:snapToGrid w:val="0"/>
              <w:spacing w:line="230" w:lineRule="exac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湖南省智慧住建云－公共服务平台—诚信评价（70-79分）或信用等级（全国水利建设市场主体）为A级或信用等级（湖南省水利建设市场主体）A-级（70％）</w:t>
            </w:r>
          </w:p>
        </w:tc>
        <w:tc>
          <w:tcPr>
            <w:tcW w:w="708" w:type="dxa"/>
            <w:noWrap w:val="0"/>
            <w:vAlign w:val="center"/>
          </w:tcPr>
          <w:p>
            <w:pPr>
              <w:pStyle w:val="106"/>
              <w:snapToGrid w:val="0"/>
              <w:spacing w:line="230" w:lineRule="exact"/>
              <w:jc w:val="center"/>
              <w:textAlignment w:val="center"/>
              <w:rPr>
                <w:rFonts w:hint="eastAsia" w:ascii="仿宋" w:hAnsi="仿宋" w:eastAsia="仿宋" w:cs="仿宋"/>
                <w:sz w:val="18"/>
                <w:szCs w:val="18"/>
              </w:rPr>
            </w:pPr>
          </w:p>
        </w:tc>
        <w:tc>
          <w:tcPr>
            <w:tcW w:w="567" w:type="dxa"/>
            <w:vMerge w:val="continue"/>
            <w:noWrap w:val="0"/>
            <w:vAlign w:val="center"/>
          </w:tcPr>
          <w:p>
            <w:pPr>
              <w:pStyle w:val="106"/>
              <w:snapToGrid w:val="0"/>
              <w:spacing w:line="230" w:lineRule="exact"/>
              <w:jc w:val="center"/>
              <w:textAlignment w:val="center"/>
              <w:rPr>
                <w:rFonts w:hint="eastAsia" w:ascii="仿宋" w:hAnsi="仿宋" w:eastAsia="仿宋" w:cs="仿宋"/>
                <w:sz w:val="18"/>
                <w:szCs w:val="18"/>
              </w:rPr>
            </w:pPr>
          </w:p>
        </w:tc>
        <w:tc>
          <w:tcPr>
            <w:tcW w:w="567" w:type="dxa"/>
            <w:vMerge w:val="continue"/>
            <w:noWrap w:val="0"/>
            <w:vAlign w:val="center"/>
          </w:tcPr>
          <w:p>
            <w:pPr>
              <w:snapToGrid w:val="0"/>
              <w:spacing w:line="230" w:lineRule="exact"/>
              <w:jc w:val="center"/>
              <w:textAlignment w:val="center"/>
              <w:rPr>
                <w:rFonts w:hint="eastAsia" w:ascii="仿宋" w:hAnsi="仿宋" w:eastAsia="仿宋" w:cs="仿宋"/>
                <w:color w:val="000000"/>
                <w:kern w:val="0"/>
                <w:sz w:val="18"/>
                <w:szCs w:val="18"/>
              </w:rPr>
            </w:pPr>
          </w:p>
        </w:tc>
        <w:tc>
          <w:tcPr>
            <w:tcW w:w="576" w:type="dxa"/>
            <w:vMerge w:val="continue"/>
            <w:noWrap w:val="0"/>
            <w:vAlign w:val="center"/>
          </w:tcPr>
          <w:p>
            <w:pPr>
              <w:snapToGrid w:val="0"/>
              <w:spacing w:line="230" w:lineRule="exact"/>
              <w:jc w:val="center"/>
              <w:textAlignment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4" w:type="dxa"/>
            <w:vMerge w:val="continue"/>
            <w:noWrap w:val="0"/>
            <w:vAlign w:val="center"/>
          </w:tcPr>
          <w:p>
            <w:pPr>
              <w:snapToGrid w:val="0"/>
              <w:spacing w:line="230" w:lineRule="exact"/>
              <w:jc w:val="center"/>
              <w:textAlignment w:val="center"/>
              <w:rPr>
                <w:rFonts w:hint="eastAsia" w:ascii="仿宋" w:hAnsi="仿宋" w:eastAsia="仿宋" w:cs="仿宋"/>
                <w:color w:val="000000"/>
                <w:kern w:val="0"/>
                <w:sz w:val="18"/>
                <w:szCs w:val="18"/>
              </w:rPr>
            </w:pPr>
          </w:p>
        </w:tc>
        <w:tc>
          <w:tcPr>
            <w:tcW w:w="784" w:type="dxa"/>
            <w:vMerge w:val="continue"/>
            <w:noWrap w:val="0"/>
            <w:vAlign w:val="center"/>
          </w:tcPr>
          <w:p>
            <w:pPr>
              <w:snapToGrid w:val="0"/>
              <w:spacing w:line="230" w:lineRule="exact"/>
              <w:jc w:val="center"/>
              <w:textAlignment w:val="center"/>
              <w:rPr>
                <w:rFonts w:hint="eastAsia" w:ascii="仿宋" w:hAnsi="仿宋" w:eastAsia="仿宋" w:cs="仿宋"/>
                <w:color w:val="000000"/>
                <w:sz w:val="18"/>
                <w:szCs w:val="18"/>
              </w:rPr>
            </w:pPr>
          </w:p>
        </w:tc>
        <w:tc>
          <w:tcPr>
            <w:tcW w:w="674" w:type="dxa"/>
            <w:vMerge w:val="continue"/>
            <w:noWrap w:val="0"/>
            <w:vAlign w:val="center"/>
          </w:tcPr>
          <w:p>
            <w:pPr>
              <w:snapToGrid w:val="0"/>
              <w:spacing w:line="230" w:lineRule="exact"/>
              <w:jc w:val="center"/>
              <w:textAlignment w:val="center"/>
              <w:rPr>
                <w:rFonts w:hint="eastAsia" w:ascii="仿宋" w:hAnsi="仿宋" w:eastAsia="仿宋" w:cs="仿宋"/>
                <w:color w:val="000000"/>
                <w:sz w:val="18"/>
                <w:szCs w:val="18"/>
              </w:rPr>
            </w:pPr>
          </w:p>
        </w:tc>
        <w:tc>
          <w:tcPr>
            <w:tcW w:w="674" w:type="dxa"/>
            <w:vMerge w:val="continue"/>
            <w:noWrap w:val="0"/>
            <w:vAlign w:val="center"/>
          </w:tcPr>
          <w:p>
            <w:pPr>
              <w:snapToGrid w:val="0"/>
              <w:spacing w:line="230" w:lineRule="exact"/>
              <w:jc w:val="center"/>
              <w:textAlignment w:val="center"/>
              <w:rPr>
                <w:rFonts w:hint="eastAsia" w:ascii="仿宋" w:hAnsi="仿宋" w:eastAsia="仿宋" w:cs="仿宋"/>
                <w:color w:val="000000"/>
                <w:sz w:val="18"/>
                <w:szCs w:val="18"/>
              </w:rPr>
            </w:pPr>
          </w:p>
        </w:tc>
        <w:tc>
          <w:tcPr>
            <w:tcW w:w="3969" w:type="dxa"/>
            <w:gridSpan w:val="2"/>
            <w:noWrap w:val="0"/>
            <w:vAlign w:val="center"/>
          </w:tcPr>
          <w:p>
            <w:pPr>
              <w:snapToGrid w:val="0"/>
              <w:spacing w:line="230" w:lineRule="exac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湖南省智慧住建云－公共服务平台—诚信评价（60-69分）或信用等级（全国水利建设市场主体）为B级或信用等级（湖南省水利建设市场主体）B级（55％）</w:t>
            </w:r>
          </w:p>
        </w:tc>
        <w:tc>
          <w:tcPr>
            <w:tcW w:w="708" w:type="dxa"/>
            <w:noWrap w:val="0"/>
            <w:vAlign w:val="center"/>
          </w:tcPr>
          <w:p>
            <w:pPr>
              <w:pStyle w:val="106"/>
              <w:snapToGrid w:val="0"/>
              <w:spacing w:line="230" w:lineRule="exact"/>
              <w:jc w:val="center"/>
              <w:textAlignment w:val="center"/>
              <w:rPr>
                <w:rFonts w:hint="eastAsia" w:ascii="仿宋" w:hAnsi="仿宋" w:eastAsia="仿宋" w:cs="仿宋"/>
                <w:sz w:val="18"/>
                <w:szCs w:val="18"/>
              </w:rPr>
            </w:pPr>
          </w:p>
        </w:tc>
        <w:tc>
          <w:tcPr>
            <w:tcW w:w="567" w:type="dxa"/>
            <w:vMerge w:val="continue"/>
            <w:noWrap w:val="0"/>
            <w:vAlign w:val="center"/>
          </w:tcPr>
          <w:p>
            <w:pPr>
              <w:pStyle w:val="106"/>
              <w:snapToGrid w:val="0"/>
              <w:spacing w:line="230" w:lineRule="exact"/>
              <w:jc w:val="center"/>
              <w:textAlignment w:val="center"/>
              <w:rPr>
                <w:rFonts w:hint="eastAsia" w:ascii="仿宋" w:hAnsi="仿宋" w:eastAsia="仿宋" w:cs="仿宋"/>
                <w:sz w:val="18"/>
                <w:szCs w:val="18"/>
              </w:rPr>
            </w:pPr>
          </w:p>
        </w:tc>
        <w:tc>
          <w:tcPr>
            <w:tcW w:w="567" w:type="dxa"/>
            <w:vMerge w:val="continue"/>
            <w:noWrap w:val="0"/>
            <w:vAlign w:val="center"/>
          </w:tcPr>
          <w:p>
            <w:pPr>
              <w:snapToGrid w:val="0"/>
              <w:spacing w:line="230" w:lineRule="exact"/>
              <w:jc w:val="center"/>
              <w:textAlignment w:val="center"/>
              <w:rPr>
                <w:rFonts w:hint="eastAsia" w:ascii="仿宋" w:hAnsi="仿宋" w:eastAsia="仿宋" w:cs="仿宋"/>
                <w:color w:val="000000"/>
                <w:kern w:val="0"/>
                <w:sz w:val="18"/>
                <w:szCs w:val="18"/>
              </w:rPr>
            </w:pPr>
          </w:p>
        </w:tc>
        <w:tc>
          <w:tcPr>
            <w:tcW w:w="576" w:type="dxa"/>
            <w:vMerge w:val="continue"/>
            <w:noWrap w:val="0"/>
            <w:vAlign w:val="center"/>
          </w:tcPr>
          <w:p>
            <w:pPr>
              <w:snapToGrid w:val="0"/>
              <w:spacing w:line="230" w:lineRule="exact"/>
              <w:jc w:val="center"/>
              <w:textAlignment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4" w:type="dxa"/>
            <w:vMerge w:val="continue"/>
            <w:noWrap w:val="0"/>
            <w:vAlign w:val="center"/>
          </w:tcPr>
          <w:p>
            <w:pPr>
              <w:snapToGrid w:val="0"/>
              <w:spacing w:line="230" w:lineRule="exact"/>
              <w:jc w:val="center"/>
              <w:textAlignment w:val="center"/>
              <w:rPr>
                <w:rFonts w:hint="eastAsia" w:ascii="仿宋" w:hAnsi="仿宋" w:eastAsia="仿宋" w:cs="仿宋"/>
                <w:color w:val="000000"/>
                <w:kern w:val="0"/>
                <w:sz w:val="18"/>
                <w:szCs w:val="18"/>
              </w:rPr>
            </w:pPr>
          </w:p>
        </w:tc>
        <w:tc>
          <w:tcPr>
            <w:tcW w:w="784" w:type="dxa"/>
            <w:vMerge w:val="continue"/>
            <w:noWrap w:val="0"/>
            <w:vAlign w:val="center"/>
          </w:tcPr>
          <w:p>
            <w:pPr>
              <w:snapToGrid w:val="0"/>
              <w:spacing w:line="230" w:lineRule="exact"/>
              <w:jc w:val="center"/>
              <w:textAlignment w:val="center"/>
              <w:rPr>
                <w:rFonts w:hint="eastAsia" w:ascii="仿宋" w:hAnsi="仿宋" w:eastAsia="仿宋" w:cs="仿宋"/>
                <w:color w:val="000000"/>
                <w:sz w:val="18"/>
                <w:szCs w:val="18"/>
              </w:rPr>
            </w:pPr>
          </w:p>
        </w:tc>
        <w:tc>
          <w:tcPr>
            <w:tcW w:w="674" w:type="dxa"/>
            <w:vMerge w:val="continue"/>
            <w:noWrap w:val="0"/>
            <w:vAlign w:val="center"/>
          </w:tcPr>
          <w:p>
            <w:pPr>
              <w:pStyle w:val="106"/>
              <w:snapToGrid w:val="0"/>
              <w:spacing w:line="230" w:lineRule="exact"/>
              <w:jc w:val="center"/>
              <w:textAlignment w:val="center"/>
              <w:rPr>
                <w:rFonts w:hint="eastAsia" w:ascii="仿宋" w:hAnsi="仿宋" w:eastAsia="仿宋" w:cs="仿宋"/>
                <w:sz w:val="18"/>
                <w:szCs w:val="18"/>
              </w:rPr>
            </w:pPr>
          </w:p>
        </w:tc>
        <w:tc>
          <w:tcPr>
            <w:tcW w:w="674" w:type="dxa"/>
            <w:vMerge w:val="continue"/>
            <w:noWrap w:val="0"/>
            <w:vAlign w:val="center"/>
          </w:tcPr>
          <w:p>
            <w:pPr>
              <w:pStyle w:val="106"/>
              <w:snapToGrid w:val="0"/>
              <w:spacing w:line="230" w:lineRule="exact"/>
              <w:jc w:val="center"/>
              <w:textAlignment w:val="center"/>
              <w:rPr>
                <w:rFonts w:hint="eastAsia" w:ascii="仿宋" w:hAnsi="仿宋" w:eastAsia="仿宋" w:cs="仿宋"/>
                <w:sz w:val="18"/>
                <w:szCs w:val="18"/>
              </w:rPr>
            </w:pPr>
          </w:p>
        </w:tc>
        <w:tc>
          <w:tcPr>
            <w:tcW w:w="3969" w:type="dxa"/>
            <w:gridSpan w:val="2"/>
            <w:noWrap w:val="0"/>
            <w:vAlign w:val="center"/>
          </w:tcPr>
          <w:p>
            <w:pPr>
              <w:pStyle w:val="106"/>
              <w:snapToGrid w:val="0"/>
              <w:spacing w:line="230" w:lineRule="exact"/>
              <w:jc w:val="both"/>
              <w:textAlignment w:val="center"/>
              <w:rPr>
                <w:rFonts w:hint="eastAsia" w:ascii="仿宋" w:hAnsi="仿宋" w:eastAsia="仿宋" w:cs="仿宋"/>
                <w:sz w:val="18"/>
                <w:szCs w:val="18"/>
              </w:rPr>
            </w:pPr>
            <w:r>
              <w:rPr>
                <w:rFonts w:hint="eastAsia" w:ascii="仿宋" w:hAnsi="仿宋" w:eastAsia="仿宋" w:cs="仿宋"/>
                <w:sz w:val="18"/>
                <w:szCs w:val="18"/>
              </w:rPr>
              <w:t>湖南省智慧住建云－公共服务平台—诚信评价（60分以下，不包含60分）或信用等级（全国水利建设市场主体）为C级或信用等级（湖南省水利建设市场主体）C级（0分）</w:t>
            </w:r>
          </w:p>
        </w:tc>
        <w:tc>
          <w:tcPr>
            <w:tcW w:w="708" w:type="dxa"/>
            <w:noWrap w:val="0"/>
            <w:vAlign w:val="center"/>
          </w:tcPr>
          <w:p>
            <w:pPr>
              <w:pStyle w:val="106"/>
              <w:snapToGrid w:val="0"/>
              <w:spacing w:line="230" w:lineRule="exact"/>
              <w:jc w:val="center"/>
              <w:textAlignment w:val="center"/>
              <w:rPr>
                <w:rFonts w:hint="eastAsia" w:ascii="仿宋" w:hAnsi="仿宋" w:eastAsia="仿宋" w:cs="仿宋"/>
                <w:sz w:val="18"/>
                <w:szCs w:val="18"/>
              </w:rPr>
            </w:pPr>
          </w:p>
        </w:tc>
        <w:tc>
          <w:tcPr>
            <w:tcW w:w="567" w:type="dxa"/>
            <w:vMerge w:val="continue"/>
            <w:noWrap w:val="0"/>
            <w:vAlign w:val="center"/>
          </w:tcPr>
          <w:p>
            <w:pPr>
              <w:pStyle w:val="106"/>
              <w:snapToGrid w:val="0"/>
              <w:spacing w:line="230" w:lineRule="exact"/>
              <w:jc w:val="center"/>
              <w:textAlignment w:val="center"/>
              <w:rPr>
                <w:rFonts w:hint="eastAsia" w:ascii="仿宋" w:hAnsi="仿宋" w:eastAsia="仿宋" w:cs="仿宋"/>
                <w:sz w:val="18"/>
                <w:szCs w:val="18"/>
              </w:rPr>
            </w:pPr>
          </w:p>
        </w:tc>
        <w:tc>
          <w:tcPr>
            <w:tcW w:w="567" w:type="dxa"/>
            <w:vMerge w:val="continue"/>
            <w:noWrap w:val="0"/>
            <w:vAlign w:val="center"/>
          </w:tcPr>
          <w:p>
            <w:pPr>
              <w:snapToGrid w:val="0"/>
              <w:spacing w:line="230" w:lineRule="exact"/>
              <w:jc w:val="center"/>
              <w:textAlignment w:val="center"/>
              <w:rPr>
                <w:rFonts w:hint="eastAsia" w:ascii="仿宋" w:hAnsi="仿宋" w:eastAsia="仿宋" w:cs="仿宋"/>
                <w:color w:val="000000"/>
                <w:kern w:val="0"/>
                <w:sz w:val="18"/>
                <w:szCs w:val="18"/>
              </w:rPr>
            </w:pPr>
          </w:p>
        </w:tc>
        <w:tc>
          <w:tcPr>
            <w:tcW w:w="576" w:type="dxa"/>
            <w:vMerge w:val="continue"/>
            <w:noWrap w:val="0"/>
            <w:vAlign w:val="center"/>
          </w:tcPr>
          <w:p>
            <w:pPr>
              <w:snapToGrid w:val="0"/>
              <w:spacing w:line="230" w:lineRule="exact"/>
              <w:jc w:val="center"/>
              <w:textAlignment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4" w:type="dxa"/>
            <w:vMerge w:val="continue"/>
            <w:noWrap w:val="0"/>
            <w:vAlign w:val="center"/>
          </w:tcPr>
          <w:p>
            <w:pPr>
              <w:snapToGrid w:val="0"/>
              <w:spacing w:line="230" w:lineRule="exact"/>
              <w:jc w:val="center"/>
              <w:textAlignment w:val="center"/>
              <w:rPr>
                <w:rFonts w:hint="eastAsia" w:ascii="仿宋" w:hAnsi="仿宋" w:eastAsia="仿宋" w:cs="仿宋"/>
                <w:color w:val="000000"/>
                <w:kern w:val="0"/>
                <w:sz w:val="18"/>
                <w:szCs w:val="18"/>
              </w:rPr>
            </w:pPr>
          </w:p>
        </w:tc>
        <w:tc>
          <w:tcPr>
            <w:tcW w:w="784" w:type="dxa"/>
            <w:vMerge w:val="continue"/>
            <w:noWrap w:val="0"/>
            <w:vAlign w:val="center"/>
          </w:tcPr>
          <w:p>
            <w:pPr>
              <w:snapToGrid w:val="0"/>
              <w:spacing w:line="230" w:lineRule="exact"/>
              <w:jc w:val="center"/>
              <w:textAlignment w:val="center"/>
              <w:rPr>
                <w:rFonts w:hint="eastAsia" w:ascii="仿宋" w:hAnsi="仿宋" w:eastAsia="仿宋" w:cs="仿宋"/>
                <w:color w:val="000000"/>
                <w:sz w:val="18"/>
                <w:szCs w:val="18"/>
              </w:rPr>
            </w:pPr>
          </w:p>
        </w:tc>
        <w:tc>
          <w:tcPr>
            <w:tcW w:w="674" w:type="dxa"/>
            <w:vMerge w:val="continue"/>
            <w:noWrap w:val="0"/>
            <w:vAlign w:val="center"/>
          </w:tcPr>
          <w:p>
            <w:pPr>
              <w:pStyle w:val="106"/>
              <w:snapToGrid w:val="0"/>
              <w:spacing w:line="230" w:lineRule="exact"/>
              <w:jc w:val="center"/>
              <w:textAlignment w:val="center"/>
              <w:rPr>
                <w:rFonts w:hint="eastAsia" w:ascii="仿宋" w:hAnsi="仿宋" w:eastAsia="仿宋" w:cs="仿宋"/>
                <w:sz w:val="18"/>
                <w:szCs w:val="18"/>
              </w:rPr>
            </w:pPr>
          </w:p>
        </w:tc>
        <w:tc>
          <w:tcPr>
            <w:tcW w:w="674" w:type="dxa"/>
            <w:vMerge w:val="restart"/>
            <w:noWrap w:val="0"/>
            <w:vAlign w:val="center"/>
          </w:tcPr>
          <w:p>
            <w:pPr>
              <w:pStyle w:val="106"/>
              <w:snapToGrid w:val="0"/>
              <w:spacing w:line="230" w:lineRule="exact"/>
              <w:jc w:val="center"/>
              <w:textAlignment w:val="center"/>
              <w:rPr>
                <w:rFonts w:hint="eastAsia" w:ascii="仿宋" w:hAnsi="仿宋" w:eastAsia="仿宋" w:cs="仿宋"/>
                <w:sz w:val="18"/>
                <w:szCs w:val="18"/>
              </w:rPr>
            </w:pPr>
            <w:r>
              <w:rPr>
                <w:rFonts w:hint="eastAsia" w:ascii="仿宋" w:hAnsi="仿宋" w:eastAsia="仿宋" w:cs="仿宋"/>
                <w:sz w:val="18"/>
                <w:szCs w:val="18"/>
              </w:rPr>
              <w:t>联合体成员一（30～45分）×承担工作量所占比例</w:t>
            </w:r>
          </w:p>
        </w:tc>
        <w:tc>
          <w:tcPr>
            <w:tcW w:w="3969" w:type="dxa"/>
            <w:gridSpan w:val="2"/>
            <w:noWrap w:val="0"/>
            <w:vAlign w:val="center"/>
          </w:tcPr>
          <w:p>
            <w:pPr>
              <w:tabs>
                <w:tab w:val="left" w:pos="420"/>
              </w:tabs>
              <w:snapToGrid w:val="0"/>
              <w:spacing w:line="230" w:lineRule="exac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湖南省智慧住建云－公共服务平台—诚信评价（90-100分）或信用等级（全国水利建设市场主体）为AAA级或信用等级（湖南省水利建设市场主体）A+级（100％）</w:t>
            </w:r>
          </w:p>
        </w:tc>
        <w:tc>
          <w:tcPr>
            <w:tcW w:w="708" w:type="dxa"/>
            <w:noWrap w:val="0"/>
            <w:vAlign w:val="center"/>
          </w:tcPr>
          <w:p>
            <w:pPr>
              <w:pStyle w:val="106"/>
              <w:snapToGrid w:val="0"/>
              <w:spacing w:line="230" w:lineRule="exact"/>
              <w:jc w:val="center"/>
              <w:textAlignment w:val="center"/>
              <w:rPr>
                <w:rFonts w:hint="eastAsia" w:ascii="仿宋" w:hAnsi="仿宋" w:eastAsia="仿宋" w:cs="仿宋"/>
                <w:sz w:val="18"/>
                <w:szCs w:val="18"/>
              </w:rPr>
            </w:pPr>
          </w:p>
        </w:tc>
        <w:tc>
          <w:tcPr>
            <w:tcW w:w="567" w:type="dxa"/>
            <w:vMerge w:val="restart"/>
            <w:noWrap w:val="0"/>
            <w:vAlign w:val="center"/>
          </w:tcPr>
          <w:p>
            <w:pPr>
              <w:pStyle w:val="106"/>
              <w:snapToGrid w:val="0"/>
              <w:spacing w:line="230" w:lineRule="exact"/>
              <w:jc w:val="center"/>
              <w:textAlignment w:val="center"/>
              <w:rPr>
                <w:rFonts w:hint="eastAsia" w:ascii="仿宋" w:hAnsi="仿宋" w:eastAsia="仿宋" w:cs="仿宋"/>
                <w:sz w:val="18"/>
                <w:szCs w:val="18"/>
              </w:rPr>
            </w:pPr>
          </w:p>
        </w:tc>
        <w:tc>
          <w:tcPr>
            <w:tcW w:w="567" w:type="dxa"/>
            <w:vMerge w:val="restart"/>
            <w:noWrap w:val="0"/>
            <w:vAlign w:val="center"/>
          </w:tcPr>
          <w:p>
            <w:pPr>
              <w:snapToGrid w:val="0"/>
              <w:spacing w:line="230" w:lineRule="exact"/>
              <w:jc w:val="center"/>
              <w:textAlignment w:val="center"/>
              <w:rPr>
                <w:rFonts w:hint="eastAsia" w:ascii="仿宋" w:hAnsi="仿宋" w:eastAsia="仿宋" w:cs="仿宋"/>
                <w:color w:val="000000"/>
                <w:kern w:val="0"/>
                <w:sz w:val="18"/>
                <w:szCs w:val="18"/>
              </w:rPr>
            </w:pPr>
          </w:p>
        </w:tc>
        <w:tc>
          <w:tcPr>
            <w:tcW w:w="576" w:type="dxa"/>
            <w:vMerge w:val="restart"/>
            <w:noWrap w:val="0"/>
            <w:vAlign w:val="center"/>
          </w:tcPr>
          <w:p>
            <w:pPr>
              <w:snapToGrid w:val="0"/>
              <w:spacing w:line="230" w:lineRule="exact"/>
              <w:jc w:val="center"/>
              <w:textAlignment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4" w:type="dxa"/>
            <w:vMerge w:val="continue"/>
            <w:noWrap w:val="0"/>
            <w:vAlign w:val="center"/>
          </w:tcPr>
          <w:p>
            <w:pPr>
              <w:snapToGrid w:val="0"/>
              <w:spacing w:line="230" w:lineRule="exact"/>
              <w:jc w:val="center"/>
              <w:textAlignment w:val="center"/>
              <w:rPr>
                <w:rFonts w:hint="eastAsia" w:ascii="仿宋" w:hAnsi="仿宋" w:eastAsia="仿宋" w:cs="仿宋"/>
                <w:color w:val="000000"/>
                <w:kern w:val="0"/>
                <w:sz w:val="18"/>
                <w:szCs w:val="18"/>
              </w:rPr>
            </w:pPr>
          </w:p>
        </w:tc>
        <w:tc>
          <w:tcPr>
            <w:tcW w:w="784" w:type="dxa"/>
            <w:vMerge w:val="continue"/>
            <w:noWrap w:val="0"/>
            <w:vAlign w:val="center"/>
          </w:tcPr>
          <w:p>
            <w:pPr>
              <w:snapToGrid w:val="0"/>
              <w:spacing w:line="230" w:lineRule="exact"/>
              <w:jc w:val="center"/>
              <w:textAlignment w:val="center"/>
              <w:rPr>
                <w:rFonts w:hint="eastAsia" w:ascii="仿宋" w:hAnsi="仿宋" w:eastAsia="仿宋" w:cs="仿宋"/>
                <w:color w:val="000000"/>
                <w:sz w:val="18"/>
                <w:szCs w:val="18"/>
              </w:rPr>
            </w:pPr>
          </w:p>
        </w:tc>
        <w:tc>
          <w:tcPr>
            <w:tcW w:w="674" w:type="dxa"/>
            <w:vMerge w:val="continue"/>
            <w:noWrap w:val="0"/>
            <w:vAlign w:val="center"/>
          </w:tcPr>
          <w:p>
            <w:pPr>
              <w:pStyle w:val="106"/>
              <w:snapToGrid w:val="0"/>
              <w:spacing w:line="230" w:lineRule="exact"/>
              <w:jc w:val="center"/>
              <w:textAlignment w:val="center"/>
              <w:rPr>
                <w:rFonts w:hint="eastAsia" w:ascii="仿宋" w:hAnsi="仿宋" w:eastAsia="仿宋" w:cs="仿宋"/>
                <w:sz w:val="18"/>
                <w:szCs w:val="18"/>
              </w:rPr>
            </w:pPr>
          </w:p>
        </w:tc>
        <w:tc>
          <w:tcPr>
            <w:tcW w:w="674" w:type="dxa"/>
            <w:vMerge w:val="continue"/>
            <w:noWrap w:val="0"/>
            <w:vAlign w:val="center"/>
          </w:tcPr>
          <w:p>
            <w:pPr>
              <w:pStyle w:val="106"/>
              <w:snapToGrid w:val="0"/>
              <w:spacing w:line="230" w:lineRule="exact"/>
              <w:jc w:val="center"/>
              <w:textAlignment w:val="center"/>
              <w:rPr>
                <w:rFonts w:hint="eastAsia" w:ascii="仿宋" w:hAnsi="仿宋" w:eastAsia="仿宋" w:cs="仿宋"/>
                <w:sz w:val="18"/>
                <w:szCs w:val="18"/>
              </w:rPr>
            </w:pPr>
          </w:p>
        </w:tc>
        <w:tc>
          <w:tcPr>
            <w:tcW w:w="3969" w:type="dxa"/>
            <w:gridSpan w:val="2"/>
            <w:noWrap w:val="0"/>
            <w:vAlign w:val="center"/>
          </w:tcPr>
          <w:p>
            <w:pPr>
              <w:snapToGrid w:val="0"/>
              <w:spacing w:line="230" w:lineRule="exac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湖南省智慧住建云－公共服务平台—诚信评价（80-89分）或信用等级（全国水利建设市场主体）为AA级或信用等级（湖南省水利建设市场主体）A级（85％）</w:t>
            </w:r>
          </w:p>
        </w:tc>
        <w:tc>
          <w:tcPr>
            <w:tcW w:w="708" w:type="dxa"/>
            <w:noWrap w:val="0"/>
            <w:vAlign w:val="center"/>
          </w:tcPr>
          <w:p>
            <w:pPr>
              <w:pStyle w:val="106"/>
              <w:snapToGrid w:val="0"/>
              <w:spacing w:line="230" w:lineRule="exact"/>
              <w:jc w:val="center"/>
              <w:textAlignment w:val="center"/>
              <w:rPr>
                <w:rFonts w:hint="eastAsia" w:ascii="仿宋" w:hAnsi="仿宋" w:eastAsia="仿宋" w:cs="仿宋"/>
                <w:sz w:val="18"/>
                <w:szCs w:val="18"/>
              </w:rPr>
            </w:pPr>
          </w:p>
        </w:tc>
        <w:tc>
          <w:tcPr>
            <w:tcW w:w="567" w:type="dxa"/>
            <w:vMerge w:val="continue"/>
            <w:noWrap w:val="0"/>
            <w:vAlign w:val="center"/>
          </w:tcPr>
          <w:p>
            <w:pPr>
              <w:pStyle w:val="106"/>
              <w:snapToGrid w:val="0"/>
              <w:spacing w:line="230" w:lineRule="exact"/>
              <w:jc w:val="center"/>
              <w:textAlignment w:val="center"/>
              <w:rPr>
                <w:rFonts w:hint="eastAsia" w:ascii="仿宋" w:hAnsi="仿宋" w:eastAsia="仿宋" w:cs="仿宋"/>
                <w:sz w:val="18"/>
                <w:szCs w:val="18"/>
              </w:rPr>
            </w:pPr>
          </w:p>
        </w:tc>
        <w:tc>
          <w:tcPr>
            <w:tcW w:w="567" w:type="dxa"/>
            <w:vMerge w:val="continue"/>
            <w:noWrap w:val="0"/>
            <w:vAlign w:val="center"/>
          </w:tcPr>
          <w:p>
            <w:pPr>
              <w:snapToGrid w:val="0"/>
              <w:spacing w:line="230" w:lineRule="exact"/>
              <w:jc w:val="center"/>
              <w:textAlignment w:val="center"/>
              <w:rPr>
                <w:rFonts w:hint="eastAsia" w:ascii="仿宋" w:hAnsi="仿宋" w:eastAsia="仿宋" w:cs="仿宋"/>
                <w:color w:val="000000"/>
                <w:kern w:val="0"/>
                <w:sz w:val="18"/>
                <w:szCs w:val="18"/>
              </w:rPr>
            </w:pPr>
          </w:p>
        </w:tc>
        <w:tc>
          <w:tcPr>
            <w:tcW w:w="576" w:type="dxa"/>
            <w:vMerge w:val="continue"/>
            <w:noWrap w:val="0"/>
            <w:vAlign w:val="center"/>
          </w:tcPr>
          <w:p>
            <w:pPr>
              <w:snapToGrid w:val="0"/>
              <w:spacing w:line="230" w:lineRule="exact"/>
              <w:jc w:val="center"/>
              <w:textAlignment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4" w:type="dxa"/>
            <w:vMerge w:val="continue"/>
            <w:noWrap w:val="0"/>
            <w:vAlign w:val="center"/>
          </w:tcPr>
          <w:p>
            <w:pPr>
              <w:snapToGrid w:val="0"/>
              <w:spacing w:line="230" w:lineRule="exact"/>
              <w:jc w:val="center"/>
              <w:textAlignment w:val="center"/>
              <w:rPr>
                <w:rFonts w:hint="eastAsia" w:ascii="仿宋" w:hAnsi="仿宋" w:eastAsia="仿宋" w:cs="仿宋"/>
                <w:color w:val="000000"/>
                <w:kern w:val="0"/>
                <w:sz w:val="18"/>
                <w:szCs w:val="18"/>
              </w:rPr>
            </w:pPr>
          </w:p>
        </w:tc>
        <w:tc>
          <w:tcPr>
            <w:tcW w:w="784" w:type="dxa"/>
            <w:vMerge w:val="continue"/>
            <w:noWrap w:val="0"/>
            <w:vAlign w:val="center"/>
          </w:tcPr>
          <w:p>
            <w:pPr>
              <w:snapToGrid w:val="0"/>
              <w:spacing w:line="230" w:lineRule="exact"/>
              <w:jc w:val="center"/>
              <w:textAlignment w:val="center"/>
              <w:rPr>
                <w:rFonts w:hint="eastAsia" w:ascii="仿宋" w:hAnsi="仿宋" w:eastAsia="仿宋" w:cs="仿宋"/>
                <w:color w:val="000000"/>
                <w:sz w:val="18"/>
                <w:szCs w:val="18"/>
              </w:rPr>
            </w:pPr>
          </w:p>
        </w:tc>
        <w:tc>
          <w:tcPr>
            <w:tcW w:w="674" w:type="dxa"/>
            <w:vMerge w:val="continue"/>
            <w:noWrap w:val="0"/>
            <w:vAlign w:val="center"/>
          </w:tcPr>
          <w:p>
            <w:pPr>
              <w:pStyle w:val="106"/>
              <w:snapToGrid w:val="0"/>
              <w:spacing w:line="230" w:lineRule="exact"/>
              <w:jc w:val="center"/>
              <w:textAlignment w:val="center"/>
              <w:rPr>
                <w:rFonts w:hint="eastAsia" w:ascii="仿宋" w:hAnsi="仿宋" w:eastAsia="仿宋" w:cs="仿宋"/>
                <w:sz w:val="18"/>
                <w:szCs w:val="18"/>
              </w:rPr>
            </w:pPr>
          </w:p>
        </w:tc>
        <w:tc>
          <w:tcPr>
            <w:tcW w:w="674" w:type="dxa"/>
            <w:vMerge w:val="continue"/>
            <w:noWrap w:val="0"/>
            <w:vAlign w:val="center"/>
          </w:tcPr>
          <w:p>
            <w:pPr>
              <w:pStyle w:val="106"/>
              <w:snapToGrid w:val="0"/>
              <w:spacing w:line="230" w:lineRule="exact"/>
              <w:jc w:val="center"/>
              <w:textAlignment w:val="center"/>
              <w:rPr>
                <w:rFonts w:hint="eastAsia" w:ascii="仿宋" w:hAnsi="仿宋" w:eastAsia="仿宋" w:cs="仿宋"/>
                <w:sz w:val="18"/>
                <w:szCs w:val="18"/>
              </w:rPr>
            </w:pPr>
          </w:p>
        </w:tc>
        <w:tc>
          <w:tcPr>
            <w:tcW w:w="3969" w:type="dxa"/>
            <w:gridSpan w:val="2"/>
            <w:noWrap w:val="0"/>
            <w:vAlign w:val="center"/>
          </w:tcPr>
          <w:p>
            <w:pPr>
              <w:snapToGrid w:val="0"/>
              <w:spacing w:line="230" w:lineRule="exac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湖南省智慧住建云－公共服务平台—诚信评价（70-79分）或信用等级（全国水利建设市场主体）为A级或信用等级（湖南省水利建设市场主体）A-级（70％）</w:t>
            </w:r>
          </w:p>
        </w:tc>
        <w:tc>
          <w:tcPr>
            <w:tcW w:w="708" w:type="dxa"/>
            <w:noWrap w:val="0"/>
            <w:vAlign w:val="center"/>
          </w:tcPr>
          <w:p>
            <w:pPr>
              <w:pStyle w:val="106"/>
              <w:snapToGrid w:val="0"/>
              <w:spacing w:line="230" w:lineRule="exact"/>
              <w:jc w:val="center"/>
              <w:textAlignment w:val="center"/>
              <w:rPr>
                <w:rFonts w:hint="eastAsia" w:ascii="仿宋" w:hAnsi="仿宋" w:eastAsia="仿宋" w:cs="仿宋"/>
                <w:sz w:val="18"/>
                <w:szCs w:val="18"/>
              </w:rPr>
            </w:pPr>
          </w:p>
        </w:tc>
        <w:tc>
          <w:tcPr>
            <w:tcW w:w="567" w:type="dxa"/>
            <w:vMerge w:val="continue"/>
            <w:noWrap w:val="0"/>
            <w:vAlign w:val="center"/>
          </w:tcPr>
          <w:p>
            <w:pPr>
              <w:pStyle w:val="106"/>
              <w:snapToGrid w:val="0"/>
              <w:spacing w:line="230" w:lineRule="exact"/>
              <w:jc w:val="center"/>
              <w:textAlignment w:val="center"/>
              <w:rPr>
                <w:rFonts w:hint="eastAsia" w:ascii="仿宋" w:hAnsi="仿宋" w:eastAsia="仿宋" w:cs="仿宋"/>
                <w:sz w:val="18"/>
                <w:szCs w:val="18"/>
              </w:rPr>
            </w:pPr>
          </w:p>
        </w:tc>
        <w:tc>
          <w:tcPr>
            <w:tcW w:w="567" w:type="dxa"/>
            <w:vMerge w:val="continue"/>
            <w:noWrap w:val="0"/>
            <w:vAlign w:val="center"/>
          </w:tcPr>
          <w:p>
            <w:pPr>
              <w:snapToGrid w:val="0"/>
              <w:spacing w:line="230" w:lineRule="exact"/>
              <w:jc w:val="center"/>
              <w:textAlignment w:val="center"/>
              <w:rPr>
                <w:rFonts w:hint="eastAsia" w:ascii="仿宋" w:hAnsi="仿宋" w:eastAsia="仿宋" w:cs="仿宋"/>
                <w:color w:val="000000"/>
                <w:kern w:val="0"/>
                <w:sz w:val="18"/>
                <w:szCs w:val="18"/>
              </w:rPr>
            </w:pPr>
          </w:p>
        </w:tc>
        <w:tc>
          <w:tcPr>
            <w:tcW w:w="576" w:type="dxa"/>
            <w:vMerge w:val="continue"/>
            <w:noWrap w:val="0"/>
            <w:vAlign w:val="center"/>
          </w:tcPr>
          <w:p>
            <w:pPr>
              <w:snapToGrid w:val="0"/>
              <w:spacing w:line="230" w:lineRule="exact"/>
              <w:jc w:val="center"/>
              <w:textAlignment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4" w:type="dxa"/>
            <w:vMerge w:val="continue"/>
            <w:noWrap w:val="0"/>
            <w:vAlign w:val="center"/>
          </w:tcPr>
          <w:p>
            <w:pPr>
              <w:snapToGrid w:val="0"/>
              <w:spacing w:line="230" w:lineRule="exact"/>
              <w:jc w:val="center"/>
              <w:textAlignment w:val="center"/>
              <w:rPr>
                <w:rFonts w:hint="eastAsia" w:ascii="仿宋" w:hAnsi="仿宋" w:eastAsia="仿宋" w:cs="仿宋"/>
                <w:color w:val="000000"/>
                <w:kern w:val="0"/>
                <w:sz w:val="18"/>
                <w:szCs w:val="18"/>
              </w:rPr>
            </w:pPr>
          </w:p>
        </w:tc>
        <w:tc>
          <w:tcPr>
            <w:tcW w:w="784" w:type="dxa"/>
            <w:vMerge w:val="continue"/>
            <w:noWrap w:val="0"/>
            <w:vAlign w:val="center"/>
          </w:tcPr>
          <w:p>
            <w:pPr>
              <w:snapToGrid w:val="0"/>
              <w:spacing w:line="230" w:lineRule="exact"/>
              <w:jc w:val="center"/>
              <w:textAlignment w:val="center"/>
              <w:rPr>
                <w:rFonts w:hint="eastAsia" w:ascii="仿宋" w:hAnsi="仿宋" w:eastAsia="仿宋" w:cs="仿宋"/>
                <w:color w:val="000000"/>
                <w:sz w:val="18"/>
                <w:szCs w:val="18"/>
              </w:rPr>
            </w:pPr>
          </w:p>
        </w:tc>
        <w:tc>
          <w:tcPr>
            <w:tcW w:w="674" w:type="dxa"/>
            <w:vMerge w:val="continue"/>
            <w:noWrap w:val="0"/>
            <w:vAlign w:val="center"/>
          </w:tcPr>
          <w:p>
            <w:pPr>
              <w:pStyle w:val="106"/>
              <w:snapToGrid w:val="0"/>
              <w:spacing w:line="230" w:lineRule="exact"/>
              <w:jc w:val="center"/>
              <w:textAlignment w:val="center"/>
              <w:rPr>
                <w:rFonts w:hint="eastAsia" w:ascii="仿宋" w:hAnsi="仿宋" w:eastAsia="仿宋" w:cs="仿宋"/>
                <w:sz w:val="18"/>
                <w:szCs w:val="18"/>
              </w:rPr>
            </w:pPr>
          </w:p>
        </w:tc>
        <w:tc>
          <w:tcPr>
            <w:tcW w:w="674" w:type="dxa"/>
            <w:vMerge w:val="continue"/>
            <w:noWrap w:val="0"/>
            <w:vAlign w:val="center"/>
          </w:tcPr>
          <w:p>
            <w:pPr>
              <w:pStyle w:val="106"/>
              <w:snapToGrid w:val="0"/>
              <w:spacing w:line="230" w:lineRule="exact"/>
              <w:jc w:val="center"/>
              <w:textAlignment w:val="center"/>
              <w:rPr>
                <w:rFonts w:hint="eastAsia" w:ascii="仿宋" w:hAnsi="仿宋" w:eastAsia="仿宋" w:cs="仿宋"/>
                <w:sz w:val="18"/>
                <w:szCs w:val="18"/>
              </w:rPr>
            </w:pPr>
          </w:p>
        </w:tc>
        <w:tc>
          <w:tcPr>
            <w:tcW w:w="3969" w:type="dxa"/>
            <w:gridSpan w:val="2"/>
            <w:noWrap w:val="0"/>
            <w:vAlign w:val="center"/>
          </w:tcPr>
          <w:p>
            <w:pPr>
              <w:snapToGrid w:val="0"/>
              <w:spacing w:line="230" w:lineRule="exact"/>
              <w:textAlignment w:val="center"/>
              <w:rPr>
                <w:rFonts w:hint="eastAsia" w:ascii="仿宋" w:hAnsi="仿宋" w:eastAsia="仿宋" w:cs="仿宋"/>
                <w:color w:val="000000"/>
                <w:sz w:val="18"/>
                <w:szCs w:val="18"/>
              </w:rPr>
            </w:pPr>
            <w:r>
              <w:rPr>
                <w:rFonts w:hint="eastAsia" w:ascii="仿宋" w:hAnsi="仿宋" w:eastAsia="仿宋" w:cs="仿宋"/>
                <w:color w:val="000000"/>
                <w:sz w:val="18"/>
                <w:szCs w:val="18"/>
              </w:rPr>
              <w:t>湖南省智慧住建云－公共服务平台—诚信评价（60-69分）或信用等级（全国水利建设市场主体）为B级或信用等级（湖南省水利建设市场主体）B级（55％）</w:t>
            </w:r>
          </w:p>
        </w:tc>
        <w:tc>
          <w:tcPr>
            <w:tcW w:w="708" w:type="dxa"/>
            <w:noWrap w:val="0"/>
            <w:vAlign w:val="center"/>
          </w:tcPr>
          <w:p>
            <w:pPr>
              <w:pStyle w:val="106"/>
              <w:snapToGrid w:val="0"/>
              <w:spacing w:line="230" w:lineRule="exact"/>
              <w:jc w:val="center"/>
              <w:textAlignment w:val="center"/>
              <w:rPr>
                <w:rFonts w:hint="eastAsia" w:ascii="仿宋" w:hAnsi="仿宋" w:eastAsia="仿宋" w:cs="仿宋"/>
                <w:sz w:val="18"/>
                <w:szCs w:val="18"/>
              </w:rPr>
            </w:pPr>
          </w:p>
        </w:tc>
        <w:tc>
          <w:tcPr>
            <w:tcW w:w="567" w:type="dxa"/>
            <w:vMerge w:val="continue"/>
            <w:noWrap w:val="0"/>
            <w:vAlign w:val="center"/>
          </w:tcPr>
          <w:p>
            <w:pPr>
              <w:pStyle w:val="106"/>
              <w:snapToGrid w:val="0"/>
              <w:spacing w:line="230" w:lineRule="exact"/>
              <w:jc w:val="center"/>
              <w:textAlignment w:val="center"/>
              <w:rPr>
                <w:rFonts w:hint="eastAsia" w:ascii="仿宋" w:hAnsi="仿宋" w:eastAsia="仿宋" w:cs="仿宋"/>
                <w:sz w:val="18"/>
                <w:szCs w:val="18"/>
              </w:rPr>
            </w:pPr>
          </w:p>
        </w:tc>
        <w:tc>
          <w:tcPr>
            <w:tcW w:w="567" w:type="dxa"/>
            <w:vMerge w:val="continue"/>
            <w:noWrap w:val="0"/>
            <w:vAlign w:val="center"/>
          </w:tcPr>
          <w:p>
            <w:pPr>
              <w:snapToGrid w:val="0"/>
              <w:spacing w:line="230" w:lineRule="exact"/>
              <w:jc w:val="center"/>
              <w:textAlignment w:val="center"/>
              <w:rPr>
                <w:rFonts w:hint="eastAsia" w:ascii="仿宋" w:hAnsi="仿宋" w:eastAsia="仿宋" w:cs="仿宋"/>
                <w:color w:val="000000"/>
                <w:kern w:val="0"/>
                <w:sz w:val="18"/>
                <w:szCs w:val="18"/>
              </w:rPr>
            </w:pPr>
          </w:p>
        </w:tc>
        <w:tc>
          <w:tcPr>
            <w:tcW w:w="576" w:type="dxa"/>
            <w:vMerge w:val="continue"/>
            <w:noWrap w:val="0"/>
            <w:vAlign w:val="center"/>
          </w:tcPr>
          <w:p>
            <w:pPr>
              <w:snapToGrid w:val="0"/>
              <w:spacing w:line="230" w:lineRule="exact"/>
              <w:jc w:val="center"/>
              <w:textAlignment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exact"/>
          <w:jc w:val="center"/>
        </w:trPr>
        <w:tc>
          <w:tcPr>
            <w:tcW w:w="574" w:type="dxa"/>
            <w:vMerge w:val="continue"/>
            <w:noWrap w:val="0"/>
            <w:vAlign w:val="center"/>
          </w:tcPr>
          <w:p>
            <w:pPr>
              <w:snapToGrid w:val="0"/>
              <w:spacing w:line="230" w:lineRule="exact"/>
              <w:jc w:val="center"/>
              <w:textAlignment w:val="center"/>
              <w:rPr>
                <w:rFonts w:hint="eastAsia" w:ascii="仿宋" w:hAnsi="仿宋" w:eastAsia="仿宋" w:cs="仿宋"/>
                <w:color w:val="000000"/>
                <w:kern w:val="0"/>
                <w:sz w:val="18"/>
                <w:szCs w:val="18"/>
              </w:rPr>
            </w:pPr>
          </w:p>
        </w:tc>
        <w:tc>
          <w:tcPr>
            <w:tcW w:w="784" w:type="dxa"/>
            <w:vMerge w:val="continue"/>
            <w:noWrap w:val="0"/>
            <w:vAlign w:val="center"/>
          </w:tcPr>
          <w:p>
            <w:pPr>
              <w:snapToGrid w:val="0"/>
              <w:spacing w:line="230" w:lineRule="exact"/>
              <w:jc w:val="center"/>
              <w:textAlignment w:val="center"/>
              <w:rPr>
                <w:rFonts w:hint="eastAsia" w:ascii="仿宋" w:hAnsi="仿宋" w:eastAsia="仿宋" w:cs="仿宋"/>
                <w:color w:val="000000"/>
                <w:sz w:val="18"/>
                <w:szCs w:val="18"/>
              </w:rPr>
            </w:pPr>
          </w:p>
        </w:tc>
        <w:tc>
          <w:tcPr>
            <w:tcW w:w="674" w:type="dxa"/>
            <w:vMerge w:val="continue"/>
            <w:noWrap w:val="0"/>
            <w:vAlign w:val="center"/>
          </w:tcPr>
          <w:p>
            <w:pPr>
              <w:pStyle w:val="106"/>
              <w:snapToGrid w:val="0"/>
              <w:spacing w:line="230" w:lineRule="exact"/>
              <w:jc w:val="center"/>
              <w:textAlignment w:val="center"/>
              <w:rPr>
                <w:rFonts w:hint="eastAsia" w:ascii="仿宋" w:hAnsi="仿宋" w:eastAsia="仿宋" w:cs="仿宋"/>
                <w:sz w:val="18"/>
                <w:szCs w:val="18"/>
              </w:rPr>
            </w:pPr>
          </w:p>
        </w:tc>
        <w:tc>
          <w:tcPr>
            <w:tcW w:w="674" w:type="dxa"/>
            <w:vMerge w:val="continue"/>
            <w:noWrap w:val="0"/>
            <w:vAlign w:val="center"/>
          </w:tcPr>
          <w:p>
            <w:pPr>
              <w:pStyle w:val="106"/>
              <w:snapToGrid w:val="0"/>
              <w:spacing w:line="230" w:lineRule="exact"/>
              <w:jc w:val="center"/>
              <w:textAlignment w:val="center"/>
              <w:rPr>
                <w:rFonts w:hint="eastAsia" w:ascii="仿宋" w:hAnsi="仿宋" w:eastAsia="仿宋" w:cs="仿宋"/>
                <w:sz w:val="18"/>
                <w:szCs w:val="18"/>
              </w:rPr>
            </w:pPr>
          </w:p>
        </w:tc>
        <w:tc>
          <w:tcPr>
            <w:tcW w:w="3969" w:type="dxa"/>
            <w:gridSpan w:val="2"/>
            <w:noWrap w:val="0"/>
            <w:vAlign w:val="center"/>
          </w:tcPr>
          <w:p>
            <w:pPr>
              <w:pStyle w:val="106"/>
              <w:snapToGrid w:val="0"/>
              <w:spacing w:line="230" w:lineRule="exact"/>
              <w:jc w:val="both"/>
              <w:textAlignment w:val="center"/>
              <w:rPr>
                <w:rFonts w:hint="eastAsia" w:ascii="仿宋" w:hAnsi="仿宋" w:eastAsia="仿宋" w:cs="仿宋"/>
                <w:sz w:val="18"/>
                <w:szCs w:val="18"/>
              </w:rPr>
            </w:pPr>
            <w:r>
              <w:rPr>
                <w:rFonts w:hint="eastAsia" w:ascii="仿宋" w:hAnsi="仿宋" w:eastAsia="仿宋" w:cs="仿宋"/>
                <w:sz w:val="18"/>
                <w:szCs w:val="18"/>
              </w:rPr>
              <w:t>湖南省智慧住建云－公共服务平台—诚信评价（60分以下，不包含60分）或信用等级（全国水利建设市场主体）为C级或信用等级（湖南省水利建设市场主体）C级（0分）</w:t>
            </w:r>
          </w:p>
        </w:tc>
        <w:tc>
          <w:tcPr>
            <w:tcW w:w="708" w:type="dxa"/>
            <w:noWrap w:val="0"/>
            <w:vAlign w:val="center"/>
          </w:tcPr>
          <w:p>
            <w:pPr>
              <w:pStyle w:val="106"/>
              <w:snapToGrid w:val="0"/>
              <w:spacing w:line="230" w:lineRule="exact"/>
              <w:jc w:val="center"/>
              <w:textAlignment w:val="center"/>
              <w:rPr>
                <w:rFonts w:hint="eastAsia" w:ascii="仿宋" w:hAnsi="仿宋" w:eastAsia="仿宋" w:cs="仿宋"/>
                <w:sz w:val="18"/>
                <w:szCs w:val="18"/>
              </w:rPr>
            </w:pPr>
          </w:p>
        </w:tc>
        <w:tc>
          <w:tcPr>
            <w:tcW w:w="567" w:type="dxa"/>
            <w:vMerge w:val="continue"/>
            <w:noWrap w:val="0"/>
            <w:vAlign w:val="center"/>
          </w:tcPr>
          <w:p>
            <w:pPr>
              <w:pStyle w:val="106"/>
              <w:snapToGrid w:val="0"/>
              <w:spacing w:line="230" w:lineRule="exact"/>
              <w:jc w:val="center"/>
              <w:textAlignment w:val="center"/>
              <w:rPr>
                <w:rFonts w:hint="eastAsia" w:ascii="仿宋" w:hAnsi="仿宋" w:eastAsia="仿宋" w:cs="仿宋"/>
                <w:sz w:val="18"/>
                <w:szCs w:val="18"/>
              </w:rPr>
            </w:pPr>
          </w:p>
        </w:tc>
        <w:tc>
          <w:tcPr>
            <w:tcW w:w="567" w:type="dxa"/>
            <w:vMerge w:val="continue"/>
            <w:noWrap w:val="0"/>
            <w:vAlign w:val="center"/>
          </w:tcPr>
          <w:p>
            <w:pPr>
              <w:snapToGrid w:val="0"/>
              <w:spacing w:line="230" w:lineRule="exact"/>
              <w:jc w:val="center"/>
              <w:textAlignment w:val="center"/>
              <w:rPr>
                <w:rFonts w:hint="eastAsia" w:ascii="仿宋" w:hAnsi="仿宋" w:eastAsia="仿宋" w:cs="仿宋"/>
                <w:color w:val="000000"/>
                <w:kern w:val="0"/>
                <w:sz w:val="18"/>
                <w:szCs w:val="18"/>
              </w:rPr>
            </w:pPr>
          </w:p>
        </w:tc>
        <w:tc>
          <w:tcPr>
            <w:tcW w:w="576" w:type="dxa"/>
            <w:vMerge w:val="continue"/>
            <w:noWrap w:val="0"/>
            <w:vAlign w:val="center"/>
          </w:tcPr>
          <w:p>
            <w:pPr>
              <w:snapToGrid w:val="0"/>
              <w:spacing w:line="230" w:lineRule="exact"/>
              <w:jc w:val="center"/>
              <w:textAlignment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spacing w:line="230" w:lineRule="exact"/>
              <w:jc w:val="center"/>
              <w:textAlignment w:val="center"/>
              <w:rPr>
                <w:rFonts w:hint="eastAsia" w:ascii="仿宋" w:hAnsi="仿宋" w:eastAsia="仿宋" w:cs="仿宋"/>
                <w:color w:val="000000"/>
                <w:kern w:val="0"/>
                <w:sz w:val="18"/>
                <w:szCs w:val="18"/>
              </w:rPr>
            </w:pPr>
          </w:p>
        </w:tc>
        <w:tc>
          <w:tcPr>
            <w:tcW w:w="784" w:type="dxa"/>
            <w:vMerge w:val="continue"/>
            <w:noWrap w:val="0"/>
            <w:vAlign w:val="center"/>
          </w:tcPr>
          <w:p>
            <w:pPr>
              <w:snapToGrid w:val="0"/>
              <w:spacing w:line="230" w:lineRule="exact"/>
              <w:jc w:val="center"/>
              <w:textAlignment w:val="center"/>
              <w:rPr>
                <w:rFonts w:hint="eastAsia" w:ascii="仿宋" w:hAnsi="仿宋" w:eastAsia="仿宋" w:cs="仿宋"/>
                <w:color w:val="000000"/>
                <w:sz w:val="18"/>
                <w:szCs w:val="18"/>
              </w:rPr>
            </w:pPr>
          </w:p>
        </w:tc>
        <w:tc>
          <w:tcPr>
            <w:tcW w:w="674" w:type="dxa"/>
            <w:vMerge w:val="continue"/>
            <w:noWrap w:val="0"/>
            <w:vAlign w:val="center"/>
          </w:tcPr>
          <w:p>
            <w:pPr>
              <w:pStyle w:val="106"/>
              <w:snapToGrid w:val="0"/>
              <w:spacing w:line="230" w:lineRule="exact"/>
              <w:jc w:val="center"/>
              <w:textAlignment w:val="center"/>
              <w:rPr>
                <w:rFonts w:hint="eastAsia" w:ascii="仿宋" w:hAnsi="仿宋" w:eastAsia="仿宋" w:cs="仿宋"/>
                <w:sz w:val="18"/>
                <w:szCs w:val="18"/>
              </w:rPr>
            </w:pPr>
          </w:p>
        </w:tc>
        <w:tc>
          <w:tcPr>
            <w:tcW w:w="674" w:type="dxa"/>
            <w:noWrap w:val="0"/>
            <w:vAlign w:val="center"/>
          </w:tcPr>
          <w:p>
            <w:pPr>
              <w:pStyle w:val="106"/>
              <w:snapToGrid w:val="0"/>
              <w:spacing w:line="230" w:lineRule="exact"/>
              <w:jc w:val="center"/>
              <w:textAlignment w:val="center"/>
              <w:rPr>
                <w:rFonts w:hint="eastAsia" w:ascii="仿宋" w:hAnsi="仿宋" w:eastAsia="仿宋" w:cs="仿宋"/>
                <w:b/>
                <w:sz w:val="18"/>
                <w:szCs w:val="18"/>
              </w:rPr>
            </w:pPr>
            <w:r>
              <w:rPr>
                <w:rFonts w:hint="eastAsia" w:ascii="仿宋" w:hAnsi="仿宋" w:eastAsia="仿宋" w:cs="仿宋"/>
                <w:b/>
                <w:sz w:val="18"/>
                <w:szCs w:val="18"/>
              </w:rPr>
              <w:t>……</w:t>
            </w:r>
          </w:p>
        </w:tc>
        <w:tc>
          <w:tcPr>
            <w:tcW w:w="3969" w:type="dxa"/>
            <w:gridSpan w:val="2"/>
            <w:noWrap w:val="0"/>
            <w:vAlign w:val="top"/>
          </w:tcPr>
          <w:p>
            <w:pPr>
              <w:pStyle w:val="106"/>
              <w:snapToGrid w:val="0"/>
              <w:spacing w:line="230" w:lineRule="exact"/>
              <w:textAlignment w:val="center"/>
              <w:rPr>
                <w:rFonts w:hint="eastAsia" w:ascii="仿宋" w:hAnsi="仿宋" w:eastAsia="仿宋" w:cs="仿宋"/>
                <w:sz w:val="18"/>
                <w:szCs w:val="18"/>
              </w:rPr>
            </w:pPr>
          </w:p>
        </w:tc>
        <w:tc>
          <w:tcPr>
            <w:tcW w:w="708" w:type="dxa"/>
            <w:noWrap w:val="0"/>
            <w:vAlign w:val="center"/>
          </w:tcPr>
          <w:p>
            <w:pPr>
              <w:pStyle w:val="106"/>
              <w:snapToGrid w:val="0"/>
              <w:spacing w:line="230" w:lineRule="exact"/>
              <w:jc w:val="center"/>
              <w:textAlignment w:val="center"/>
              <w:rPr>
                <w:rFonts w:hint="eastAsia" w:ascii="仿宋" w:hAnsi="仿宋" w:eastAsia="仿宋" w:cs="仿宋"/>
                <w:sz w:val="18"/>
                <w:szCs w:val="18"/>
              </w:rPr>
            </w:pPr>
          </w:p>
        </w:tc>
        <w:tc>
          <w:tcPr>
            <w:tcW w:w="567" w:type="dxa"/>
            <w:noWrap w:val="0"/>
            <w:vAlign w:val="center"/>
          </w:tcPr>
          <w:p>
            <w:pPr>
              <w:pStyle w:val="106"/>
              <w:snapToGrid w:val="0"/>
              <w:spacing w:line="230" w:lineRule="exact"/>
              <w:jc w:val="center"/>
              <w:textAlignment w:val="center"/>
              <w:rPr>
                <w:rFonts w:hint="eastAsia" w:ascii="仿宋" w:hAnsi="仿宋" w:eastAsia="仿宋" w:cs="仿宋"/>
                <w:sz w:val="18"/>
                <w:szCs w:val="18"/>
              </w:rPr>
            </w:pPr>
          </w:p>
        </w:tc>
        <w:tc>
          <w:tcPr>
            <w:tcW w:w="567" w:type="dxa"/>
            <w:noWrap w:val="0"/>
            <w:vAlign w:val="center"/>
          </w:tcPr>
          <w:p>
            <w:pPr>
              <w:snapToGrid w:val="0"/>
              <w:spacing w:line="230" w:lineRule="exact"/>
              <w:jc w:val="center"/>
              <w:textAlignment w:val="center"/>
              <w:rPr>
                <w:rFonts w:hint="eastAsia" w:ascii="仿宋" w:hAnsi="仿宋" w:eastAsia="仿宋" w:cs="仿宋"/>
                <w:color w:val="000000"/>
                <w:kern w:val="0"/>
                <w:sz w:val="18"/>
                <w:szCs w:val="18"/>
              </w:rPr>
            </w:pPr>
          </w:p>
        </w:tc>
        <w:tc>
          <w:tcPr>
            <w:tcW w:w="576" w:type="dxa"/>
            <w:noWrap w:val="0"/>
            <w:vAlign w:val="center"/>
          </w:tcPr>
          <w:p>
            <w:pPr>
              <w:snapToGrid w:val="0"/>
              <w:spacing w:line="230" w:lineRule="exact"/>
              <w:jc w:val="center"/>
              <w:textAlignment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574"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2</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noWrap w:val="0"/>
            <w:vAlign w:val="center"/>
          </w:tcPr>
          <w:p>
            <w:pPr>
              <w:pStyle w:val="106"/>
              <w:snapToGrid w:val="0"/>
              <w:jc w:val="center"/>
              <w:rPr>
                <w:rFonts w:hint="eastAsia" w:ascii="仿宋" w:hAnsi="仿宋" w:eastAsia="仿宋" w:cs="仿宋"/>
                <w:b/>
                <w:sz w:val="18"/>
                <w:szCs w:val="18"/>
              </w:rPr>
            </w:pPr>
            <w:r>
              <w:rPr>
                <w:rFonts w:hint="eastAsia" w:ascii="仿宋" w:hAnsi="仿宋" w:eastAsia="仿宋" w:cs="仿宋"/>
                <w:sz w:val="18"/>
                <w:szCs w:val="18"/>
              </w:rPr>
              <w:t>类似项目经验（近</w:t>
            </w:r>
            <w:r>
              <w:rPr>
                <w:rFonts w:hint="eastAsia" w:ascii="仿宋" w:hAnsi="仿宋" w:eastAsia="仿宋" w:cs="仿宋"/>
                <w:sz w:val="18"/>
                <w:szCs w:val="18"/>
                <w:u w:val="single"/>
              </w:rPr>
              <w:t xml:space="preserve">   </w:t>
            </w:r>
            <w:r>
              <w:rPr>
                <w:rFonts w:hint="eastAsia" w:ascii="仿宋" w:hAnsi="仿宋" w:eastAsia="仿宋" w:cs="仿宋"/>
                <w:sz w:val="18"/>
                <w:szCs w:val="18"/>
              </w:rPr>
              <w:t>年）（0～40分）</w:t>
            </w:r>
          </w:p>
        </w:tc>
        <w:tc>
          <w:tcPr>
            <w:tcW w:w="4677" w:type="dxa"/>
            <w:gridSpan w:val="3"/>
            <w:noWrap w:val="0"/>
            <w:vAlign w:val="center"/>
          </w:tcPr>
          <w:p>
            <w:pPr>
              <w:pStyle w:val="106"/>
              <w:snapToGrid w:val="0"/>
              <w:ind w:firstLine="180" w:firstLineChars="100"/>
              <w:rPr>
                <w:rFonts w:hint="eastAsia" w:ascii="仿宋" w:hAnsi="仿宋" w:eastAsia="仿宋" w:cs="仿宋"/>
                <w:sz w:val="18"/>
                <w:szCs w:val="18"/>
              </w:rPr>
            </w:pPr>
            <w:r>
              <w:rPr>
                <w:rFonts w:hint="eastAsia" w:ascii="仿宋" w:hAnsi="仿宋" w:eastAsia="仿宋" w:cs="仿宋"/>
                <w:sz w:val="18"/>
                <w:szCs w:val="18"/>
              </w:rPr>
              <w:t>满足招标文件的计</w:t>
            </w:r>
            <w:r>
              <w:rPr>
                <w:rFonts w:hint="eastAsia" w:ascii="仿宋" w:hAnsi="仿宋" w:eastAsia="仿宋" w:cs="仿宋"/>
                <w:sz w:val="18"/>
                <w:szCs w:val="18"/>
                <w:u w:val="single"/>
              </w:rPr>
              <w:t xml:space="preserve">  </w:t>
            </w:r>
            <w:r>
              <w:rPr>
                <w:rFonts w:hint="eastAsia" w:ascii="仿宋" w:hAnsi="仿宋" w:eastAsia="仿宋" w:cs="仿宋"/>
                <w:sz w:val="18"/>
                <w:szCs w:val="18"/>
              </w:rPr>
              <w:t>分，每增加一个类似业绩加</w:t>
            </w:r>
            <w:r>
              <w:rPr>
                <w:rFonts w:hint="eastAsia" w:ascii="仿宋" w:hAnsi="仿宋" w:eastAsia="仿宋" w:cs="仿宋"/>
                <w:sz w:val="18"/>
                <w:szCs w:val="18"/>
                <w:u w:val="single"/>
              </w:rPr>
              <w:t xml:space="preserve">  </w:t>
            </w:r>
            <w:r>
              <w:rPr>
                <w:rFonts w:hint="eastAsia" w:ascii="仿宋" w:hAnsi="仿宋" w:eastAsia="仿宋" w:cs="仿宋"/>
                <w:sz w:val="18"/>
                <w:szCs w:val="18"/>
              </w:rPr>
              <w:t>分，最多增加二个类似业绩</w:t>
            </w: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3</w:t>
            </w:r>
          </w:p>
        </w:tc>
        <w:tc>
          <w:tcPr>
            <w:tcW w:w="784" w:type="dxa"/>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2.2.4（2）</w:t>
            </w:r>
          </w:p>
        </w:tc>
        <w:tc>
          <w:tcPr>
            <w:tcW w:w="1348" w:type="dxa"/>
            <w:gridSpan w:val="2"/>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财务状况</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（10～20分）</w:t>
            </w:r>
          </w:p>
        </w:tc>
        <w:tc>
          <w:tcPr>
            <w:tcW w:w="1134"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流动比率（4～7分）</w:t>
            </w:r>
          </w:p>
        </w:tc>
        <w:tc>
          <w:tcPr>
            <w:tcW w:w="2835"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流动比率2倍（含）以上</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76" w:type="dxa"/>
            <w:vMerge w:val="restart"/>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vMerge w:val="continue"/>
            <w:noWrap w:val="0"/>
            <w:vAlign w:val="center"/>
          </w:tcPr>
          <w:p>
            <w:pPr>
              <w:pStyle w:val="106"/>
              <w:snapToGrid w:val="0"/>
              <w:jc w:val="center"/>
              <w:rPr>
                <w:rFonts w:hint="eastAsia" w:ascii="仿宋" w:hAnsi="仿宋" w:eastAsia="仿宋" w:cs="仿宋"/>
                <w:sz w:val="18"/>
                <w:szCs w:val="18"/>
              </w:rPr>
            </w:pPr>
          </w:p>
        </w:tc>
        <w:tc>
          <w:tcPr>
            <w:tcW w:w="2835"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流动比率2倍以下</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企业利润（2～6分）</w:t>
            </w:r>
          </w:p>
        </w:tc>
        <w:tc>
          <w:tcPr>
            <w:tcW w:w="2835"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净利润＞0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企业资产负债率</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（4～7分）</w:t>
            </w:r>
          </w:p>
        </w:tc>
        <w:tc>
          <w:tcPr>
            <w:tcW w:w="2835"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资产负债率＜70％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76" w:type="dxa"/>
            <w:vMerge w:val="restart"/>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vMerge w:val="continue"/>
            <w:noWrap w:val="0"/>
            <w:vAlign w:val="center"/>
          </w:tcPr>
          <w:p>
            <w:pPr>
              <w:pStyle w:val="106"/>
              <w:snapToGrid w:val="0"/>
              <w:jc w:val="center"/>
              <w:rPr>
                <w:rFonts w:hint="eastAsia" w:ascii="仿宋" w:hAnsi="仿宋" w:eastAsia="仿宋" w:cs="仿宋"/>
                <w:sz w:val="18"/>
                <w:szCs w:val="18"/>
              </w:rPr>
            </w:pPr>
          </w:p>
        </w:tc>
        <w:tc>
          <w:tcPr>
            <w:tcW w:w="2835"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sz w:val="18"/>
                <w:szCs w:val="18"/>
              </w:rPr>
              <w:t>90％＞资产负债率≥70％</w:t>
            </w:r>
          </w:p>
        </w:tc>
        <w:tc>
          <w:tcPr>
            <w:tcW w:w="708" w:type="dxa"/>
            <w:noWrap w:val="0"/>
            <w:vAlign w:val="center"/>
          </w:tcPr>
          <w:p>
            <w:pPr>
              <w:snapToGrid w:val="0"/>
              <w:jc w:val="center"/>
              <w:rPr>
                <w:rFonts w:hint="eastAsia" w:ascii="仿宋" w:hAnsi="仿宋" w:eastAsia="仿宋" w:cs="仿宋"/>
                <w:color w:val="000000"/>
                <w:kern w:val="0"/>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4</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工程获奖</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（近</w:t>
            </w:r>
            <w:r>
              <w:rPr>
                <w:rFonts w:hint="eastAsia" w:ascii="仿宋" w:hAnsi="仿宋" w:eastAsia="仿宋" w:cs="仿宋"/>
                <w:sz w:val="18"/>
                <w:szCs w:val="18"/>
                <w:u w:val="single"/>
              </w:rPr>
              <w:t xml:space="preserve">    </w:t>
            </w:r>
            <w:r>
              <w:rPr>
                <w:rFonts w:hint="eastAsia" w:ascii="仿宋" w:hAnsi="仿宋" w:eastAsia="仿宋" w:cs="仿宋"/>
                <w:sz w:val="18"/>
                <w:szCs w:val="18"/>
              </w:rPr>
              <w:t>年）</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（0～20分）</w:t>
            </w:r>
          </w:p>
        </w:tc>
        <w:tc>
          <w:tcPr>
            <w:tcW w:w="1134" w:type="dxa"/>
            <w:noWrap w:val="0"/>
            <w:vAlign w:val="center"/>
          </w:tcPr>
          <w:p>
            <w:pPr>
              <w:pStyle w:val="106"/>
              <w:snapToGrid w:val="0"/>
              <w:jc w:val="center"/>
              <w:rPr>
                <w:rFonts w:ascii="仿宋" w:hAnsi="仿宋" w:eastAsia="仿宋" w:cs="仿宋"/>
                <w:sz w:val="18"/>
                <w:szCs w:val="18"/>
              </w:rPr>
            </w:pPr>
            <w:r>
              <w:rPr>
                <w:rFonts w:hint="eastAsia" w:ascii="仿宋" w:hAnsi="仿宋" w:eastAsia="仿宋" w:cs="仿宋"/>
                <w:sz w:val="18"/>
                <w:szCs w:val="18"/>
              </w:rPr>
              <w:t>0～20</w:t>
            </w:r>
          </w:p>
        </w:tc>
        <w:tc>
          <w:tcPr>
            <w:tcW w:w="2835" w:type="dxa"/>
            <w:noWrap w:val="0"/>
            <w:vAlign w:val="center"/>
          </w:tcPr>
          <w:p>
            <w:pPr>
              <w:pStyle w:val="106"/>
              <w:snapToGrid w:val="0"/>
              <w:rPr>
                <w:rFonts w:hint="eastAsia" w:ascii="仿宋" w:hAnsi="仿宋" w:eastAsia="仿宋" w:cs="仿宋"/>
                <w:sz w:val="18"/>
                <w:szCs w:val="18"/>
                <w:u w:val="single"/>
              </w:rPr>
            </w:pPr>
            <w:r>
              <w:rPr>
                <w:rFonts w:hint="eastAsia" w:ascii="仿宋" w:hAnsi="仿宋" w:eastAsia="仿宋" w:cs="仿宋"/>
                <w:sz w:val="18"/>
                <w:szCs w:val="18"/>
              </w:rPr>
              <w:t>国家优质工程奖、农业农村部质量奖（均指农田建设项目工程获奖），每项计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0～15</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省政府或省级农业农村主管部门颁发的优质农田建设项目工程奖项每项计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0～12</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市政府或市级农业农村主管部门颁发的优质农田建设项目工程奖项每项计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5</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年度考核</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（近</w:t>
            </w:r>
            <w:r>
              <w:rPr>
                <w:rFonts w:hint="eastAsia" w:ascii="仿宋" w:hAnsi="仿宋" w:eastAsia="仿宋" w:cs="仿宋"/>
                <w:sz w:val="18"/>
                <w:szCs w:val="18"/>
                <w:u w:val="single"/>
              </w:rPr>
              <w:t xml:space="preserve">    </w:t>
            </w:r>
            <w:r>
              <w:rPr>
                <w:rFonts w:hint="eastAsia" w:ascii="仿宋" w:hAnsi="仿宋" w:eastAsia="仿宋" w:cs="仿宋"/>
                <w:sz w:val="18"/>
                <w:szCs w:val="18"/>
              </w:rPr>
              <w:t>年）</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（18～35分）</w:t>
            </w: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21～35</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省级农业农村主管部门考核第一名100%；第二名95%；第三名85%；其他60%。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ascii="仿宋" w:hAnsi="仿宋" w:eastAsia="仿宋" w:cs="仿宋"/>
                <w:sz w:val="18"/>
                <w:szCs w:val="18"/>
              </w:rPr>
            </w:pPr>
            <w:r>
              <w:rPr>
                <w:rFonts w:hint="eastAsia" w:ascii="仿宋" w:hAnsi="仿宋" w:eastAsia="仿宋" w:cs="仿宋"/>
                <w:sz w:val="18"/>
                <w:szCs w:val="18"/>
              </w:rPr>
              <w:t>18～30</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县/区级农业农村主管部门考核第一名100%；第二名95%；第三名85%；其他60%。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6</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技术创新</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（近</w:t>
            </w:r>
            <w:r>
              <w:rPr>
                <w:rFonts w:hint="eastAsia" w:ascii="仿宋" w:hAnsi="仿宋" w:eastAsia="仿宋" w:cs="仿宋"/>
                <w:sz w:val="18"/>
                <w:szCs w:val="18"/>
                <w:u w:val="single"/>
              </w:rPr>
              <w:t xml:space="preserve">    </w:t>
            </w:r>
            <w:r>
              <w:rPr>
                <w:rFonts w:hint="eastAsia" w:ascii="仿宋" w:hAnsi="仿宋" w:eastAsia="仿宋" w:cs="仿宋"/>
                <w:sz w:val="18"/>
                <w:szCs w:val="18"/>
              </w:rPr>
              <w:t>年）</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（0～15分）</w:t>
            </w: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0～8</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国家科技进步奖或国家技术发明奖（均指农田建设项目工程获奖）每项计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0～4</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省科技进步奖或省技术发明奖（均指农田建设项目工程获奖）每项计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0～3</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省级行业协会（学会）颁发的科技进步奖（均指农田建设项目工程获奖）每项计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noWrap w:val="0"/>
            <w:vAlign w:val="center"/>
          </w:tcPr>
          <w:p>
            <w:pPr>
              <w:snapToGrid w:val="0"/>
              <w:jc w:val="center"/>
              <w:rPr>
                <w:rFonts w:hint="eastAsia" w:ascii="仿宋" w:hAnsi="仿宋" w:eastAsia="仿宋" w:cs="仿宋"/>
                <w:color w:val="000000"/>
                <w:kern w:val="0"/>
              </w:rPr>
            </w:pPr>
          </w:p>
        </w:tc>
        <w:tc>
          <w:tcPr>
            <w:tcW w:w="6809" w:type="dxa"/>
            <w:gridSpan w:val="6"/>
            <w:noWrap w:val="0"/>
            <w:vAlign w:val="center"/>
          </w:tcPr>
          <w:p>
            <w:pPr>
              <w:snapToGrid w:val="0"/>
              <w:jc w:val="center"/>
              <w:rPr>
                <w:rFonts w:hint="eastAsia" w:ascii="仿宋" w:hAnsi="仿宋" w:eastAsia="仿宋" w:cs="仿宋"/>
                <w:b/>
                <w:bCs/>
                <w:color w:val="000000"/>
                <w:kern w:val="0"/>
              </w:rPr>
            </w:pPr>
            <w:r>
              <w:rPr>
                <w:rFonts w:hint="eastAsia" w:ascii="仿宋" w:hAnsi="仿宋" w:eastAsia="仿宋" w:cs="仿宋"/>
                <w:b/>
                <w:bCs/>
                <w:color w:val="000000"/>
                <w:kern w:val="0"/>
              </w:rPr>
              <w:t>合计</w:t>
            </w:r>
          </w:p>
        </w:tc>
        <w:tc>
          <w:tcPr>
            <w:tcW w:w="567" w:type="dxa"/>
            <w:noWrap w:val="0"/>
            <w:vAlign w:val="center"/>
          </w:tcPr>
          <w:p>
            <w:pPr>
              <w:snapToGrid w:val="0"/>
              <w:jc w:val="center"/>
              <w:rPr>
                <w:rFonts w:hint="eastAsia" w:ascii="仿宋" w:hAnsi="仿宋" w:eastAsia="仿宋" w:cs="仿宋"/>
                <w:color w:val="000000"/>
                <w:kern w:val="0"/>
              </w:rPr>
            </w:pPr>
          </w:p>
        </w:tc>
        <w:tc>
          <w:tcPr>
            <w:tcW w:w="567" w:type="dxa"/>
            <w:noWrap w:val="0"/>
            <w:vAlign w:val="center"/>
          </w:tcPr>
          <w:p>
            <w:pPr>
              <w:snapToGrid w:val="0"/>
              <w:jc w:val="center"/>
              <w:rPr>
                <w:rFonts w:hint="eastAsia" w:ascii="仿宋" w:hAnsi="仿宋" w:eastAsia="仿宋" w:cs="仿宋"/>
                <w:color w:val="000000"/>
                <w:kern w:val="0"/>
              </w:rPr>
            </w:pPr>
          </w:p>
        </w:tc>
        <w:tc>
          <w:tcPr>
            <w:tcW w:w="576" w:type="dxa"/>
            <w:noWrap w:val="0"/>
            <w:vAlign w:val="center"/>
          </w:tcPr>
          <w:p>
            <w:pPr>
              <w:snapToGrid w:val="0"/>
              <w:jc w:val="center"/>
              <w:rPr>
                <w:rFonts w:hint="eastAsia" w:ascii="仿宋" w:hAnsi="仿宋" w:eastAsia="仿宋" w:cs="仿宋"/>
                <w:color w:val="000000"/>
                <w:kern w:val="0"/>
              </w:rPr>
            </w:pPr>
          </w:p>
        </w:tc>
      </w:tr>
    </w:tbl>
    <w:p>
      <w:pPr>
        <w:jc w:val="left"/>
        <w:rPr>
          <w:rFonts w:hint="eastAsia" w:ascii="仿宋" w:hAnsi="仿宋" w:eastAsia="仿宋" w:cs="仿宋"/>
          <w:color w:val="000000"/>
          <w:kern w:val="0"/>
          <w:sz w:val="18"/>
          <w:szCs w:val="18"/>
        </w:rPr>
      </w:pPr>
      <w:r>
        <w:rPr>
          <w:rFonts w:hint="eastAsia" w:ascii="仿宋" w:hAnsi="仿宋" w:eastAsia="仿宋" w:cs="仿宋"/>
          <w:b/>
          <w:color w:val="000000"/>
          <w:kern w:val="0"/>
          <w:sz w:val="18"/>
          <w:szCs w:val="18"/>
        </w:rPr>
        <w:t>备注：</w:t>
      </w:r>
      <w:r>
        <w:rPr>
          <w:rFonts w:hint="eastAsia" w:ascii="仿宋" w:hAnsi="仿宋" w:eastAsia="仿宋" w:cs="仿宋"/>
          <w:color w:val="000000"/>
          <w:kern w:val="0"/>
          <w:sz w:val="18"/>
          <w:szCs w:val="18"/>
        </w:rPr>
        <w:t>1.本表适用于联合体投标人评审。</w:t>
      </w:r>
    </w:p>
    <w:p>
      <w:pPr>
        <w:ind w:firstLine="540" w:firstLineChars="300"/>
        <w:jc w:val="left"/>
        <w:rPr>
          <w:rFonts w:hint="eastAsia" w:ascii="仿宋" w:hAnsi="仿宋" w:eastAsia="仿宋" w:cs="仿宋"/>
          <w:color w:val="000000"/>
          <w:sz w:val="18"/>
          <w:szCs w:val="18"/>
        </w:rPr>
      </w:pPr>
      <w:r>
        <w:rPr>
          <w:rFonts w:hint="eastAsia" w:ascii="仿宋" w:hAnsi="仿宋" w:eastAsia="仿宋" w:cs="仿宋"/>
          <w:color w:val="000000"/>
          <w:kern w:val="0"/>
          <w:sz w:val="18"/>
          <w:szCs w:val="18"/>
        </w:rPr>
        <w:t>2.本表小计总分为100分。</w:t>
      </w:r>
      <w:r>
        <w:rPr>
          <w:rFonts w:hint="eastAsia" w:ascii="仿宋" w:hAnsi="仿宋" w:eastAsia="仿宋" w:cs="仿宋"/>
          <w:color w:val="000000"/>
          <w:sz w:val="18"/>
          <w:szCs w:val="18"/>
        </w:rPr>
        <w:t>由评标委员会集体评议，统一计分。评标委员会成员中对结论有不同意见时，按少数服从多数的原则，确定得分。</w:t>
      </w:r>
    </w:p>
    <w:p>
      <w:pPr>
        <w:pStyle w:val="164"/>
        <w:widowControl w:val="0"/>
        <w:snapToGrid w:val="0"/>
        <w:spacing w:before="0" w:beforeAutospacing="0" w:after="0" w:afterAutospacing="0"/>
        <w:ind w:firstLine="542" w:firstLineChars="300"/>
        <w:rPr>
          <w:rFonts w:hint="eastAsia" w:ascii="仿宋" w:hAnsi="仿宋" w:eastAsia="仿宋" w:cs="仿宋"/>
          <w:b/>
          <w:bCs/>
          <w:color w:val="000000"/>
          <w:sz w:val="18"/>
          <w:szCs w:val="18"/>
        </w:rPr>
      </w:pPr>
      <w:r>
        <w:rPr>
          <w:rFonts w:hint="eastAsia" w:ascii="仿宋" w:hAnsi="仿宋" w:eastAsia="仿宋" w:cs="仿宋"/>
          <w:b/>
          <w:bCs/>
          <w:color w:val="000000"/>
          <w:sz w:val="18"/>
          <w:szCs w:val="18"/>
        </w:rPr>
        <w:t>3.（1）以建筑工程施工总承包或市政公用工程施工总承包资质投标时，施工单位信用评价情况采用提交投标文件截止之时最新公告的信用评价结果。评标时以在“湖南省智慧住建云”中查询的结果为准；</w:t>
      </w:r>
    </w:p>
    <w:p>
      <w:pPr>
        <w:pStyle w:val="164"/>
        <w:widowControl w:val="0"/>
        <w:snapToGrid w:val="0"/>
        <w:spacing w:before="0" w:beforeAutospacing="0" w:after="0" w:afterAutospacing="0"/>
        <w:ind w:left="88" w:firstLine="452" w:firstLineChars="250"/>
        <w:rPr>
          <w:rFonts w:hint="eastAsia" w:ascii="仿宋" w:hAnsi="仿宋" w:eastAsia="仿宋" w:cs="仿宋"/>
          <w:b/>
          <w:bCs/>
          <w:color w:val="000000"/>
          <w:sz w:val="18"/>
          <w:szCs w:val="18"/>
        </w:rPr>
      </w:pPr>
      <w:r>
        <w:rPr>
          <w:rFonts w:hint="eastAsia" w:ascii="仿宋" w:hAnsi="仿宋" w:eastAsia="仿宋" w:cs="仿宋"/>
          <w:b/>
          <w:bCs/>
          <w:color w:val="000000"/>
          <w:sz w:val="18"/>
          <w:szCs w:val="18"/>
        </w:rPr>
        <w:t>（2）以建筑工程施工总承包或市政公用工程施工总承包资质投标时，以联合体投标的，其中施工单位有两家（含两家）以上的，由招标人在招标文件中确定联合体信用评价的计分方式。</w:t>
      </w:r>
    </w:p>
    <w:p>
      <w:pPr>
        <w:pStyle w:val="164"/>
        <w:widowControl w:val="0"/>
        <w:snapToGrid w:val="0"/>
        <w:spacing w:before="0" w:beforeAutospacing="0" w:after="0" w:afterAutospacing="0"/>
        <w:ind w:left="88" w:firstLine="452" w:firstLineChars="250"/>
        <w:rPr>
          <w:rFonts w:hint="eastAsia" w:ascii="仿宋" w:hAnsi="仿宋" w:eastAsia="仿宋" w:cs="仿宋"/>
          <w:b/>
          <w:bCs/>
          <w:color w:val="000000"/>
          <w:sz w:val="18"/>
          <w:szCs w:val="18"/>
        </w:rPr>
      </w:pPr>
      <w:r>
        <w:rPr>
          <w:rFonts w:hint="eastAsia" w:ascii="仿宋" w:hAnsi="仿宋" w:eastAsia="仿宋" w:cs="仿宋"/>
          <w:b/>
          <w:bCs/>
          <w:color w:val="000000"/>
          <w:sz w:val="18"/>
          <w:szCs w:val="18"/>
        </w:rPr>
        <w:t>（3）以建筑工程施工总承包或市政公用工程施工总承包资质投标时，未参加信用评价的投标人（含联合体各成员方），按照信用评价处于末位的合格投标人的分值计取，其中被列入省公管办或省住建厅发布的失信黑名单的投标人，按照信用评价处于末位的合格投标人的分值扣除60分计取。</w:t>
      </w:r>
    </w:p>
    <w:p>
      <w:pPr>
        <w:pStyle w:val="164"/>
        <w:widowControl w:val="0"/>
        <w:snapToGrid w:val="0"/>
        <w:spacing w:before="0" w:beforeAutospacing="0" w:after="0" w:afterAutospacing="0"/>
        <w:ind w:left="88" w:firstLine="452" w:firstLineChars="250"/>
        <w:rPr>
          <w:rFonts w:hint="eastAsia" w:ascii="仿宋" w:hAnsi="仿宋" w:eastAsia="仿宋" w:cs="仿宋"/>
          <w:b/>
          <w:bCs/>
          <w:color w:val="000000"/>
          <w:sz w:val="18"/>
          <w:szCs w:val="18"/>
        </w:rPr>
      </w:pPr>
      <w:r>
        <w:rPr>
          <w:rFonts w:hint="eastAsia" w:ascii="仿宋" w:hAnsi="仿宋" w:eastAsia="仿宋" w:cs="仿宋"/>
          <w:b/>
          <w:bCs/>
          <w:color w:val="000000"/>
          <w:sz w:val="18"/>
          <w:szCs w:val="18"/>
        </w:rPr>
        <w:t>（4）以水利水电施工总承包资质投标时，投标人信用等级得分以全国和湖南省水利建设市场主体信用评级机构评定的信用等级对应得分中较低的一个分数为准，如某投标人的信用等级（全国水利建设市场主体）为AAA级，信用等级（湖南省水利建设市场主体）为A-级，则其信用等级得分以信用等级（湖南省水利建设市场主体）A-级得分为准。</w:t>
      </w:r>
    </w:p>
    <w:p>
      <w:pPr>
        <w:pStyle w:val="164"/>
        <w:widowControl w:val="0"/>
        <w:snapToGrid w:val="0"/>
        <w:spacing w:before="0" w:beforeAutospacing="0" w:after="0" w:afterAutospacing="0"/>
        <w:ind w:left="88" w:firstLine="452" w:firstLineChars="250"/>
        <w:rPr>
          <w:rFonts w:hint="eastAsia" w:ascii="仿宋" w:hAnsi="仿宋" w:eastAsia="仿宋" w:cs="仿宋"/>
          <w:b/>
          <w:bCs/>
          <w:color w:val="000000"/>
          <w:sz w:val="18"/>
          <w:szCs w:val="18"/>
        </w:rPr>
      </w:pPr>
      <w:r>
        <w:rPr>
          <w:rFonts w:hint="eastAsia" w:ascii="仿宋" w:hAnsi="仿宋" w:eastAsia="仿宋" w:cs="仿宋"/>
          <w:b/>
          <w:bCs/>
          <w:color w:val="000000"/>
          <w:sz w:val="18"/>
          <w:szCs w:val="18"/>
        </w:rPr>
        <w:t>首次进入湖南省水利建设市场、未申请信用评价以及连续两年无在建项目的市场主体单位，其湖南省信用等级默认为B级；未取得全国水利建设市场主体信用评价证书的，在湖南省水利建设市场其全国信用等级视为B级。</w:t>
      </w:r>
    </w:p>
    <w:p>
      <w:pPr>
        <w:pStyle w:val="164"/>
        <w:widowControl w:val="0"/>
        <w:snapToGrid w:val="0"/>
        <w:spacing w:before="0" w:beforeAutospacing="0" w:after="0" w:afterAutospacing="0"/>
        <w:ind w:left="88" w:firstLine="630" w:firstLineChars="350"/>
        <w:rPr>
          <w:rFonts w:hint="eastAsia" w:ascii="仿宋" w:hAnsi="仿宋" w:eastAsia="仿宋" w:cs="仿宋"/>
          <w:b/>
          <w:color w:val="000000"/>
          <w:sz w:val="18"/>
          <w:szCs w:val="18"/>
        </w:rPr>
      </w:pPr>
      <w:r>
        <w:rPr>
          <w:rFonts w:hint="eastAsia" w:ascii="仿宋" w:hAnsi="仿宋" w:eastAsia="仿宋" w:cs="仿宋"/>
          <w:color w:val="000000"/>
          <w:sz w:val="18"/>
          <w:szCs w:val="18"/>
        </w:rPr>
        <w:t>4.</w:t>
      </w:r>
      <w:r>
        <w:rPr>
          <w:rFonts w:hint="eastAsia" w:ascii="仿宋" w:hAnsi="仿宋" w:eastAsia="仿宋" w:cs="仿宋"/>
          <w:b/>
          <w:color w:val="000000"/>
          <w:sz w:val="18"/>
          <w:szCs w:val="18"/>
        </w:rPr>
        <w:t>联合体投标的，按照其联合体协议书约定的各成员工作量所占比例加权折算的原则确定联合体的信用评价分值。如联合体协议书约定联合体牵头人在本合同承担工作量为70%、联合体成员一在本合同承担工作量为20%、联合体成员二在本合同承担工作量为10%，则该联合体最终信用等级得分=联合体牵头人信用等级得分×70%+联合体成员一信用等级得分×20%+联合体成员二信用等级得分×10%。</w:t>
      </w:r>
    </w:p>
    <w:p>
      <w:pPr>
        <w:ind w:firstLine="720" w:firstLineChars="400"/>
        <w:jc w:val="left"/>
        <w:rPr>
          <w:rFonts w:hint="eastAsia" w:ascii="仿宋" w:hAnsi="仿宋" w:eastAsia="仿宋" w:cs="仿宋"/>
          <w:color w:val="000000"/>
          <w:sz w:val="18"/>
          <w:szCs w:val="18"/>
        </w:rPr>
      </w:pPr>
      <w:r>
        <w:rPr>
          <w:rFonts w:hint="eastAsia" w:ascii="仿宋" w:hAnsi="仿宋" w:eastAsia="仿宋" w:cs="仿宋"/>
          <w:color w:val="000000"/>
          <w:sz w:val="18"/>
          <w:szCs w:val="18"/>
        </w:rPr>
        <w:t>5.企业类似项目经验要求见本文件第二章投标须知前附表第10.1款第2项的规定。</w:t>
      </w:r>
    </w:p>
    <w:p>
      <w:pPr>
        <w:pStyle w:val="164"/>
        <w:widowControl w:val="0"/>
        <w:snapToGrid w:val="0"/>
        <w:spacing w:before="0" w:beforeAutospacing="0" w:after="0" w:afterAutospacing="0"/>
        <w:ind w:firstLine="720" w:firstLineChars="400"/>
        <w:rPr>
          <w:rFonts w:hint="eastAsia" w:ascii="仿宋" w:hAnsi="仿宋" w:eastAsia="仿宋" w:cs="仿宋"/>
          <w:color w:val="000000"/>
          <w:sz w:val="18"/>
          <w:szCs w:val="18"/>
        </w:rPr>
      </w:pPr>
      <w:r>
        <w:rPr>
          <w:rFonts w:hint="eastAsia" w:ascii="仿宋" w:hAnsi="仿宋" w:eastAsia="仿宋" w:cs="仿宋"/>
          <w:color w:val="000000"/>
          <w:sz w:val="18"/>
          <w:szCs w:val="18"/>
        </w:rPr>
        <w:t>6.财务状况计算公式：流动比率=流动资产除以流动负债*100%；利润总额=营业利润+营业外收入-营业外支出；净利润=利润总额-所得税费用；资产负债率=负债合计除以资产合计*100%。</w:t>
      </w:r>
    </w:p>
    <w:p>
      <w:pPr>
        <w:pStyle w:val="164"/>
        <w:widowControl w:val="0"/>
        <w:snapToGrid w:val="0"/>
        <w:spacing w:before="0" w:beforeAutospacing="0" w:after="0" w:afterAutospacing="0"/>
        <w:ind w:left="88" w:leftChars="42" w:firstLine="630" w:firstLineChars="350"/>
        <w:rPr>
          <w:rFonts w:hint="eastAsia" w:ascii="仿宋" w:hAnsi="仿宋" w:eastAsia="仿宋" w:cs="仿宋"/>
          <w:color w:val="000000"/>
          <w:sz w:val="18"/>
          <w:szCs w:val="18"/>
        </w:rPr>
      </w:pPr>
      <w:r>
        <w:rPr>
          <w:rFonts w:hint="eastAsia" w:ascii="仿宋" w:hAnsi="仿宋" w:eastAsia="仿宋" w:cs="仿宋"/>
          <w:color w:val="000000"/>
          <w:sz w:val="18"/>
          <w:szCs w:val="18"/>
        </w:rPr>
        <w:t>7.工程获奖、年度考核、技术创新在评标办法中是否计分由招标人根据项目情况选择使用。招标人不得对投标人获得的上述奖项以外的其他奖项进行计分。本评分标准表中的工程获奖均指农田建设项目工程的获奖，且为单位（标段）获奖。同一标段获得多个奖项的，不重复计分（以得分最高计）。同一单位考核获得多个名次的，不重复计分（以得分最高计，首次进入或未得到考核名次的按其他计分），省级考核适用于全省范围、县区级考核仅适用于本行政范围。同一技术创新获得多个奖项的，不重复计分（以得分最高计）。</w:t>
      </w:r>
    </w:p>
    <w:p>
      <w:pPr>
        <w:pStyle w:val="164"/>
        <w:widowControl w:val="0"/>
        <w:snapToGrid w:val="0"/>
        <w:spacing w:before="0" w:beforeAutospacing="0" w:after="0" w:afterAutospacing="0"/>
        <w:ind w:left="88" w:leftChars="42" w:firstLine="630" w:firstLineChars="350"/>
        <w:rPr>
          <w:rFonts w:hint="eastAsia" w:ascii="仿宋" w:hAnsi="仿宋" w:eastAsia="仿宋" w:cs="仿宋"/>
          <w:color w:val="000000"/>
          <w:sz w:val="18"/>
          <w:szCs w:val="18"/>
        </w:rPr>
      </w:pPr>
      <w:r>
        <w:rPr>
          <w:rFonts w:hint="eastAsia" w:ascii="仿宋" w:hAnsi="仿宋" w:eastAsia="仿宋" w:cs="仿宋"/>
          <w:color w:val="000000"/>
          <w:sz w:val="18"/>
          <w:szCs w:val="18"/>
        </w:rPr>
        <w:t>8.联合体投标的，仅对联合体牵头人的工程获奖和技术创新计分。</w:t>
      </w:r>
    </w:p>
    <w:p>
      <w:pPr>
        <w:pStyle w:val="164"/>
        <w:widowControl w:val="0"/>
        <w:snapToGrid w:val="0"/>
        <w:spacing w:before="0" w:beforeAutospacing="0" w:after="0" w:afterAutospacing="0"/>
        <w:ind w:left="88" w:leftChars="42" w:firstLine="630" w:firstLineChars="350"/>
        <w:rPr>
          <w:rFonts w:hint="eastAsia" w:ascii="仿宋" w:hAnsi="仿宋" w:eastAsia="仿宋" w:cs="仿宋"/>
          <w:color w:val="000000"/>
          <w:sz w:val="18"/>
          <w:szCs w:val="18"/>
        </w:rPr>
      </w:pPr>
      <w:r>
        <w:rPr>
          <w:rFonts w:hint="eastAsia" w:ascii="仿宋" w:hAnsi="仿宋" w:eastAsia="仿宋" w:cs="仿宋"/>
          <w:color w:val="000000"/>
          <w:sz w:val="18"/>
          <w:szCs w:val="18"/>
        </w:rPr>
        <w:t>9.联合体投标的，仅对联合体牵头人的财务状况计分。</w:t>
      </w:r>
    </w:p>
    <w:p>
      <w:pPr>
        <w:pStyle w:val="164"/>
        <w:widowControl w:val="0"/>
        <w:snapToGrid w:val="0"/>
        <w:spacing w:before="0" w:beforeAutospacing="0" w:after="0" w:afterAutospacing="0"/>
        <w:ind w:firstLine="720" w:firstLineChars="400"/>
        <w:rPr>
          <w:rFonts w:ascii="仿宋" w:hAnsi="仿宋" w:eastAsia="仿宋" w:cs="仿宋"/>
          <w:color w:val="000000"/>
          <w:sz w:val="18"/>
          <w:szCs w:val="18"/>
        </w:rPr>
      </w:pPr>
      <w:r>
        <w:rPr>
          <w:rFonts w:hint="eastAsia" w:ascii="仿宋" w:hAnsi="仿宋" w:eastAsia="仿宋" w:cs="仿宋"/>
          <w:color w:val="000000"/>
          <w:sz w:val="18"/>
          <w:szCs w:val="18"/>
        </w:rPr>
        <w:t>10、联合体投标的，仅对联合体牵头人的考核名次计分。</w:t>
      </w:r>
    </w:p>
    <w:p>
      <w:pPr>
        <w:pStyle w:val="164"/>
        <w:widowControl w:val="0"/>
        <w:snapToGrid w:val="0"/>
        <w:spacing w:before="0" w:beforeAutospacing="0" w:after="0" w:afterAutospacing="0"/>
        <w:ind w:left="88" w:leftChars="42" w:firstLine="630" w:firstLineChars="350"/>
        <w:rPr>
          <w:rFonts w:hint="eastAsia" w:ascii="仿宋" w:hAnsi="仿宋" w:eastAsia="仿宋" w:cs="仿宋"/>
          <w:color w:val="000000"/>
          <w:sz w:val="18"/>
          <w:szCs w:val="18"/>
        </w:rPr>
      </w:pPr>
    </w:p>
    <w:p>
      <w:pPr>
        <w:pStyle w:val="164"/>
        <w:widowControl w:val="0"/>
        <w:snapToGrid w:val="0"/>
        <w:ind w:left="88" w:leftChars="42" w:firstLine="450" w:firstLineChars="250"/>
        <w:rPr>
          <w:rFonts w:hint="eastAsia" w:ascii="仿宋" w:hAnsi="仿宋" w:eastAsia="仿宋" w:cs="仿宋"/>
          <w:color w:val="000000"/>
          <w:sz w:val="18"/>
          <w:szCs w:val="18"/>
        </w:rPr>
      </w:pPr>
    </w:p>
    <w:p>
      <w:pPr>
        <w:spacing w:line="600" w:lineRule="exact"/>
        <w:jc w:val="left"/>
        <w:rPr>
          <w:rFonts w:hint="eastAsia" w:ascii="仿宋" w:hAnsi="仿宋" w:eastAsia="仿宋" w:cs="仿宋"/>
          <w:color w:val="000000"/>
          <w:sz w:val="28"/>
          <w:szCs w:val="21"/>
        </w:rPr>
      </w:pPr>
      <w:r>
        <w:rPr>
          <w:rFonts w:hint="eastAsia" w:ascii="仿宋" w:hAnsi="仿宋" w:eastAsia="仿宋" w:cs="仿宋"/>
          <w:color w:val="000000"/>
          <w:sz w:val="24"/>
        </w:rPr>
        <w:t>评委签字：</w:t>
      </w:r>
    </w:p>
    <w:p>
      <w:pPr>
        <w:spacing w:line="600" w:lineRule="exact"/>
        <w:jc w:val="left"/>
        <w:rPr>
          <w:rFonts w:eastAsia="黑体"/>
          <w:bCs/>
          <w:color w:val="000000"/>
          <w:sz w:val="28"/>
          <w:szCs w:val="20"/>
        </w:rPr>
      </w:pPr>
      <w:r>
        <w:rPr>
          <w:rFonts w:hint="eastAsia" w:ascii="仿宋" w:hAnsi="仿宋" w:eastAsia="仿宋" w:cs="仿宋"/>
          <w:color w:val="000000"/>
        </w:rPr>
        <w:br w:type="page"/>
      </w:r>
      <w:r>
        <w:rPr>
          <w:rFonts w:eastAsia="黑体"/>
          <w:bCs/>
          <w:color w:val="000000"/>
          <w:sz w:val="28"/>
          <w:szCs w:val="20"/>
        </w:rPr>
        <w:t>附表3-7（</w:t>
      </w:r>
      <w:r>
        <w:rPr>
          <w:rFonts w:hint="eastAsia" w:eastAsia="黑体"/>
          <w:bCs/>
          <w:color w:val="000000"/>
          <w:sz w:val="28"/>
          <w:szCs w:val="20"/>
        </w:rPr>
        <w:t>1</w:t>
      </w:r>
      <w:r>
        <w:rPr>
          <w:rFonts w:eastAsia="黑体"/>
          <w:bCs/>
          <w:color w:val="000000"/>
          <w:sz w:val="28"/>
          <w:szCs w:val="20"/>
        </w:rPr>
        <w:t>）：详细评审</w:t>
      </w:r>
      <w:r>
        <w:rPr>
          <w:rFonts w:hint="eastAsia" w:eastAsia="黑体"/>
          <w:bCs/>
          <w:color w:val="000000"/>
          <w:sz w:val="28"/>
          <w:szCs w:val="20"/>
        </w:rPr>
        <w:t>－</w:t>
      </w:r>
      <w:r>
        <w:rPr>
          <w:rFonts w:eastAsia="黑体"/>
          <w:bCs/>
          <w:color w:val="000000"/>
          <w:sz w:val="28"/>
          <w:szCs w:val="20"/>
        </w:rPr>
        <w:t>信誉等其他评分因素评分标准表（</w:t>
      </w:r>
      <w:r>
        <w:rPr>
          <w:rFonts w:hint="eastAsia" w:eastAsia="黑体"/>
          <w:bCs/>
          <w:color w:val="000000"/>
          <w:sz w:val="28"/>
          <w:szCs w:val="20"/>
        </w:rPr>
        <w:t>四</w:t>
      </w:r>
      <w:r>
        <w:rPr>
          <w:rFonts w:eastAsia="黑体"/>
          <w:bCs/>
          <w:color w:val="000000"/>
          <w:sz w:val="28"/>
          <w:szCs w:val="20"/>
        </w:rPr>
        <w:t>）</w:t>
      </w:r>
    </w:p>
    <w:p>
      <w:pPr>
        <w:pStyle w:val="32"/>
        <w:spacing w:before="120" w:beforeLines="50" w:after="120" w:afterLines="50" w:line="600" w:lineRule="exact"/>
        <w:ind w:left="0" w:firstLine="0" w:firstLineChars="0"/>
        <w:jc w:val="center"/>
        <w:rPr>
          <w:rFonts w:hint="eastAsia" w:ascii="方正小标宋简体" w:eastAsia="方正小标宋简体"/>
          <w:bCs/>
          <w:color w:val="000000"/>
          <w:sz w:val="40"/>
          <w:szCs w:val="20"/>
        </w:rPr>
      </w:pPr>
      <w:r>
        <w:rPr>
          <w:rFonts w:hint="eastAsia" w:ascii="方正小标宋简体" w:eastAsia="方正小标宋简体"/>
          <w:bCs/>
          <w:color w:val="000000"/>
          <w:sz w:val="40"/>
          <w:szCs w:val="20"/>
        </w:rPr>
        <w:t>信誉等其他评分因素评分标准表（四）</w:t>
      </w:r>
    </w:p>
    <w:p>
      <w:pPr>
        <w:snapToGrid w:val="0"/>
        <w:spacing w:line="490" w:lineRule="exact"/>
        <w:rPr>
          <w:rFonts w:hint="eastAsia" w:ascii="仿宋" w:hAnsi="仿宋" w:eastAsia="仿宋" w:cs="仿宋"/>
          <w:color w:val="000000"/>
          <w:sz w:val="24"/>
          <w:u w:val="single"/>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（标段名称）</w:t>
      </w:r>
      <w:r>
        <w:rPr>
          <w:rFonts w:hint="eastAsia" w:ascii="仿宋" w:hAnsi="仿宋" w:eastAsia="仿宋" w:cs="仿宋"/>
          <w:color w:val="000000"/>
          <w:sz w:val="24"/>
          <w:u w:val="single"/>
        </w:rPr>
        <w:t xml:space="preserve">                      </w:t>
      </w:r>
    </w:p>
    <w:p>
      <w:pPr>
        <w:snapToGrid w:val="0"/>
        <w:spacing w:line="490" w:lineRule="exact"/>
        <w:rPr>
          <w:rFonts w:hint="eastAsia" w:ascii="仿宋" w:hAnsi="仿宋" w:eastAsia="仿宋" w:cs="仿宋"/>
          <w:color w:val="000000"/>
          <w:sz w:val="24"/>
        </w:rPr>
      </w:pPr>
      <w:r>
        <w:rPr>
          <w:rFonts w:hint="eastAsia" w:ascii="仿宋" w:hAnsi="仿宋" w:eastAsia="仿宋" w:cs="仿宋"/>
          <w:color w:val="000000"/>
          <w:sz w:val="24"/>
        </w:rPr>
        <w:t>项目管理编号：</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tbl>
      <w:tblPr>
        <w:tblStyle w:val="47"/>
        <w:tblW w:w="90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784"/>
        <w:gridCol w:w="674"/>
        <w:gridCol w:w="674"/>
        <w:gridCol w:w="1134"/>
        <w:gridCol w:w="2835"/>
        <w:gridCol w:w="708"/>
        <w:gridCol w:w="567"/>
        <w:gridCol w:w="567"/>
        <w:gridCol w:w="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序号</w:t>
            </w:r>
          </w:p>
        </w:tc>
        <w:tc>
          <w:tcPr>
            <w:tcW w:w="784" w:type="dxa"/>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条款号</w:t>
            </w:r>
          </w:p>
        </w:tc>
        <w:tc>
          <w:tcPr>
            <w:tcW w:w="1348" w:type="dxa"/>
            <w:gridSpan w:val="2"/>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评分因素</w:t>
            </w:r>
          </w:p>
        </w:tc>
        <w:tc>
          <w:tcPr>
            <w:tcW w:w="4677" w:type="dxa"/>
            <w:gridSpan w:val="3"/>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评分标准</w:t>
            </w:r>
          </w:p>
        </w:tc>
        <w:tc>
          <w:tcPr>
            <w:tcW w:w="1710" w:type="dxa"/>
            <w:gridSpan w:val="3"/>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投标人名称及评审计分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snapToGrid w:val="0"/>
              <w:jc w:val="center"/>
              <w:rPr>
                <w:rFonts w:hint="eastAsia" w:ascii="仿宋" w:hAnsi="仿宋" w:eastAsia="仿宋" w:cs="仿宋"/>
                <w:color w:val="000000"/>
                <w:sz w:val="18"/>
                <w:szCs w:val="18"/>
              </w:rPr>
            </w:pPr>
          </w:p>
        </w:tc>
        <w:tc>
          <w:tcPr>
            <w:tcW w:w="4677" w:type="dxa"/>
            <w:gridSpan w:val="3"/>
            <w:vMerge w:val="continue"/>
            <w:noWrap w:val="0"/>
            <w:vAlign w:val="center"/>
          </w:tcPr>
          <w:p>
            <w:pPr>
              <w:snapToGrid w:val="0"/>
              <w:jc w:val="center"/>
              <w:rPr>
                <w:rFonts w:hint="eastAsia" w:ascii="仿宋" w:hAnsi="仿宋" w:eastAsia="仿宋" w:cs="仿宋"/>
                <w:color w:val="000000"/>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w:t>
            </w:r>
          </w:p>
        </w:tc>
        <w:tc>
          <w:tcPr>
            <w:tcW w:w="567"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2</w:t>
            </w:r>
          </w:p>
        </w:tc>
        <w:tc>
          <w:tcPr>
            <w:tcW w:w="576"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snapToGrid w:val="0"/>
              <w:jc w:val="center"/>
              <w:rPr>
                <w:rFonts w:hint="eastAsia" w:ascii="仿宋" w:hAnsi="仿宋" w:eastAsia="仿宋" w:cs="仿宋"/>
                <w:color w:val="000000"/>
                <w:sz w:val="18"/>
                <w:szCs w:val="18"/>
              </w:rPr>
            </w:pPr>
          </w:p>
        </w:tc>
        <w:tc>
          <w:tcPr>
            <w:tcW w:w="4677" w:type="dxa"/>
            <w:gridSpan w:val="3"/>
            <w:vMerge w:val="continue"/>
            <w:noWrap w:val="0"/>
            <w:vAlign w:val="center"/>
          </w:tcPr>
          <w:p>
            <w:pPr>
              <w:snapToGrid w:val="0"/>
              <w:jc w:val="center"/>
              <w:rPr>
                <w:rFonts w:hint="eastAsia" w:ascii="仿宋" w:hAnsi="仿宋" w:eastAsia="仿宋" w:cs="仿宋"/>
                <w:color w:val="000000"/>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exac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w:t>
            </w:r>
          </w:p>
        </w:tc>
        <w:tc>
          <w:tcPr>
            <w:tcW w:w="784" w:type="dxa"/>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2.2.4（2）</w:t>
            </w:r>
          </w:p>
        </w:tc>
        <w:tc>
          <w:tcPr>
            <w:tcW w:w="674"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投标人信用等级（0～45分）</w:t>
            </w:r>
          </w:p>
        </w:tc>
        <w:tc>
          <w:tcPr>
            <w:tcW w:w="674"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联合体牵头人（30～45分）×承担工作量所占比例</w:t>
            </w:r>
          </w:p>
        </w:tc>
        <w:tc>
          <w:tcPr>
            <w:tcW w:w="3969" w:type="dxa"/>
            <w:gridSpan w:val="2"/>
            <w:noWrap w:val="0"/>
            <w:vAlign w:val="center"/>
          </w:tcPr>
          <w:p>
            <w:pPr>
              <w:tabs>
                <w:tab w:val="left" w:pos="420"/>
              </w:tabs>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信用等级（全国水利建设市场主体）为AAA级或信用等级（湖南省水利建设市场主体）A+级的（100％）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76" w:type="dxa"/>
            <w:vMerge w:val="restart"/>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snapToGrid w:val="0"/>
              <w:jc w:val="center"/>
              <w:rPr>
                <w:rFonts w:hint="eastAsia" w:ascii="仿宋" w:hAnsi="仿宋" w:eastAsia="仿宋" w:cs="仿宋"/>
                <w:color w:val="000000"/>
                <w:sz w:val="18"/>
                <w:szCs w:val="18"/>
              </w:rPr>
            </w:pPr>
          </w:p>
        </w:tc>
        <w:tc>
          <w:tcPr>
            <w:tcW w:w="3969" w:type="dxa"/>
            <w:gridSpan w:val="2"/>
            <w:noWrap w:val="0"/>
            <w:vAlign w:val="center"/>
          </w:tcPr>
          <w:p>
            <w:pPr>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信用等级（全国水利建设市场主体）为AA级或信用等级（湖南省水利建设市场主体）A级的（85％）</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snapToGrid w:val="0"/>
              <w:jc w:val="center"/>
              <w:rPr>
                <w:rFonts w:hint="eastAsia" w:ascii="仿宋" w:hAnsi="仿宋" w:eastAsia="仿宋" w:cs="仿宋"/>
                <w:color w:val="000000"/>
                <w:sz w:val="18"/>
                <w:szCs w:val="18"/>
              </w:rPr>
            </w:pPr>
          </w:p>
        </w:tc>
        <w:tc>
          <w:tcPr>
            <w:tcW w:w="3969" w:type="dxa"/>
            <w:gridSpan w:val="2"/>
            <w:noWrap w:val="0"/>
            <w:vAlign w:val="center"/>
          </w:tcPr>
          <w:p>
            <w:pPr>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信用等级（全国水利建设市场主体）为A级或信用等级（湖南省水利建设市场主体）A-级的（70％）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snapToGrid w:val="0"/>
              <w:jc w:val="center"/>
              <w:rPr>
                <w:rFonts w:hint="eastAsia" w:ascii="仿宋" w:hAnsi="仿宋" w:eastAsia="仿宋" w:cs="仿宋"/>
                <w:color w:val="000000"/>
                <w:sz w:val="18"/>
                <w:szCs w:val="18"/>
              </w:rPr>
            </w:pPr>
          </w:p>
        </w:tc>
        <w:tc>
          <w:tcPr>
            <w:tcW w:w="3969" w:type="dxa"/>
            <w:gridSpan w:val="2"/>
            <w:noWrap w:val="0"/>
            <w:vAlign w:val="center"/>
          </w:tcPr>
          <w:p>
            <w:pPr>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信用等级（全国水利建设市场主体）为B级或信用等级（湖南省水利建设市场主体）B级的（55％）</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3969" w:type="dxa"/>
            <w:gridSpan w:val="2"/>
            <w:noWrap w:val="0"/>
            <w:vAlign w:val="center"/>
          </w:tcPr>
          <w:p>
            <w:pPr>
              <w:pStyle w:val="106"/>
              <w:snapToGrid w:val="0"/>
              <w:jc w:val="both"/>
              <w:rPr>
                <w:rFonts w:hint="eastAsia" w:ascii="仿宋" w:hAnsi="仿宋" w:eastAsia="仿宋" w:cs="仿宋"/>
                <w:sz w:val="18"/>
                <w:szCs w:val="18"/>
              </w:rPr>
            </w:pPr>
            <w:r>
              <w:rPr>
                <w:rFonts w:hint="eastAsia" w:ascii="仿宋" w:hAnsi="仿宋" w:eastAsia="仿宋" w:cs="仿宋"/>
                <w:sz w:val="18"/>
                <w:szCs w:val="18"/>
              </w:rPr>
              <w:t>信用等级（全国水利建设市场主体）为C级或信用等级（湖南省水利建设市场主体）C级的（0分）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674"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联合体成员一（30～45分）×承担工作量所占比例</w:t>
            </w:r>
          </w:p>
        </w:tc>
        <w:tc>
          <w:tcPr>
            <w:tcW w:w="3969" w:type="dxa"/>
            <w:gridSpan w:val="2"/>
            <w:noWrap w:val="0"/>
            <w:vAlign w:val="center"/>
          </w:tcPr>
          <w:p>
            <w:pPr>
              <w:tabs>
                <w:tab w:val="left" w:pos="420"/>
              </w:tabs>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信用等级（全国水利建设市场主体）为AAA级或信用等级（湖南省水利建设市场主体）A+级的（100％）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76" w:type="dxa"/>
            <w:vMerge w:val="restart"/>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3969" w:type="dxa"/>
            <w:gridSpan w:val="2"/>
            <w:noWrap w:val="0"/>
            <w:vAlign w:val="center"/>
          </w:tcPr>
          <w:p>
            <w:pPr>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信用等级（全国水利建设市场主体）为AA级或信用等级（湖南省水利建设市场主体）A级的（85％）</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3969" w:type="dxa"/>
            <w:gridSpan w:val="2"/>
            <w:noWrap w:val="0"/>
            <w:vAlign w:val="center"/>
          </w:tcPr>
          <w:p>
            <w:pPr>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信用等级（全国水利建设市场主体）为A级或信用等级（湖南省水利建设市场主体）A-级的（70％）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3969" w:type="dxa"/>
            <w:gridSpan w:val="2"/>
            <w:noWrap w:val="0"/>
            <w:vAlign w:val="center"/>
          </w:tcPr>
          <w:p>
            <w:pPr>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信用等级（全国水利建设市场主体）为B级或信用等级（湖南省水利建设市场主体）B级的（55％）</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3969" w:type="dxa"/>
            <w:gridSpan w:val="2"/>
            <w:noWrap w:val="0"/>
            <w:vAlign w:val="center"/>
          </w:tcPr>
          <w:p>
            <w:pPr>
              <w:pStyle w:val="106"/>
              <w:snapToGrid w:val="0"/>
              <w:jc w:val="both"/>
              <w:rPr>
                <w:rFonts w:hint="eastAsia" w:ascii="仿宋" w:hAnsi="仿宋" w:eastAsia="仿宋" w:cs="仿宋"/>
                <w:sz w:val="18"/>
                <w:szCs w:val="18"/>
              </w:rPr>
            </w:pPr>
            <w:r>
              <w:rPr>
                <w:rFonts w:hint="eastAsia" w:ascii="仿宋" w:hAnsi="仿宋" w:eastAsia="仿宋" w:cs="仿宋"/>
                <w:sz w:val="18"/>
                <w:szCs w:val="18"/>
              </w:rPr>
              <w:t>信用等级（全国水利建设市场主体）为C级或信用等级（湖南省水利建设市场主体）C级的（0分）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674" w:type="dxa"/>
            <w:vMerge w:val="continue"/>
            <w:noWrap w:val="0"/>
            <w:vAlign w:val="center"/>
          </w:tcPr>
          <w:p>
            <w:pPr>
              <w:pStyle w:val="106"/>
              <w:snapToGrid w:val="0"/>
              <w:jc w:val="center"/>
              <w:rPr>
                <w:rFonts w:hint="eastAsia" w:ascii="仿宋" w:hAnsi="仿宋" w:eastAsia="仿宋" w:cs="仿宋"/>
                <w:sz w:val="18"/>
                <w:szCs w:val="18"/>
              </w:rPr>
            </w:pPr>
          </w:p>
        </w:tc>
        <w:tc>
          <w:tcPr>
            <w:tcW w:w="674" w:type="dxa"/>
            <w:noWrap w:val="0"/>
            <w:vAlign w:val="center"/>
          </w:tcPr>
          <w:p>
            <w:pPr>
              <w:pStyle w:val="106"/>
              <w:snapToGrid w:val="0"/>
              <w:jc w:val="center"/>
              <w:rPr>
                <w:rFonts w:hint="eastAsia" w:ascii="仿宋" w:hAnsi="仿宋" w:eastAsia="仿宋" w:cs="仿宋"/>
                <w:b/>
                <w:sz w:val="18"/>
                <w:szCs w:val="18"/>
              </w:rPr>
            </w:pPr>
            <w:r>
              <w:rPr>
                <w:rFonts w:hint="eastAsia" w:ascii="仿宋" w:hAnsi="仿宋" w:eastAsia="仿宋" w:cs="仿宋"/>
                <w:b/>
                <w:sz w:val="18"/>
                <w:szCs w:val="18"/>
              </w:rPr>
              <w:t>……</w:t>
            </w:r>
          </w:p>
        </w:tc>
        <w:tc>
          <w:tcPr>
            <w:tcW w:w="3969" w:type="dxa"/>
            <w:gridSpan w:val="2"/>
            <w:noWrap w:val="0"/>
            <w:vAlign w:val="top"/>
          </w:tcPr>
          <w:p>
            <w:pPr>
              <w:pStyle w:val="106"/>
              <w:snapToGrid w:val="0"/>
              <w:rPr>
                <w:rFonts w:hint="eastAsia" w:ascii="仿宋" w:hAnsi="仿宋" w:eastAsia="仿宋" w:cs="仿宋"/>
                <w:sz w:val="18"/>
                <w:szCs w:val="18"/>
              </w:rPr>
            </w:pP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574"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2</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noWrap w:val="0"/>
            <w:vAlign w:val="center"/>
          </w:tcPr>
          <w:p>
            <w:pPr>
              <w:pStyle w:val="106"/>
              <w:snapToGrid w:val="0"/>
              <w:jc w:val="center"/>
              <w:rPr>
                <w:rFonts w:hint="eastAsia" w:ascii="仿宋" w:hAnsi="仿宋" w:eastAsia="仿宋" w:cs="仿宋"/>
                <w:b/>
                <w:sz w:val="18"/>
                <w:szCs w:val="18"/>
              </w:rPr>
            </w:pPr>
            <w:r>
              <w:rPr>
                <w:rFonts w:hint="eastAsia" w:ascii="仿宋" w:hAnsi="仿宋" w:eastAsia="仿宋" w:cs="仿宋"/>
                <w:sz w:val="18"/>
                <w:szCs w:val="18"/>
              </w:rPr>
              <w:t>类似项目经验（近</w:t>
            </w:r>
            <w:r>
              <w:rPr>
                <w:rFonts w:hint="eastAsia" w:ascii="仿宋" w:hAnsi="仿宋" w:eastAsia="仿宋" w:cs="仿宋"/>
                <w:sz w:val="18"/>
                <w:szCs w:val="18"/>
                <w:u w:val="single"/>
              </w:rPr>
              <w:t xml:space="preserve">   </w:t>
            </w:r>
            <w:r>
              <w:rPr>
                <w:rFonts w:hint="eastAsia" w:ascii="仿宋" w:hAnsi="仿宋" w:eastAsia="仿宋" w:cs="仿宋"/>
                <w:sz w:val="18"/>
                <w:szCs w:val="18"/>
              </w:rPr>
              <w:t>年）（0～40分）</w:t>
            </w:r>
          </w:p>
        </w:tc>
        <w:tc>
          <w:tcPr>
            <w:tcW w:w="4677" w:type="dxa"/>
            <w:gridSpan w:val="3"/>
            <w:noWrap w:val="0"/>
            <w:vAlign w:val="center"/>
          </w:tcPr>
          <w:p>
            <w:pPr>
              <w:pStyle w:val="106"/>
              <w:snapToGrid w:val="0"/>
              <w:ind w:firstLine="180" w:firstLineChars="100"/>
              <w:rPr>
                <w:rFonts w:hint="eastAsia" w:ascii="仿宋" w:hAnsi="仿宋" w:eastAsia="仿宋" w:cs="仿宋"/>
                <w:sz w:val="18"/>
                <w:szCs w:val="18"/>
              </w:rPr>
            </w:pPr>
            <w:r>
              <w:rPr>
                <w:rFonts w:hint="eastAsia" w:ascii="仿宋" w:hAnsi="仿宋" w:eastAsia="仿宋" w:cs="仿宋"/>
                <w:sz w:val="18"/>
                <w:szCs w:val="18"/>
              </w:rPr>
              <w:t>满足招标文件的计</w:t>
            </w:r>
            <w:r>
              <w:rPr>
                <w:rFonts w:hint="eastAsia" w:ascii="仿宋" w:hAnsi="仿宋" w:eastAsia="仿宋" w:cs="仿宋"/>
                <w:sz w:val="18"/>
                <w:szCs w:val="18"/>
                <w:u w:val="single"/>
              </w:rPr>
              <w:t xml:space="preserve">  </w:t>
            </w:r>
            <w:r>
              <w:rPr>
                <w:rFonts w:hint="eastAsia" w:ascii="仿宋" w:hAnsi="仿宋" w:eastAsia="仿宋" w:cs="仿宋"/>
                <w:sz w:val="18"/>
                <w:szCs w:val="18"/>
              </w:rPr>
              <w:t>分，每增加一个类似业绩加</w:t>
            </w:r>
            <w:r>
              <w:rPr>
                <w:rFonts w:hint="eastAsia" w:ascii="仿宋" w:hAnsi="仿宋" w:eastAsia="仿宋" w:cs="仿宋"/>
                <w:sz w:val="18"/>
                <w:szCs w:val="18"/>
                <w:u w:val="single"/>
              </w:rPr>
              <w:t xml:space="preserve">  </w:t>
            </w:r>
            <w:r>
              <w:rPr>
                <w:rFonts w:hint="eastAsia" w:ascii="仿宋" w:hAnsi="仿宋" w:eastAsia="仿宋" w:cs="仿宋"/>
                <w:sz w:val="18"/>
                <w:szCs w:val="18"/>
              </w:rPr>
              <w:t>分，最多增加二个类似业绩</w:t>
            </w: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3</w:t>
            </w:r>
          </w:p>
        </w:tc>
        <w:tc>
          <w:tcPr>
            <w:tcW w:w="784" w:type="dxa"/>
            <w:vMerge w:val="restart"/>
            <w:noWrap w:val="0"/>
            <w:vAlign w:val="center"/>
          </w:tcPr>
          <w:p>
            <w:pPr>
              <w:snapToGrid w:val="0"/>
              <w:jc w:val="center"/>
              <w:rPr>
                <w:rFonts w:hint="eastAsia" w:ascii="仿宋" w:hAnsi="仿宋" w:eastAsia="仿宋" w:cs="仿宋"/>
                <w:color w:val="000000"/>
                <w:sz w:val="18"/>
                <w:szCs w:val="18"/>
              </w:rPr>
            </w:pPr>
            <w:r>
              <w:rPr>
                <w:rFonts w:hint="eastAsia" w:ascii="仿宋" w:hAnsi="仿宋" w:eastAsia="仿宋" w:cs="仿宋"/>
                <w:color w:val="000000"/>
                <w:sz w:val="18"/>
                <w:szCs w:val="18"/>
              </w:rPr>
              <w:t>2.2.4（2）</w:t>
            </w:r>
          </w:p>
        </w:tc>
        <w:tc>
          <w:tcPr>
            <w:tcW w:w="1348" w:type="dxa"/>
            <w:gridSpan w:val="2"/>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财务状况</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（10～20分）</w:t>
            </w:r>
          </w:p>
        </w:tc>
        <w:tc>
          <w:tcPr>
            <w:tcW w:w="1134"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流动比率（4～7分）</w:t>
            </w:r>
          </w:p>
        </w:tc>
        <w:tc>
          <w:tcPr>
            <w:tcW w:w="2835"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流动比率2倍（含）以上</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76" w:type="dxa"/>
            <w:vMerge w:val="restart"/>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vMerge w:val="continue"/>
            <w:noWrap w:val="0"/>
            <w:vAlign w:val="center"/>
          </w:tcPr>
          <w:p>
            <w:pPr>
              <w:pStyle w:val="106"/>
              <w:snapToGrid w:val="0"/>
              <w:jc w:val="center"/>
              <w:rPr>
                <w:rFonts w:hint="eastAsia" w:ascii="仿宋" w:hAnsi="仿宋" w:eastAsia="仿宋" w:cs="仿宋"/>
                <w:sz w:val="18"/>
                <w:szCs w:val="18"/>
              </w:rPr>
            </w:pPr>
          </w:p>
        </w:tc>
        <w:tc>
          <w:tcPr>
            <w:tcW w:w="2835"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流动比率2倍以下</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pStyle w:val="106"/>
              <w:snapToGrid w:val="0"/>
              <w:jc w:val="center"/>
              <w:rPr>
                <w:rFonts w:hint="eastAsia" w:ascii="仿宋" w:hAnsi="仿宋" w:eastAsia="仿宋" w:cs="仿宋"/>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企业利润（2～6分）</w:t>
            </w:r>
          </w:p>
        </w:tc>
        <w:tc>
          <w:tcPr>
            <w:tcW w:w="2835"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净利润＞0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企业资产负债率</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（4～7分）</w:t>
            </w:r>
          </w:p>
        </w:tc>
        <w:tc>
          <w:tcPr>
            <w:tcW w:w="2835"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资产负债率＜70％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67" w:type="dxa"/>
            <w:vMerge w:val="restart"/>
            <w:noWrap w:val="0"/>
            <w:vAlign w:val="center"/>
          </w:tcPr>
          <w:p>
            <w:pPr>
              <w:snapToGrid w:val="0"/>
              <w:jc w:val="center"/>
              <w:rPr>
                <w:rFonts w:hint="eastAsia" w:ascii="仿宋" w:hAnsi="仿宋" w:eastAsia="仿宋" w:cs="仿宋"/>
                <w:color w:val="000000"/>
                <w:kern w:val="0"/>
                <w:sz w:val="18"/>
                <w:szCs w:val="18"/>
              </w:rPr>
            </w:pPr>
          </w:p>
        </w:tc>
        <w:tc>
          <w:tcPr>
            <w:tcW w:w="576" w:type="dxa"/>
            <w:vMerge w:val="restart"/>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vMerge w:val="continue"/>
            <w:noWrap w:val="0"/>
            <w:vAlign w:val="center"/>
          </w:tcPr>
          <w:p>
            <w:pPr>
              <w:pStyle w:val="106"/>
              <w:snapToGrid w:val="0"/>
              <w:jc w:val="center"/>
              <w:rPr>
                <w:rFonts w:hint="eastAsia" w:ascii="仿宋" w:hAnsi="仿宋" w:eastAsia="仿宋" w:cs="仿宋"/>
                <w:sz w:val="18"/>
                <w:szCs w:val="18"/>
              </w:rPr>
            </w:pPr>
          </w:p>
        </w:tc>
        <w:tc>
          <w:tcPr>
            <w:tcW w:w="2835" w:type="dxa"/>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sz w:val="18"/>
                <w:szCs w:val="18"/>
              </w:rPr>
              <w:t>90％＞资产负债率≥70％</w:t>
            </w:r>
          </w:p>
        </w:tc>
        <w:tc>
          <w:tcPr>
            <w:tcW w:w="708" w:type="dxa"/>
            <w:noWrap w:val="0"/>
            <w:vAlign w:val="center"/>
          </w:tcPr>
          <w:p>
            <w:pPr>
              <w:snapToGrid w:val="0"/>
              <w:jc w:val="center"/>
              <w:rPr>
                <w:rFonts w:hint="eastAsia" w:ascii="仿宋" w:hAnsi="仿宋" w:eastAsia="仿宋" w:cs="仿宋"/>
                <w:color w:val="000000"/>
                <w:kern w:val="0"/>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67" w:type="dxa"/>
            <w:vMerge w:val="continue"/>
            <w:noWrap w:val="0"/>
            <w:vAlign w:val="center"/>
          </w:tcPr>
          <w:p>
            <w:pPr>
              <w:snapToGrid w:val="0"/>
              <w:jc w:val="center"/>
              <w:rPr>
                <w:rFonts w:hint="eastAsia" w:ascii="仿宋" w:hAnsi="仿宋" w:eastAsia="仿宋" w:cs="仿宋"/>
                <w:color w:val="000000"/>
                <w:kern w:val="0"/>
                <w:sz w:val="18"/>
                <w:szCs w:val="18"/>
              </w:rPr>
            </w:pPr>
          </w:p>
        </w:tc>
        <w:tc>
          <w:tcPr>
            <w:tcW w:w="576" w:type="dxa"/>
            <w:vMerge w:val="continue"/>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4</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工程获奖</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（近</w:t>
            </w:r>
            <w:r>
              <w:rPr>
                <w:rFonts w:hint="eastAsia" w:ascii="仿宋" w:hAnsi="仿宋" w:eastAsia="仿宋" w:cs="仿宋"/>
                <w:sz w:val="18"/>
                <w:szCs w:val="18"/>
                <w:u w:val="single"/>
              </w:rPr>
              <w:t xml:space="preserve">    </w:t>
            </w:r>
            <w:r>
              <w:rPr>
                <w:rFonts w:hint="eastAsia" w:ascii="仿宋" w:hAnsi="仿宋" w:eastAsia="仿宋" w:cs="仿宋"/>
                <w:sz w:val="18"/>
                <w:szCs w:val="18"/>
              </w:rPr>
              <w:t>年）</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（0～20分）</w:t>
            </w:r>
          </w:p>
        </w:tc>
        <w:tc>
          <w:tcPr>
            <w:tcW w:w="1134" w:type="dxa"/>
            <w:noWrap w:val="0"/>
            <w:vAlign w:val="center"/>
          </w:tcPr>
          <w:p>
            <w:pPr>
              <w:pStyle w:val="106"/>
              <w:snapToGrid w:val="0"/>
              <w:jc w:val="center"/>
              <w:rPr>
                <w:rFonts w:ascii="仿宋" w:hAnsi="仿宋" w:eastAsia="仿宋" w:cs="仿宋"/>
                <w:sz w:val="18"/>
                <w:szCs w:val="18"/>
              </w:rPr>
            </w:pPr>
            <w:r>
              <w:rPr>
                <w:rFonts w:hint="eastAsia" w:ascii="仿宋" w:hAnsi="仿宋" w:eastAsia="仿宋" w:cs="仿宋"/>
                <w:sz w:val="18"/>
                <w:szCs w:val="18"/>
              </w:rPr>
              <w:t>0～20</w:t>
            </w:r>
          </w:p>
        </w:tc>
        <w:tc>
          <w:tcPr>
            <w:tcW w:w="2835" w:type="dxa"/>
            <w:noWrap w:val="0"/>
            <w:vAlign w:val="center"/>
          </w:tcPr>
          <w:p>
            <w:pPr>
              <w:pStyle w:val="106"/>
              <w:snapToGrid w:val="0"/>
              <w:rPr>
                <w:rFonts w:hint="eastAsia" w:ascii="仿宋" w:hAnsi="仿宋" w:eastAsia="仿宋" w:cs="仿宋"/>
                <w:sz w:val="18"/>
                <w:szCs w:val="18"/>
                <w:u w:val="single"/>
              </w:rPr>
            </w:pPr>
            <w:r>
              <w:rPr>
                <w:rFonts w:hint="eastAsia" w:ascii="仿宋" w:hAnsi="仿宋" w:eastAsia="仿宋" w:cs="仿宋"/>
                <w:sz w:val="18"/>
                <w:szCs w:val="18"/>
              </w:rPr>
              <w:t>国家优质工程奖、农业农村部质量奖（均指农田建设项目工程获奖），每项计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ascii="仿宋" w:hAnsi="仿宋" w:eastAsia="仿宋" w:cs="仿宋"/>
                <w:sz w:val="18"/>
                <w:szCs w:val="18"/>
              </w:rPr>
            </w:pPr>
            <w:r>
              <w:rPr>
                <w:rFonts w:hint="eastAsia" w:ascii="仿宋" w:hAnsi="仿宋" w:eastAsia="仿宋" w:cs="仿宋"/>
                <w:sz w:val="18"/>
                <w:szCs w:val="18"/>
              </w:rPr>
              <w:t>0～15</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省政府或省级农业农村主管部门颁发的优质农田建设项目工程奖项每项计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0～12</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市政府或市级农业农村主管部门颁发的优质农田建设项目工程奖项每项计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5</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年度考核</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（近</w:t>
            </w:r>
            <w:r>
              <w:rPr>
                <w:rFonts w:hint="eastAsia" w:ascii="仿宋" w:hAnsi="仿宋" w:eastAsia="仿宋" w:cs="仿宋"/>
                <w:sz w:val="18"/>
                <w:szCs w:val="18"/>
                <w:u w:val="single"/>
              </w:rPr>
              <w:t xml:space="preserve">    </w:t>
            </w:r>
            <w:r>
              <w:rPr>
                <w:rFonts w:hint="eastAsia" w:ascii="仿宋" w:hAnsi="仿宋" w:eastAsia="仿宋" w:cs="仿宋"/>
                <w:sz w:val="18"/>
                <w:szCs w:val="18"/>
              </w:rPr>
              <w:t>年）</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（18～35分）</w:t>
            </w: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21～35</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省级农业农村主管部门考核第一名100%；第二名95%；第三名85%；其他60%；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ascii="仿宋" w:hAnsi="仿宋" w:eastAsia="仿宋" w:cs="仿宋"/>
                <w:sz w:val="18"/>
                <w:szCs w:val="18"/>
              </w:rPr>
            </w:pPr>
            <w:r>
              <w:rPr>
                <w:rFonts w:hint="eastAsia" w:ascii="仿宋" w:hAnsi="仿宋" w:eastAsia="仿宋" w:cs="仿宋"/>
                <w:sz w:val="18"/>
                <w:szCs w:val="18"/>
              </w:rPr>
              <w:t>18～30</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县/区级农业农村主管部门考核第一名100%；第二名95%；第三名85%；其他60%；</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restart"/>
            <w:noWrap w:val="0"/>
            <w:vAlign w:val="center"/>
          </w:tcPr>
          <w:p>
            <w:pPr>
              <w:snapToGri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6</w:t>
            </w: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restart"/>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技术创新</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（近</w:t>
            </w:r>
            <w:r>
              <w:rPr>
                <w:rFonts w:hint="eastAsia" w:ascii="仿宋" w:hAnsi="仿宋" w:eastAsia="仿宋" w:cs="仿宋"/>
                <w:sz w:val="18"/>
                <w:szCs w:val="18"/>
                <w:u w:val="single"/>
              </w:rPr>
              <w:t xml:space="preserve">    </w:t>
            </w:r>
            <w:r>
              <w:rPr>
                <w:rFonts w:hint="eastAsia" w:ascii="仿宋" w:hAnsi="仿宋" w:eastAsia="仿宋" w:cs="仿宋"/>
                <w:sz w:val="18"/>
                <w:szCs w:val="18"/>
              </w:rPr>
              <w:t>年）</w:t>
            </w:r>
          </w:p>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（0～15分）</w:t>
            </w: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0～8</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国家科技进步奖或国家技术发明奖（均指农田建设项目工程获奖）每项计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0～4</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省科技进步奖或省技术发明奖（均指农田建设项目工程获奖）每项计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vMerge w:val="continue"/>
            <w:noWrap w:val="0"/>
            <w:vAlign w:val="center"/>
          </w:tcPr>
          <w:p>
            <w:pPr>
              <w:snapToGrid w:val="0"/>
              <w:jc w:val="center"/>
              <w:rPr>
                <w:rFonts w:hint="eastAsia" w:ascii="仿宋" w:hAnsi="仿宋" w:eastAsia="仿宋" w:cs="仿宋"/>
                <w:color w:val="000000"/>
                <w:kern w:val="0"/>
                <w:sz w:val="18"/>
                <w:szCs w:val="18"/>
              </w:rPr>
            </w:pPr>
          </w:p>
        </w:tc>
        <w:tc>
          <w:tcPr>
            <w:tcW w:w="784" w:type="dxa"/>
            <w:vMerge w:val="continue"/>
            <w:noWrap w:val="0"/>
            <w:vAlign w:val="center"/>
          </w:tcPr>
          <w:p>
            <w:pPr>
              <w:snapToGrid w:val="0"/>
              <w:jc w:val="center"/>
              <w:rPr>
                <w:rFonts w:hint="eastAsia" w:ascii="仿宋" w:hAnsi="仿宋" w:eastAsia="仿宋" w:cs="仿宋"/>
                <w:color w:val="000000"/>
                <w:sz w:val="18"/>
                <w:szCs w:val="18"/>
              </w:rPr>
            </w:pPr>
          </w:p>
        </w:tc>
        <w:tc>
          <w:tcPr>
            <w:tcW w:w="1348" w:type="dxa"/>
            <w:gridSpan w:val="2"/>
            <w:vMerge w:val="continue"/>
            <w:noWrap w:val="0"/>
            <w:vAlign w:val="center"/>
          </w:tcPr>
          <w:p>
            <w:pPr>
              <w:pStyle w:val="106"/>
              <w:snapToGrid w:val="0"/>
              <w:jc w:val="center"/>
              <w:rPr>
                <w:rFonts w:hint="eastAsia" w:ascii="仿宋" w:hAnsi="仿宋" w:eastAsia="仿宋" w:cs="仿宋"/>
                <w:sz w:val="18"/>
                <w:szCs w:val="18"/>
              </w:rPr>
            </w:pPr>
          </w:p>
        </w:tc>
        <w:tc>
          <w:tcPr>
            <w:tcW w:w="1134" w:type="dxa"/>
            <w:noWrap w:val="0"/>
            <w:vAlign w:val="center"/>
          </w:tcPr>
          <w:p>
            <w:pPr>
              <w:pStyle w:val="106"/>
              <w:snapToGrid w:val="0"/>
              <w:jc w:val="center"/>
              <w:rPr>
                <w:rFonts w:hint="eastAsia" w:ascii="仿宋" w:hAnsi="仿宋" w:eastAsia="仿宋" w:cs="仿宋"/>
                <w:sz w:val="18"/>
                <w:szCs w:val="18"/>
              </w:rPr>
            </w:pPr>
            <w:r>
              <w:rPr>
                <w:rFonts w:hint="eastAsia" w:ascii="仿宋" w:hAnsi="仿宋" w:eastAsia="仿宋" w:cs="仿宋"/>
                <w:sz w:val="18"/>
                <w:szCs w:val="18"/>
              </w:rPr>
              <w:t>0～3</w:t>
            </w:r>
          </w:p>
        </w:tc>
        <w:tc>
          <w:tcPr>
            <w:tcW w:w="2835" w:type="dxa"/>
            <w:noWrap w:val="0"/>
            <w:vAlign w:val="center"/>
          </w:tcPr>
          <w:p>
            <w:pPr>
              <w:pStyle w:val="106"/>
              <w:snapToGrid w:val="0"/>
              <w:rPr>
                <w:rFonts w:hint="eastAsia" w:ascii="仿宋" w:hAnsi="仿宋" w:eastAsia="仿宋" w:cs="仿宋"/>
                <w:sz w:val="18"/>
                <w:szCs w:val="18"/>
              </w:rPr>
            </w:pPr>
            <w:r>
              <w:rPr>
                <w:rFonts w:hint="eastAsia" w:ascii="仿宋" w:hAnsi="仿宋" w:eastAsia="仿宋" w:cs="仿宋"/>
                <w:sz w:val="18"/>
                <w:szCs w:val="18"/>
              </w:rPr>
              <w:t>省级行业协会（学会）颁发的科技进步奖（均指农田建设项目工程获奖）每项计</w:t>
            </w:r>
            <w:r>
              <w:rPr>
                <w:rFonts w:hint="eastAsia" w:ascii="仿宋" w:hAnsi="仿宋" w:eastAsia="仿宋" w:cs="仿宋"/>
                <w:sz w:val="18"/>
                <w:szCs w:val="18"/>
                <w:u w:val="single"/>
              </w:rPr>
              <w:t xml:space="preserve">  </w:t>
            </w:r>
            <w:r>
              <w:rPr>
                <w:rFonts w:hint="eastAsia" w:ascii="仿宋" w:hAnsi="仿宋" w:eastAsia="仿宋" w:cs="仿宋"/>
                <w:sz w:val="18"/>
                <w:szCs w:val="18"/>
              </w:rPr>
              <w:t>分，最高得</w:t>
            </w:r>
            <w:r>
              <w:rPr>
                <w:rFonts w:hint="eastAsia" w:ascii="仿宋" w:hAnsi="仿宋" w:eastAsia="仿宋" w:cs="仿宋"/>
                <w:sz w:val="18"/>
                <w:szCs w:val="18"/>
                <w:u w:val="single"/>
              </w:rPr>
              <w:t xml:space="preserve">   </w:t>
            </w:r>
            <w:r>
              <w:rPr>
                <w:rFonts w:hint="eastAsia" w:ascii="仿宋" w:hAnsi="仿宋" w:eastAsia="仿宋" w:cs="仿宋"/>
                <w:sz w:val="18"/>
                <w:szCs w:val="18"/>
              </w:rPr>
              <w:t>分。</w:t>
            </w:r>
          </w:p>
        </w:tc>
        <w:tc>
          <w:tcPr>
            <w:tcW w:w="708"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pStyle w:val="106"/>
              <w:snapToGrid w:val="0"/>
              <w:jc w:val="center"/>
              <w:rPr>
                <w:rFonts w:hint="eastAsia" w:ascii="仿宋" w:hAnsi="仿宋" w:eastAsia="仿宋" w:cs="仿宋"/>
                <w:sz w:val="18"/>
                <w:szCs w:val="18"/>
              </w:rPr>
            </w:pPr>
          </w:p>
        </w:tc>
        <w:tc>
          <w:tcPr>
            <w:tcW w:w="567" w:type="dxa"/>
            <w:noWrap w:val="0"/>
            <w:vAlign w:val="center"/>
          </w:tcPr>
          <w:p>
            <w:pPr>
              <w:snapToGrid w:val="0"/>
              <w:jc w:val="center"/>
              <w:rPr>
                <w:rFonts w:hint="eastAsia" w:ascii="仿宋" w:hAnsi="仿宋" w:eastAsia="仿宋" w:cs="仿宋"/>
                <w:color w:val="000000"/>
                <w:kern w:val="0"/>
                <w:sz w:val="18"/>
                <w:szCs w:val="18"/>
              </w:rPr>
            </w:pPr>
          </w:p>
        </w:tc>
        <w:tc>
          <w:tcPr>
            <w:tcW w:w="576" w:type="dxa"/>
            <w:noWrap w:val="0"/>
            <w:vAlign w:val="center"/>
          </w:tcPr>
          <w:p>
            <w:pPr>
              <w:snapToGri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dxa"/>
            <w:noWrap w:val="0"/>
            <w:vAlign w:val="center"/>
          </w:tcPr>
          <w:p>
            <w:pPr>
              <w:snapToGrid w:val="0"/>
              <w:jc w:val="center"/>
              <w:rPr>
                <w:rFonts w:hint="eastAsia" w:ascii="仿宋" w:hAnsi="仿宋" w:eastAsia="仿宋" w:cs="仿宋"/>
                <w:color w:val="000000"/>
                <w:kern w:val="0"/>
              </w:rPr>
            </w:pPr>
          </w:p>
        </w:tc>
        <w:tc>
          <w:tcPr>
            <w:tcW w:w="6809" w:type="dxa"/>
            <w:gridSpan w:val="6"/>
            <w:noWrap w:val="0"/>
            <w:vAlign w:val="center"/>
          </w:tcPr>
          <w:p>
            <w:pPr>
              <w:snapToGrid w:val="0"/>
              <w:jc w:val="center"/>
              <w:rPr>
                <w:rFonts w:hint="eastAsia" w:ascii="仿宋" w:hAnsi="仿宋" w:eastAsia="仿宋" w:cs="仿宋"/>
                <w:b/>
                <w:bCs/>
                <w:color w:val="000000"/>
                <w:kern w:val="0"/>
              </w:rPr>
            </w:pPr>
            <w:r>
              <w:rPr>
                <w:rFonts w:hint="eastAsia" w:ascii="仿宋" w:hAnsi="仿宋" w:eastAsia="仿宋" w:cs="仿宋"/>
                <w:b/>
                <w:bCs/>
                <w:color w:val="000000"/>
                <w:kern w:val="0"/>
              </w:rPr>
              <w:t>合计</w:t>
            </w:r>
          </w:p>
        </w:tc>
        <w:tc>
          <w:tcPr>
            <w:tcW w:w="567" w:type="dxa"/>
            <w:noWrap w:val="0"/>
            <w:vAlign w:val="center"/>
          </w:tcPr>
          <w:p>
            <w:pPr>
              <w:snapToGrid w:val="0"/>
              <w:jc w:val="center"/>
              <w:rPr>
                <w:rFonts w:hint="eastAsia" w:ascii="仿宋" w:hAnsi="仿宋" w:eastAsia="仿宋" w:cs="仿宋"/>
                <w:color w:val="000000"/>
                <w:kern w:val="0"/>
              </w:rPr>
            </w:pPr>
          </w:p>
        </w:tc>
        <w:tc>
          <w:tcPr>
            <w:tcW w:w="567" w:type="dxa"/>
            <w:noWrap w:val="0"/>
            <w:vAlign w:val="center"/>
          </w:tcPr>
          <w:p>
            <w:pPr>
              <w:snapToGrid w:val="0"/>
              <w:jc w:val="center"/>
              <w:rPr>
                <w:rFonts w:hint="eastAsia" w:ascii="仿宋" w:hAnsi="仿宋" w:eastAsia="仿宋" w:cs="仿宋"/>
                <w:color w:val="000000"/>
                <w:kern w:val="0"/>
              </w:rPr>
            </w:pPr>
          </w:p>
        </w:tc>
        <w:tc>
          <w:tcPr>
            <w:tcW w:w="576" w:type="dxa"/>
            <w:noWrap w:val="0"/>
            <w:vAlign w:val="center"/>
          </w:tcPr>
          <w:p>
            <w:pPr>
              <w:snapToGrid w:val="0"/>
              <w:jc w:val="center"/>
              <w:rPr>
                <w:rFonts w:hint="eastAsia" w:ascii="仿宋" w:hAnsi="仿宋" w:eastAsia="仿宋" w:cs="仿宋"/>
                <w:color w:val="000000"/>
                <w:kern w:val="0"/>
              </w:rPr>
            </w:pPr>
          </w:p>
        </w:tc>
      </w:tr>
    </w:tbl>
    <w:p>
      <w:pPr>
        <w:jc w:val="left"/>
        <w:rPr>
          <w:rFonts w:hint="eastAsia" w:ascii="仿宋" w:hAnsi="仿宋" w:eastAsia="仿宋" w:cs="仿宋"/>
          <w:color w:val="000000"/>
          <w:kern w:val="0"/>
          <w:sz w:val="18"/>
          <w:szCs w:val="18"/>
        </w:rPr>
      </w:pPr>
      <w:r>
        <w:rPr>
          <w:rFonts w:hint="eastAsia" w:ascii="仿宋" w:hAnsi="仿宋" w:eastAsia="仿宋" w:cs="仿宋"/>
          <w:b/>
          <w:color w:val="000000"/>
          <w:kern w:val="0"/>
          <w:sz w:val="18"/>
          <w:szCs w:val="18"/>
        </w:rPr>
        <w:t>备注：</w:t>
      </w:r>
      <w:r>
        <w:rPr>
          <w:rFonts w:hint="eastAsia" w:ascii="仿宋" w:hAnsi="仿宋" w:eastAsia="仿宋" w:cs="仿宋"/>
          <w:color w:val="000000"/>
          <w:kern w:val="0"/>
          <w:sz w:val="18"/>
          <w:szCs w:val="18"/>
        </w:rPr>
        <w:t>1.本表适用于联合体投标人评审。</w:t>
      </w:r>
    </w:p>
    <w:p>
      <w:pPr>
        <w:ind w:firstLine="540" w:firstLineChars="300"/>
        <w:jc w:val="left"/>
        <w:rPr>
          <w:rFonts w:hint="eastAsia" w:ascii="仿宋" w:hAnsi="仿宋" w:eastAsia="仿宋" w:cs="仿宋"/>
          <w:color w:val="000000"/>
          <w:sz w:val="18"/>
          <w:szCs w:val="18"/>
        </w:rPr>
      </w:pPr>
      <w:r>
        <w:rPr>
          <w:rFonts w:hint="eastAsia" w:ascii="仿宋" w:hAnsi="仿宋" w:eastAsia="仿宋" w:cs="仿宋"/>
          <w:color w:val="000000"/>
          <w:kern w:val="0"/>
          <w:sz w:val="18"/>
          <w:szCs w:val="18"/>
        </w:rPr>
        <w:t>2.本表小计总分为100分。</w:t>
      </w:r>
      <w:r>
        <w:rPr>
          <w:rFonts w:hint="eastAsia" w:ascii="仿宋" w:hAnsi="仿宋" w:eastAsia="仿宋" w:cs="仿宋"/>
          <w:color w:val="000000"/>
          <w:sz w:val="18"/>
          <w:szCs w:val="18"/>
        </w:rPr>
        <w:t>由评标委员会集体评议，统一计分。评标委员会成员中对结论有不同意见时，按少数服从多数的原则，确定得分。</w:t>
      </w:r>
    </w:p>
    <w:p>
      <w:pPr>
        <w:pStyle w:val="164"/>
        <w:widowControl w:val="0"/>
        <w:snapToGrid w:val="0"/>
        <w:spacing w:before="0" w:beforeAutospacing="0" w:after="0" w:afterAutospacing="0"/>
        <w:ind w:firstLine="542" w:firstLineChars="300"/>
        <w:rPr>
          <w:rFonts w:hint="eastAsia" w:ascii="仿宋" w:hAnsi="仿宋" w:eastAsia="仿宋" w:cs="仿宋"/>
          <w:b/>
          <w:bCs/>
          <w:color w:val="000000"/>
          <w:sz w:val="18"/>
          <w:szCs w:val="18"/>
        </w:rPr>
      </w:pPr>
      <w:r>
        <w:rPr>
          <w:rFonts w:hint="eastAsia" w:ascii="仿宋" w:hAnsi="仿宋" w:eastAsia="仿宋" w:cs="仿宋"/>
          <w:b/>
          <w:bCs/>
          <w:color w:val="000000"/>
          <w:sz w:val="18"/>
          <w:szCs w:val="18"/>
        </w:rPr>
        <w:t>3.（1）以水利水电施工总承包资质投标时，以联合体投标的，其中施工单位有两家（含两家）以上的，由招标人在招标文件中确定联合体信用评价的计分方式。</w:t>
      </w:r>
    </w:p>
    <w:p>
      <w:pPr>
        <w:pStyle w:val="164"/>
        <w:widowControl w:val="0"/>
        <w:snapToGrid w:val="0"/>
        <w:spacing w:before="0" w:beforeAutospacing="0" w:after="0" w:afterAutospacing="0"/>
        <w:ind w:left="88" w:firstLine="452" w:firstLineChars="250"/>
        <w:rPr>
          <w:rFonts w:hint="eastAsia" w:ascii="仿宋" w:hAnsi="仿宋" w:eastAsia="仿宋" w:cs="仿宋"/>
          <w:b/>
          <w:bCs/>
          <w:color w:val="000000"/>
          <w:sz w:val="18"/>
          <w:szCs w:val="18"/>
        </w:rPr>
      </w:pPr>
      <w:r>
        <w:rPr>
          <w:rFonts w:hint="eastAsia" w:ascii="仿宋" w:hAnsi="仿宋" w:eastAsia="仿宋" w:cs="仿宋"/>
          <w:b/>
          <w:bCs/>
          <w:color w:val="000000"/>
          <w:sz w:val="18"/>
          <w:szCs w:val="18"/>
        </w:rPr>
        <w:t>（2）以水利水电施工总承包资质投标时，投标人信用等级得分以全国和湖南省水利建设市场主体信用评级机构评定的信用等级对应得分中较低的一个分数为准，如某投标人的信用等级（全国水利建设市场主体）为AAA级，信用等级（湖南省水利建设市场主体）为A-级，则其信用等级得分以信用等级（湖南省水利建设市场主体）A-级得分为准。</w:t>
      </w:r>
    </w:p>
    <w:p>
      <w:pPr>
        <w:pStyle w:val="164"/>
        <w:widowControl w:val="0"/>
        <w:snapToGrid w:val="0"/>
        <w:spacing w:before="0" w:beforeAutospacing="0" w:after="0" w:afterAutospacing="0"/>
        <w:ind w:left="88" w:firstLine="452" w:firstLineChars="250"/>
        <w:rPr>
          <w:rFonts w:hint="eastAsia" w:ascii="仿宋" w:hAnsi="仿宋" w:eastAsia="仿宋" w:cs="仿宋"/>
          <w:b/>
          <w:bCs/>
          <w:color w:val="000000"/>
          <w:sz w:val="18"/>
          <w:szCs w:val="18"/>
        </w:rPr>
      </w:pPr>
      <w:r>
        <w:rPr>
          <w:rFonts w:hint="eastAsia" w:ascii="仿宋" w:hAnsi="仿宋" w:eastAsia="仿宋" w:cs="仿宋"/>
          <w:b/>
          <w:bCs/>
          <w:color w:val="000000"/>
          <w:sz w:val="18"/>
          <w:szCs w:val="18"/>
        </w:rPr>
        <w:t>首次进入湖南省水利建设市场、未申请信用评价以及连续两年无在建项目的市场主体单位，其湖南省信用等级默认为B级；未取得全国水利建设市场主体信用评价证书的，在湖南省水利建设市场其全国信用等级视为B级。</w:t>
      </w:r>
    </w:p>
    <w:p>
      <w:pPr>
        <w:pStyle w:val="164"/>
        <w:widowControl w:val="0"/>
        <w:snapToGrid w:val="0"/>
        <w:spacing w:before="0" w:beforeAutospacing="0" w:after="0" w:afterAutospacing="0"/>
        <w:ind w:left="88" w:firstLine="630" w:firstLineChars="350"/>
        <w:rPr>
          <w:rFonts w:hint="eastAsia" w:ascii="仿宋" w:hAnsi="仿宋" w:eastAsia="仿宋" w:cs="仿宋"/>
          <w:b/>
          <w:color w:val="000000"/>
          <w:sz w:val="18"/>
          <w:szCs w:val="18"/>
        </w:rPr>
      </w:pPr>
      <w:r>
        <w:rPr>
          <w:rFonts w:hint="eastAsia" w:ascii="仿宋" w:hAnsi="仿宋" w:eastAsia="仿宋" w:cs="仿宋"/>
          <w:color w:val="000000"/>
          <w:sz w:val="18"/>
          <w:szCs w:val="18"/>
        </w:rPr>
        <w:t>4.</w:t>
      </w:r>
      <w:r>
        <w:rPr>
          <w:rFonts w:hint="eastAsia" w:ascii="仿宋" w:hAnsi="仿宋" w:eastAsia="仿宋" w:cs="仿宋"/>
          <w:b/>
          <w:color w:val="000000"/>
          <w:sz w:val="18"/>
          <w:szCs w:val="18"/>
        </w:rPr>
        <w:t>联合体投标的，按照其联合体协议书约定的各成员工作量所占比例加权折算的原则确定联合体的信用评价分值。如联合体协议书约定联合体牵头人在本合同承担工作量为70%、联合体成员一在本合同承担工作量为20%、联合体成员二在本合同承担工作量为10%，则该联合体最终信用等级得分=联合体牵头人信用等级得分×70%+联合体成员一信用等级得分×20%+联合体成员二信用等级得分×10%。</w:t>
      </w:r>
    </w:p>
    <w:p>
      <w:pPr>
        <w:ind w:firstLine="720" w:firstLineChars="400"/>
        <w:jc w:val="left"/>
        <w:rPr>
          <w:rFonts w:hint="eastAsia" w:ascii="仿宋" w:hAnsi="仿宋" w:eastAsia="仿宋" w:cs="仿宋"/>
          <w:color w:val="000000"/>
          <w:sz w:val="18"/>
          <w:szCs w:val="18"/>
        </w:rPr>
      </w:pPr>
      <w:r>
        <w:rPr>
          <w:rFonts w:hint="eastAsia" w:ascii="仿宋" w:hAnsi="仿宋" w:eastAsia="仿宋" w:cs="仿宋"/>
          <w:color w:val="000000"/>
          <w:sz w:val="18"/>
          <w:szCs w:val="18"/>
        </w:rPr>
        <w:t>5. 企业类似项目经验要求见本文件第二章投标须知前附表第10.1款第2项的规定。</w:t>
      </w:r>
    </w:p>
    <w:p>
      <w:pPr>
        <w:pStyle w:val="164"/>
        <w:widowControl w:val="0"/>
        <w:snapToGrid w:val="0"/>
        <w:spacing w:before="0" w:beforeAutospacing="0" w:after="0" w:afterAutospacing="0"/>
        <w:ind w:firstLine="720" w:firstLineChars="400"/>
        <w:rPr>
          <w:rFonts w:hint="eastAsia" w:ascii="仿宋" w:hAnsi="仿宋" w:eastAsia="仿宋" w:cs="仿宋"/>
          <w:color w:val="000000"/>
          <w:sz w:val="18"/>
          <w:szCs w:val="18"/>
        </w:rPr>
      </w:pPr>
      <w:r>
        <w:rPr>
          <w:rFonts w:hint="eastAsia" w:ascii="仿宋" w:hAnsi="仿宋" w:eastAsia="仿宋" w:cs="仿宋"/>
          <w:color w:val="000000"/>
          <w:sz w:val="18"/>
          <w:szCs w:val="18"/>
        </w:rPr>
        <w:t>6.财务状况计算公式：流动比率=流动资产除以流动负债*100%；利润总额=营业利润+营业外收入-营业外支出；净利润=利润总额-所得税费用；资产负债率=负债合计除以资产合计*100%。</w:t>
      </w:r>
    </w:p>
    <w:p>
      <w:pPr>
        <w:pStyle w:val="164"/>
        <w:widowControl w:val="0"/>
        <w:snapToGrid w:val="0"/>
        <w:spacing w:before="0" w:beforeAutospacing="0" w:after="0" w:afterAutospacing="0"/>
        <w:ind w:left="88" w:leftChars="42" w:firstLine="630" w:firstLineChars="350"/>
        <w:rPr>
          <w:rFonts w:hint="eastAsia" w:ascii="仿宋" w:hAnsi="仿宋" w:eastAsia="仿宋" w:cs="仿宋"/>
          <w:color w:val="000000"/>
          <w:sz w:val="18"/>
          <w:szCs w:val="18"/>
        </w:rPr>
      </w:pPr>
      <w:r>
        <w:rPr>
          <w:rFonts w:hint="eastAsia" w:ascii="仿宋" w:hAnsi="仿宋" w:eastAsia="仿宋" w:cs="仿宋"/>
          <w:color w:val="000000"/>
          <w:sz w:val="18"/>
          <w:szCs w:val="18"/>
        </w:rPr>
        <w:t>7.工程获奖、年度考核、技术创新在评标办法中是否计分由招标人根据项目情况选择使用。招标人不得对投标人获得的上述奖项以外的其他奖项进行计分。本评分标准表中的工程获奖均指农田建设项目工程的获奖，且为单位（标段）获奖。同一标段获得多个奖项的，不重复计分（以得分最高计）。同一单位考核获得多个名次的，不重复计分（以得分最高计，首次进入或未得到考核名次的按其他计分），省级考核适用于全省范围、县区级考核仅适用于本行政范围。同一技术创新获得多个奖项的，不重复计分（以得分最高计）。</w:t>
      </w:r>
    </w:p>
    <w:p>
      <w:pPr>
        <w:pStyle w:val="164"/>
        <w:widowControl w:val="0"/>
        <w:snapToGrid w:val="0"/>
        <w:spacing w:before="0" w:beforeAutospacing="0" w:after="0" w:afterAutospacing="0"/>
        <w:ind w:left="88" w:leftChars="42" w:firstLine="630" w:firstLineChars="350"/>
        <w:rPr>
          <w:rFonts w:hint="eastAsia" w:ascii="仿宋" w:hAnsi="仿宋" w:eastAsia="仿宋" w:cs="仿宋"/>
          <w:color w:val="000000"/>
          <w:sz w:val="18"/>
          <w:szCs w:val="18"/>
        </w:rPr>
      </w:pPr>
      <w:r>
        <w:rPr>
          <w:rFonts w:hint="eastAsia" w:ascii="仿宋" w:hAnsi="仿宋" w:eastAsia="仿宋" w:cs="仿宋"/>
          <w:color w:val="000000"/>
          <w:sz w:val="18"/>
          <w:szCs w:val="18"/>
        </w:rPr>
        <w:t>8.联合体投标的，仅对联合体牵头人的工程获奖和技术创新计分。</w:t>
      </w:r>
    </w:p>
    <w:p>
      <w:pPr>
        <w:pStyle w:val="164"/>
        <w:widowControl w:val="0"/>
        <w:snapToGrid w:val="0"/>
        <w:spacing w:before="0" w:beforeAutospacing="0" w:after="0" w:afterAutospacing="0"/>
        <w:ind w:left="88" w:leftChars="42" w:firstLine="630" w:firstLineChars="350"/>
        <w:rPr>
          <w:rFonts w:hint="eastAsia" w:ascii="仿宋" w:hAnsi="仿宋" w:eastAsia="仿宋" w:cs="仿宋"/>
          <w:color w:val="000000"/>
          <w:sz w:val="18"/>
          <w:szCs w:val="18"/>
        </w:rPr>
      </w:pPr>
      <w:r>
        <w:rPr>
          <w:rFonts w:hint="eastAsia" w:ascii="仿宋" w:hAnsi="仿宋" w:eastAsia="仿宋" w:cs="仿宋"/>
          <w:color w:val="000000"/>
          <w:sz w:val="18"/>
          <w:szCs w:val="18"/>
        </w:rPr>
        <w:t>9.联合体投标的，仅对联合体牵头人的财务状况计分。</w:t>
      </w:r>
    </w:p>
    <w:p>
      <w:pPr>
        <w:pStyle w:val="164"/>
        <w:widowControl w:val="0"/>
        <w:snapToGrid w:val="0"/>
        <w:spacing w:before="0" w:beforeAutospacing="0" w:after="0" w:afterAutospacing="0"/>
        <w:ind w:firstLine="720" w:firstLineChars="400"/>
        <w:rPr>
          <w:rFonts w:ascii="仿宋" w:hAnsi="仿宋" w:eastAsia="仿宋" w:cs="仿宋"/>
          <w:color w:val="000000"/>
          <w:sz w:val="18"/>
          <w:szCs w:val="18"/>
        </w:rPr>
      </w:pPr>
      <w:r>
        <w:rPr>
          <w:rFonts w:hint="eastAsia" w:ascii="仿宋" w:hAnsi="仿宋" w:eastAsia="仿宋" w:cs="仿宋"/>
          <w:color w:val="000000"/>
          <w:sz w:val="18"/>
          <w:szCs w:val="18"/>
        </w:rPr>
        <w:t>10、联合体投标的，仅对联合体牵头人的考核名次计分。</w:t>
      </w:r>
    </w:p>
    <w:p>
      <w:pPr>
        <w:pStyle w:val="164"/>
        <w:widowControl w:val="0"/>
        <w:snapToGrid w:val="0"/>
        <w:spacing w:before="0" w:beforeAutospacing="0" w:after="0" w:afterAutospacing="0"/>
        <w:ind w:left="88" w:leftChars="42" w:firstLine="630" w:firstLineChars="350"/>
        <w:rPr>
          <w:rFonts w:hint="eastAsia" w:ascii="仿宋" w:hAnsi="仿宋" w:eastAsia="仿宋" w:cs="仿宋"/>
          <w:color w:val="000000"/>
          <w:sz w:val="18"/>
          <w:szCs w:val="18"/>
        </w:rPr>
      </w:pPr>
    </w:p>
    <w:p>
      <w:pPr>
        <w:pStyle w:val="164"/>
        <w:widowControl w:val="0"/>
        <w:snapToGrid w:val="0"/>
        <w:ind w:left="88" w:leftChars="42" w:firstLine="450" w:firstLineChars="250"/>
        <w:rPr>
          <w:rFonts w:hint="eastAsia" w:ascii="仿宋" w:hAnsi="仿宋" w:eastAsia="仿宋" w:cs="仿宋"/>
          <w:color w:val="000000"/>
          <w:sz w:val="18"/>
          <w:szCs w:val="18"/>
        </w:rPr>
      </w:pPr>
    </w:p>
    <w:p>
      <w:pPr>
        <w:spacing w:line="600" w:lineRule="exact"/>
        <w:jc w:val="left"/>
        <w:rPr>
          <w:rFonts w:hint="eastAsia" w:ascii="仿宋" w:hAnsi="仿宋" w:eastAsia="仿宋" w:cs="仿宋"/>
          <w:color w:val="000000"/>
          <w:sz w:val="28"/>
          <w:szCs w:val="21"/>
        </w:rPr>
      </w:pPr>
      <w:r>
        <w:rPr>
          <w:rFonts w:hint="eastAsia" w:ascii="仿宋" w:hAnsi="仿宋" w:eastAsia="仿宋" w:cs="仿宋"/>
          <w:color w:val="000000"/>
          <w:sz w:val="24"/>
        </w:rPr>
        <w:t>评委签字：</w:t>
      </w:r>
    </w:p>
    <w:p>
      <w:pPr>
        <w:spacing w:line="600" w:lineRule="exact"/>
        <w:jc w:val="left"/>
        <w:rPr>
          <w:rFonts w:hint="eastAsia" w:ascii="仿宋" w:hAnsi="仿宋" w:eastAsia="仿宋" w:cs="仿宋"/>
          <w:color w:val="000000"/>
          <w:sz w:val="28"/>
          <w:szCs w:val="21"/>
        </w:rPr>
      </w:pPr>
    </w:p>
    <w:p>
      <w:pPr>
        <w:spacing w:line="600" w:lineRule="exact"/>
        <w:jc w:val="left"/>
        <w:rPr>
          <w:rFonts w:eastAsia="黑体"/>
          <w:bCs/>
          <w:color w:val="000000"/>
          <w:sz w:val="32"/>
          <w:szCs w:val="20"/>
        </w:rPr>
      </w:pPr>
      <w:r>
        <w:rPr>
          <w:rFonts w:hint="eastAsia" w:ascii="仿宋" w:hAnsi="仿宋" w:eastAsia="仿宋" w:cs="仿宋"/>
          <w:color w:val="000000"/>
        </w:rPr>
        <w:br w:type="page"/>
      </w:r>
      <w:r>
        <w:rPr>
          <w:rFonts w:eastAsia="黑体"/>
          <w:bCs/>
          <w:color w:val="000000"/>
          <w:sz w:val="32"/>
          <w:szCs w:val="20"/>
        </w:rPr>
        <w:t>附表3-7（</w:t>
      </w:r>
      <w:r>
        <w:rPr>
          <w:rFonts w:hint="eastAsia" w:eastAsia="黑体"/>
          <w:bCs/>
          <w:color w:val="000000"/>
          <w:sz w:val="32"/>
          <w:szCs w:val="20"/>
        </w:rPr>
        <w:t>2</w:t>
      </w:r>
      <w:r>
        <w:rPr>
          <w:rFonts w:eastAsia="黑体"/>
          <w:bCs/>
          <w:color w:val="000000"/>
          <w:sz w:val="32"/>
          <w:szCs w:val="20"/>
        </w:rPr>
        <w:t>）：详细评审</w:t>
      </w:r>
      <w:r>
        <w:rPr>
          <w:rFonts w:hint="eastAsia" w:eastAsia="黑体"/>
          <w:bCs/>
          <w:color w:val="000000"/>
          <w:sz w:val="32"/>
          <w:szCs w:val="20"/>
        </w:rPr>
        <w:t>－</w:t>
      </w:r>
      <w:r>
        <w:rPr>
          <w:rFonts w:eastAsia="黑体"/>
          <w:bCs/>
          <w:color w:val="000000"/>
          <w:sz w:val="32"/>
          <w:szCs w:val="20"/>
        </w:rPr>
        <w:t>投标报价评分表</w:t>
      </w:r>
    </w:p>
    <w:p>
      <w:pPr>
        <w:spacing w:line="600" w:lineRule="exact"/>
        <w:jc w:val="center"/>
        <w:rPr>
          <w:rFonts w:eastAsia="方正小标宋_GBK"/>
          <w:b/>
          <w:color w:val="000000"/>
          <w:sz w:val="36"/>
          <w:szCs w:val="36"/>
        </w:rPr>
      </w:pPr>
    </w:p>
    <w:p>
      <w:pPr>
        <w:spacing w:line="600" w:lineRule="exact"/>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1.投标报价评分标准</w:t>
      </w:r>
    </w:p>
    <w:p>
      <w:pPr>
        <w:spacing w:line="600" w:lineRule="exact"/>
        <w:jc w:val="center"/>
        <w:rPr>
          <w:rFonts w:eastAsia="仿宋"/>
          <w:b/>
          <w:color w:val="000000"/>
          <w:sz w:val="44"/>
          <w:szCs w:val="44"/>
        </w:rPr>
      </w:pPr>
    </w:p>
    <w:p>
      <w:pPr>
        <w:rPr>
          <w:rFonts w:hint="eastAsia" w:ascii="宋体" w:hAnsi="宋体" w:cs="宋体"/>
          <w:color w:val="000000"/>
        </w:rPr>
      </w:pPr>
    </w:p>
    <w:tbl>
      <w:tblPr>
        <w:tblStyle w:val="47"/>
        <w:tblW w:w="9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5"/>
        <w:gridCol w:w="2134"/>
        <w:gridCol w:w="2376"/>
        <w:gridCol w:w="4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995" w:type="dxa"/>
            <w:noWrap w:val="0"/>
            <w:vAlign w:val="center"/>
          </w:tcPr>
          <w:p>
            <w:pPr>
              <w:autoSpaceDE w:val="0"/>
              <w:autoSpaceDN w:val="0"/>
              <w:adjustRightIn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序号</w:t>
            </w:r>
          </w:p>
        </w:tc>
        <w:tc>
          <w:tcPr>
            <w:tcW w:w="2134" w:type="dxa"/>
            <w:noWrap w:val="0"/>
            <w:vAlign w:val="center"/>
          </w:tcPr>
          <w:p>
            <w:pPr>
              <w:autoSpaceDE w:val="0"/>
              <w:autoSpaceDN w:val="0"/>
              <w:adjustRightIn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评审标准</w:t>
            </w:r>
          </w:p>
        </w:tc>
        <w:tc>
          <w:tcPr>
            <w:tcW w:w="2376" w:type="dxa"/>
            <w:noWrap w:val="0"/>
            <w:vAlign w:val="center"/>
          </w:tcPr>
          <w:p>
            <w:pPr>
              <w:autoSpaceDE w:val="0"/>
              <w:autoSpaceDN w:val="0"/>
              <w:adjustRightIn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计分方式</w:t>
            </w:r>
          </w:p>
        </w:tc>
        <w:tc>
          <w:tcPr>
            <w:tcW w:w="4017" w:type="dxa"/>
            <w:noWrap w:val="0"/>
            <w:vAlign w:val="top"/>
          </w:tcPr>
          <w:p>
            <w:pPr>
              <w:autoSpaceDE w:val="0"/>
              <w:autoSpaceDN w:val="0"/>
              <w:adjustRightIn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偏差率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995" w:type="dxa"/>
            <w:vMerge w:val="restart"/>
            <w:noWrap w:val="0"/>
            <w:vAlign w:val="center"/>
          </w:tcPr>
          <w:p>
            <w:pPr>
              <w:autoSpaceDE w:val="0"/>
              <w:autoSpaceDN w:val="0"/>
              <w:adjustRightIn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2.2.3  投标报价的偏差率计算</w:t>
            </w:r>
          </w:p>
          <w:p>
            <w:pPr>
              <w:autoSpaceDE w:val="0"/>
              <w:autoSpaceDN w:val="0"/>
              <w:adjustRightInd w:val="0"/>
              <w:jc w:val="center"/>
              <w:rPr>
                <w:rFonts w:hint="eastAsia" w:ascii="仿宋" w:hAnsi="仿宋" w:eastAsia="仿宋" w:cs="仿宋"/>
                <w:color w:val="000000"/>
                <w:kern w:val="0"/>
                <w:sz w:val="18"/>
                <w:szCs w:val="18"/>
              </w:rPr>
            </w:pPr>
          </w:p>
        </w:tc>
        <w:tc>
          <w:tcPr>
            <w:tcW w:w="2134" w:type="dxa"/>
            <w:noWrap w:val="0"/>
            <w:vAlign w:val="center"/>
          </w:tcPr>
          <w:p>
            <w:pPr>
              <w:autoSpaceDE w:val="0"/>
              <w:autoSpaceDN w:val="0"/>
              <w:adjustRightIn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投标报价＞基准价</w:t>
            </w:r>
          </w:p>
        </w:tc>
        <w:tc>
          <w:tcPr>
            <w:tcW w:w="2376" w:type="dxa"/>
            <w:noWrap w:val="0"/>
            <w:vAlign w:val="center"/>
          </w:tcPr>
          <w:p>
            <w:pPr>
              <w:autoSpaceDE w:val="0"/>
              <w:autoSpaceDN w:val="0"/>
              <w:adjustRightIn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100-0.5×100L1-100 L2</w:t>
            </w:r>
          </w:p>
        </w:tc>
        <w:tc>
          <w:tcPr>
            <w:tcW w:w="4017" w:type="dxa"/>
            <w:vMerge w:val="restart"/>
            <w:noWrap w:val="0"/>
            <w:vAlign w:val="top"/>
          </w:tcPr>
          <w:p>
            <w:pPr>
              <w:autoSpaceDE w:val="0"/>
              <w:autoSpaceDN w:val="0"/>
              <w:adjustRightIn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xml:space="preserve">  基准价-经评审的最低投标价</w:t>
            </w:r>
          </w:p>
          <w:p>
            <w:pPr>
              <w:autoSpaceDE w:val="0"/>
              <w:autoSpaceDN w:val="0"/>
              <w:adjustRightIn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mc:AlternateContent>
                <mc:Choice Requires="wps">
                  <w:drawing>
                    <wp:anchor distT="0" distB="0" distL="114300" distR="114300" simplePos="0" relativeHeight="251662336" behindDoc="0" locked="0" layoutInCell="1" allowOverlap="1">
                      <wp:simplePos x="0" y="0"/>
                      <wp:positionH relativeFrom="column">
                        <wp:posOffset>254635</wp:posOffset>
                      </wp:positionH>
                      <wp:positionV relativeFrom="paragraph">
                        <wp:posOffset>78740</wp:posOffset>
                      </wp:positionV>
                      <wp:extent cx="1736090" cy="635"/>
                      <wp:effectExtent l="0" t="0" r="0" b="0"/>
                      <wp:wrapNone/>
                      <wp:docPr id="14" name="直接箭头连接符 14"/>
                      <wp:cNvGraphicFramePr/>
                      <a:graphic xmlns:a="http://schemas.openxmlformats.org/drawingml/2006/main">
                        <a:graphicData uri="http://schemas.microsoft.com/office/word/2010/wordprocessingShape">
                          <wps:wsp>
                            <wps:cNvCnPr>
                              <a:cxnSpLocks noChangeShapeType="1"/>
                            </wps:cNvCnPr>
                            <wps:spPr bwMode="auto">
                              <a:xfrm>
                                <a:off x="0" y="0"/>
                                <a:ext cx="1736090" cy="63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20.05pt;margin-top:6.2pt;height:0.05pt;width:136.7pt;z-index:251662336;mso-width-relative:page;mso-height-relative:page;" filled="f" stroked="t" coordsize="21600,21600" o:gfxdata="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6sSebWAAAACAEAAA8AAAAAAAAAAQAgAAAAIgAAAGRycy9kb3ducmV2&#10;LnhtbFBLAQIUABQAAAAIAIdO4kCBzQIX/gEAANADAAAOAAAAAAAAAAEAIAAAACUBAABkcnMvZTJv&#10;RG9jLnhtbFBLBQYAAAAABgAGAFkBAACVBQAAAAA=&#10;">
                      <v:fill on="f" focussize="0,0"/>
                      <v:stroke color="#000000" joinstyle="round"/>
                      <v:imagedata o:title=""/>
                      <o:lock v:ext="edit" aspectratio="f"/>
                    </v:shape>
                  </w:pict>
                </mc:Fallback>
              </mc:AlternateContent>
            </w:r>
            <w:r>
              <w:rPr>
                <w:rFonts w:hint="eastAsia" w:ascii="仿宋" w:hAnsi="仿宋" w:eastAsia="仿宋" w:cs="仿宋"/>
                <w:color w:val="000000"/>
                <w:kern w:val="0"/>
                <w:sz w:val="18"/>
                <w:szCs w:val="18"/>
              </w:rPr>
              <w:t>L1＝                            ×100%</w:t>
            </w:r>
          </w:p>
          <w:p>
            <w:pPr>
              <w:autoSpaceDE w:val="0"/>
              <w:autoSpaceDN w:val="0"/>
              <w:adjustRightIn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经评审的最低投标价</w:t>
            </w:r>
          </w:p>
          <w:p>
            <w:pPr>
              <w:autoSpaceDE w:val="0"/>
              <w:autoSpaceDN w:val="0"/>
              <w:adjustRightInd w:val="0"/>
              <w:jc w:val="center"/>
              <w:rPr>
                <w:rFonts w:hint="eastAsia" w:ascii="仿宋" w:hAnsi="仿宋" w:eastAsia="仿宋" w:cs="仿宋"/>
                <w:color w:val="000000"/>
                <w:kern w:val="0"/>
                <w:sz w:val="18"/>
                <w:szCs w:val="18"/>
              </w:rPr>
            </w:pPr>
          </w:p>
          <w:p>
            <w:pPr>
              <w:autoSpaceDE w:val="0"/>
              <w:autoSpaceDN w:val="0"/>
              <w:adjustRightIn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xml:space="preserve">       投标报价-基准价</w:t>
            </w:r>
          </w:p>
          <w:p>
            <w:pPr>
              <w:autoSpaceDE w:val="0"/>
              <w:autoSpaceDN w:val="0"/>
              <w:adjustRightIn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mc:AlternateContent>
                <mc:Choice Requires="wps">
                  <w:drawing>
                    <wp:anchor distT="0" distB="0" distL="114300" distR="114300" simplePos="0" relativeHeight="251663360" behindDoc="0" locked="0" layoutInCell="1" allowOverlap="1">
                      <wp:simplePos x="0" y="0"/>
                      <wp:positionH relativeFrom="column">
                        <wp:posOffset>254635</wp:posOffset>
                      </wp:positionH>
                      <wp:positionV relativeFrom="paragraph">
                        <wp:posOffset>78740</wp:posOffset>
                      </wp:positionV>
                      <wp:extent cx="1736090" cy="635"/>
                      <wp:effectExtent l="0" t="0" r="0" b="0"/>
                      <wp:wrapNone/>
                      <wp:docPr id="15" name="直接箭头连接符 15"/>
                      <wp:cNvGraphicFramePr/>
                      <a:graphic xmlns:a="http://schemas.openxmlformats.org/drawingml/2006/main">
                        <a:graphicData uri="http://schemas.microsoft.com/office/word/2010/wordprocessingShape">
                          <wps:wsp>
                            <wps:cNvCnPr>
                              <a:cxnSpLocks noChangeShapeType="1"/>
                            </wps:cNvCnPr>
                            <wps:spPr bwMode="auto">
                              <a:xfrm>
                                <a:off x="0" y="0"/>
                                <a:ext cx="1736090" cy="63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20.05pt;margin-top:6.2pt;height:0.05pt;width:136.7pt;z-index:251663360;mso-width-relative:page;mso-height-relative:page;" filled="f" stroked="t" coordsize="21600,21600" o:gfxdata="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erEnm1gAAAAgBAAAPAAAAAAAAAAEAIAAAACIAAABkcnMvZG93bnJl&#10;di54bWxQSwECFAAUAAAACACHTuJA0FhYE/8BAADQAwAADgAAAAAAAAABACAAAAAlAQAAZHJzL2Uy&#10;b0RvYy54bWxQSwUGAAAAAAYABgBZAQAAlgUAAAAA&#10;">
                      <v:fill on="f" focussize="0,0"/>
                      <v:stroke color="#000000" joinstyle="round"/>
                      <v:imagedata o:title=""/>
                      <o:lock v:ext="edit" aspectratio="f"/>
                    </v:shape>
                  </w:pict>
                </mc:Fallback>
              </mc:AlternateContent>
            </w:r>
            <w:r>
              <w:rPr>
                <w:rFonts w:hint="eastAsia" w:ascii="仿宋" w:hAnsi="仿宋" w:eastAsia="仿宋" w:cs="仿宋"/>
                <w:color w:val="000000"/>
                <w:kern w:val="0"/>
                <w:sz w:val="18"/>
                <w:szCs w:val="18"/>
              </w:rPr>
              <w:t>L2＝                           ×100%</w:t>
            </w:r>
          </w:p>
          <w:p>
            <w:pPr>
              <w:autoSpaceDE w:val="0"/>
              <w:autoSpaceDN w:val="0"/>
              <w:adjustRightIn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经评审的最低投标价</w:t>
            </w:r>
          </w:p>
          <w:p>
            <w:pPr>
              <w:autoSpaceDE w:val="0"/>
              <w:autoSpaceDN w:val="0"/>
              <w:adjustRightInd w:val="0"/>
              <w:jc w:val="center"/>
              <w:rPr>
                <w:rFonts w:hint="eastAsia" w:ascii="仿宋" w:hAnsi="仿宋" w:eastAsia="仿宋" w:cs="仿宋"/>
                <w:color w:val="000000"/>
                <w:kern w:val="0"/>
                <w:sz w:val="18"/>
                <w:szCs w:val="18"/>
              </w:rPr>
            </w:pPr>
          </w:p>
          <w:p>
            <w:pPr>
              <w:autoSpaceDE w:val="0"/>
              <w:autoSpaceDN w:val="0"/>
              <w:adjustRightIn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xml:space="preserve"> 投标报价-经评审的最低投标价</w:t>
            </w:r>
          </w:p>
          <w:p>
            <w:pPr>
              <w:autoSpaceDE w:val="0"/>
              <w:autoSpaceDN w:val="0"/>
              <w:adjustRightIn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mc:AlternateContent>
                <mc:Choice Requires="wps">
                  <w:drawing>
                    <wp:anchor distT="0" distB="0" distL="114300" distR="114300" simplePos="0" relativeHeight="251664384" behindDoc="0" locked="0" layoutInCell="1" allowOverlap="1">
                      <wp:simplePos x="0" y="0"/>
                      <wp:positionH relativeFrom="column">
                        <wp:posOffset>254635</wp:posOffset>
                      </wp:positionH>
                      <wp:positionV relativeFrom="paragraph">
                        <wp:posOffset>78740</wp:posOffset>
                      </wp:positionV>
                      <wp:extent cx="1736090" cy="635"/>
                      <wp:effectExtent l="0" t="0" r="0" b="0"/>
                      <wp:wrapNone/>
                      <wp:docPr id="16" name="直接箭头连接符 16"/>
                      <wp:cNvGraphicFramePr/>
                      <a:graphic xmlns:a="http://schemas.openxmlformats.org/drawingml/2006/main">
                        <a:graphicData uri="http://schemas.microsoft.com/office/word/2010/wordprocessingShape">
                          <wps:wsp>
                            <wps:cNvCnPr>
                              <a:cxnSpLocks noChangeShapeType="1"/>
                            </wps:cNvCnPr>
                            <wps:spPr bwMode="auto">
                              <a:xfrm>
                                <a:off x="0" y="0"/>
                                <a:ext cx="1736090" cy="63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20.05pt;margin-top:6.2pt;height:0.05pt;width:136.7pt;z-index:251664384;mso-width-relative:page;mso-height-relative:page;" filled="f" stroked="t" coordsize="21600,21600" o:gfxdata="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6sSebWAAAACAEAAA8AAAAAAAAAAQAgAAAAIgAAAGRycy9kb3ducmV2&#10;LnhtbFBLAQIUABQAAAAIAIdO4kAj57cf/gEAANADAAAOAAAAAAAAAAEAIAAAACUBAABkcnMvZTJv&#10;RG9jLnhtbFBLBQYAAAAABgAGAFkBAACVBQAAAAA=&#10;">
                      <v:fill on="f" focussize="0,0"/>
                      <v:stroke color="#000000" joinstyle="round"/>
                      <v:imagedata o:title=""/>
                      <o:lock v:ext="edit" aspectratio="f"/>
                    </v:shape>
                  </w:pict>
                </mc:Fallback>
              </mc:AlternateContent>
            </w:r>
            <w:r>
              <w:rPr>
                <w:rFonts w:hint="eastAsia" w:ascii="仿宋" w:hAnsi="仿宋" w:eastAsia="仿宋" w:cs="仿宋"/>
                <w:color w:val="000000"/>
                <w:kern w:val="0"/>
                <w:sz w:val="18"/>
                <w:szCs w:val="18"/>
              </w:rPr>
              <w:t>L3＝                            ×100%</w:t>
            </w:r>
          </w:p>
          <w:p>
            <w:pPr>
              <w:autoSpaceDE w:val="0"/>
              <w:autoSpaceDN w:val="0"/>
              <w:adjustRightIn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经评审的最低投标价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995" w:type="dxa"/>
            <w:vMerge w:val="continue"/>
            <w:noWrap w:val="0"/>
            <w:vAlign w:val="top"/>
          </w:tcPr>
          <w:p>
            <w:pPr>
              <w:autoSpaceDE w:val="0"/>
              <w:autoSpaceDN w:val="0"/>
              <w:adjustRightInd w:val="0"/>
              <w:jc w:val="center"/>
              <w:rPr>
                <w:rFonts w:hint="eastAsia" w:ascii="仿宋" w:hAnsi="仿宋" w:eastAsia="仿宋" w:cs="仿宋"/>
                <w:color w:val="000000"/>
                <w:kern w:val="0"/>
                <w:sz w:val="18"/>
                <w:szCs w:val="18"/>
              </w:rPr>
            </w:pPr>
          </w:p>
        </w:tc>
        <w:tc>
          <w:tcPr>
            <w:tcW w:w="2134" w:type="dxa"/>
            <w:noWrap w:val="0"/>
            <w:vAlign w:val="center"/>
          </w:tcPr>
          <w:p>
            <w:pPr>
              <w:autoSpaceDE w:val="0"/>
              <w:autoSpaceDN w:val="0"/>
              <w:adjustRightIn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投标报价＝经评审的最低投标价</w:t>
            </w:r>
          </w:p>
        </w:tc>
        <w:tc>
          <w:tcPr>
            <w:tcW w:w="2376" w:type="dxa"/>
            <w:noWrap w:val="0"/>
            <w:vAlign w:val="center"/>
          </w:tcPr>
          <w:p>
            <w:pPr>
              <w:autoSpaceDE w:val="0"/>
              <w:autoSpaceDN w:val="0"/>
              <w:adjustRightIn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100</w:t>
            </w:r>
          </w:p>
        </w:tc>
        <w:tc>
          <w:tcPr>
            <w:tcW w:w="4017" w:type="dxa"/>
            <w:vMerge w:val="continue"/>
            <w:noWrap w:val="0"/>
            <w:vAlign w:val="top"/>
          </w:tcPr>
          <w:p>
            <w:pPr>
              <w:autoSpaceDE w:val="0"/>
              <w:autoSpaceDN w:val="0"/>
              <w:adjustRightIn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995" w:type="dxa"/>
            <w:vMerge w:val="continue"/>
            <w:noWrap w:val="0"/>
            <w:vAlign w:val="top"/>
          </w:tcPr>
          <w:p>
            <w:pPr>
              <w:autoSpaceDE w:val="0"/>
              <w:autoSpaceDN w:val="0"/>
              <w:adjustRightInd w:val="0"/>
              <w:jc w:val="center"/>
              <w:rPr>
                <w:rFonts w:hint="eastAsia" w:ascii="仿宋" w:hAnsi="仿宋" w:eastAsia="仿宋" w:cs="仿宋"/>
                <w:color w:val="000000"/>
                <w:kern w:val="0"/>
                <w:sz w:val="18"/>
                <w:szCs w:val="18"/>
              </w:rPr>
            </w:pPr>
          </w:p>
        </w:tc>
        <w:tc>
          <w:tcPr>
            <w:tcW w:w="2134" w:type="dxa"/>
            <w:noWrap w:val="0"/>
            <w:vAlign w:val="center"/>
          </w:tcPr>
          <w:p>
            <w:pPr>
              <w:autoSpaceDE w:val="0"/>
              <w:autoSpaceDN w:val="0"/>
              <w:adjustRightIn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经评审的最低投标价＜投标报价≤基准价</w:t>
            </w:r>
          </w:p>
        </w:tc>
        <w:tc>
          <w:tcPr>
            <w:tcW w:w="2376" w:type="dxa"/>
            <w:noWrap w:val="0"/>
            <w:vAlign w:val="center"/>
          </w:tcPr>
          <w:p>
            <w:pPr>
              <w:autoSpaceDE w:val="0"/>
              <w:autoSpaceDN w:val="0"/>
              <w:adjustRightIn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100-0.5×100L3</w:t>
            </w:r>
          </w:p>
        </w:tc>
        <w:tc>
          <w:tcPr>
            <w:tcW w:w="4017" w:type="dxa"/>
            <w:vMerge w:val="continue"/>
            <w:noWrap w:val="0"/>
            <w:vAlign w:val="top"/>
          </w:tcPr>
          <w:p>
            <w:pPr>
              <w:autoSpaceDE w:val="0"/>
              <w:autoSpaceDN w:val="0"/>
              <w:adjustRightInd w:val="0"/>
              <w:jc w:val="center"/>
              <w:rPr>
                <w:rFonts w:hint="eastAsia" w:ascii="仿宋" w:hAnsi="仿宋" w:eastAsia="仿宋" w:cs="仿宋"/>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5" w:type="dxa"/>
            <w:vMerge w:val="continue"/>
            <w:noWrap w:val="0"/>
            <w:vAlign w:val="top"/>
          </w:tcPr>
          <w:p>
            <w:pPr>
              <w:autoSpaceDE w:val="0"/>
              <w:autoSpaceDN w:val="0"/>
              <w:adjustRightInd w:val="0"/>
              <w:jc w:val="center"/>
              <w:rPr>
                <w:rFonts w:hint="eastAsia" w:ascii="仿宋" w:hAnsi="仿宋" w:eastAsia="仿宋" w:cs="仿宋"/>
                <w:color w:val="000000"/>
                <w:kern w:val="0"/>
                <w:sz w:val="18"/>
                <w:szCs w:val="18"/>
              </w:rPr>
            </w:pPr>
          </w:p>
        </w:tc>
        <w:tc>
          <w:tcPr>
            <w:tcW w:w="2134" w:type="dxa"/>
            <w:noWrap w:val="0"/>
            <w:vAlign w:val="center"/>
          </w:tcPr>
          <w:p>
            <w:pPr>
              <w:autoSpaceDE w:val="0"/>
              <w:autoSpaceDN w:val="0"/>
              <w:adjustRightIn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投标报价＜经评审的最低投标价</w:t>
            </w:r>
          </w:p>
        </w:tc>
        <w:tc>
          <w:tcPr>
            <w:tcW w:w="2376" w:type="dxa"/>
            <w:noWrap w:val="0"/>
            <w:vAlign w:val="center"/>
          </w:tcPr>
          <w:p>
            <w:pPr>
              <w:autoSpaceDE w:val="0"/>
              <w:autoSpaceDN w:val="0"/>
              <w:adjustRightInd w:val="0"/>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0</w:t>
            </w:r>
          </w:p>
        </w:tc>
        <w:tc>
          <w:tcPr>
            <w:tcW w:w="4017" w:type="dxa"/>
            <w:vMerge w:val="continue"/>
            <w:noWrap w:val="0"/>
            <w:vAlign w:val="top"/>
          </w:tcPr>
          <w:p>
            <w:pPr>
              <w:autoSpaceDE w:val="0"/>
              <w:autoSpaceDN w:val="0"/>
              <w:adjustRightInd w:val="0"/>
              <w:jc w:val="center"/>
              <w:rPr>
                <w:rFonts w:hint="eastAsia" w:ascii="仿宋" w:hAnsi="仿宋" w:eastAsia="仿宋" w:cs="仿宋"/>
                <w:color w:val="000000"/>
                <w:kern w:val="0"/>
                <w:sz w:val="18"/>
                <w:szCs w:val="18"/>
              </w:rPr>
            </w:pPr>
          </w:p>
        </w:tc>
      </w:tr>
    </w:tbl>
    <w:p>
      <w:pPr>
        <w:autoSpaceDE w:val="0"/>
        <w:autoSpaceDN w:val="0"/>
        <w:adjustRightInd w:val="0"/>
        <w:jc w:val="center"/>
        <w:rPr>
          <w:rFonts w:hint="eastAsia" w:ascii="仿宋" w:hAnsi="仿宋" w:eastAsia="仿宋" w:cs="仿宋"/>
          <w:color w:val="000000"/>
          <w:kern w:val="0"/>
          <w:sz w:val="18"/>
          <w:szCs w:val="18"/>
        </w:rPr>
      </w:pPr>
    </w:p>
    <w:p>
      <w:pPr>
        <w:pStyle w:val="32"/>
        <w:spacing w:line="600" w:lineRule="exact"/>
        <w:ind w:left="360" w:hanging="360"/>
        <w:outlineLvl w:val="4"/>
        <w:rPr>
          <w:rFonts w:eastAsia="黑体"/>
          <w:bCs/>
          <w:color w:val="000000"/>
          <w:sz w:val="32"/>
          <w:szCs w:val="20"/>
        </w:rPr>
      </w:pPr>
      <w:r>
        <w:rPr>
          <w:color w:val="000000"/>
          <w:sz w:val="18"/>
          <w:szCs w:val="18"/>
        </w:rPr>
        <w:br w:type="page"/>
      </w:r>
      <w:r>
        <w:rPr>
          <w:rFonts w:eastAsia="黑体"/>
          <w:bCs/>
          <w:color w:val="000000"/>
          <w:sz w:val="32"/>
          <w:szCs w:val="20"/>
        </w:rPr>
        <w:t>附表3-8</w:t>
      </w:r>
      <w:r>
        <w:rPr>
          <w:rFonts w:hint="eastAsia" w:eastAsia="黑体"/>
          <w:bCs/>
          <w:color w:val="000000"/>
          <w:sz w:val="32"/>
          <w:szCs w:val="20"/>
        </w:rPr>
        <w:t>（1）</w:t>
      </w:r>
      <w:r>
        <w:rPr>
          <w:rFonts w:eastAsia="黑体"/>
          <w:bCs/>
          <w:color w:val="000000"/>
          <w:sz w:val="32"/>
          <w:szCs w:val="20"/>
        </w:rPr>
        <w:t>：</w:t>
      </w:r>
      <w:r>
        <w:rPr>
          <w:rFonts w:hint="eastAsia" w:eastAsia="黑体"/>
          <w:bCs/>
          <w:color w:val="000000"/>
          <w:sz w:val="32"/>
          <w:szCs w:val="20"/>
        </w:rPr>
        <w:t>取值表－</w:t>
      </w:r>
      <w:r>
        <w:rPr>
          <w:rFonts w:eastAsia="黑体"/>
          <w:bCs/>
          <w:color w:val="000000"/>
          <w:sz w:val="32"/>
          <w:szCs w:val="20"/>
        </w:rPr>
        <w:t>权数取值表</w:t>
      </w:r>
    </w:p>
    <w:p>
      <w:pPr>
        <w:spacing w:line="600" w:lineRule="exact"/>
        <w:jc w:val="center"/>
        <w:rPr>
          <w:rFonts w:eastAsia="方正小标宋_GBK"/>
          <w:b/>
          <w:color w:val="000000"/>
          <w:sz w:val="36"/>
          <w:szCs w:val="36"/>
        </w:rPr>
      </w:pPr>
    </w:p>
    <w:p>
      <w:pPr>
        <w:spacing w:line="600" w:lineRule="exact"/>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权数取值表</w:t>
      </w:r>
    </w:p>
    <w:p>
      <w:pPr>
        <w:spacing w:line="600" w:lineRule="exact"/>
        <w:jc w:val="center"/>
        <w:rPr>
          <w:rFonts w:eastAsia="方正小标宋_GBK"/>
          <w:b/>
          <w:color w:val="000000"/>
          <w:sz w:val="36"/>
          <w:szCs w:val="36"/>
        </w:rPr>
      </w:pPr>
    </w:p>
    <w:tbl>
      <w:tblPr>
        <w:tblStyle w:val="47"/>
        <w:tblW w:w="9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3057"/>
        <w:gridCol w:w="2127"/>
        <w:gridCol w:w="2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09" w:hRule="exact"/>
          <w:jc w:val="center"/>
        </w:trPr>
        <w:tc>
          <w:tcPr>
            <w:tcW w:w="1090" w:type="dxa"/>
            <w:vMerge w:val="restart"/>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序号</w:t>
            </w:r>
          </w:p>
        </w:tc>
        <w:tc>
          <w:tcPr>
            <w:tcW w:w="3057" w:type="dxa"/>
            <w:vMerge w:val="restart"/>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项     目</w:t>
            </w:r>
          </w:p>
        </w:tc>
        <w:tc>
          <w:tcPr>
            <w:tcW w:w="2127" w:type="dxa"/>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权        数</w:t>
            </w:r>
          </w:p>
        </w:tc>
        <w:tc>
          <w:tcPr>
            <w:tcW w:w="2820" w:type="dxa"/>
            <w:vMerge w:val="restart"/>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具体权数取值</w:t>
            </w:r>
          </w:p>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（招标人填写）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exact"/>
          <w:jc w:val="center"/>
        </w:trPr>
        <w:tc>
          <w:tcPr>
            <w:tcW w:w="1090" w:type="dxa"/>
            <w:vMerge w:val="continue"/>
            <w:noWrap w:val="0"/>
            <w:vAlign w:val="center"/>
          </w:tcPr>
          <w:p>
            <w:pPr>
              <w:jc w:val="center"/>
              <w:rPr>
                <w:rFonts w:hint="eastAsia" w:ascii="仿宋" w:hAnsi="仿宋" w:eastAsia="仿宋" w:cs="仿宋"/>
                <w:color w:val="000000"/>
                <w:sz w:val="24"/>
                <w:szCs w:val="21"/>
              </w:rPr>
            </w:pPr>
          </w:p>
        </w:tc>
        <w:tc>
          <w:tcPr>
            <w:tcW w:w="3057" w:type="dxa"/>
            <w:vMerge w:val="continue"/>
            <w:noWrap w:val="0"/>
            <w:vAlign w:val="center"/>
          </w:tcPr>
          <w:p>
            <w:pPr>
              <w:jc w:val="center"/>
              <w:rPr>
                <w:rFonts w:hint="eastAsia" w:ascii="仿宋" w:hAnsi="仿宋" w:eastAsia="仿宋" w:cs="仿宋"/>
                <w:color w:val="000000"/>
                <w:sz w:val="24"/>
                <w:szCs w:val="21"/>
              </w:rPr>
            </w:pPr>
          </w:p>
        </w:tc>
        <w:tc>
          <w:tcPr>
            <w:tcW w:w="2127" w:type="dxa"/>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综合评估法</w:t>
            </w:r>
          </w:p>
        </w:tc>
        <w:tc>
          <w:tcPr>
            <w:tcW w:w="2820" w:type="dxa"/>
            <w:vMerge w:val="continue"/>
            <w:noWrap w:val="0"/>
            <w:vAlign w:val="center"/>
          </w:tcPr>
          <w:p>
            <w:pPr>
              <w:jc w:val="center"/>
              <w:rPr>
                <w:rFonts w:hint="eastAsia" w:ascii="仿宋" w:hAnsi="仿宋" w:eastAsia="仿宋" w:cs="仿宋"/>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exact"/>
          <w:jc w:val="center"/>
        </w:trPr>
        <w:tc>
          <w:tcPr>
            <w:tcW w:w="1090" w:type="dxa"/>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1</w:t>
            </w:r>
          </w:p>
        </w:tc>
        <w:tc>
          <w:tcPr>
            <w:tcW w:w="3057" w:type="dxa"/>
            <w:noWrap w:val="0"/>
            <w:vAlign w:val="center"/>
          </w:tcPr>
          <w:p>
            <w:pPr>
              <w:rPr>
                <w:rFonts w:hint="eastAsia" w:ascii="仿宋" w:hAnsi="仿宋" w:eastAsia="仿宋" w:cs="仿宋"/>
                <w:color w:val="000000"/>
                <w:sz w:val="24"/>
                <w:szCs w:val="21"/>
              </w:rPr>
            </w:pPr>
            <w:r>
              <w:rPr>
                <w:rFonts w:hint="eastAsia" w:ascii="仿宋" w:hAnsi="仿宋" w:eastAsia="仿宋" w:cs="仿宋"/>
                <w:color w:val="000000"/>
                <w:sz w:val="24"/>
                <w:szCs w:val="21"/>
              </w:rPr>
              <w:t>信誉等其他评分因素（K</w:t>
            </w:r>
            <w:r>
              <w:rPr>
                <w:rFonts w:hint="eastAsia" w:ascii="仿宋" w:hAnsi="仿宋" w:eastAsia="仿宋" w:cs="仿宋"/>
                <w:color w:val="000000"/>
                <w:sz w:val="24"/>
                <w:szCs w:val="21"/>
                <w:vertAlign w:val="subscript"/>
              </w:rPr>
              <w:t>2</w:t>
            </w:r>
            <w:r>
              <w:rPr>
                <w:rFonts w:hint="eastAsia" w:ascii="仿宋" w:hAnsi="仿宋" w:eastAsia="仿宋" w:cs="仿宋"/>
                <w:color w:val="000000"/>
                <w:sz w:val="24"/>
                <w:szCs w:val="21"/>
              </w:rPr>
              <w:t>）</w:t>
            </w:r>
          </w:p>
        </w:tc>
        <w:tc>
          <w:tcPr>
            <w:tcW w:w="2127" w:type="dxa"/>
            <w:noWrap w:val="0"/>
            <w:vAlign w:val="center"/>
          </w:tcPr>
          <w:p>
            <w:pPr>
              <w:jc w:val="center"/>
              <w:rPr>
                <w:rFonts w:ascii="仿宋" w:hAnsi="仿宋" w:eastAsia="仿宋" w:cs="仿宋"/>
                <w:color w:val="000000"/>
                <w:sz w:val="24"/>
                <w:szCs w:val="21"/>
              </w:rPr>
            </w:pPr>
            <w:r>
              <w:rPr>
                <w:rFonts w:hint="eastAsia" w:ascii="仿宋" w:hAnsi="仿宋" w:eastAsia="仿宋" w:cs="仿宋"/>
                <w:color w:val="000000"/>
                <w:sz w:val="24"/>
                <w:szCs w:val="21"/>
              </w:rPr>
              <w:t>0.05～0.2</w:t>
            </w:r>
          </w:p>
        </w:tc>
        <w:tc>
          <w:tcPr>
            <w:tcW w:w="2820" w:type="dxa"/>
            <w:noWrap w:val="0"/>
            <w:vAlign w:val="center"/>
          </w:tcPr>
          <w:p>
            <w:pPr>
              <w:jc w:val="center"/>
              <w:rPr>
                <w:rFonts w:hint="eastAsia" w:ascii="仿宋" w:hAnsi="仿宋" w:eastAsia="仿宋" w:cs="仿宋"/>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exact"/>
          <w:jc w:val="center"/>
        </w:trPr>
        <w:tc>
          <w:tcPr>
            <w:tcW w:w="1090" w:type="dxa"/>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2</w:t>
            </w:r>
          </w:p>
        </w:tc>
        <w:tc>
          <w:tcPr>
            <w:tcW w:w="3057" w:type="dxa"/>
            <w:noWrap w:val="0"/>
            <w:vAlign w:val="center"/>
          </w:tcPr>
          <w:p>
            <w:pPr>
              <w:rPr>
                <w:rFonts w:hint="eastAsia" w:ascii="仿宋" w:hAnsi="仿宋" w:eastAsia="仿宋" w:cs="仿宋"/>
                <w:color w:val="000000"/>
                <w:sz w:val="24"/>
                <w:szCs w:val="21"/>
              </w:rPr>
            </w:pPr>
            <w:r>
              <w:rPr>
                <w:rFonts w:hint="eastAsia" w:ascii="仿宋" w:hAnsi="仿宋" w:eastAsia="仿宋" w:cs="仿宋"/>
                <w:color w:val="000000"/>
                <w:sz w:val="24"/>
                <w:szCs w:val="21"/>
              </w:rPr>
              <w:t>投标报价（K</w:t>
            </w:r>
            <w:r>
              <w:rPr>
                <w:rFonts w:hint="eastAsia" w:ascii="仿宋" w:hAnsi="仿宋" w:eastAsia="仿宋" w:cs="仿宋"/>
                <w:color w:val="000000"/>
                <w:sz w:val="24"/>
                <w:szCs w:val="21"/>
                <w:vertAlign w:val="subscript"/>
              </w:rPr>
              <w:t>3</w:t>
            </w:r>
            <w:r>
              <w:rPr>
                <w:rFonts w:hint="eastAsia" w:ascii="仿宋" w:hAnsi="仿宋" w:eastAsia="仿宋" w:cs="仿宋"/>
                <w:color w:val="000000"/>
                <w:sz w:val="24"/>
                <w:szCs w:val="21"/>
              </w:rPr>
              <w:t>）</w:t>
            </w:r>
          </w:p>
        </w:tc>
        <w:tc>
          <w:tcPr>
            <w:tcW w:w="2127" w:type="dxa"/>
            <w:noWrap w:val="0"/>
            <w:vAlign w:val="center"/>
          </w:tcPr>
          <w:p>
            <w:pPr>
              <w:jc w:val="center"/>
              <w:rPr>
                <w:rFonts w:ascii="仿宋" w:hAnsi="仿宋" w:eastAsia="仿宋" w:cs="仿宋"/>
                <w:color w:val="000000"/>
                <w:sz w:val="24"/>
                <w:szCs w:val="21"/>
              </w:rPr>
            </w:pPr>
            <w:r>
              <w:rPr>
                <w:rFonts w:hint="eastAsia" w:ascii="仿宋" w:hAnsi="仿宋" w:eastAsia="仿宋" w:cs="仿宋"/>
                <w:color w:val="000000"/>
                <w:sz w:val="24"/>
                <w:szCs w:val="21"/>
              </w:rPr>
              <w:t>0.8～0.95</w:t>
            </w:r>
          </w:p>
        </w:tc>
        <w:tc>
          <w:tcPr>
            <w:tcW w:w="2820" w:type="dxa"/>
            <w:noWrap w:val="0"/>
            <w:vAlign w:val="center"/>
          </w:tcPr>
          <w:p>
            <w:pPr>
              <w:jc w:val="center"/>
              <w:rPr>
                <w:rFonts w:hint="eastAsia" w:ascii="仿宋" w:hAnsi="仿宋" w:eastAsia="仿宋" w:cs="仿宋"/>
                <w:color w:val="000000"/>
                <w:sz w:val="24"/>
                <w:szCs w:val="21"/>
              </w:rPr>
            </w:pPr>
          </w:p>
        </w:tc>
      </w:tr>
    </w:tbl>
    <w:p>
      <w:pPr>
        <w:rPr>
          <w:rFonts w:hint="eastAsia" w:ascii="仿宋" w:hAnsi="仿宋" w:eastAsia="仿宋" w:cs="仿宋"/>
          <w:color w:val="000000"/>
        </w:rPr>
      </w:pPr>
    </w:p>
    <w:p>
      <w:pPr>
        <w:pStyle w:val="32"/>
        <w:spacing w:line="600" w:lineRule="exact"/>
        <w:ind w:left="640" w:hanging="640"/>
        <w:outlineLvl w:val="4"/>
        <w:rPr>
          <w:rFonts w:eastAsia="黑体"/>
          <w:bCs/>
          <w:color w:val="000000"/>
          <w:sz w:val="32"/>
          <w:szCs w:val="20"/>
        </w:rPr>
      </w:pPr>
    </w:p>
    <w:p>
      <w:pPr>
        <w:pStyle w:val="32"/>
        <w:spacing w:line="600" w:lineRule="exact"/>
        <w:ind w:left="640" w:hanging="640"/>
        <w:outlineLvl w:val="4"/>
        <w:rPr>
          <w:rFonts w:eastAsia="黑体"/>
          <w:bCs/>
          <w:color w:val="000000"/>
          <w:sz w:val="32"/>
          <w:szCs w:val="20"/>
        </w:rPr>
      </w:pPr>
    </w:p>
    <w:p>
      <w:pPr>
        <w:pStyle w:val="32"/>
        <w:spacing w:line="600" w:lineRule="exact"/>
        <w:ind w:left="640" w:hanging="640"/>
        <w:outlineLvl w:val="4"/>
        <w:rPr>
          <w:rFonts w:eastAsia="黑体"/>
          <w:bCs/>
          <w:color w:val="000000"/>
          <w:sz w:val="32"/>
          <w:szCs w:val="20"/>
        </w:rPr>
      </w:pPr>
    </w:p>
    <w:p>
      <w:pPr>
        <w:pStyle w:val="32"/>
        <w:spacing w:line="600" w:lineRule="exact"/>
        <w:ind w:left="640" w:hanging="640"/>
        <w:outlineLvl w:val="4"/>
        <w:rPr>
          <w:rFonts w:eastAsia="黑体"/>
          <w:bCs/>
          <w:color w:val="000000"/>
          <w:sz w:val="32"/>
          <w:szCs w:val="20"/>
        </w:rPr>
      </w:pPr>
      <w:r>
        <w:rPr>
          <w:rFonts w:eastAsia="黑体"/>
          <w:bCs/>
          <w:color w:val="000000"/>
          <w:sz w:val="32"/>
          <w:szCs w:val="20"/>
        </w:rPr>
        <w:t>附表3-8</w:t>
      </w:r>
      <w:r>
        <w:rPr>
          <w:rFonts w:hint="eastAsia" w:eastAsia="黑体"/>
          <w:bCs/>
          <w:color w:val="000000"/>
          <w:sz w:val="32"/>
          <w:szCs w:val="20"/>
        </w:rPr>
        <w:t>（2）</w:t>
      </w:r>
      <w:r>
        <w:rPr>
          <w:rFonts w:eastAsia="黑体"/>
          <w:bCs/>
          <w:color w:val="000000"/>
          <w:sz w:val="32"/>
          <w:szCs w:val="20"/>
        </w:rPr>
        <w:t>：</w:t>
      </w:r>
      <w:r>
        <w:rPr>
          <w:rFonts w:hint="eastAsia" w:eastAsia="黑体"/>
          <w:bCs/>
          <w:color w:val="000000"/>
          <w:sz w:val="32"/>
          <w:szCs w:val="20"/>
        </w:rPr>
        <w:t>取值表－P</w:t>
      </w:r>
      <w:r>
        <w:rPr>
          <w:rFonts w:eastAsia="黑体"/>
          <w:bCs/>
          <w:color w:val="000000"/>
          <w:sz w:val="32"/>
          <w:szCs w:val="20"/>
        </w:rPr>
        <w:t>值表</w:t>
      </w:r>
    </w:p>
    <w:p>
      <w:pPr>
        <w:spacing w:line="600" w:lineRule="exact"/>
        <w:jc w:val="center"/>
        <w:rPr>
          <w:rFonts w:hint="eastAsia" w:eastAsia="方正小标宋_GBK"/>
          <w:b/>
          <w:color w:val="000000"/>
          <w:sz w:val="36"/>
          <w:szCs w:val="36"/>
        </w:rPr>
      </w:pPr>
    </w:p>
    <w:p>
      <w:pPr>
        <w:spacing w:line="600" w:lineRule="exact"/>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P值表</w:t>
      </w:r>
    </w:p>
    <w:p>
      <w:pPr>
        <w:spacing w:line="600" w:lineRule="exact"/>
        <w:jc w:val="center"/>
        <w:rPr>
          <w:rFonts w:eastAsia="方正小标宋_GBK"/>
          <w:b/>
          <w:color w:val="000000"/>
          <w:sz w:val="36"/>
          <w:szCs w:val="36"/>
        </w:rPr>
      </w:pPr>
    </w:p>
    <w:tbl>
      <w:tblPr>
        <w:tblStyle w:val="47"/>
        <w:tblW w:w="9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3057"/>
        <w:gridCol w:w="2127"/>
        <w:gridCol w:w="2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exact"/>
          <w:jc w:val="center"/>
        </w:trPr>
        <w:tc>
          <w:tcPr>
            <w:tcW w:w="1090" w:type="dxa"/>
            <w:vMerge w:val="restart"/>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序号</w:t>
            </w:r>
          </w:p>
        </w:tc>
        <w:tc>
          <w:tcPr>
            <w:tcW w:w="3057" w:type="dxa"/>
            <w:vMerge w:val="restart"/>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项     目</w:t>
            </w:r>
          </w:p>
        </w:tc>
        <w:tc>
          <w:tcPr>
            <w:tcW w:w="2127" w:type="dxa"/>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权        数</w:t>
            </w:r>
          </w:p>
        </w:tc>
        <w:tc>
          <w:tcPr>
            <w:tcW w:w="2820" w:type="dxa"/>
            <w:vMerge w:val="restart"/>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具体权数取值</w:t>
            </w:r>
          </w:p>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（招标人填写）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09" w:hRule="exact"/>
          <w:jc w:val="center"/>
        </w:trPr>
        <w:tc>
          <w:tcPr>
            <w:tcW w:w="1090" w:type="dxa"/>
            <w:vMerge w:val="continue"/>
            <w:noWrap w:val="0"/>
            <w:vAlign w:val="center"/>
          </w:tcPr>
          <w:p>
            <w:pPr>
              <w:jc w:val="center"/>
              <w:rPr>
                <w:rFonts w:hint="eastAsia" w:ascii="仿宋" w:hAnsi="仿宋" w:eastAsia="仿宋" w:cs="仿宋"/>
                <w:color w:val="000000"/>
                <w:sz w:val="24"/>
                <w:szCs w:val="21"/>
              </w:rPr>
            </w:pPr>
          </w:p>
        </w:tc>
        <w:tc>
          <w:tcPr>
            <w:tcW w:w="3057" w:type="dxa"/>
            <w:vMerge w:val="continue"/>
            <w:noWrap w:val="0"/>
            <w:vAlign w:val="center"/>
          </w:tcPr>
          <w:p>
            <w:pPr>
              <w:jc w:val="center"/>
              <w:rPr>
                <w:rFonts w:hint="eastAsia" w:ascii="仿宋" w:hAnsi="仿宋" w:eastAsia="仿宋" w:cs="仿宋"/>
                <w:color w:val="000000"/>
                <w:sz w:val="24"/>
                <w:szCs w:val="21"/>
              </w:rPr>
            </w:pPr>
          </w:p>
        </w:tc>
        <w:tc>
          <w:tcPr>
            <w:tcW w:w="2127" w:type="dxa"/>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综合评估法</w:t>
            </w:r>
          </w:p>
        </w:tc>
        <w:tc>
          <w:tcPr>
            <w:tcW w:w="2820" w:type="dxa"/>
            <w:vMerge w:val="continue"/>
            <w:noWrap w:val="0"/>
            <w:vAlign w:val="center"/>
          </w:tcPr>
          <w:p>
            <w:pPr>
              <w:jc w:val="center"/>
              <w:rPr>
                <w:rFonts w:hint="eastAsia" w:ascii="仿宋" w:hAnsi="仿宋" w:eastAsia="仿宋" w:cs="仿宋"/>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exact"/>
          <w:jc w:val="center"/>
        </w:trPr>
        <w:tc>
          <w:tcPr>
            <w:tcW w:w="1090" w:type="dxa"/>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1</w:t>
            </w:r>
          </w:p>
        </w:tc>
        <w:tc>
          <w:tcPr>
            <w:tcW w:w="3057" w:type="dxa"/>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rPr>
              <w:t>P 值</w:t>
            </w:r>
          </w:p>
        </w:tc>
        <w:tc>
          <w:tcPr>
            <w:tcW w:w="2127" w:type="dxa"/>
            <w:noWrap w:val="0"/>
            <w:vAlign w:val="center"/>
          </w:tcPr>
          <w:p>
            <w:pPr>
              <w:spacing w:line="600" w:lineRule="exact"/>
              <w:jc w:val="center"/>
              <w:rPr>
                <w:rFonts w:eastAsia="方正小标宋_GBK"/>
                <w:b/>
                <w:color w:val="000000"/>
                <w:sz w:val="36"/>
                <w:szCs w:val="36"/>
              </w:rPr>
            </w:pPr>
            <w:r>
              <w:rPr>
                <w:rFonts w:hint="eastAsia" w:ascii="仿宋" w:hAnsi="仿宋" w:eastAsia="仿宋" w:cs="仿宋"/>
                <w:color w:val="000000"/>
                <w:sz w:val="24"/>
              </w:rPr>
              <w:t>4≤P≤6</w:t>
            </w:r>
          </w:p>
          <w:p>
            <w:pPr>
              <w:spacing w:line="600" w:lineRule="exact"/>
              <w:jc w:val="center"/>
              <w:rPr>
                <w:rFonts w:eastAsia="方正小标宋_GBK"/>
                <w:b/>
                <w:color w:val="000000"/>
                <w:sz w:val="36"/>
                <w:szCs w:val="36"/>
              </w:rPr>
            </w:pPr>
          </w:p>
          <w:tbl>
            <w:tblPr>
              <w:tblStyle w:val="47"/>
              <w:tblW w:w="9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3057"/>
              <w:gridCol w:w="2127"/>
              <w:gridCol w:w="2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exact"/>
                <w:jc w:val="center"/>
              </w:trPr>
              <w:tc>
                <w:tcPr>
                  <w:tcW w:w="1090" w:type="dxa"/>
                  <w:vMerge w:val="restart"/>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序号</w:t>
                  </w:r>
                </w:p>
              </w:tc>
              <w:tc>
                <w:tcPr>
                  <w:tcW w:w="3057" w:type="dxa"/>
                  <w:vMerge w:val="restart"/>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项     目</w:t>
                  </w:r>
                </w:p>
              </w:tc>
              <w:tc>
                <w:tcPr>
                  <w:tcW w:w="2127" w:type="dxa"/>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权        数</w:t>
                  </w:r>
                </w:p>
              </w:tc>
              <w:tc>
                <w:tcPr>
                  <w:tcW w:w="2820" w:type="dxa"/>
                  <w:vMerge w:val="restart"/>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具体权数取值</w:t>
                  </w:r>
                </w:p>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（招标人填写）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exact"/>
                <w:jc w:val="center"/>
              </w:trPr>
              <w:tc>
                <w:tcPr>
                  <w:tcW w:w="1090" w:type="dxa"/>
                  <w:vMerge w:val="continue"/>
                  <w:noWrap w:val="0"/>
                  <w:vAlign w:val="center"/>
                </w:tcPr>
                <w:p>
                  <w:pPr>
                    <w:jc w:val="center"/>
                    <w:rPr>
                      <w:rFonts w:hint="eastAsia" w:ascii="仿宋" w:hAnsi="仿宋" w:eastAsia="仿宋" w:cs="仿宋"/>
                      <w:color w:val="000000"/>
                      <w:sz w:val="24"/>
                      <w:szCs w:val="21"/>
                    </w:rPr>
                  </w:pPr>
                </w:p>
              </w:tc>
              <w:tc>
                <w:tcPr>
                  <w:tcW w:w="3057" w:type="dxa"/>
                  <w:vMerge w:val="continue"/>
                  <w:noWrap w:val="0"/>
                  <w:vAlign w:val="center"/>
                </w:tcPr>
                <w:p>
                  <w:pPr>
                    <w:jc w:val="center"/>
                    <w:rPr>
                      <w:rFonts w:hint="eastAsia" w:ascii="仿宋" w:hAnsi="仿宋" w:eastAsia="仿宋" w:cs="仿宋"/>
                      <w:color w:val="000000"/>
                      <w:sz w:val="24"/>
                      <w:szCs w:val="21"/>
                    </w:rPr>
                  </w:pPr>
                </w:p>
              </w:tc>
              <w:tc>
                <w:tcPr>
                  <w:tcW w:w="2127" w:type="dxa"/>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综合评估法</w:t>
                  </w:r>
                </w:p>
              </w:tc>
              <w:tc>
                <w:tcPr>
                  <w:tcW w:w="2820" w:type="dxa"/>
                  <w:vMerge w:val="continue"/>
                  <w:noWrap w:val="0"/>
                  <w:vAlign w:val="center"/>
                </w:tcPr>
                <w:p>
                  <w:pPr>
                    <w:jc w:val="center"/>
                    <w:rPr>
                      <w:rFonts w:hint="eastAsia" w:ascii="仿宋" w:hAnsi="仿宋" w:eastAsia="仿宋" w:cs="仿宋"/>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exact"/>
                <w:jc w:val="center"/>
              </w:trPr>
              <w:tc>
                <w:tcPr>
                  <w:tcW w:w="1090" w:type="dxa"/>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1</w:t>
                  </w:r>
                </w:p>
              </w:tc>
              <w:tc>
                <w:tcPr>
                  <w:tcW w:w="3057" w:type="dxa"/>
                  <w:noWrap w:val="0"/>
                  <w:vAlign w:val="center"/>
                </w:tcPr>
                <w:p>
                  <w:pPr>
                    <w:rPr>
                      <w:rFonts w:hint="eastAsia" w:ascii="仿宋" w:hAnsi="仿宋" w:eastAsia="仿宋" w:cs="仿宋"/>
                      <w:color w:val="000000"/>
                      <w:sz w:val="24"/>
                      <w:szCs w:val="21"/>
                    </w:rPr>
                  </w:pPr>
                  <w:r>
                    <w:rPr>
                      <w:rFonts w:hint="eastAsia" w:ascii="仿宋" w:hAnsi="仿宋" w:eastAsia="仿宋" w:cs="仿宋"/>
                      <w:color w:val="000000"/>
                      <w:sz w:val="24"/>
                      <w:szCs w:val="21"/>
                    </w:rPr>
                    <w:t>信誉等其他评分因素（K</w:t>
                  </w:r>
                  <w:r>
                    <w:rPr>
                      <w:rFonts w:hint="eastAsia" w:ascii="仿宋" w:hAnsi="仿宋" w:eastAsia="仿宋" w:cs="仿宋"/>
                      <w:color w:val="000000"/>
                      <w:sz w:val="24"/>
                      <w:szCs w:val="21"/>
                      <w:vertAlign w:val="subscript"/>
                    </w:rPr>
                    <w:t>2</w:t>
                  </w:r>
                  <w:r>
                    <w:rPr>
                      <w:rFonts w:hint="eastAsia" w:ascii="仿宋" w:hAnsi="仿宋" w:eastAsia="仿宋" w:cs="仿宋"/>
                      <w:color w:val="000000"/>
                      <w:sz w:val="24"/>
                      <w:szCs w:val="21"/>
                    </w:rPr>
                    <w:t>）</w:t>
                  </w:r>
                </w:p>
              </w:tc>
              <w:tc>
                <w:tcPr>
                  <w:tcW w:w="2127" w:type="dxa"/>
                  <w:noWrap w:val="0"/>
                  <w:vAlign w:val="center"/>
                </w:tcPr>
                <w:p>
                  <w:pPr>
                    <w:jc w:val="center"/>
                    <w:rPr>
                      <w:rFonts w:ascii="仿宋" w:hAnsi="仿宋" w:eastAsia="仿宋" w:cs="仿宋"/>
                      <w:color w:val="000000"/>
                      <w:sz w:val="24"/>
                      <w:szCs w:val="21"/>
                    </w:rPr>
                  </w:pPr>
                  <w:r>
                    <w:rPr>
                      <w:rFonts w:hint="eastAsia" w:ascii="仿宋" w:hAnsi="仿宋" w:eastAsia="仿宋" w:cs="仿宋"/>
                      <w:color w:val="000000"/>
                      <w:sz w:val="24"/>
                      <w:szCs w:val="21"/>
                    </w:rPr>
                    <w:t>0.05～0.2</w:t>
                  </w:r>
                </w:p>
              </w:tc>
              <w:tc>
                <w:tcPr>
                  <w:tcW w:w="2820" w:type="dxa"/>
                  <w:noWrap w:val="0"/>
                  <w:vAlign w:val="center"/>
                </w:tcPr>
                <w:p>
                  <w:pPr>
                    <w:jc w:val="center"/>
                    <w:rPr>
                      <w:rFonts w:hint="eastAsia" w:ascii="仿宋" w:hAnsi="仿宋" w:eastAsia="仿宋" w:cs="仿宋"/>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exact"/>
                <w:jc w:val="center"/>
              </w:trPr>
              <w:tc>
                <w:tcPr>
                  <w:tcW w:w="1090" w:type="dxa"/>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2</w:t>
                  </w:r>
                </w:p>
              </w:tc>
              <w:tc>
                <w:tcPr>
                  <w:tcW w:w="3057" w:type="dxa"/>
                  <w:noWrap w:val="0"/>
                  <w:vAlign w:val="center"/>
                </w:tcPr>
                <w:p>
                  <w:pPr>
                    <w:rPr>
                      <w:rFonts w:hint="eastAsia" w:ascii="仿宋" w:hAnsi="仿宋" w:eastAsia="仿宋" w:cs="仿宋"/>
                      <w:color w:val="000000"/>
                      <w:sz w:val="24"/>
                      <w:szCs w:val="21"/>
                    </w:rPr>
                  </w:pPr>
                  <w:r>
                    <w:rPr>
                      <w:rFonts w:hint="eastAsia" w:ascii="仿宋" w:hAnsi="仿宋" w:eastAsia="仿宋" w:cs="仿宋"/>
                      <w:color w:val="000000"/>
                      <w:sz w:val="24"/>
                      <w:szCs w:val="21"/>
                    </w:rPr>
                    <w:t>投标报价（K</w:t>
                  </w:r>
                  <w:r>
                    <w:rPr>
                      <w:rFonts w:hint="eastAsia" w:ascii="仿宋" w:hAnsi="仿宋" w:eastAsia="仿宋" w:cs="仿宋"/>
                      <w:color w:val="000000"/>
                      <w:sz w:val="24"/>
                      <w:szCs w:val="21"/>
                      <w:vertAlign w:val="subscript"/>
                    </w:rPr>
                    <w:t>3</w:t>
                  </w:r>
                  <w:r>
                    <w:rPr>
                      <w:rFonts w:hint="eastAsia" w:ascii="仿宋" w:hAnsi="仿宋" w:eastAsia="仿宋" w:cs="仿宋"/>
                      <w:color w:val="000000"/>
                      <w:sz w:val="24"/>
                      <w:szCs w:val="21"/>
                    </w:rPr>
                    <w:t>）</w:t>
                  </w:r>
                </w:p>
              </w:tc>
              <w:tc>
                <w:tcPr>
                  <w:tcW w:w="2127" w:type="dxa"/>
                  <w:noWrap w:val="0"/>
                  <w:vAlign w:val="center"/>
                </w:tcPr>
                <w:p>
                  <w:pPr>
                    <w:jc w:val="center"/>
                    <w:rPr>
                      <w:rFonts w:ascii="仿宋" w:hAnsi="仿宋" w:eastAsia="仿宋" w:cs="仿宋"/>
                      <w:color w:val="000000"/>
                      <w:sz w:val="24"/>
                      <w:szCs w:val="21"/>
                    </w:rPr>
                  </w:pPr>
                  <w:r>
                    <w:rPr>
                      <w:rFonts w:hint="eastAsia" w:ascii="仿宋" w:hAnsi="仿宋" w:eastAsia="仿宋" w:cs="仿宋"/>
                      <w:color w:val="000000"/>
                      <w:sz w:val="24"/>
                      <w:szCs w:val="21"/>
                    </w:rPr>
                    <w:t>0.8～0.95</w:t>
                  </w:r>
                </w:p>
              </w:tc>
              <w:tc>
                <w:tcPr>
                  <w:tcW w:w="2820" w:type="dxa"/>
                  <w:noWrap w:val="0"/>
                  <w:vAlign w:val="center"/>
                </w:tcPr>
                <w:p>
                  <w:pPr>
                    <w:jc w:val="center"/>
                    <w:rPr>
                      <w:rFonts w:hint="eastAsia" w:ascii="仿宋" w:hAnsi="仿宋" w:eastAsia="仿宋" w:cs="仿宋"/>
                      <w:color w:val="000000"/>
                      <w:sz w:val="24"/>
                      <w:szCs w:val="21"/>
                    </w:rPr>
                  </w:pPr>
                </w:p>
              </w:tc>
            </w:tr>
          </w:tbl>
          <w:p>
            <w:pPr>
              <w:rPr>
                <w:rFonts w:ascii="仿宋" w:hAnsi="仿宋" w:eastAsia="仿宋" w:cs="仿宋"/>
                <w:color w:val="000000"/>
                <w:sz w:val="24"/>
                <w:szCs w:val="21"/>
              </w:rPr>
            </w:pPr>
          </w:p>
        </w:tc>
        <w:tc>
          <w:tcPr>
            <w:tcW w:w="2820" w:type="dxa"/>
            <w:noWrap w:val="0"/>
            <w:vAlign w:val="center"/>
          </w:tcPr>
          <w:p>
            <w:pPr>
              <w:jc w:val="center"/>
              <w:rPr>
                <w:rFonts w:hint="eastAsia" w:ascii="仿宋" w:hAnsi="仿宋" w:eastAsia="仿宋" w:cs="仿宋"/>
                <w:color w:val="000000"/>
                <w:sz w:val="24"/>
                <w:szCs w:val="21"/>
              </w:rPr>
            </w:pPr>
          </w:p>
        </w:tc>
      </w:tr>
    </w:tbl>
    <w:p>
      <w:pPr>
        <w:pStyle w:val="32"/>
        <w:spacing w:line="600" w:lineRule="exact"/>
        <w:ind w:left="420" w:hanging="420"/>
        <w:outlineLvl w:val="4"/>
        <w:rPr>
          <w:rFonts w:eastAsia="黑体"/>
          <w:bCs/>
          <w:color w:val="000000"/>
          <w:sz w:val="32"/>
          <w:szCs w:val="20"/>
        </w:rPr>
      </w:pPr>
      <w:r>
        <w:rPr>
          <w:color w:val="000000"/>
        </w:rPr>
        <w:br w:type="page"/>
      </w:r>
      <w:r>
        <w:rPr>
          <w:rFonts w:eastAsia="黑体"/>
          <w:bCs/>
          <w:color w:val="000000"/>
          <w:sz w:val="32"/>
          <w:szCs w:val="20"/>
        </w:rPr>
        <w:t xml:space="preserve">附表3-9：综合得分计算表 </w:t>
      </w:r>
    </w:p>
    <w:p>
      <w:pPr>
        <w:spacing w:line="560" w:lineRule="exact"/>
        <w:jc w:val="center"/>
        <w:rPr>
          <w:rFonts w:eastAsia="方正小标宋_GBK"/>
          <w:b/>
          <w:color w:val="000000"/>
          <w:sz w:val="44"/>
          <w:szCs w:val="44"/>
        </w:rPr>
      </w:pPr>
    </w:p>
    <w:p>
      <w:pPr>
        <w:spacing w:line="560" w:lineRule="exact"/>
        <w:jc w:val="center"/>
        <w:rPr>
          <w:rFonts w:hint="eastAsia" w:ascii="方正小标宋简体" w:eastAsia="方正小标宋简体"/>
          <w:color w:val="000000"/>
          <w:sz w:val="40"/>
          <w:szCs w:val="44"/>
        </w:rPr>
      </w:pPr>
      <w:r>
        <w:rPr>
          <w:rFonts w:hint="eastAsia" w:ascii="方正小标宋简体" w:eastAsia="方正小标宋简体"/>
          <w:color w:val="000000"/>
          <w:sz w:val="40"/>
          <w:szCs w:val="44"/>
        </w:rPr>
        <w:t>综合得分计算表</w:t>
      </w:r>
    </w:p>
    <w:p>
      <w:pPr>
        <w:spacing w:line="560" w:lineRule="exact"/>
        <w:jc w:val="center"/>
        <w:rPr>
          <w:rFonts w:eastAsia="方正小标宋_GBK"/>
          <w:b/>
          <w:color w:val="000000"/>
          <w:sz w:val="44"/>
          <w:szCs w:val="44"/>
        </w:rPr>
      </w:pPr>
    </w:p>
    <w:p>
      <w:pPr>
        <w:snapToGrid w:val="0"/>
        <w:spacing w:line="560" w:lineRule="exact"/>
        <w:rPr>
          <w:rFonts w:hint="eastAsia" w:ascii="仿宋" w:hAnsi="仿宋" w:eastAsia="仿宋" w:cs="仿宋"/>
          <w:color w:val="000000"/>
          <w:sz w:val="24"/>
          <w:u w:val="single"/>
        </w:rPr>
      </w:pPr>
      <w:r>
        <w:rPr>
          <w:rFonts w:hint="eastAsia" w:ascii="仿宋" w:hAnsi="仿宋" w:eastAsia="仿宋" w:cs="仿宋"/>
          <w:color w:val="000000"/>
          <w:sz w:val="24"/>
        </w:rPr>
        <w:t>项目名称：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（标段名称）</w:t>
      </w:r>
      <w:r>
        <w:rPr>
          <w:rFonts w:hint="eastAsia" w:ascii="仿宋" w:hAnsi="仿宋" w:eastAsia="仿宋" w:cs="仿宋"/>
          <w:color w:val="000000"/>
          <w:sz w:val="24"/>
          <w:u w:val="single"/>
        </w:rPr>
        <w:t xml:space="preserve">                      </w:t>
      </w:r>
    </w:p>
    <w:p>
      <w:pPr>
        <w:snapToGrid w:val="0"/>
        <w:spacing w:line="560" w:lineRule="exact"/>
        <w:rPr>
          <w:rFonts w:hint="eastAsia" w:ascii="仿宋" w:hAnsi="仿宋" w:eastAsia="仿宋" w:cs="仿宋"/>
          <w:color w:val="000000"/>
          <w:sz w:val="24"/>
        </w:rPr>
      </w:pPr>
      <w:r>
        <w:rPr>
          <w:rFonts w:hint="eastAsia" w:ascii="仿宋" w:hAnsi="仿宋" w:eastAsia="仿宋" w:cs="仿宋"/>
          <w:color w:val="000000"/>
          <w:sz w:val="24"/>
        </w:rPr>
        <w:t>项目管理编号：</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tbl>
      <w:tblPr>
        <w:tblStyle w:val="47"/>
        <w:tblW w:w="908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42"/>
        <w:gridCol w:w="3118"/>
        <w:gridCol w:w="1276"/>
        <w:gridCol w:w="1134"/>
        <w:gridCol w:w="14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60" w:type="dxa"/>
            <w:gridSpan w:val="2"/>
            <w:vMerge w:val="restart"/>
            <w:tcBorders>
              <w:top w:val="single" w:color="auto" w:sz="4" w:space="0"/>
              <w:left w:val="single" w:color="auto" w:sz="4" w:space="0"/>
              <w:bottom w:val="single" w:color="auto" w:sz="4" w:space="0"/>
              <w:right w:val="single" w:color="auto" w:sz="4" w:space="0"/>
              <w:tl2br w:val="single" w:color="auto" w:sz="6" w:space="0"/>
            </w:tcBorders>
            <w:noWrap w:val="0"/>
            <w:vAlign w:val="center"/>
          </w:tcPr>
          <w:p>
            <w:pPr>
              <w:ind w:left="210" w:leftChars="100" w:firstLine="3600" w:firstLineChars="1500"/>
              <w:jc w:val="left"/>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投标单位</w:t>
            </w:r>
          </w:p>
          <w:p>
            <w:pPr>
              <w:ind w:firstLine="960" w:firstLineChars="400"/>
              <w:jc w:val="left"/>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项  目</w:t>
            </w:r>
          </w:p>
        </w:tc>
        <w:tc>
          <w:tcPr>
            <w:tcW w:w="3827"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投标人名称及评审计分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60" w:type="dxa"/>
            <w:gridSpan w:val="2"/>
            <w:vMerge w:val="continue"/>
            <w:tcBorders>
              <w:top w:val="single" w:color="auto" w:sz="4" w:space="0"/>
              <w:left w:val="single" w:color="auto" w:sz="4" w:space="0"/>
              <w:bottom w:val="single" w:color="auto" w:sz="4" w:space="0"/>
              <w:right w:val="single" w:color="auto" w:sz="4" w:space="0"/>
              <w:tl2br w:val="single" w:color="auto" w:sz="6" w:space="0"/>
            </w:tcBorders>
            <w:noWrap w:val="0"/>
            <w:vAlign w:val="center"/>
          </w:tcPr>
          <w:p>
            <w:pPr>
              <w:jc w:val="left"/>
              <w:rPr>
                <w:rFonts w:hint="eastAsia" w:ascii="仿宋" w:hAnsi="仿宋" w:eastAsia="仿宋" w:cs="仿宋"/>
                <w:color w:val="000000"/>
                <w:kern w:val="0"/>
                <w:sz w:val="24"/>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1</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2</w:t>
            </w:r>
          </w:p>
        </w:tc>
        <w:tc>
          <w:tcPr>
            <w:tcW w:w="141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60" w:type="dxa"/>
            <w:gridSpan w:val="2"/>
            <w:vMerge w:val="continue"/>
            <w:tcBorders>
              <w:top w:val="single" w:color="auto" w:sz="4" w:space="0"/>
              <w:left w:val="single" w:color="auto" w:sz="4" w:space="0"/>
              <w:bottom w:val="single" w:color="auto" w:sz="4" w:space="0"/>
              <w:right w:val="single" w:color="auto" w:sz="4" w:space="0"/>
              <w:tl2br w:val="single" w:color="auto" w:sz="6" w:space="0"/>
            </w:tcBorders>
            <w:noWrap w:val="0"/>
            <w:vAlign w:val="center"/>
          </w:tcPr>
          <w:p>
            <w:pPr>
              <w:jc w:val="left"/>
              <w:rPr>
                <w:rFonts w:hint="eastAsia" w:ascii="仿宋" w:hAnsi="仿宋" w:eastAsia="仿宋" w:cs="仿宋"/>
                <w:color w:val="000000"/>
                <w:kern w:val="0"/>
                <w:sz w:val="24"/>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42"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1.信誉等其他评分</w:t>
            </w:r>
          </w:p>
          <w:p>
            <w:pPr>
              <w:jc w:val="center"/>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（基本分100分）</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得分（A）</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42"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000000"/>
                <w:kern w:val="0"/>
                <w:sz w:val="24"/>
                <w:szCs w:val="21"/>
              </w:rPr>
            </w:pP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加权得分（A╳K</w:t>
            </w:r>
            <w:r>
              <w:rPr>
                <w:rFonts w:hint="eastAsia" w:ascii="仿宋" w:hAnsi="仿宋" w:eastAsia="仿宋" w:cs="仿宋"/>
                <w:color w:val="000000"/>
                <w:kern w:val="0"/>
                <w:sz w:val="24"/>
                <w:szCs w:val="21"/>
                <w:vertAlign w:val="subscript"/>
              </w:rPr>
              <w:t>2</w:t>
            </w:r>
            <w:r>
              <w:rPr>
                <w:rFonts w:hint="eastAsia" w:ascii="仿宋" w:hAnsi="仿宋" w:eastAsia="仿宋" w:cs="仿宋"/>
                <w:color w:val="000000"/>
                <w:kern w:val="0"/>
                <w:sz w:val="24"/>
                <w:szCs w:val="21"/>
              </w:rPr>
              <w:t>）</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right"/>
              <w:rPr>
                <w:rFonts w:hint="eastAsia" w:ascii="仿宋" w:hAnsi="仿宋" w:eastAsia="仿宋" w:cs="仿宋"/>
                <w:i/>
                <w:iCs/>
                <w:color w:val="000000"/>
                <w:kern w:val="0"/>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right"/>
              <w:rPr>
                <w:rFonts w:hint="eastAsia" w:ascii="仿宋" w:hAnsi="仿宋" w:eastAsia="仿宋" w:cs="仿宋"/>
                <w:i/>
                <w:iCs/>
                <w:color w:val="000000"/>
                <w:kern w:val="0"/>
                <w:sz w:val="24"/>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jc w:val="right"/>
              <w:rPr>
                <w:rFonts w:hint="eastAsia" w:ascii="仿宋" w:hAnsi="仿宋" w:eastAsia="仿宋" w:cs="仿宋"/>
                <w:i/>
                <w:iCs/>
                <w:color w:val="000000"/>
                <w:kern w:val="0"/>
                <w:sz w:val="2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42"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2.投标报价</w:t>
            </w:r>
          </w:p>
          <w:p>
            <w:pPr>
              <w:jc w:val="left"/>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（基本分100分）</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总价得分（B）</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right"/>
              <w:rPr>
                <w:rFonts w:hint="eastAsia" w:ascii="仿宋" w:hAnsi="仿宋" w:eastAsia="仿宋" w:cs="仿宋"/>
                <w:i/>
                <w:iCs/>
                <w:color w:val="000000"/>
                <w:kern w:val="0"/>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right"/>
              <w:rPr>
                <w:rFonts w:hint="eastAsia" w:ascii="仿宋" w:hAnsi="仿宋" w:eastAsia="仿宋" w:cs="仿宋"/>
                <w:i/>
                <w:iCs/>
                <w:color w:val="000000"/>
                <w:kern w:val="0"/>
                <w:sz w:val="24"/>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jc w:val="right"/>
              <w:rPr>
                <w:rFonts w:hint="eastAsia" w:ascii="仿宋" w:hAnsi="仿宋" w:eastAsia="仿宋" w:cs="仿宋"/>
                <w:i/>
                <w:iCs/>
                <w:color w:val="000000"/>
                <w:kern w:val="0"/>
                <w:sz w:val="2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42"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color w:val="000000"/>
                <w:kern w:val="0"/>
                <w:sz w:val="24"/>
                <w:szCs w:val="21"/>
              </w:rPr>
            </w:pPr>
          </w:p>
        </w:tc>
        <w:tc>
          <w:tcPr>
            <w:tcW w:w="31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加权得分（B╳K</w:t>
            </w:r>
            <w:r>
              <w:rPr>
                <w:rFonts w:hint="eastAsia" w:ascii="仿宋" w:hAnsi="仿宋" w:eastAsia="仿宋" w:cs="仿宋"/>
                <w:color w:val="000000"/>
                <w:kern w:val="0"/>
                <w:sz w:val="24"/>
                <w:szCs w:val="21"/>
                <w:vertAlign w:val="subscript"/>
              </w:rPr>
              <w:t>3</w:t>
            </w:r>
            <w:r>
              <w:rPr>
                <w:rFonts w:hint="eastAsia" w:ascii="仿宋" w:hAnsi="仿宋" w:eastAsia="仿宋" w:cs="仿宋"/>
                <w:color w:val="000000"/>
                <w:kern w:val="0"/>
                <w:sz w:val="24"/>
                <w:szCs w:val="21"/>
              </w:rPr>
              <w:t>）</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right"/>
              <w:rPr>
                <w:rFonts w:hint="eastAsia" w:ascii="仿宋" w:hAnsi="仿宋" w:eastAsia="仿宋" w:cs="仿宋"/>
                <w:i/>
                <w:iCs/>
                <w:color w:val="000000"/>
                <w:kern w:val="0"/>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right"/>
              <w:rPr>
                <w:rFonts w:hint="eastAsia" w:ascii="仿宋" w:hAnsi="仿宋" w:eastAsia="仿宋" w:cs="仿宋"/>
                <w:i/>
                <w:iCs/>
                <w:color w:val="000000"/>
                <w:kern w:val="0"/>
                <w:sz w:val="24"/>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jc w:val="right"/>
              <w:rPr>
                <w:rFonts w:hint="eastAsia" w:ascii="仿宋" w:hAnsi="仿宋" w:eastAsia="仿宋" w:cs="仿宋"/>
                <w:i/>
                <w:iCs/>
                <w:color w:val="000000"/>
                <w:kern w:val="0"/>
                <w:sz w:val="2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6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1</w:t>
            </w:r>
            <w:r>
              <w:rPr>
                <w:rFonts w:hint="eastAsia" w:ascii="仿宋" w:hAnsi="仿宋" w:eastAsia="仿宋" w:cs="仿宋"/>
                <w:color w:val="000000"/>
                <w:sz w:val="24"/>
                <w:szCs w:val="21"/>
              </w:rPr>
              <w:t>～</w:t>
            </w:r>
            <w:r>
              <w:rPr>
                <w:rFonts w:hint="eastAsia" w:ascii="仿宋" w:hAnsi="仿宋" w:eastAsia="仿宋" w:cs="仿宋"/>
                <w:color w:val="000000"/>
                <w:kern w:val="0"/>
                <w:sz w:val="24"/>
                <w:szCs w:val="21"/>
              </w:rPr>
              <w:t>2项加权得分</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6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3.不良行为记录扣分（C）</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6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最终得分</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6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按最终得分排名（</w:t>
            </w:r>
            <w:r>
              <w:rPr>
                <w:rFonts w:hint="eastAsia" w:ascii="仿宋" w:hAnsi="仿宋" w:eastAsia="仿宋" w:cs="仿宋"/>
                <w:color w:val="000000"/>
                <w:sz w:val="24"/>
              </w:rPr>
              <w:t>得分由高到低顺序</w:t>
            </w:r>
            <w:r>
              <w:rPr>
                <w:rFonts w:hint="eastAsia" w:ascii="仿宋" w:hAnsi="仿宋" w:eastAsia="仿宋" w:cs="仿宋"/>
                <w:color w:val="000000"/>
                <w:kern w:val="0"/>
                <w:sz w:val="24"/>
                <w:szCs w:val="21"/>
              </w:rPr>
              <w:t>）</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bCs/>
                <w:color w:val="000000"/>
                <w:kern w:val="0"/>
                <w:sz w:val="24"/>
                <w:szCs w:val="21"/>
              </w:rPr>
            </w:pPr>
          </w:p>
        </w:tc>
      </w:tr>
    </w:tbl>
    <w:p>
      <w:pPr>
        <w:spacing w:line="300" w:lineRule="exact"/>
        <w:rPr>
          <w:rFonts w:hint="eastAsia" w:ascii="仿宋" w:hAnsi="仿宋" w:eastAsia="仿宋" w:cs="仿宋"/>
          <w:color w:val="000000"/>
          <w:szCs w:val="21"/>
        </w:rPr>
      </w:pPr>
      <w:r>
        <w:rPr>
          <w:rFonts w:hint="eastAsia" w:ascii="仿宋" w:hAnsi="仿宋" w:eastAsia="仿宋" w:cs="仿宋"/>
          <w:color w:val="000000"/>
          <w:szCs w:val="21"/>
        </w:rPr>
        <w:t>备注：1.综合得分计算保留2位小数（百分比亦取2位小数），第3位小数4舍5入。</w:t>
      </w:r>
    </w:p>
    <w:p>
      <w:pPr>
        <w:spacing w:line="300" w:lineRule="exact"/>
        <w:ind w:firstLine="630" w:firstLineChars="300"/>
        <w:rPr>
          <w:rFonts w:hint="eastAsia" w:ascii="仿宋" w:hAnsi="仿宋" w:eastAsia="仿宋" w:cs="仿宋"/>
          <w:color w:val="000000"/>
          <w:szCs w:val="21"/>
        </w:rPr>
      </w:pPr>
      <w:r>
        <w:rPr>
          <w:rFonts w:hint="eastAsia" w:ascii="仿宋" w:hAnsi="仿宋" w:eastAsia="仿宋" w:cs="仿宋"/>
          <w:color w:val="000000"/>
          <w:szCs w:val="21"/>
        </w:rPr>
        <w:t>2.投标人综合得分为项目管理机构、信誉等其他、投标报价的单项得分乘以相应的权数取值之和加</w:t>
      </w:r>
      <w:r>
        <w:rPr>
          <w:rFonts w:hint="eastAsia" w:ascii="仿宋" w:hAnsi="仿宋" w:eastAsia="仿宋" w:cs="仿宋"/>
          <w:color w:val="000000"/>
          <w:kern w:val="0"/>
          <w:szCs w:val="21"/>
        </w:rPr>
        <w:t>不良行为记录扣分</w:t>
      </w:r>
      <w:r>
        <w:rPr>
          <w:rFonts w:hint="eastAsia" w:ascii="仿宋" w:hAnsi="仿宋" w:eastAsia="仿宋" w:cs="仿宋"/>
          <w:color w:val="000000"/>
          <w:szCs w:val="21"/>
        </w:rPr>
        <w:t>。</w:t>
      </w:r>
    </w:p>
    <w:p>
      <w:pPr>
        <w:spacing w:line="300" w:lineRule="exact"/>
        <w:ind w:firstLine="630" w:firstLineChars="300"/>
        <w:rPr>
          <w:rFonts w:hint="eastAsia" w:ascii="仿宋" w:hAnsi="仿宋" w:eastAsia="仿宋" w:cs="仿宋"/>
          <w:color w:val="000000"/>
          <w:szCs w:val="21"/>
        </w:rPr>
      </w:pPr>
      <w:r>
        <w:rPr>
          <w:rFonts w:hint="eastAsia" w:ascii="仿宋" w:hAnsi="仿宋" w:eastAsia="仿宋" w:cs="仿宋"/>
          <w:color w:val="000000"/>
          <w:szCs w:val="21"/>
        </w:rPr>
        <w:t>3.</w:t>
      </w:r>
      <w:r>
        <w:rPr>
          <w:rFonts w:hint="eastAsia" w:ascii="仿宋" w:hAnsi="仿宋" w:eastAsia="仿宋" w:cs="仿宋"/>
          <w:color w:val="000000"/>
          <w:kern w:val="0"/>
          <w:szCs w:val="21"/>
        </w:rPr>
        <w:t>不良行为记录扣分：</w:t>
      </w:r>
      <w:r>
        <w:rPr>
          <w:rFonts w:hint="eastAsia" w:ascii="仿宋" w:hAnsi="仿宋" w:eastAsia="仿宋" w:cs="仿宋"/>
          <w:color w:val="000000"/>
          <w:szCs w:val="21"/>
        </w:rPr>
        <w:t>湖南省农业农村厅、市州级农业农村局正在处罚或在公告期内的不良行为记录，每项扣1分；县市区级农业农村部门正在处罚或在公告期内的不良行为记录，每项扣0.25分；从事建设工程项目被湖南省相关行政主管部门正在处罚或在公告期内的不良行为记录，每项扣0.25分；累计扣分不超过资格审查或评标办法确定的投标人信誉分值权重。不良行为扣分应为负值。</w:t>
      </w:r>
    </w:p>
    <w:p>
      <w:pPr>
        <w:spacing w:line="600" w:lineRule="exact"/>
        <w:jc w:val="left"/>
        <w:rPr>
          <w:rFonts w:hint="eastAsia" w:ascii="仿宋" w:hAnsi="仿宋" w:eastAsia="仿宋" w:cs="仿宋"/>
          <w:color w:val="000000"/>
          <w:sz w:val="28"/>
          <w:szCs w:val="21"/>
        </w:rPr>
      </w:pPr>
    </w:p>
    <w:p>
      <w:pPr>
        <w:spacing w:line="600" w:lineRule="exact"/>
        <w:jc w:val="left"/>
        <w:rPr>
          <w:rFonts w:hint="eastAsia" w:ascii="仿宋" w:hAnsi="仿宋" w:eastAsia="仿宋" w:cs="仿宋"/>
          <w:color w:val="000000"/>
          <w:sz w:val="28"/>
          <w:szCs w:val="21"/>
        </w:rPr>
      </w:pPr>
      <w:r>
        <w:rPr>
          <w:rFonts w:hint="eastAsia" w:ascii="仿宋" w:hAnsi="仿宋" w:eastAsia="仿宋" w:cs="仿宋"/>
          <w:color w:val="000000"/>
          <w:sz w:val="28"/>
          <w:szCs w:val="21"/>
        </w:rPr>
        <w:t>评标委员会全体成员签字：</w:t>
      </w:r>
    </w:p>
    <w:p>
      <w:pPr>
        <w:pStyle w:val="32"/>
        <w:spacing w:line="600" w:lineRule="exact"/>
        <w:ind w:left="420" w:hanging="420"/>
        <w:outlineLvl w:val="4"/>
        <w:rPr>
          <w:rFonts w:eastAsia="黑体"/>
          <w:bCs/>
          <w:color w:val="000000"/>
          <w:sz w:val="32"/>
          <w:szCs w:val="20"/>
        </w:rPr>
      </w:pPr>
      <w:r>
        <w:rPr>
          <w:rFonts w:hint="eastAsia" w:ascii="仿宋" w:hAnsi="仿宋" w:eastAsia="仿宋" w:cs="仿宋"/>
          <w:color w:val="000000"/>
        </w:rPr>
        <w:br w:type="page"/>
      </w:r>
      <w:r>
        <w:rPr>
          <w:rFonts w:eastAsia="黑体"/>
          <w:bCs/>
          <w:color w:val="000000"/>
          <w:sz w:val="32"/>
          <w:szCs w:val="20"/>
        </w:rPr>
        <w:t>附表3-10：经评审的投标人排序表</w:t>
      </w:r>
    </w:p>
    <w:p>
      <w:pPr>
        <w:spacing w:line="600" w:lineRule="exact"/>
        <w:jc w:val="center"/>
        <w:rPr>
          <w:rFonts w:eastAsia="方正小标宋_GBK"/>
          <w:b/>
          <w:color w:val="000000"/>
          <w:sz w:val="36"/>
          <w:szCs w:val="36"/>
        </w:rPr>
      </w:pPr>
    </w:p>
    <w:p>
      <w:pPr>
        <w:spacing w:line="600" w:lineRule="exact"/>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经评审的投标人排序表</w:t>
      </w:r>
    </w:p>
    <w:p>
      <w:pPr>
        <w:spacing w:line="600" w:lineRule="exact"/>
        <w:jc w:val="center"/>
        <w:rPr>
          <w:rFonts w:eastAsia="方正小标宋_GBK"/>
          <w:b/>
          <w:color w:val="000000"/>
          <w:sz w:val="36"/>
          <w:szCs w:val="36"/>
        </w:rPr>
      </w:pPr>
    </w:p>
    <w:p>
      <w:pPr>
        <w:snapToGrid w:val="0"/>
        <w:spacing w:line="560" w:lineRule="exact"/>
        <w:rPr>
          <w:rFonts w:hint="eastAsia" w:ascii="仿宋" w:hAnsi="仿宋" w:eastAsia="仿宋" w:cs="仿宋"/>
          <w:color w:val="000000"/>
          <w:sz w:val="24"/>
        </w:rPr>
      </w:pPr>
      <w:r>
        <w:rPr>
          <w:rFonts w:hint="eastAsia" w:ascii="仿宋" w:hAnsi="仿宋" w:eastAsia="仿宋" w:cs="仿宋"/>
          <w:color w:val="000000"/>
          <w:sz w:val="24"/>
        </w:rPr>
        <w:t xml:space="preserve">项目名称：                       （标段）                </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6"/>
        <w:gridCol w:w="4871"/>
        <w:gridCol w:w="3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8" w:hRule="atLeast"/>
          <w:jc w:val="center"/>
        </w:trPr>
        <w:tc>
          <w:tcPr>
            <w:tcW w:w="1406" w:type="dxa"/>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排  序</w:t>
            </w:r>
          </w:p>
        </w:tc>
        <w:tc>
          <w:tcPr>
            <w:tcW w:w="4871" w:type="dxa"/>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投标人名称</w:t>
            </w:r>
          </w:p>
        </w:tc>
        <w:tc>
          <w:tcPr>
            <w:tcW w:w="3009" w:type="dxa"/>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406" w:type="dxa"/>
            <w:noWrap w:val="0"/>
            <w:vAlign w:val="center"/>
          </w:tcPr>
          <w:p>
            <w:pPr>
              <w:jc w:val="center"/>
              <w:rPr>
                <w:rFonts w:hint="eastAsia" w:ascii="仿宋" w:hAnsi="仿宋" w:eastAsia="仿宋" w:cs="仿宋"/>
                <w:color w:val="000000"/>
                <w:sz w:val="24"/>
                <w:szCs w:val="21"/>
              </w:rPr>
            </w:pPr>
          </w:p>
        </w:tc>
        <w:tc>
          <w:tcPr>
            <w:tcW w:w="4871" w:type="dxa"/>
            <w:noWrap w:val="0"/>
            <w:vAlign w:val="center"/>
          </w:tcPr>
          <w:p>
            <w:pPr>
              <w:jc w:val="center"/>
              <w:rPr>
                <w:rFonts w:hint="eastAsia" w:ascii="仿宋" w:hAnsi="仿宋" w:eastAsia="仿宋" w:cs="仿宋"/>
                <w:color w:val="000000"/>
                <w:sz w:val="24"/>
                <w:szCs w:val="21"/>
              </w:rPr>
            </w:pPr>
          </w:p>
        </w:tc>
        <w:tc>
          <w:tcPr>
            <w:tcW w:w="3009" w:type="dxa"/>
            <w:noWrap w:val="0"/>
            <w:vAlign w:val="center"/>
          </w:tcPr>
          <w:p>
            <w:pPr>
              <w:jc w:val="center"/>
              <w:rPr>
                <w:rFonts w:hint="eastAsia" w:ascii="仿宋" w:hAnsi="仿宋" w:eastAsia="仿宋" w:cs="仿宋"/>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406" w:type="dxa"/>
            <w:noWrap w:val="0"/>
            <w:vAlign w:val="center"/>
          </w:tcPr>
          <w:p>
            <w:pPr>
              <w:jc w:val="center"/>
              <w:rPr>
                <w:rFonts w:hint="eastAsia" w:ascii="仿宋" w:hAnsi="仿宋" w:eastAsia="仿宋" w:cs="仿宋"/>
                <w:color w:val="000000"/>
                <w:sz w:val="24"/>
                <w:szCs w:val="21"/>
              </w:rPr>
            </w:pPr>
          </w:p>
        </w:tc>
        <w:tc>
          <w:tcPr>
            <w:tcW w:w="4871" w:type="dxa"/>
            <w:noWrap w:val="0"/>
            <w:vAlign w:val="center"/>
          </w:tcPr>
          <w:p>
            <w:pPr>
              <w:jc w:val="center"/>
              <w:rPr>
                <w:rFonts w:hint="eastAsia" w:ascii="仿宋" w:hAnsi="仿宋" w:eastAsia="仿宋" w:cs="仿宋"/>
                <w:color w:val="000000"/>
                <w:sz w:val="24"/>
                <w:szCs w:val="21"/>
              </w:rPr>
            </w:pPr>
          </w:p>
        </w:tc>
        <w:tc>
          <w:tcPr>
            <w:tcW w:w="3009" w:type="dxa"/>
            <w:noWrap w:val="0"/>
            <w:vAlign w:val="center"/>
          </w:tcPr>
          <w:p>
            <w:pPr>
              <w:jc w:val="center"/>
              <w:rPr>
                <w:rFonts w:hint="eastAsia" w:ascii="仿宋" w:hAnsi="仿宋" w:eastAsia="仿宋" w:cs="仿宋"/>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06" w:type="dxa"/>
            <w:noWrap w:val="0"/>
            <w:vAlign w:val="center"/>
          </w:tcPr>
          <w:p>
            <w:pPr>
              <w:jc w:val="center"/>
              <w:rPr>
                <w:rFonts w:hint="eastAsia" w:ascii="仿宋" w:hAnsi="仿宋" w:eastAsia="仿宋" w:cs="仿宋"/>
                <w:color w:val="000000"/>
                <w:sz w:val="24"/>
                <w:szCs w:val="21"/>
              </w:rPr>
            </w:pPr>
          </w:p>
        </w:tc>
        <w:tc>
          <w:tcPr>
            <w:tcW w:w="4871" w:type="dxa"/>
            <w:noWrap w:val="0"/>
            <w:vAlign w:val="center"/>
          </w:tcPr>
          <w:p>
            <w:pPr>
              <w:jc w:val="center"/>
              <w:rPr>
                <w:rFonts w:hint="eastAsia" w:ascii="仿宋" w:hAnsi="仿宋" w:eastAsia="仿宋" w:cs="仿宋"/>
                <w:color w:val="000000"/>
                <w:sz w:val="24"/>
                <w:szCs w:val="21"/>
              </w:rPr>
            </w:pPr>
          </w:p>
        </w:tc>
        <w:tc>
          <w:tcPr>
            <w:tcW w:w="3009" w:type="dxa"/>
            <w:noWrap w:val="0"/>
            <w:vAlign w:val="center"/>
          </w:tcPr>
          <w:p>
            <w:pPr>
              <w:jc w:val="center"/>
              <w:rPr>
                <w:rFonts w:hint="eastAsia" w:ascii="仿宋" w:hAnsi="仿宋" w:eastAsia="仿宋" w:cs="仿宋"/>
                <w:color w:val="000000"/>
                <w:sz w:val="24"/>
                <w:szCs w:val="21"/>
              </w:rPr>
            </w:pPr>
          </w:p>
        </w:tc>
      </w:tr>
    </w:tbl>
    <w:p>
      <w:pPr>
        <w:spacing w:line="600" w:lineRule="exact"/>
        <w:jc w:val="left"/>
        <w:rPr>
          <w:rFonts w:hint="eastAsia" w:ascii="仿宋" w:hAnsi="仿宋" w:eastAsia="仿宋" w:cs="仿宋"/>
          <w:color w:val="000000"/>
          <w:sz w:val="28"/>
          <w:szCs w:val="21"/>
        </w:rPr>
      </w:pPr>
      <w:r>
        <w:rPr>
          <w:rFonts w:hint="eastAsia" w:ascii="仿宋" w:hAnsi="仿宋" w:eastAsia="仿宋" w:cs="仿宋"/>
          <w:color w:val="000000"/>
          <w:sz w:val="28"/>
          <w:szCs w:val="21"/>
        </w:rPr>
        <w:t>评标委员会全体成员签字：</w:t>
      </w:r>
    </w:p>
    <w:p>
      <w:pPr>
        <w:pStyle w:val="32"/>
        <w:spacing w:line="600" w:lineRule="exact"/>
        <w:ind w:left="420" w:hanging="420"/>
        <w:outlineLvl w:val="4"/>
        <w:rPr>
          <w:rFonts w:eastAsia="黑体"/>
          <w:bCs/>
          <w:color w:val="000000"/>
          <w:sz w:val="32"/>
          <w:szCs w:val="20"/>
        </w:rPr>
      </w:pPr>
      <w:r>
        <w:rPr>
          <w:rFonts w:hint="eastAsia" w:ascii="宋体" w:hAnsi="宋体" w:cs="宋体"/>
          <w:color w:val="000000"/>
        </w:rPr>
        <w:br w:type="page"/>
      </w:r>
      <w:r>
        <w:rPr>
          <w:rFonts w:eastAsia="黑体"/>
          <w:bCs/>
          <w:color w:val="000000"/>
          <w:sz w:val="32"/>
          <w:szCs w:val="20"/>
        </w:rPr>
        <w:t>附表3-11：中标候选人表</w:t>
      </w:r>
    </w:p>
    <w:p>
      <w:pPr>
        <w:spacing w:line="600" w:lineRule="exact"/>
        <w:jc w:val="center"/>
        <w:rPr>
          <w:rFonts w:eastAsia="方正小标宋_GBK"/>
          <w:color w:val="000000"/>
          <w:sz w:val="44"/>
          <w:szCs w:val="44"/>
        </w:rPr>
      </w:pPr>
    </w:p>
    <w:p>
      <w:pPr>
        <w:spacing w:line="600" w:lineRule="exact"/>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中标候选人表</w:t>
      </w:r>
    </w:p>
    <w:p>
      <w:pPr>
        <w:spacing w:line="600" w:lineRule="exact"/>
        <w:jc w:val="center"/>
        <w:rPr>
          <w:rFonts w:eastAsia="方正小标宋_GBK"/>
          <w:b/>
          <w:color w:val="000000"/>
          <w:sz w:val="36"/>
          <w:szCs w:val="36"/>
        </w:rPr>
      </w:pPr>
    </w:p>
    <w:p>
      <w:pPr>
        <w:snapToGrid w:val="0"/>
        <w:spacing w:line="560" w:lineRule="exact"/>
        <w:rPr>
          <w:rFonts w:hint="eastAsia" w:ascii="仿宋" w:hAnsi="仿宋" w:eastAsia="仿宋" w:cs="仿宋"/>
          <w:color w:val="000000"/>
          <w:sz w:val="24"/>
        </w:rPr>
      </w:pPr>
      <w:r>
        <w:rPr>
          <w:rFonts w:hint="eastAsia" w:ascii="仿宋" w:hAnsi="仿宋" w:eastAsia="仿宋" w:cs="仿宋"/>
          <w:color w:val="000000"/>
          <w:sz w:val="24"/>
        </w:rPr>
        <w:t xml:space="preserve">工程名称：                                 </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4660"/>
        <w:gridCol w:w="3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160" w:type="dxa"/>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排  序</w:t>
            </w:r>
          </w:p>
        </w:tc>
        <w:tc>
          <w:tcPr>
            <w:tcW w:w="4660" w:type="dxa"/>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中标候选人</w:t>
            </w:r>
          </w:p>
        </w:tc>
        <w:tc>
          <w:tcPr>
            <w:tcW w:w="3466" w:type="dxa"/>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160" w:type="dxa"/>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第一名</w:t>
            </w:r>
          </w:p>
        </w:tc>
        <w:tc>
          <w:tcPr>
            <w:tcW w:w="4660" w:type="dxa"/>
            <w:noWrap w:val="0"/>
            <w:vAlign w:val="center"/>
          </w:tcPr>
          <w:p>
            <w:pPr>
              <w:jc w:val="center"/>
              <w:rPr>
                <w:rFonts w:hint="eastAsia" w:ascii="仿宋" w:hAnsi="仿宋" w:eastAsia="仿宋" w:cs="仿宋"/>
                <w:color w:val="000000"/>
                <w:sz w:val="24"/>
                <w:szCs w:val="21"/>
              </w:rPr>
            </w:pPr>
          </w:p>
        </w:tc>
        <w:tc>
          <w:tcPr>
            <w:tcW w:w="3466" w:type="dxa"/>
            <w:noWrap w:val="0"/>
            <w:vAlign w:val="center"/>
          </w:tcPr>
          <w:p>
            <w:pPr>
              <w:jc w:val="center"/>
              <w:rPr>
                <w:rFonts w:hint="eastAsia" w:ascii="仿宋" w:hAnsi="仿宋" w:eastAsia="仿宋" w:cs="仿宋"/>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160" w:type="dxa"/>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第二名</w:t>
            </w:r>
          </w:p>
        </w:tc>
        <w:tc>
          <w:tcPr>
            <w:tcW w:w="4660" w:type="dxa"/>
            <w:noWrap w:val="0"/>
            <w:vAlign w:val="center"/>
          </w:tcPr>
          <w:p>
            <w:pPr>
              <w:jc w:val="center"/>
              <w:rPr>
                <w:rFonts w:hint="eastAsia" w:ascii="仿宋" w:hAnsi="仿宋" w:eastAsia="仿宋" w:cs="仿宋"/>
                <w:color w:val="000000"/>
                <w:sz w:val="24"/>
                <w:szCs w:val="21"/>
              </w:rPr>
            </w:pPr>
          </w:p>
        </w:tc>
        <w:tc>
          <w:tcPr>
            <w:tcW w:w="3466" w:type="dxa"/>
            <w:noWrap w:val="0"/>
            <w:vAlign w:val="center"/>
          </w:tcPr>
          <w:p>
            <w:pPr>
              <w:jc w:val="center"/>
              <w:rPr>
                <w:rFonts w:hint="eastAsia" w:ascii="仿宋" w:hAnsi="仿宋" w:eastAsia="仿宋" w:cs="仿宋"/>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160" w:type="dxa"/>
            <w:noWrap w:val="0"/>
            <w:vAlign w:val="center"/>
          </w:tcPr>
          <w:p>
            <w:pPr>
              <w:jc w:val="center"/>
              <w:rPr>
                <w:rFonts w:hint="eastAsia" w:ascii="仿宋" w:hAnsi="仿宋" w:eastAsia="仿宋" w:cs="仿宋"/>
                <w:color w:val="000000"/>
                <w:sz w:val="24"/>
                <w:szCs w:val="21"/>
              </w:rPr>
            </w:pPr>
            <w:r>
              <w:rPr>
                <w:rFonts w:hint="eastAsia" w:ascii="仿宋" w:hAnsi="仿宋" w:eastAsia="仿宋" w:cs="仿宋"/>
                <w:color w:val="000000"/>
                <w:sz w:val="24"/>
                <w:szCs w:val="21"/>
              </w:rPr>
              <w:t>第三名</w:t>
            </w:r>
          </w:p>
        </w:tc>
        <w:tc>
          <w:tcPr>
            <w:tcW w:w="4660" w:type="dxa"/>
            <w:noWrap w:val="0"/>
            <w:vAlign w:val="center"/>
          </w:tcPr>
          <w:p>
            <w:pPr>
              <w:jc w:val="center"/>
              <w:rPr>
                <w:rFonts w:hint="eastAsia" w:ascii="仿宋" w:hAnsi="仿宋" w:eastAsia="仿宋" w:cs="仿宋"/>
                <w:color w:val="000000"/>
                <w:sz w:val="24"/>
                <w:szCs w:val="21"/>
              </w:rPr>
            </w:pPr>
          </w:p>
        </w:tc>
        <w:tc>
          <w:tcPr>
            <w:tcW w:w="3466" w:type="dxa"/>
            <w:noWrap w:val="0"/>
            <w:vAlign w:val="center"/>
          </w:tcPr>
          <w:p>
            <w:pPr>
              <w:jc w:val="center"/>
              <w:rPr>
                <w:rFonts w:hint="eastAsia" w:ascii="仿宋" w:hAnsi="仿宋" w:eastAsia="仿宋" w:cs="仿宋"/>
                <w:color w:val="000000"/>
                <w:sz w:val="24"/>
                <w:szCs w:val="21"/>
              </w:rPr>
            </w:pPr>
          </w:p>
        </w:tc>
      </w:tr>
    </w:tbl>
    <w:p>
      <w:pPr>
        <w:spacing w:line="600" w:lineRule="exact"/>
        <w:jc w:val="left"/>
        <w:rPr>
          <w:rFonts w:hint="eastAsia" w:ascii="仿宋" w:hAnsi="仿宋" w:eastAsia="仿宋" w:cs="仿宋"/>
          <w:color w:val="000000"/>
          <w:sz w:val="28"/>
          <w:szCs w:val="21"/>
        </w:rPr>
      </w:pPr>
      <w:r>
        <w:rPr>
          <w:rFonts w:hint="eastAsia" w:ascii="仿宋" w:hAnsi="仿宋" w:eastAsia="仿宋" w:cs="仿宋"/>
          <w:color w:val="000000"/>
          <w:sz w:val="28"/>
          <w:szCs w:val="21"/>
        </w:rPr>
        <w:t>签订合同前要处理的事宜：</w:t>
      </w:r>
    </w:p>
    <w:p>
      <w:pPr>
        <w:spacing w:line="600" w:lineRule="exact"/>
        <w:jc w:val="left"/>
        <w:rPr>
          <w:rFonts w:hint="eastAsia" w:ascii="仿宋" w:hAnsi="仿宋" w:eastAsia="仿宋" w:cs="仿宋"/>
          <w:color w:val="000000"/>
          <w:sz w:val="28"/>
          <w:szCs w:val="21"/>
        </w:rPr>
      </w:pPr>
    </w:p>
    <w:p>
      <w:pPr>
        <w:spacing w:line="600" w:lineRule="exact"/>
        <w:jc w:val="left"/>
        <w:rPr>
          <w:rFonts w:hint="eastAsia" w:ascii="仿宋" w:hAnsi="仿宋" w:eastAsia="仿宋" w:cs="仿宋"/>
          <w:color w:val="000000"/>
          <w:sz w:val="28"/>
          <w:szCs w:val="21"/>
        </w:rPr>
      </w:pPr>
      <w:r>
        <w:rPr>
          <w:rFonts w:hint="eastAsia" w:ascii="仿宋" w:hAnsi="仿宋" w:eastAsia="仿宋" w:cs="仿宋"/>
          <w:color w:val="000000"/>
          <w:sz w:val="28"/>
          <w:szCs w:val="21"/>
        </w:rPr>
        <w:t>评标委员会全体成员签字：</w:t>
      </w:r>
    </w:p>
    <w:p>
      <w:pPr>
        <w:spacing w:line="600" w:lineRule="exact"/>
        <w:jc w:val="left"/>
        <w:rPr>
          <w:rFonts w:hint="eastAsia" w:ascii="仿宋" w:hAnsi="仿宋" w:eastAsia="仿宋" w:cs="仿宋"/>
          <w:color w:val="000000"/>
          <w:sz w:val="32"/>
          <w:szCs w:val="21"/>
        </w:rPr>
      </w:pPr>
    </w:p>
    <w:p>
      <w:pPr>
        <w:spacing w:line="600" w:lineRule="exact"/>
        <w:jc w:val="left"/>
        <w:rPr>
          <w:rFonts w:hint="eastAsia" w:ascii="仿宋" w:hAnsi="仿宋" w:eastAsia="仿宋" w:cs="仿宋"/>
          <w:color w:val="000000"/>
          <w:sz w:val="32"/>
          <w:szCs w:val="21"/>
        </w:rPr>
      </w:pPr>
    </w:p>
    <w:p>
      <w:pPr>
        <w:spacing w:line="600" w:lineRule="exact"/>
        <w:jc w:val="left"/>
        <w:rPr>
          <w:rFonts w:hint="eastAsia" w:ascii="仿宋" w:hAnsi="仿宋" w:eastAsia="仿宋" w:cs="仿宋"/>
          <w:color w:val="000000"/>
          <w:sz w:val="32"/>
          <w:szCs w:val="28"/>
        </w:rPr>
      </w:pPr>
    </w:p>
    <w:p>
      <w:pPr>
        <w:spacing w:line="600" w:lineRule="exact"/>
        <w:ind w:firstLine="4676" w:firstLineChars="1670"/>
        <w:jc w:val="center"/>
        <w:rPr>
          <w:rFonts w:hint="eastAsia" w:ascii="仿宋" w:hAnsi="仿宋" w:eastAsia="仿宋" w:cs="仿宋"/>
          <w:color w:val="000000"/>
          <w:sz w:val="24"/>
          <w:szCs w:val="20"/>
        </w:rPr>
      </w:pPr>
      <w:r>
        <w:rPr>
          <w:rFonts w:hint="eastAsia" w:ascii="仿宋" w:hAnsi="仿宋" w:eastAsia="仿宋" w:cs="仿宋"/>
          <w:color w:val="000000"/>
          <w:sz w:val="28"/>
          <w:szCs w:val="28"/>
        </w:rPr>
        <w:t>日期：</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年</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月</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日</w:t>
      </w:r>
    </w:p>
    <w:p>
      <w:pPr>
        <w:pStyle w:val="2"/>
        <w:rPr>
          <w:color w:val="000000"/>
        </w:rPr>
      </w:pPr>
      <w:r>
        <w:rPr>
          <w:rFonts w:hint="eastAsia" w:ascii="仿宋" w:hAnsi="仿宋" w:eastAsia="仿宋" w:cs="仿宋"/>
          <w:color w:val="000000"/>
        </w:rPr>
        <w:br w:type="page"/>
      </w:r>
    </w:p>
    <w:p>
      <w:pPr>
        <w:pStyle w:val="3"/>
        <w:keepNext w:val="0"/>
        <w:keepLines w:val="0"/>
        <w:overflowPunct w:val="0"/>
        <w:topLinePunct/>
        <w:adjustRightInd w:val="0"/>
        <w:snapToGrid w:val="0"/>
        <w:spacing w:before="0" w:after="0" w:line="600" w:lineRule="exact"/>
        <w:rPr>
          <w:rFonts w:hint="eastAsia" w:ascii="方正小标宋简体" w:eastAsia="方正小标宋简体"/>
          <w:b w:val="0"/>
          <w:color w:val="000000"/>
          <w:kern w:val="2"/>
          <w:sz w:val="36"/>
          <w:szCs w:val="36"/>
        </w:rPr>
      </w:pPr>
      <w:bookmarkStart w:id="1375" w:name="_Toc32188"/>
      <w:bookmarkStart w:id="1376" w:name="_Toc19732"/>
      <w:r>
        <w:rPr>
          <w:rFonts w:hint="eastAsia" w:ascii="方正小标宋简体" w:eastAsia="方正小标宋简体"/>
          <w:b w:val="0"/>
          <w:color w:val="000000"/>
          <w:kern w:val="2"/>
          <w:sz w:val="36"/>
          <w:szCs w:val="36"/>
        </w:rPr>
        <w:t xml:space="preserve">第四章  </w:t>
      </w:r>
      <w:bookmarkStart w:id="1377" w:name="_Toc259698676"/>
      <w:r>
        <w:rPr>
          <w:rFonts w:hint="eastAsia" w:ascii="方正小标宋简体" w:eastAsia="方正小标宋简体"/>
          <w:b w:val="0"/>
          <w:color w:val="000000"/>
          <w:kern w:val="2"/>
          <w:sz w:val="36"/>
          <w:szCs w:val="36"/>
        </w:rPr>
        <w:t>合同条款及格式</w:t>
      </w:r>
      <w:bookmarkEnd w:id="907"/>
      <w:bookmarkEnd w:id="908"/>
      <w:bookmarkEnd w:id="1375"/>
      <w:bookmarkEnd w:id="1376"/>
      <w:bookmarkEnd w:id="1377"/>
    </w:p>
    <w:p>
      <w:pPr>
        <w:spacing w:line="490" w:lineRule="exact"/>
        <w:rPr>
          <w:rFonts w:eastAsia="方正小标宋_GBK"/>
          <w:color w:val="000000"/>
          <w:sz w:val="20"/>
        </w:rPr>
      </w:pPr>
    </w:p>
    <w:p>
      <w:pPr>
        <w:spacing w:line="490" w:lineRule="exact"/>
        <w:jc w:val="center"/>
        <w:outlineLvl w:val="1"/>
        <w:rPr>
          <w:rFonts w:eastAsia="黑体"/>
          <w:b/>
          <w:color w:val="000000"/>
          <w:sz w:val="28"/>
          <w:szCs w:val="36"/>
        </w:rPr>
      </w:pPr>
      <w:bookmarkStart w:id="1378" w:name="_Toc304541305"/>
      <w:bookmarkStart w:id="1379" w:name="_Toc51091877"/>
      <w:bookmarkStart w:id="1380" w:name="_Toc304541317"/>
      <w:bookmarkStart w:id="1381" w:name="_Toc24996"/>
      <w:bookmarkStart w:id="1382" w:name="_Toc27761"/>
      <w:r>
        <w:rPr>
          <w:rFonts w:eastAsia="黑体"/>
          <w:b/>
          <w:color w:val="000000"/>
          <w:sz w:val="28"/>
          <w:szCs w:val="36"/>
        </w:rPr>
        <w:t>第1节  通用合同条款</w:t>
      </w:r>
      <w:bookmarkEnd w:id="1378"/>
      <w:bookmarkEnd w:id="1379"/>
      <w:bookmarkEnd w:id="1380"/>
      <w:bookmarkEnd w:id="1381"/>
      <w:bookmarkEnd w:id="1382"/>
    </w:p>
    <w:p>
      <w:pPr>
        <w:spacing w:line="490" w:lineRule="exact"/>
        <w:rPr>
          <w:rFonts w:eastAsia="方正小标宋_GBK"/>
          <w:color w:val="000000"/>
          <w:sz w:val="20"/>
        </w:rPr>
      </w:pPr>
      <w:bookmarkStart w:id="1383" w:name="_Toc189386103"/>
    </w:p>
    <w:p>
      <w:pPr>
        <w:pStyle w:val="6"/>
        <w:keepNext w:val="0"/>
        <w:keepLines w:val="0"/>
        <w:spacing w:before="0" w:after="0" w:line="490" w:lineRule="exact"/>
        <w:ind w:firstLine="562" w:firstLineChars="200"/>
        <w:rPr>
          <w:rFonts w:eastAsia="黑体"/>
          <w:bCs w:val="0"/>
          <w:color w:val="000000"/>
          <w:sz w:val="28"/>
        </w:rPr>
      </w:pPr>
      <w:bookmarkStart w:id="1384" w:name="_Toc5750"/>
      <w:bookmarkStart w:id="1385" w:name="_Toc14006"/>
      <w:bookmarkStart w:id="1386" w:name="_Toc51091878"/>
      <w:r>
        <w:rPr>
          <w:rFonts w:eastAsia="黑体"/>
          <w:bCs w:val="0"/>
          <w:color w:val="000000"/>
          <w:sz w:val="28"/>
        </w:rPr>
        <w:t>1．一般约定</w:t>
      </w:r>
      <w:bookmarkEnd w:id="1383"/>
      <w:bookmarkEnd w:id="1384"/>
      <w:bookmarkEnd w:id="1385"/>
      <w:bookmarkEnd w:id="1386"/>
    </w:p>
    <w:p>
      <w:pPr>
        <w:spacing w:line="490" w:lineRule="exact"/>
        <w:ind w:firstLine="562" w:firstLineChars="200"/>
        <w:outlineLvl w:val="3"/>
        <w:rPr>
          <w:rFonts w:eastAsia="楷体_GB2312"/>
          <w:b/>
          <w:bCs/>
          <w:color w:val="000000"/>
          <w:kern w:val="0"/>
          <w:sz w:val="28"/>
          <w:szCs w:val="32"/>
        </w:rPr>
      </w:pPr>
      <w:bookmarkStart w:id="1387" w:name="_Toc511318046"/>
      <w:bookmarkStart w:id="1388" w:name="_Toc189386104"/>
      <w:bookmarkStart w:id="1389" w:name="_Toc511317297"/>
      <w:r>
        <w:rPr>
          <w:rFonts w:eastAsia="楷体_GB2312"/>
          <w:b/>
          <w:bCs/>
          <w:color w:val="000000"/>
          <w:kern w:val="0"/>
          <w:sz w:val="28"/>
          <w:szCs w:val="32"/>
        </w:rPr>
        <w:t>1.1 词语定义</w:t>
      </w:r>
      <w:bookmarkEnd w:id="1387"/>
      <w:bookmarkEnd w:id="1388"/>
      <w:bookmarkEnd w:id="1389"/>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通用合同条款、专用合同条款中的下列词语应具有本款所赋予的含义。</w:t>
      </w:r>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1.1.1  合同</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1.1.1.1  合同文件（或称合同）：指合同协议书、中标通知书、投标函及投标函附录、专用合同条款、通用合同条款、技术标准和要求、图纸、已标价工程量清单，以及其他合同文件。</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1.1.1.2  合同协议书：指第1.5款所指的合同协议书。</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1.1.1.3  中标通知书：指发包人通知承包人中标的函件。</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1.1.1.4  投标函：指构成合同文件组成部分的由承包人填写并签署的投标函。</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1.1.1.5  投标函附录：指附在投标函后构成合同文件的投标函附录。</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1.1.1.6  技术标准和要求：指构成合同文件组成部分的名为技术标准和要求（合同技术条款）的文件，包括合同双方当事人约定对其所作的修改或补充。</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1.1.1.7  图纸：指列入合同的招标图纸、投标图纸和发包人按合同约定向承包人提供的施工图纸和其它图纸（包括配套说明和有关资料）。列入合同的招标图纸已成为合同文件的一部分，具有合同效力，主要用于在履行合同中作为衡量变更的依据，但不能直接用于施工。经发包人确认进入合同的投标图纸亦成为合同文件的一部分，用于在履行合同中检验承包人是否按其投标时承诺的条件进行施工的依据，亦不能直接用于施工。</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1.1.1.8  已标价工程量清单：指构成合同文件组成部分的由承包人按照规定的格式和要求填写并标明价格的工程量清单。</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1.1.1.9  其他合同文件：指经合同双方当事人确认构成合同文件的其他文件。</w:t>
      </w:r>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1.1.2  合同当事人和人员</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1.1.2.1  合同当事人</w:t>
      </w:r>
      <w:r>
        <w:rPr>
          <w:rFonts w:hint="eastAsia" w:eastAsia="仿宋_GB2312"/>
          <w:color w:val="000000"/>
          <w:kern w:val="0"/>
          <w:sz w:val="28"/>
          <w:szCs w:val="32"/>
        </w:rPr>
        <w:t>：</w:t>
      </w:r>
      <w:r>
        <w:rPr>
          <w:rFonts w:eastAsia="仿宋_GB2312"/>
          <w:color w:val="000000"/>
          <w:kern w:val="0"/>
          <w:sz w:val="28"/>
          <w:szCs w:val="32"/>
        </w:rPr>
        <w:t>指发包人和（或）承包人。</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1.1.2.2  发包人：指专用合同条款中指明并与承包人在合同协议书中签字的当事人。</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1.1.2.3  承包人：指专用合同条款中指明并与发包人在合同协议书中签字的当事人。</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1.1.2.4  承包人</w:t>
      </w:r>
      <w:r>
        <w:rPr>
          <w:rFonts w:hint="eastAsia" w:eastAsia="仿宋_GB2312"/>
          <w:color w:val="000000"/>
          <w:kern w:val="0"/>
          <w:sz w:val="28"/>
          <w:szCs w:val="32"/>
        </w:rPr>
        <w:t>项目负责人</w:t>
      </w:r>
      <w:r>
        <w:rPr>
          <w:rFonts w:eastAsia="仿宋_GB2312"/>
          <w:color w:val="000000"/>
          <w:kern w:val="0"/>
          <w:sz w:val="28"/>
          <w:szCs w:val="32"/>
        </w:rPr>
        <w:t>：指承包人派驻施工场地的全权负责人。</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1.1.2.5  分包人：指专用合同条款中指明的，从承包人处分包合同中某一部分工程，并与其签订分包合同的分包人。</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1.1.2.6  监理人：指在专用合同条款中指明的，受发包人委托对合同履行实施管理的法人或其他组织。</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1.1.2.7  总监理工程师（总监）：指由监理人委派常驻施工场地对合同履行实施管理的全权负责人。</w:t>
      </w:r>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1.1.3  工程和设备</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1.1.3.1  工程：指永久工程和（或）临时工程。</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1.1.3.2  永久工程：指按合同约定建造并移交给发包人的工程，包括工程设备。</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1.1.3.3  临时工程：指为完成合同约定的永久工程所修建的各类临时性工程，不包括施工设备。</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1.1.3.4  单位工程：指专用合同条款中指明特定范围的永久工程。</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1.1.3.5  工程设备：指构成或计划构成永久工程一部分的机电设备、金属结构设备、仪器装置及其他类似的设备和装置。</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1.1.3.6  施工设备：指为完成合同约定的各项工作所需的设备、器具和其他物品，不包括临时工程和材料。</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1.1.3.7  临时设施：指为完成合同约定的各项工作所服务的临时性生产和生活设施。</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1.1.3.8  承包人设备：指承包人自带的施工设备。</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1.1.3.9  施工场地（或称工地、现场）：指用于合同工程施工的场所，以及在合同中指定作为施工场地组成部分的其他场所，包括永久占地和临时占地。</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1.1.3.10 永久占地：指发包人为建设本合同工程永久征用的场地。</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1.1.3.11  临时占地：指发包人为建设本合同工程临时征用，承包人在完工后须按合同要求退还的场地。</w:t>
      </w:r>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1.1.4  日期</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1.1.4.1  开工通知：指监理人按第11.1款通知承包人开工的函件。</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1.1.4.2  开工日期：指监理人按第11.1款发出的开工通知中写明的开工日期。</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1.1.4.3  工期：指承包人在投标函中承诺的完成合同工程所需的期限，包括按第11.3 款、第11.4款和第11.6款约定所作的变更。</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1.1.4.4  竣工日期：即合同工程完工日期，指第1.1.4.3目约定工期届满时的日期。实际完工日期以合同工程完工证书中写明的日期为准。</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1.1.4.5  缺陷责任期：即工程质量保修期，指履行第19.2款约定的缺陷责任的期限，包括根据第19.3款约定所作的延长，具体期限由专用合同条款约定。</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1.1.4.6  基准日期：指投标截止时间前28天的日期。</w:t>
      </w:r>
    </w:p>
    <w:p>
      <w:pPr>
        <w:spacing w:line="490" w:lineRule="exact"/>
        <w:ind w:firstLine="560" w:firstLineChars="200"/>
        <w:rPr>
          <w:rFonts w:eastAsia="仿宋_GB2312"/>
          <w:color w:val="FF0000"/>
          <w:kern w:val="0"/>
          <w:sz w:val="28"/>
          <w:szCs w:val="32"/>
          <w:shd w:val="clear" w:color="FFFFFF" w:fill="D9D9D9"/>
        </w:rPr>
      </w:pPr>
      <w:r>
        <w:rPr>
          <w:rFonts w:eastAsia="仿宋_GB2312"/>
          <w:color w:val="000000"/>
          <w:kern w:val="0"/>
          <w:sz w:val="28"/>
          <w:szCs w:val="32"/>
        </w:rPr>
        <w:t xml:space="preserve">1.1.4.7 </w:t>
      </w:r>
      <w:r>
        <w:rPr>
          <w:rFonts w:hint="eastAsia" w:eastAsia="仿宋_GB2312"/>
          <w:color w:val="000000"/>
          <w:kern w:val="0"/>
          <w:sz w:val="28"/>
          <w:szCs w:val="32"/>
        </w:rPr>
        <w:t>天：除特别指明外，指日历天。开始当天不计入，从次日开始计算。期限最后一天的截止时间为当天24:00。</w:t>
      </w:r>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1.1.5  合同价格和费用</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1.1.5.1  签约合同价：指签定合同时合同协议书中写明的，包括了暂列金额、暂估价的合同总金额。</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1.1.5.2  合同价格：指承包人按合同约定完成了包括缺陷责任期内的全部承包工作后，发包人应付给承包人的金额，包括在履行合同过程中按合同约定进行的变更和调整。</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1.1.5.3  费用：指为履行合同所发生的或将要发生的所有合理开支，包括管理费和应分摊的其他费用，但不包括利润。</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1.1.5.4  暂列金额：指已标价工程量清单中所列的暂列金额，用于在签订协议书时尚未确定或不可预见变更的施工及其所需材料、工程设备、服务等的金额，包括以计日工方式支付的金额。</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1.1.5.5  暂估价：指发包人在工程量清单中给定的用于支付必然发生但暂时不能确定价格的材料、设备以及专业工程的金额。</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1.1.5.6  计日工：指对零星工作采取的一种计价方式，按合同中的计日工子目及其单价计价付款。</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1.1.5.7  质量保证金（或称保留金）：指按第17.4.1项约定用于保证在缺陷责任期内履行缺陷修复义务的金额。</w:t>
      </w:r>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1.1.6 其他</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1.1.6.1  书面形式：指合同文件、信函、电报、传真等可以有形地表现所载内容的形式。</w:t>
      </w:r>
    </w:p>
    <w:p>
      <w:pPr>
        <w:spacing w:line="490" w:lineRule="exact"/>
        <w:ind w:firstLine="562" w:firstLineChars="200"/>
        <w:outlineLvl w:val="3"/>
        <w:rPr>
          <w:rFonts w:eastAsia="楷体_GB2312"/>
          <w:b/>
          <w:bCs/>
          <w:color w:val="000000"/>
          <w:kern w:val="0"/>
          <w:sz w:val="28"/>
          <w:szCs w:val="32"/>
        </w:rPr>
      </w:pPr>
      <w:bookmarkStart w:id="1390" w:name="_Toc511317298"/>
      <w:bookmarkStart w:id="1391" w:name="_Toc511318047"/>
      <w:bookmarkStart w:id="1392" w:name="_Toc189386105"/>
      <w:r>
        <w:rPr>
          <w:rFonts w:eastAsia="楷体_GB2312"/>
          <w:b/>
          <w:bCs/>
          <w:color w:val="000000"/>
          <w:kern w:val="0"/>
          <w:sz w:val="28"/>
          <w:szCs w:val="32"/>
        </w:rPr>
        <w:t>1.2 语言文字</w:t>
      </w:r>
      <w:bookmarkEnd w:id="1390"/>
      <w:bookmarkEnd w:id="1391"/>
      <w:bookmarkEnd w:id="1392"/>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除专用术语外，合同使用的语言文字为中文。必要时专用术语应附有中文注释。</w:t>
      </w:r>
    </w:p>
    <w:p>
      <w:pPr>
        <w:spacing w:line="490" w:lineRule="exact"/>
        <w:ind w:firstLine="562" w:firstLineChars="200"/>
        <w:outlineLvl w:val="3"/>
        <w:rPr>
          <w:rFonts w:eastAsia="楷体_GB2312"/>
          <w:b/>
          <w:bCs/>
          <w:color w:val="000000"/>
          <w:kern w:val="0"/>
          <w:sz w:val="28"/>
          <w:szCs w:val="32"/>
        </w:rPr>
      </w:pPr>
      <w:bookmarkStart w:id="1393" w:name="_Toc511317299"/>
      <w:bookmarkStart w:id="1394" w:name="_Toc511318048"/>
      <w:bookmarkStart w:id="1395" w:name="_Toc189386106"/>
      <w:r>
        <w:rPr>
          <w:rFonts w:eastAsia="楷体_GB2312"/>
          <w:b/>
          <w:bCs/>
          <w:color w:val="000000"/>
          <w:kern w:val="0"/>
          <w:sz w:val="28"/>
          <w:szCs w:val="32"/>
        </w:rPr>
        <w:t>1.3 法律</w:t>
      </w:r>
      <w:bookmarkEnd w:id="1393"/>
      <w:bookmarkEnd w:id="1394"/>
      <w:bookmarkEnd w:id="1395"/>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适用于合同的法律包括中华人民共和国法律、行政法规、部门规章，以及工程所在地的地方</w:t>
      </w:r>
      <w:r>
        <w:rPr>
          <w:rFonts w:hint="eastAsia" w:eastAsia="仿宋_GB2312"/>
          <w:color w:val="000000"/>
          <w:kern w:val="0"/>
          <w:sz w:val="28"/>
          <w:szCs w:val="32"/>
        </w:rPr>
        <w:t>性</w:t>
      </w:r>
      <w:r>
        <w:rPr>
          <w:rFonts w:eastAsia="仿宋_GB2312"/>
          <w:color w:val="000000"/>
          <w:kern w:val="0"/>
          <w:sz w:val="28"/>
          <w:szCs w:val="32"/>
        </w:rPr>
        <w:t>法规、自治条例、单行条例和地方政府规章。</w:t>
      </w:r>
    </w:p>
    <w:p>
      <w:pPr>
        <w:spacing w:line="490" w:lineRule="exact"/>
        <w:ind w:firstLine="562" w:firstLineChars="200"/>
        <w:outlineLvl w:val="3"/>
        <w:rPr>
          <w:rFonts w:eastAsia="楷体_GB2312"/>
          <w:b/>
          <w:bCs/>
          <w:color w:val="000000"/>
          <w:kern w:val="0"/>
          <w:sz w:val="28"/>
          <w:szCs w:val="32"/>
        </w:rPr>
      </w:pPr>
      <w:bookmarkStart w:id="1396" w:name="_Toc511317300"/>
      <w:bookmarkStart w:id="1397" w:name="_Toc511318049"/>
      <w:bookmarkStart w:id="1398" w:name="_Toc189386107"/>
      <w:r>
        <w:rPr>
          <w:rFonts w:eastAsia="楷体_GB2312"/>
          <w:b/>
          <w:bCs/>
          <w:color w:val="000000"/>
          <w:kern w:val="0"/>
          <w:sz w:val="28"/>
          <w:szCs w:val="32"/>
        </w:rPr>
        <w:t>1.4 合同文件的优先顺序</w:t>
      </w:r>
      <w:bookmarkEnd w:id="1396"/>
      <w:bookmarkEnd w:id="1397"/>
      <w:bookmarkEnd w:id="1398"/>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组成合同的各项文件应互相解释，互为说明。除专用合同条款另有约定外，解释合同文件的优先顺序如下：</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（1）合同协议书；</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（2）中标通知书；</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（3）投标函及投标函附录；</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（4）专用合同条款；</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（5）通用合同条款；</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（6）技术标准和要求；</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（7）图纸；</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（8）已标价工程量清单；</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（9）其他合同文件。</w:t>
      </w:r>
    </w:p>
    <w:p>
      <w:pPr>
        <w:spacing w:line="490" w:lineRule="exact"/>
        <w:ind w:firstLine="562" w:firstLineChars="200"/>
        <w:outlineLvl w:val="3"/>
        <w:rPr>
          <w:rFonts w:eastAsia="楷体_GB2312"/>
          <w:b/>
          <w:bCs/>
          <w:color w:val="000000"/>
          <w:kern w:val="0"/>
          <w:sz w:val="28"/>
          <w:szCs w:val="32"/>
        </w:rPr>
      </w:pPr>
      <w:bookmarkStart w:id="1399" w:name="_Toc511317301"/>
      <w:bookmarkStart w:id="1400" w:name="_Toc189386108"/>
      <w:bookmarkStart w:id="1401" w:name="_Toc511318050"/>
      <w:r>
        <w:rPr>
          <w:rFonts w:eastAsia="楷体_GB2312"/>
          <w:b/>
          <w:bCs/>
          <w:color w:val="000000"/>
          <w:kern w:val="0"/>
          <w:sz w:val="28"/>
          <w:szCs w:val="32"/>
        </w:rPr>
        <w:t>1.5 合同协议书</w:t>
      </w:r>
      <w:bookmarkEnd w:id="1399"/>
      <w:bookmarkEnd w:id="1400"/>
      <w:bookmarkEnd w:id="1401"/>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承包人按中标通知书规定的时间与发包人签订合同协议书。除法律另有规定或合同另有约定外，发包人和承包人的法定代表人或其委托代理人在合同协议书上签字并盖单位</w:t>
      </w:r>
      <w:r>
        <w:rPr>
          <w:rFonts w:hint="eastAsia" w:eastAsia="仿宋_GB2312"/>
          <w:color w:val="000000"/>
          <w:kern w:val="0"/>
          <w:sz w:val="28"/>
          <w:szCs w:val="32"/>
        </w:rPr>
        <w:t>公</w:t>
      </w:r>
      <w:r>
        <w:rPr>
          <w:rFonts w:eastAsia="仿宋_GB2312"/>
          <w:color w:val="000000"/>
          <w:kern w:val="0"/>
          <w:sz w:val="28"/>
          <w:szCs w:val="32"/>
        </w:rPr>
        <w:t>章后，合同生效。</w:t>
      </w:r>
    </w:p>
    <w:p>
      <w:pPr>
        <w:spacing w:line="490" w:lineRule="exact"/>
        <w:ind w:firstLine="562" w:firstLineChars="200"/>
        <w:outlineLvl w:val="3"/>
        <w:rPr>
          <w:rFonts w:eastAsia="楷体_GB2312"/>
          <w:b/>
          <w:bCs/>
          <w:color w:val="000000"/>
          <w:kern w:val="0"/>
          <w:sz w:val="28"/>
          <w:szCs w:val="32"/>
        </w:rPr>
      </w:pPr>
      <w:bookmarkStart w:id="1402" w:name="_Toc511318051"/>
      <w:bookmarkStart w:id="1403" w:name="_Toc189386109"/>
      <w:bookmarkStart w:id="1404" w:name="_Toc511317302"/>
      <w:r>
        <w:rPr>
          <w:rFonts w:eastAsia="楷体_GB2312"/>
          <w:b/>
          <w:bCs/>
          <w:color w:val="000000"/>
          <w:kern w:val="0"/>
          <w:sz w:val="28"/>
          <w:szCs w:val="32"/>
        </w:rPr>
        <w:t>1.6 图纸和承包人文件</w:t>
      </w:r>
      <w:bookmarkEnd w:id="1402"/>
      <w:bookmarkEnd w:id="1403"/>
      <w:bookmarkEnd w:id="1404"/>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1.6.1  图纸的提供</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发包人应按技术标准和要求（合同技术条款）约定的期限和数量将施工图纸以及其它图纸（包括配套说明和有关资料）提供给承包人。由于发包人未按时提供图纸造成工期延误的，按第11.3款的约定办理。</w:t>
      </w:r>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1.6.2  承包人提供的文件</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承包人提供的文件应按技术标准和要求（合同技术条款）约定的期限和数量提供给监理人。监理人应按技术标准和要求（合同技术条款）约定的期限批复承包人。</w:t>
      </w:r>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1.6.3  图纸的修改</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设计人需要对已发给承包人的施工图纸进行修改时，监理人应在技术标准和要求（合同技术条款）约定的期限内签发施工图纸的修改图给承包人。承包人应按技术标准和要求（合同技术条款）的约定编制一份承包人实施计划提交监理人批准后执行。</w:t>
      </w:r>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1.6.4  图纸的错误</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承包人发现发包人提供的图纸存在明显错误或疏忽，应及时通知监理人。</w:t>
      </w:r>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1.6.5  图纸和承包人文件的保管</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监理人和承包人均应在施工场地各保存一套完整的包含第1.6.1项、第1.6.2 项、第1.6.3 项约定内容的图纸和承包人文件。</w:t>
      </w:r>
    </w:p>
    <w:p>
      <w:pPr>
        <w:spacing w:line="490" w:lineRule="exact"/>
        <w:ind w:firstLine="562" w:firstLineChars="200"/>
        <w:outlineLvl w:val="3"/>
        <w:rPr>
          <w:rFonts w:eastAsia="楷体_GB2312"/>
          <w:b/>
          <w:bCs/>
          <w:color w:val="000000"/>
          <w:kern w:val="0"/>
          <w:sz w:val="28"/>
          <w:szCs w:val="32"/>
        </w:rPr>
      </w:pPr>
      <w:bookmarkStart w:id="1405" w:name="_Toc511317303"/>
      <w:bookmarkStart w:id="1406" w:name="_Toc511318052"/>
      <w:bookmarkStart w:id="1407" w:name="_Toc189386110"/>
      <w:r>
        <w:rPr>
          <w:rFonts w:eastAsia="楷体_GB2312"/>
          <w:b/>
          <w:bCs/>
          <w:color w:val="000000"/>
          <w:kern w:val="0"/>
          <w:sz w:val="28"/>
          <w:szCs w:val="32"/>
        </w:rPr>
        <w:t>1.7 联络</w:t>
      </w:r>
      <w:bookmarkEnd w:id="1405"/>
      <w:bookmarkEnd w:id="1406"/>
      <w:bookmarkEnd w:id="1407"/>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1.7.1  与合同有关的通知、批准、证明、证书、指示、要求、请求、同意、意见、确定和决定等，均应采用书面形式。</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1.7.2  第1.7.1项中的通知、批准、证明、证书、指示、要求、请求、同意、意见、确定和决定等来往函件，均应在合同约定的期限内送达指定地点和接收人，并办理签收手续。来往函件的送达期限在技术标准和要求（合同技术条款）中约定，送达地点在专用合同条款中约定。</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1.7.3  来往函件均应按合同约定的期限及时发出和答复，不得无故扣压和拖延，亦不得拒收。否则，由此造成的后果由责任方负责。</w:t>
      </w:r>
    </w:p>
    <w:p>
      <w:pPr>
        <w:spacing w:line="490" w:lineRule="exact"/>
        <w:ind w:firstLine="562" w:firstLineChars="200"/>
        <w:outlineLvl w:val="3"/>
        <w:rPr>
          <w:rFonts w:eastAsia="楷体_GB2312"/>
          <w:b/>
          <w:bCs/>
          <w:color w:val="000000"/>
          <w:kern w:val="0"/>
          <w:sz w:val="28"/>
          <w:szCs w:val="32"/>
        </w:rPr>
      </w:pPr>
      <w:bookmarkStart w:id="1408" w:name="_Toc511318053"/>
      <w:bookmarkStart w:id="1409" w:name="_Toc511317304"/>
      <w:bookmarkStart w:id="1410" w:name="_Toc189386111"/>
      <w:r>
        <w:rPr>
          <w:rFonts w:eastAsia="楷体_GB2312"/>
          <w:b/>
          <w:bCs/>
          <w:color w:val="000000"/>
          <w:kern w:val="0"/>
          <w:sz w:val="28"/>
          <w:szCs w:val="32"/>
        </w:rPr>
        <w:t>1.8 转让</w:t>
      </w:r>
      <w:bookmarkEnd w:id="1408"/>
      <w:bookmarkEnd w:id="1409"/>
      <w:bookmarkEnd w:id="1410"/>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除合同另有约定外，未经对方当事人同意，一方当事人不得将合同权利全部或部分转让给第三人，也不得全部或部分转移合同义务。</w:t>
      </w:r>
    </w:p>
    <w:p>
      <w:pPr>
        <w:spacing w:line="490" w:lineRule="exact"/>
        <w:ind w:firstLine="562" w:firstLineChars="200"/>
        <w:outlineLvl w:val="3"/>
        <w:rPr>
          <w:rFonts w:eastAsia="楷体_GB2312"/>
          <w:b/>
          <w:bCs/>
          <w:color w:val="000000"/>
          <w:kern w:val="0"/>
          <w:sz w:val="28"/>
          <w:szCs w:val="32"/>
        </w:rPr>
      </w:pPr>
      <w:bookmarkStart w:id="1411" w:name="_Toc511317305"/>
      <w:bookmarkStart w:id="1412" w:name="_Toc511318054"/>
      <w:bookmarkStart w:id="1413" w:name="_Toc189386112"/>
      <w:r>
        <w:rPr>
          <w:rFonts w:eastAsia="楷体_GB2312"/>
          <w:b/>
          <w:bCs/>
          <w:color w:val="000000"/>
          <w:kern w:val="0"/>
          <w:sz w:val="28"/>
          <w:szCs w:val="32"/>
        </w:rPr>
        <w:t>1.9 严禁贿赂</w:t>
      </w:r>
      <w:bookmarkEnd w:id="1411"/>
      <w:bookmarkEnd w:id="1412"/>
      <w:bookmarkEnd w:id="1413"/>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合同双方当事人不得以贿赂或变相贿赂的方式，谋取不当利益或损害对方权益。因贿赂造成对方损失的，行为人应赔偿损失，并承担相应的法律责任。</w:t>
      </w:r>
    </w:p>
    <w:p>
      <w:pPr>
        <w:spacing w:line="490" w:lineRule="exact"/>
        <w:ind w:firstLine="562" w:firstLineChars="200"/>
        <w:outlineLvl w:val="3"/>
        <w:rPr>
          <w:rFonts w:eastAsia="楷体_GB2312"/>
          <w:b/>
          <w:bCs/>
          <w:color w:val="000000"/>
          <w:kern w:val="0"/>
          <w:sz w:val="28"/>
          <w:szCs w:val="32"/>
        </w:rPr>
      </w:pPr>
      <w:bookmarkStart w:id="1414" w:name="_Toc189386113"/>
      <w:bookmarkStart w:id="1415" w:name="_Toc511318055"/>
      <w:bookmarkStart w:id="1416" w:name="_Toc511317306"/>
      <w:r>
        <w:rPr>
          <w:rFonts w:eastAsia="楷体_GB2312"/>
          <w:b/>
          <w:bCs/>
          <w:color w:val="000000"/>
          <w:kern w:val="0"/>
          <w:sz w:val="28"/>
          <w:szCs w:val="32"/>
        </w:rPr>
        <w:t>1.10 化石、文物</w:t>
      </w:r>
      <w:bookmarkEnd w:id="1414"/>
      <w:bookmarkEnd w:id="1415"/>
      <w:bookmarkEnd w:id="1416"/>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1.10.1  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发包人、监理人和承包人应按文物行政部门要求采取妥善保护措施，由此导致费用增加和（或）工期延误由发包人承担。</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1.10.2  承包人发现文物后不及时报告或隐瞒不报，致使文物丢失或损坏的，应赔偿损失，并承担相应的法律责任。</w:t>
      </w:r>
    </w:p>
    <w:p>
      <w:pPr>
        <w:spacing w:line="490" w:lineRule="exact"/>
        <w:ind w:firstLine="562" w:firstLineChars="200"/>
        <w:outlineLvl w:val="3"/>
        <w:rPr>
          <w:rFonts w:eastAsia="楷体_GB2312"/>
          <w:b/>
          <w:bCs/>
          <w:color w:val="000000"/>
          <w:kern w:val="0"/>
          <w:sz w:val="28"/>
          <w:szCs w:val="32"/>
        </w:rPr>
      </w:pPr>
      <w:bookmarkStart w:id="1417" w:name="_Toc511318056"/>
      <w:bookmarkStart w:id="1418" w:name="_Toc189386114"/>
      <w:bookmarkStart w:id="1419" w:name="_Toc511317307"/>
      <w:r>
        <w:rPr>
          <w:rFonts w:eastAsia="楷体_GB2312"/>
          <w:b/>
          <w:bCs/>
          <w:color w:val="000000"/>
          <w:kern w:val="0"/>
          <w:sz w:val="28"/>
          <w:szCs w:val="32"/>
        </w:rPr>
        <w:t>1.11 专利技术</w:t>
      </w:r>
      <w:bookmarkEnd w:id="1417"/>
      <w:bookmarkEnd w:id="1418"/>
      <w:bookmarkEnd w:id="1419"/>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1.11.1  承包人在使用任何材料、承包人设备、工程设备或采用施工工艺时，因侵犯专利权或其他知识产权所引起的责任，由承包人承担，但由于遵照发包人提供的设计或技术标准和要求引起的除外。</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1.11.2  承包人在投标文件中采用专利技术的，专利技术的使用费包含在投标报价内。</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1.11.3  承包人的技术秘密和声明需要保密的资料和信息，发包人和监理人不得为合同以外的目的泄露给他人或公开发表与引用。</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1.11.4  合同实施过程中，发包人要求承包人采用专利技术的，发包人应办理相应的使用手续，承包人应按发包人约定的条件使用，并承担使用专利技术的相关试验工作，所需费用由发包人承担。</w:t>
      </w:r>
    </w:p>
    <w:p>
      <w:pPr>
        <w:spacing w:line="490" w:lineRule="exact"/>
        <w:ind w:firstLine="562" w:firstLineChars="200"/>
        <w:outlineLvl w:val="3"/>
        <w:rPr>
          <w:rFonts w:eastAsia="楷体_GB2312"/>
          <w:b/>
          <w:bCs/>
          <w:color w:val="000000"/>
          <w:kern w:val="0"/>
          <w:sz w:val="28"/>
          <w:szCs w:val="32"/>
        </w:rPr>
      </w:pPr>
      <w:bookmarkStart w:id="1420" w:name="_Toc511318057"/>
      <w:bookmarkStart w:id="1421" w:name="_Toc189386115"/>
      <w:bookmarkStart w:id="1422" w:name="_Toc511317308"/>
      <w:r>
        <w:rPr>
          <w:rFonts w:eastAsia="楷体_GB2312"/>
          <w:b/>
          <w:bCs/>
          <w:color w:val="000000"/>
          <w:kern w:val="0"/>
          <w:sz w:val="28"/>
          <w:szCs w:val="32"/>
        </w:rPr>
        <w:t>1.12 图纸和文件的保密</w:t>
      </w:r>
      <w:bookmarkEnd w:id="1420"/>
      <w:bookmarkEnd w:id="1421"/>
      <w:bookmarkEnd w:id="1422"/>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1.12.1  发包人提供的图纸和文件，未经发包人同意，承包人不得为合同以外的目的泄露给他人或公开发表与引用。</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1.12.2  承包人提供的文件，未经承包人同意，发包人和监理人不得为合同以外的目的泄露给他人或公开发表与引用。</w:t>
      </w:r>
    </w:p>
    <w:p>
      <w:pPr>
        <w:pStyle w:val="6"/>
        <w:keepNext w:val="0"/>
        <w:keepLines w:val="0"/>
        <w:spacing w:before="0" w:after="0" w:line="490" w:lineRule="exact"/>
        <w:ind w:firstLine="562" w:firstLineChars="200"/>
        <w:rPr>
          <w:rFonts w:eastAsia="黑体"/>
          <w:bCs w:val="0"/>
          <w:color w:val="000000"/>
          <w:sz w:val="28"/>
        </w:rPr>
      </w:pPr>
      <w:bookmarkStart w:id="1423" w:name="_Toc189386116"/>
      <w:bookmarkStart w:id="1424" w:name="_Toc51091879"/>
      <w:bookmarkStart w:id="1425" w:name="_Toc10597"/>
      <w:bookmarkStart w:id="1426" w:name="_Toc3179"/>
      <w:r>
        <w:rPr>
          <w:rFonts w:eastAsia="黑体"/>
          <w:bCs w:val="0"/>
          <w:color w:val="000000"/>
          <w:sz w:val="28"/>
        </w:rPr>
        <w:t>2．发包人义务</w:t>
      </w:r>
      <w:bookmarkEnd w:id="1423"/>
      <w:bookmarkEnd w:id="1424"/>
      <w:bookmarkEnd w:id="1425"/>
      <w:bookmarkEnd w:id="1426"/>
    </w:p>
    <w:p>
      <w:pPr>
        <w:spacing w:line="490" w:lineRule="exact"/>
        <w:ind w:firstLine="562" w:firstLineChars="200"/>
        <w:outlineLvl w:val="3"/>
        <w:rPr>
          <w:rFonts w:eastAsia="楷体_GB2312"/>
          <w:b/>
          <w:bCs/>
          <w:color w:val="000000"/>
          <w:kern w:val="0"/>
          <w:sz w:val="28"/>
          <w:szCs w:val="32"/>
        </w:rPr>
      </w:pPr>
      <w:bookmarkStart w:id="1427" w:name="_Toc189386117"/>
      <w:bookmarkStart w:id="1428" w:name="_Toc511317310"/>
      <w:bookmarkStart w:id="1429" w:name="_Toc511318059"/>
      <w:r>
        <w:rPr>
          <w:rFonts w:eastAsia="楷体_GB2312"/>
          <w:b/>
          <w:bCs/>
          <w:color w:val="000000"/>
          <w:kern w:val="0"/>
          <w:sz w:val="28"/>
          <w:szCs w:val="32"/>
        </w:rPr>
        <w:t>2.1 遵守法律</w:t>
      </w:r>
      <w:bookmarkEnd w:id="1427"/>
      <w:bookmarkEnd w:id="1428"/>
      <w:bookmarkEnd w:id="1429"/>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发包人在履行合同过程中应遵守法律，并保证承包人免于承担因发包人违反法律而引起的任何责任。</w:t>
      </w:r>
    </w:p>
    <w:p>
      <w:pPr>
        <w:spacing w:line="490" w:lineRule="exact"/>
        <w:ind w:firstLine="562" w:firstLineChars="200"/>
        <w:outlineLvl w:val="3"/>
        <w:rPr>
          <w:rFonts w:eastAsia="楷体_GB2312"/>
          <w:b/>
          <w:bCs/>
          <w:color w:val="000000"/>
          <w:kern w:val="0"/>
          <w:sz w:val="28"/>
          <w:szCs w:val="32"/>
        </w:rPr>
      </w:pPr>
      <w:bookmarkStart w:id="1430" w:name="_Toc189386118"/>
      <w:bookmarkStart w:id="1431" w:name="_Toc511318060"/>
      <w:bookmarkStart w:id="1432" w:name="_Toc511317311"/>
      <w:r>
        <w:rPr>
          <w:rFonts w:eastAsia="楷体_GB2312"/>
          <w:b/>
          <w:bCs/>
          <w:color w:val="000000"/>
          <w:kern w:val="0"/>
          <w:sz w:val="28"/>
          <w:szCs w:val="32"/>
        </w:rPr>
        <w:t>2.2 发出开工通知</w:t>
      </w:r>
      <w:bookmarkEnd w:id="1430"/>
      <w:bookmarkEnd w:id="1431"/>
      <w:bookmarkEnd w:id="1432"/>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发包人应委托监理人按第11.1款的约定向承包人发出开工通知。</w:t>
      </w:r>
    </w:p>
    <w:p>
      <w:pPr>
        <w:spacing w:line="490" w:lineRule="exact"/>
        <w:ind w:firstLine="562" w:firstLineChars="200"/>
        <w:outlineLvl w:val="3"/>
        <w:rPr>
          <w:rFonts w:eastAsia="楷体_GB2312"/>
          <w:b/>
          <w:bCs/>
          <w:color w:val="000000"/>
          <w:kern w:val="0"/>
          <w:sz w:val="28"/>
          <w:szCs w:val="32"/>
        </w:rPr>
      </w:pPr>
      <w:bookmarkStart w:id="1433" w:name="_Toc511317312"/>
      <w:bookmarkStart w:id="1434" w:name="_Toc189386119"/>
      <w:bookmarkStart w:id="1435" w:name="_Toc511318061"/>
      <w:r>
        <w:rPr>
          <w:rFonts w:eastAsia="楷体_GB2312"/>
          <w:b/>
          <w:bCs/>
          <w:color w:val="000000"/>
          <w:kern w:val="0"/>
          <w:sz w:val="28"/>
          <w:szCs w:val="32"/>
        </w:rPr>
        <w:t>2.3 提供施工场地</w:t>
      </w:r>
      <w:bookmarkEnd w:id="1433"/>
      <w:bookmarkEnd w:id="1434"/>
      <w:bookmarkEnd w:id="1435"/>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2.3.1  发包人应在合同双方签订合同协议书后的14天内，将本合同工程的施工场地范围图提交给承包人。发包人提供的施工场地范围图应标明场地范围内永久占地与临时占地的范围和界限，以及指明提供给承包人用于施工场地布置的范围和界限及其有关资料。</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2.3.2  发包人提供的施工用地范围在专用合同条款中约定。</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2.3.3  除专用合同条款另有约定外，发包人应按技术标准和要求（合同技术条款）的约定，向承包人提供施工场地内的工程地质图纸和报告，以及地下障碍物图纸等施工场地有关资料，并保证资料的真实、准确、完整。</w:t>
      </w:r>
    </w:p>
    <w:p>
      <w:pPr>
        <w:spacing w:line="490" w:lineRule="exact"/>
        <w:ind w:firstLine="562" w:firstLineChars="200"/>
        <w:outlineLvl w:val="3"/>
        <w:rPr>
          <w:rFonts w:eastAsia="楷体_GB2312"/>
          <w:b/>
          <w:bCs/>
          <w:color w:val="000000"/>
          <w:kern w:val="0"/>
          <w:sz w:val="28"/>
          <w:szCs w:val="32"/>
        </w:rPr>
      </w:pPr>
      <w:bookmarkStart w:id="1436" w:name="_Toc511317313"/>
      <w:bookmarkStart w:id="1437" w:name="_Toc511318062"/>
      <w:bookmarkStart w:id="1438" w:name="_Toc189386120"/>
      <w:r>
        <w:rPr>
          <w:rFonts w:eastAsia="楷体_GB2312"/>
          <w:b/>
          <w:bCs/>
          <w:color w:val="000000"/>
          <w:kern w:val="0"/>
          <w:sz w:val="28"/>
          <w:szCs w:val="32"/>
        </w:rPr>
        <w:t>2.4 协助承包人办理证件和批件</w:t>
      </w:r>
      <w:bookmarkEnd w:id="1436"/>
      <w:bookmarkEnd w:id="1437"/>
      <w:bookmarkEnd w:id="1438"/>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发包人应协助承包人</w:t>
      </w:r>
      <w:r>
        <w:rPr>
          <w:rFonts w:hint="eastAsia" w:eastAsia="仿宋_GB2312"/>
          <w:color w:val="000000"/>
          <w:kern w:val="0"/>
          <w:sz w:val="28"/>
          <w:szCs w:val="32"/>
        </w:rPr>
        <w:t>依法</w:t>
      </w:r>
      <w:r>
        <w:rPr>
          <w:rFonts w:eastAsia="仿宋_GB2312"/>
          <w:color w:val="000000"/>
          <w:kern w:val="0"/>
          <w:sz w:val="28"/>
          <w:szCs w:val="32"/>
        </w:rPr>
        <w:t>办理有关施工证件和批件。</w:t>
      </w:r>
    </w:p>
    <w:p>
      <w:pPr>
        <w:spacing w:line="490" w:lineRule="exact"/>
        <w:ind w:firstLine="562" w:firstLineChars="200"/>
        <w:outlineLvl w:val="3"/>
        <w:rPr>
          <w:rFonts w:eastAsia="楷体_GB2312"/>
          <w:b/>
          <w:bCs/>
          <w:color w:val="000000"/>
          <w:kern w:val="0"/>
          <w:sz w:val="28"/>
          <w:szCs w:val="32"/>
        </w:rPr>
      </w:pPr>
      <w:bookmarkStart w:id="1439" w:name="_Toc511318063"/>
      <w:bookmarkStart w:id="1440" w:name="_Toc189386121"/>
      <w:bookmarkStart w:id="1441" w:name="_Toc511317314"/>
      <w:r>
        <w:rPr>
          <w:rFonts w:eastAsia="楷体_GB2312"/>
          <w:b/>
          <w:bCs/>
          <w:color w:val="000000"/>
          <w:kern w:val="0"/>
          <w:sz w:val="28"/>
          <w:szCs w:val="32"/>
        </w:rPr>
        <w:t>2.5 组织设计交底</w:t>
      </w:r>
      <w:bookmarkEnd w:id="1439"/>
      <w:bookmarkEnd w:id="1440"/>
      <w:bookmarkEnd w:id="1441"/>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发包人应根据合同进度计划，组织设计单位向承包人进行设计交底。</w:t>
      </w:r>
    </w:p>
    <w:p>
      <w:pPr>
        <w:spacing w:line="490" w:lineRule="exact"/>
        <w:ind w:firstLine="562" w:firstLineChars="200"/>
        <w:outlineLvl w:val="3"/>
        <w:rPr>
          <w:rFonts w:eastAsia="楷体_GB2312"/>
          <w:b/>
          <w:bCs/>
          <w:color w:val="000000"/>
          <w:kern w:val="0"/>
          <w:sz w:val="28"/>
          <w:szCs w:val="32"/>
        </w:rPr>
      </w:pPr>
      <w:bookmarkStart w:id="1442" w:name="_Toc511318064"/>
      <w:bookmarkStart w:id="1443" w:name="_Toc189386122"/>
      <w:bookmarkStart w:id="1444" w:name="_Toc511317315"/>
      <w:r>
        <w:rPr>
          <w:rFonts w:eastAsia="楷体_GB2312"/>
          <w:b/>
          <w:bCs/>
          <w:color w:val="000000"/>
          <w:kern w:val="0"/>
          <w:sz w:val="28"/>
          <w:szCs w:val="32"/>
        </w:rPr>
        <w:t>2.6 支付合同价款</w:t>
      </w:r>
      <w:bookmarkEnd w:id="1442"/>
      <w:bookmarkEnd w:id="1443"/>
      <w:bookmarkEnd w:id="1444"/>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发包人应按合同约定向承包人及时支付合同价款。</w:t>
      </w:r>
    </w:p>
    <w:p>
      <w:pPr>
        <w:spacing w:line="490" w:lineRule="exact"/>
        <w:ind w:firstLine="562" w:firstLineChars="200"/>
        <w:outlineLvl w:val="3"/>
        <w:rPr>
          <w:rFonts w:eastAsia="楷体_GB2312"/>
          <w:b/>
          <w:bCs/>
          <w:color w:val="000000"/>
          <w:kern w:val="0"/>
          <w:sz w:val="28"/>
          <w:szCs w:val="32"/>
        </w:rPr>
      </w:pPr>
      <w:bookmarkStart w:id="1445" w:name="_Toc511317316"/>
      <w:bookmarkStart w:id="1446" w:name="_Toc511318065"/>
      <w:r>
        <w:rPr>
          <w:rFonts w:eastAsia="楷体_GB2312"/>
          <w:b/>
          <w:bCs/>
          <w:color w:val="000000"/>
          <w:kern w:val="0"/>
          <w:sz w:val="28"/>
          <w:szCs w:val="32"/>
        </w:rPr>
        <w:t>2.7  组织竣工验收（组织法人验收）</w:t>
      </w:r>
      <w:bookmarkEnd w:id="1445"/>
      <w:bookmarkEnd w:id="1446"/>
    </w:p>
    <w:p>
      <w:pPr>
        <w:spacing w:line="490" w:lineRule="exact"/>
        <w:ind w:firstLine="560" w:firstLineChars="200"/>
        <w:rPr>
          <w:rFonts w:eastAsia="仿宋_GB2312"/>
          <w:color w:val="000000"/>
          <w:sz w:val="28"/>
          <w:szCs w:val="32"/>
        </w:rPr>
      </w:pPr>
      <w:r>
        <w:rPr>
          <w:rFonts w:eastAsia="仿宋_GB2312"/>
          <w:color w:val="000000"/>
          <w:sz w:val="28"/>
          <w:szCs w:val="32"/>
        </w:rPr>
        <w:t>发包人应按合同约定及时组织法人验收。</w:t>
      </w:r>
    </w:p>
    <w:p>
      <w:pPr>
        <w:spacing w:line="490" w:lineRule="exact"/>
        <w:ind w:firstLine="562" w:firstLineChars="200"/>
        <w:outlineLvl w:val="3"/>
        <w:rPr>
          <w:rFonts w:eastAsia="楷体_GB2312"/>
          <w:b/>
          <w:bCs/>
          <w:color w:val="000000"/>
          <w:kern w:val="0"/>
          <w:sz w:val="28"/>
          <w:szCs w:val="32"/>
        </w:rPr>
      </w:pPr>
      <w:bookmarkStart w:id="1447" w:name="_Toc189386124"/>
      <w:bookmarkStart w:id="1448" w:name="_Toc511318066"/>
      <w:bookmarkStart w:id="1449" w:name="_Toc511317317"/>
      <w:r>
        <w:rPr>
          <w:rFonts w:eastAsia="楷体_GB2312"/>
          <w:b/>
          <w:bCs/>
          <w:color w:val="000000"/>
          <w:kern w:val="0"/>
          <w:sz w:val="28"/>
          <w:szCs w:val="32"/>
        </w:rPr>
        <w:t>2.8 其他义务</w:t>
      </w:r>
      <w:bookmarkEnd w:id="1447"/>
      <w:bookmarkEnd w:id="1448"/>
      <w:bookmarkEnd w:id="1449"/>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其它义务在专用合同条款中补充约定。</w:t>
      </w:r>
    </w:p>
    <w:p>
      <w:pPr>
        <w:pStyle w:val="6"/>
        <w:keepNext w:val="0"/>
        <w:keepLines w:val="0"/>
        <w:spacing w:before="0" w:after="0" w:line="490" w:lineRule="exact"/>
        <w:ind w:firstLine="562" w:firstLineChars="200"/>
        <w:rPr>
          <w:rFonts w:eastAsia="黑体"/>
          <w:bCs w:val="0"/>
          <w:color w:val="000000"/>
          <w:sz w:val="28"/>
        </w:rPr>
      </w:pPr>
      <w:bookmarkStart w:id="1450" w:name="_Toc51091880"/>
      <w:bookmarkStart w:id="1451" w:name="_Toc9467"/>
      <w:bookmarkStart w:id="1452" w:name="_Toc9039"/>
      <w:bookmarkStart w:id="1453" w:name="_Toc189386125"/>
      <w:r>
        <w:rPr>
          <w:rFonts w:eastAsia="黑体"/>
          <w:bCs w:val="0"/>
          <w:color w:val="000000"/>
          <w:sz w:val="28"/>
        </w:rPr>
        <w:t>3．监理人</w:t>
      </w:r>
      <w:bookmarkEnd w:id="1450"/>
      <w:bookmarkEnd w:id="1451"/>
      <w:bookmarkEnd w:id="1452"/>
      <w:bookmarkEnd w:id="1453"/>
    </w:p>
    <w:p>
      <w:pPr>
        <w:spacing w:line="490" w:lineRule="exact"/>
        <w:ind w:firstLine="562" w:firstLineChars="200"/>
        <w:outlineLvl w:val="3"/>
        <w:rPr>
          <w:rFonts w:hint="eastAsia" w:eastAsia="楷体_GB2312"/>
          <w:b/>
          <w:bCs/>
          <w:color w:val="000000"/>
          <w:kern w:val="0"/>
          <w:sz w:val="28"/>
          <w:szCs w:val="32"/>
        </w:rPr>
      </w:pPr>
      <w:bookmarkStart w:id="1454" w:name="_Toc189386126"/>
      <w:bookmarkStart w:id="1455" w:name="_Toc511318068"/>
      <w:bookmarkStart w:id="1456" w:name="_Toc511317319"/>
      <w:r>
        <w:rPr>
          <w:rFonts w:eastAsia="楷体_GB2312"/>
          <w:b/>
          <w:bCs/>
          <w:color w:val="000000"/>
          <w:kern w:val="0"/>
          <w:sz w:val="28"/>
          <w:szCs w:val="32"/>
        </w:rPr>
        <w:t>3.1 监理人的职责和权</w:t>
      </w:r>
      <w:bookmarkEnd w:id="1454"/>
      <w:bookmarkEnd w:id="1455"/>
      <w:bookmarkEnd w:id="1456"/>
      <w:r>
        <w:rPr>
          <w:rFonts w:hint="eastAsia" w:eastAsia="楷体_GB2312"/>
          <w:b/>
          <w:bCs/>
          <w:color w:val="000000"/>
          <w:kern w:val="0"/>
          <w:sz w:val="28"/>
          <w:szCs w:val="32"/>
        </w:rPr>
        <w:t>利</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3.1.1  监理人受发包人的委托，享有合同约定的</w:t>
      </w:r>
      <w:r>
        <w:rPr>
          <w:rFonts w:hint="eastAsia" w:eastAsia="仿宋_GB2312"/>
          <w:color w:val="000000"/>
          <w:kern w:val="0"/>
          <w:sz w:val="28"/>
          <w:szCs w:val="32"/>
        </w:rPr>
        <w:t>权利</w:t>
      </w:r>
      <w:r>
        <w:rPr>
          <w:rFonts w:eastAsia="仿宋_GB2312"/>
          <w:color w:val="000000"/>
          <w:kern w:val="0"/>
          <w:sz w:val="28"/>
          <w:szCs w:val="32"/>
        </w:rPr>
        <w:t>。监理人的权</w:t>
      </w:r>
      <w:r>
        <w:rPr>
          <w:rFonts w:hint="eastAsia" w:eastAsia="仿宋_GB2312"/>
          <w:color w:val="000000"/>
          <w:kern w:val="0"/>
          <w:sz w:val="28"/>
          <w:szCs w:val="32"/>
        </w:rPr>
        <w:t>利</w:t>
      </w:r>
      <w:r>
        <w:rPr>
          <w:rFonts w:eastAsia="仿宋_GB2312"/>
          <w:color w:val="000000"/>
          <w:kern w:val="0"/>
          <w:sz w:val="28"/>
          <w:szCs w:val="32"/>
        </w:rPr>
        <w:t>范围在专用合同条款中明确。当监理人认为出现了危及生命、工程或毗邻财产等安全的紧急事件时，在不免除合同约定的承包人责任的情况下，监理人可以指示承包人实施为消除或减少这种危险所必须进行的工作，即使没有发包人的事先批准，承包人也应立即遵照执行。监理人应按第15条的约定增加相应的费用，并通知承包人。</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3.1.2  监理人发出的任何指示应视为已得到发包人的批准，但监理人无权免除或变更合同约定的发包人和承包人的权利、义务和责任。</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3.1.3  合同约定应由承包人承担的义务和责任，不因监理人对承包人提交文件的审查或批准，对工程、材料和设备的检查和检验，以及为实施监理作出的指示等职务行为而减轻或解除。</w:t>
      </w:r>
    </w:p>
    <w:p>
      <w:pPr>
        <w:spacing w:line="490" w:lineRule="exact"/>
        <w:ind w:firstLine="562" w:firstLineChars="200"/>
        <w:outlineLvl w:val="3"/>
        <w:rPr>
          <w:rFonts w:eastAsia="楷体_GB2312"/>
          <w:b/>
          <w:bCs/>
          <w:color w:val="000000"/>
          <w:kern w:val="0"/>
          <w:sz w:val="28"/>
          <w:szCs w:val="32"/>
        </w:rPr>
      </w:pPr>
      <w:bookmarkStart w:id="1457" w:name="_Toc189386127"/>
      <w:bookmarkStart w:id="1458" w:name="_Toc511318069"/>
      <w:bookmarkStart w:id="1459" w:name="_Toc511317320"/>
      <w:r>
        <w:rPr>
          <w:rFonts w:eastAsia="楷体_GB2312"/>
          <w:b/>
          <w:bCs/>
          <w:color w:val="000000"/>
          <w:kern w:val="0"/>
          <w:sz w:val="28"/>
          <w:szCs w:val="32"/>
        </w:rPr>
        <w:t>3.2 总监理工程师</w:t>
      </w:r>
      <w:bookmarkEnd w:id="1457"/>
      <w:bookmarkEnd w:id="1458"/>
      <w:bookmarkEnd w:id="1459"/>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发包人应在发出开工通知前将总监理工程师的任命通知承包人。总监理工程师更换时，应在调离14天前通知承包人。总监理工程师短期离开施工场地的，应委派代表代行其职责，并通知承包人。</w:t>
      </w:r>
    </w:p>
    <w:p>
      <w:pPr>
        <w:spacing w:line="490" w:lineRule="exact"/>
        <w:ind w:firstLine="562" w:firstLineChars="200"/>
        <w:outlineLvl w:val="3"/>
        <w:rPr>
          <w:rFonts w:eastAsia="楷体_GB2312"/>
          <w:b/>
          <w:bCs/>
          <w:color w:val="000000"/>
          <w:kern w:val="0"/>
          <w:sz w:val="28"/>
          <w:szCs w:val="32"/>
        </w:rPr>
      </w:pPr>
      <w:bookmarkStart w:id="1460" w:name="_Toc511317321"/>
      <w:bookmarkStart w:id="1461" w:name="_Toc189386128"/>
      <w:bookmarkStart w:id="1462" w:name="_Toc511318070"/>
      <w:r>
        <w:rPr>
          <w:rFonts w:eastAsia="楷体_GB2312"/>
          <w:b/>
          <w:bCs/>
          <w:color w:val="000000"/>
          <w:kern w:val="0"/>
          <w:sz w:val="28"/>
          <w:szCs w:val="32"/>
        </w:rPr>
        <w:t>3.3 监理人员</w:t>
      </w:r>
      <w:bookmarkEnd w:id="1460"/>
      <w:bookmarkEnd w:id="1461"/>
      <w:bookmarkEnd w:id="1462"/>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3.3.1  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承包人。</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3.3.2  监理人员对承包人的任何工作、工程或其采用的材料和工程设备未在约定的或合理的期限内提出否定意见的，视为已获批准，但不影响监理人在以后拒绝该项工作、工程、材料或工程设备的权利。</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3.3.3  承包人对总监理工程师授权的监理人员发出的指示有疑问的，可向总监理工程师提出书面异议，总监理工程师应在48小时内对该指示予以确认、更改或撤销。</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3.3.4  除专用合同条款另有约定外，总监理工程师不应将第3.5款约定应由总监理工程师作出确定的</w:t>
      </w:r>
      <w:r>
        <w:rPr>
          <w:rFonts w:hint="eastAsia" w:eastAsia="仿宋_GB2312"/>
          <w:color w:val="000000"/>
          <w:kern w:val="0"/>
          <w:sz w:val="28"/>
          <w:szCs w:val="32"/>
        </w:rPr>
        <w:t>权利</w:t>
      </w:r>
      <w:r>
        <w:rPr>
          <w:rFonts w:eastAsia="仿宋_GB2312"/>
          <w:color w:val="000000"/>
          <w:kern w:val="0"/>
          <w:sz w:val="28"/>
          <w:szCs w:val="32"/>
        </w:rPr>
        <w:t>授权或委托给其他监理人员。</w:t>
      </w:r>
    </w:p>
    <w:p>
      <w:pPr>
        <w:spacing w:line="490" w:lineRule="exact"/>
        <w:ind w:firstLine="562" w:firstLineChars="200"/>
        <w:outlineLvl w:val="3"/>
        <w:rPr>
          <w:rFonts w:eastAsia="楷体_GB2312"/>
          <w:b/>
          <w:bCs/>
          <w:color w:val="000000"/>
          <w:kern w:val="0"/>
          <w:sz w:val="28"/>
          <w:szCs w:val="32"/>
        </w:rPr>
      </w:pPr>
      <w:bookmarkStart w:id="1463" w:name="_Toc189386129"/>
      <w:bookmarkStart w:id="1464" w:name="_Toc511317322"/>
      <w:bookmarkStart w:id="1465" w:name="_Toc511318071"/>
      <w:r>
        <w:rPr>
          <w:rFonts w:eastAsia="楷体_GB2312"/>
          <w:b/>
          <w:bCs/>
          <w:color w:val="000000"/>
          <w:kern w:val="0"/>
          <w:sz w:val="28"/>
          <w:szCs w:val="32"/>
        </w:rPr>
        <w:t>3.4 监理人的指示</w:t>
      </w:r>
      <w:bookmarkEnd w:id="1463"/>
      <w:bookmarkEnd w:id="1464"/>
      <w:bookmarkEnd w:id="1465"/>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3.4.1  监理人应按第3.1款的约定向承包人发出指示，监理人的指示应盖有监理人授权的施工场地机构章，并由总监理工程师或总监理工程师按第3.3.1项约定授权的监理人员签字。</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3.4.2  承包人收到监理人按第3.4.1 项作出的指示后应遵照执行。指示构成变更的，应按第15 条处理。</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3.4.3  在紧急情况下，总监理工程师或被授权的监理人员可以当场签发临时书面指示，承包人应遵照执行。承包人应在收到上述临时书面指示后24小时内，向监理人发出书面确认函。监理人在收到书面确认函后24小时内未予答复的，该书面确认函应被视为监理人的正式指示。</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3.4.4  除合同另有约定外，承包人只从总监理工程师或按第3.3.1 项被授权的监理人员处取得指示。</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3.4.5  由于监理人未能按合同约定发出指示、指示延误或指示错误而导致承包人费用增加和（或）工期延误的，由发包人承担赔偿责任。</w:t>
      </w:r>
    </w:p>
    <w:p>
      <w:pPr>
        <w:spacing w:line="490" w:lineRule="exact"/>
        <w:ind w:firstLine="562" w:firstLineChars="200"/>
        <w:outlineLvl w:val="3"/>
        <w:rPr>
          <w:rFonts w:eastAsia="楷体_GB2312"/>
          <w:b/>
          <w:bCs/>
          <w:color w:val="000000"/>
          <w:kern w:val="0"/>
          <w:sz w:val="28"/>
          <w:szCs w:val="32"/>
        </w:rPr>
      </w:pPr>
      <w:bookmarkStart w:id="1466" w:name="_Toc189386130"/>
      <w:bookmarkStart w:id="1467" w:name="_Toc511318072"/>
      <w:bookmarkStart w:id="1468" w:name="_Toc511317323"/>
      <w:r>
        <w:rPr>
          <w:rFonts w:eastAsia="楷体_GB2312"/>
          <w:b/>
          <w:bCs/>
          <w:color w:val="000000"/>
          <w:kern w:val="0"/>
          <w:sz w:val="28"/>
          <w:szCs w:val="32"/>
        </w:rPr>
        <w:t>3.5 商定或确定</w:t>
      </w:r>
      <w:bookmarkEnd w:id="1466"/>
      <w:bookmarkEnd w:id="1467"/>
      <w:bookmarkEnd w:id="1468"/>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3.5.1  合同约定总监理工程师应按照本款对任何事项进行商定或确定时，总监理工程师应与合同当事人协商，尽量达成一致。不能达成一致的，总监理工程师应认真研究后审慎确定。</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3.5.2  总监理工程师应将商定或确定的事项通知合同当事人，并附详细依据。对总监理工程师的确定有异议的，构成争议，按照第24条的约定处理。在争议解决前，双方应暂按总监理工程师的确定执行，按照第24条的约定对总监理工程师的确定作出修改的，按修改后的结果执行。</w:t>
      </w:r>
    </w:p>
    <w:p>
      <w:pPr>
        <w:pStyle w:val="6"/>
        <w:keepNext w:val="0"/>
        <w:keepLines w:val="0"/>
        <w:spacing w:before="0" w:after="0" w:line="490" w:lineRule="exact"/>
        <w:ind w:firstLine="562" w:firstLineChars="200"/>
        <w:rPr>
          <w:rFonts w:eastAsia="黑体"/>
          <w:bCs w:val="0"/>
          <w:color w:val="000000"/>
          <w:sz w:val="28"/>
        </w:rPr>
      </w:pPr>
      <w:bookmarkStart w:id="1469" w:name="_Toc1267"/>
      <w:bookmarkStart w:id="1470" w:name="_Toc11356"/>
      <w:bookmarkStart w:id="1471" w:name="_Toc51091881"/>
      <w:bookmarkStart w:id="1472" w:name="_Toc189386131"/>
      <w:r>
        <w:rPr>
          <w:rFonts w:eastAsia="黑体"/>
          <w:bCs w:val="0"/>
          <w:color w:val="000000"/>
          <w:sz w:val="28"/>
        </w:rPr>
        <w:t>4．承包人</w:t>
      </w:r>
      <w:bookmarkEnd w:id="1469"/>
      <w:bookmarkEnd w:id="1470"/>
      <w:bookmarkEnd w:id="1471"/>
      <w:bookmarkEnd w:id="1472"/>
    </w:p>
    <w:p>
      <w:pPr>
        <w:spacing w:line="490" w:lineRule="exact"/>
        <w:ind w:firstLine="562" w:firstLineChars="200"/>
        <w:outlineLvl w:val="3"/>
        <w:rPr>
          <w:rFonts w:eastAsia="楷体_GB2312"/>
          <w:b/>
          <w:bCs/>
          <w:color w:val="000000"/>
          <w:kern w:val="0"/>
          <w:sz w:val="28"/>
          <w:szCs w:val="32"/>
        </w:rPr>
      </w:pPr>
      <w:bookmarkStart w:id="1473" w:name="_Toc511317325"/>
      <w:bookmarkStart w:id="1474" w:name="_Toc511318074"/>
      <w:bookmarkStart w:id="1475" w:name="_Toc189386132"/>
      <w:r>
        <w:rPr>
          <w:rFonts w:eastAsia="楷体_GB2312"/>
          <w:b/>
          <w:bCs/>
          <w:color w:val="000000"/>
          <w:kern w:val="0"/>
          <w:sz w:val="28"/>
          <w:szCs w:val="32"/>
        </w:rPr>
        <w:t>4.1 承包人的一般义务</w:t>
      </w:r>
      <w:bookmarkEnd w:id="1473"/>
      <w:bookmarkEnd w:id="1474"/>
      <w:bookmarkEnd w:id="1475"/>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4.1.1  遵守法律</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承包人在履行合同过程中应遵守法律，并保证发包人免于承担因承包人违反法律而引起的任何责任。</w:t>
      </w:r>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4.1.2  依法纳税</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承包人应按有关法律规定纳税，应缴纳的税金包括在合同价格内。</w:t>
      </w:r>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4.1.3  完成各项承包工作</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承包人应按合同约定以及监理人根据第3.4款作出的指示，实施、完成全部工程，并修补工程中的任何缺陷。除第5.2款、第6.2款另有约定外，承包人应提供为完成合同工作所需的劳务、材料、施工设备、工程设备和其它物品，并按合同约定负责临时设施的设计、建造、运行、维护、管理和拆除。</w:t>
      </w:r>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4.1.4  对施工作业和施工方法的完备性负责</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承包人应按合同约定的工作内容和施工进度要求，编制施工组织设计和施工措施计划，并对所有施工作业和施工方法的完备性和安全可靠性负责。</w:t>
      </w:r>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4.1.5  保证工程施工和人员的安全</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承包人应按第9.2 款约定采取施工安全措施，确保工程及其人员、材料、设备和设施的安全，防止因工程施工造成的人身伤害和财产损失。</w:t>
      </w:r>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4.1.6  负责施工场地及其周边环境与生态的保护工作</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承包人应按照第9.4 款约定负责施工场地及其周边环境与生态的保护工作。</w:t>
      </w:r>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4.1.7  避免施工对公众与他人的利益造成损害</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4.1.8  为他人提供方便</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承包人应按监理人的指示为他人在施工场地或附近实施与工程有关的其他各项工作提供可能的条件。除合同另有约定外，提供有关条件的内容和可能发生的费用，由监理人按第3.5 款商定或确定。</w:t>
      </w:r>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4.1.9  工程的维护和照管</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除合同另有约定外，合同工程完工证书颁发前，承包人应负责照管和维护工程。合同工程完工证书颁发时尚有部分未完工程的，承包人还应负责该未完工程的照管和维护工作，直至完工后移交给发包人为止。</w:t>
      </w:r>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4.1.10  其他义务</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其它义务在专用合同条款中补充约定。</w:t>
      </w:r>
    </w:p>
    <w:p>
      <w:pPr>
        <w:spacing w:line="490" w:lineRule="exact"/>
        <w:ind w:firstLine="562" w:firstLineChars="200"/>
        <w:outlineLvl w:val="3"/>
        <w:rPr>
          <w:rFonts w:eastAsia="楷体_GB2312"/>
          <w:b/>
          <w:bCs/>
          <w:color w:val="000000"/>
          <w:kern w:val="0"/>
          <w:sz w:val="28"/>
          <w:szCs w:val="32"/>
        </w:rPr>
      </w:pPr>
      <w:bookmarkStart w:id="1476" w:name="_Toc189386133"/>
      <w:bookmarkStart w:id="1477" w:name="_Toc511317326"/>
      <w:bookmarkStart w:id="1478" w:name="_Toc511318075"/>
      <w:r>
        <w:rPr>
          <w:rFonts w:eastAsia="楷体_GB2312"/>
          <w:b/>
          <w:bCs/>
          <w:color w:val="000000"/>
          <w:kern w:val="0"/>
          <w:sz w:val="28"/>
          <w:szCs w:val="32"/>
        </w:rPr>
        <w:t>4.2 履约担保</w:t>
      </w:r>
      <w:bookmarkEnd w:id="1476"/>
      <w:bookmarkEnd w:id="1477"/>
      <w:bookmarkEnd w:id="1478"/>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承包人应保证其履约担保在发包人颁发合同工程完工证书前一直有效。发包人应在合同工程完工证书颁发后28天内将履约担保退还给承包人。</w:t>
      </w:r>
    </w:p>
    <w:p>
      <w:pPr>
        <w:spacing w:line="490" w:lineRule="exact"/>
        <w:ind w:firstLine="562" w:firstLineChars="200"/>
        <w:outlineLvl w:val="3"/>
        <w:rPr>
          <w:rFonts w:eastAsia="楷体_GB2312"/>
          <w:b/>
          <w:bCs/>
          <w:color w:val="000000"/>
          <w:kern w:val="0"/>
          <w:sz w:val="28"/>
          <w:szCs w:val="32"/>
        </w:rPr>
      </w:pPr>
      <w:bookmarkStart w:id="1479" w:name="_Toc511317327"/>
      <w:bookmarkStart w:id="1480" w:name="_Toc511318076"/>
      <w:bookmarkStart w:id="1481" w:name="_Toc189386134"/>
      <w:r>
        <w:rPr>
          <w:rFonts w:eastAsia="楷体_GB2312"/>
          <w:b/>
          <w:bCs/>
          <w:color w:val="000000"/>
          <w:kern w:val="0"/>
          <w:sz w:val="28"/>
          <w:szCs w:val="32"/>
        </w:rPr>
        <w:t>4.3 分包</w:t>
      </w:r>
      <w:bookmarkEnd w:id="1479"/>
      <w:bookmarkEnd w:id="1480"/>
      <w:bookmarkEnd w:id="1481"/>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4.3.1  承包人不得将其承包的全部工程转包给第三人，或将其承包的全部工程肢解后以分包的名义转包给第三人。</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4.3.2  承包人不得将工程主体、关键性工作分包给第三人。除专用合同条款另有约定外，未经发包人同意，承包人不得将工程的其他部分或工作分包给第三人。</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4.3.3  分包人的资格能力应与其分包工程的标准和规模相适应。</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4.3.4  按投标函附录约定分包工程的，承包人应向发包人和监理人提交分包合同副本。</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4.3.5  承包人应与分包人就分包工程向发包人承担连带责任。</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4.3.6  分包分为工程分包和劳务作业分包。工程分包应遵循合同约定或者经发包人书面认可。禁止承包人将本合同工程进行违法分包。分包人应具备与分包工程规模和标准相适应的资质和业绩，在人力、设备、资金等方面具有承担分包工程施工的能力。分包人应自行完成所承包的任务。</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4.3.</w:t>
      </w:r>
      <w:r>
        <w:rPr>
          <w:rFonts w:hint="eastAsia" w:eastAsia="仿宋_GB2312"/>
          <w:color w:val="000000"/>
          <w:kern w:val="0"/>
          <w:sz w:val="28"/>
          <w:szCs w:val="32"/>
        </w:rPr>
        <w:t>7</w:t>
      </w:r>
      <w:r>
        <w:rPr>
          <w:rFonts w:eastAsia="仿宋_GB2312"/>
          <w:color w:val="000000"/>
          <w:kern w:val="0"/>
          <w:sz w:val="28"/>
          <w:szCs w:val="32"/>
        </w:rPr>
        <w:t xml:space="preserve">  承包人和分包人应当签订分包合同，并履行合同约定的义务。分包合同必须遵循承包合同的各项原则，满足承包合同中相应条款的要求。发包人可以对分包合同实施情况进行监督检查。承包人应将分包合同副本提交发包人和监理人。</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4.3.</w:t>
      </w:r>
      <w:r>
        <w:rPr>
          <w:rFonts w:hint="eastAsia" w:eastAsia="仿宋_GB2312"/>
          <w:color w:val="000000"/>
          <w:kern w:val="0"/>
          <w:sz w:val="28"/>
          <w:szCs w:val="32"/>
        </w:rPr>
        <w:t>8</w:t>
      </w:r>
      <w:r>
        <w:rPr>
          <w:rFonts w:eastAsia="仿宋_GB2312"/>
          <w:color w:val="000000"/>
          <w:kern w:val="0"/>
          <w:sz w:val="28"/>
          <w:szCs w:val="32"/>
        </w:rPr>
        <w:t xml:space="preserve"> 承包人对其分包项目的实施以及分包人的行为向发包人负全部责任。承包人应对分包项目的工程进度、质量、安全、计量和验收等实施监督和管理。</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4.3.</w:t>
      </w:r>
      <w:r>
        <w:rPr>
          <w:rFonts w:hint="eastAsia" w:eastAsia="仿宋_GB2312"/>
          <w:color w:val="000000"/>
          <w:kern w:val="0"/>
          <w:sz w:val="28"/>
          <w:szCs w:val="32"/>
        </w:rPr>
        <w:t>9</w:t>
      </w:r>
      <w:r>
        <w:rPr>
          <w:rFonts w:eastAsia="仿宋_GB2312"/>
          <w:color w:val="000000"/>
          <w:kern w:val="0"/>
          <w:sz w:val="28"/>
          <w:szCs w:val="32"/>
        </w:rPr>
        <w:t xml:space="preserve">  分包人应按专用合同条款的约定设立项目管理机构组织管理分包工程的施工活动。</w:t>
      </w:r>
    </w:p>
    <w:p>
      <w:pPr>
        <w:spacing w:line="490" w:lineRule="exact"/>
        <w:ind w:firstLine="562" w:firstLineChars="200"/>
        <w:outlineLvl w:val="3"/>
        <w:rPr>
          <w:rFonts w:eastAsia="楷体_GB2312"/>
          <w:b/>
          <w:bCs/>
          <w:color w:val="000000"/>
          <w:kern w:val="0"/>
          <w:sz w:val="28"/>
          <w:szCs w:val="32"/>
        </w:rPr>
      </w:pPr>
      <w:bookmarkStart w:id="1482" w:name="_Toc511317328"/>
      <w:bookmarkStart w:id="1483" w:name="_Toc511318077"/>
      <w:bookmarkStart w:id="1484" w:name="_Toc189386135"/>
      <w:r>
        <w:rPr>
          <w:rFonts w:eastAsia="楷体_GB2312"/>
          <w:b/>
          <w:bCs/>
          <w:color w:val="000000"/>
          <w:kern w:val="0"/>
          <w:sz w:val="28"/>
          <w:szCs w:val="32"/>
        </w:rPr>
        <w:t>4.4 联合体</w:t>
      </w:r>
      <w:bookmarkEnd w:id="1482"/>
      <w:bookmarkEnd w:id="1483"/>
      <w:bookmarkEnd w:id="1484"/>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4.4.1  联合体各方应共同与发包人签订合同协议书。联合体各方应为履行合同承担连带责任。</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4.4.2  联合体协议经发包人确认后作为合同附件。在履行合同过程中，未经发包人同意，不得修改联合体协议。</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4.4.3  联合体牵头人负责与发包人和监理人联系，并接受指示，负责组织联合体各成员全面履行合同。</w:t>
      </w:r>
    </w:p>
    <w:p>
      <w:pPr>
        <w:spacing w:line="490" w:lineRule="exact"/>
        <w:ind w:firstLine="562" w:firstLineChars="200"/>
        <w:outlineLvl w:val="3"/>
        <w:rPr>
          <w:rFonts w:hint="eastAsia" w:eastAsia="仿宋_GB2312"/>
          <w:b/>
          <w:bCs/>
          <w:color w:val="000000"/>
          <w:kern w:val="0"/>
          <w:sz w:val="28"/>
          <w:szCs w:val="32"/>
        </w:rPr>
      </w:pPr>
      <w:bookmarkStart w:id="1485" w:name="_Toc189386136"/>
      <w:bookmarkStart w:id="1486" w:name="_Toc511317329"/>
      <w:bookmarkStart w:id="1487" w:name="_Toc511318078"/>
      <w:r>
        <w:rPr>
          <w:rFonts w:eastAsia="仿宋_GB2312"/>
          <w:b/>
          <w:color w:val="000000"/>
          <w:kern w:val="0"/>
          <w:sz w:val="28"/>
          <w:szCs w:val="32"/>
        </w:rPr>
        <w:t>4.5 承包人</w:t>
      </w:r>
      <w:bookmarkEnd w:id="1485"/>
      <w:bookmarkEnd w:id="1486"/>
      <w:bookmarkEnd w:id="1487"/>
      <w:r>
        <w:rPr>
          <w:rFonts w:hint="eastAsia" w:eastAsia="仿宋_GB2312"/>
          <w:b/>
          <w:color w:val="000000"/>
          <w:kern w:val="0"/>
          <w:sz w:val="28"/>
          <w:szCs w:val="32"/>
        </w:rPr>
        <w:t>项目负责人</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4.5.1  承包人应按合同约定指派</w:t>
      </w:r>
      <w:r>
        <w:rPr>
          <w:rFonts w:hint="eastAsia" w:eastAsia="仿宋_GB2312"/>
          <w:color w:val="000000"/>
          <w:kern w:val="0"/>
          <w:sz w:val="28"/>
          <w:szCs w:val="32"/>
        </w:rPr>
        <w:t>项目负责人</w:t>
      </w:r>
      <w:r>
        <w:rPr>
          <w:rFonts w:eastAsia="仿宋_GB2312"/>
          <w:color w:val="000000"/>
          <w:kern w:val="0"/>
          <w:sz w:val="28"/>
          <w:szCs w:val="32"/>
        </w:rPr>
        <w:t>，并在约定的期限内到职。承包人更换</w:t>
      </w:r>
      <w:r>
        <w:rPr>
          <w:rFonts w:hint="eastAsia" w:eastAsia="仿宋_GB2312"/>
          <w:color w:val="000000"/>
          <w:kern w:val="0"/>
          <w:sz w:val="28"/>
          <w:szCs w:val="32"/>
        </w:rPr>
        <w:t>项目负责人</w:t>
      </w:r>
      <w:r>
        <w:rPr>
          <w:rFonts w:eastAsia="仿宋_GB2312"/>
          <w:color w:val="000000"/>
          <w:kern w:val="0"/>
          <w:sz w:val="28"/>
          <w:szCs w:val="32"/>
        </w:rPr>
        <w:t>应事先征得发包人同意，并应在更换14 天前通知发包人和监理人。承包人</w:t>
      </w:r>
      <w:r>
        <w:rPr>
          <w:rFonts w:hint="eastAsia" w:eastAsia="仿宋_GB2312"/>
          <w:color w:val="000000"/>
          <w:kern w:val="0"/>
          <w:sz w:val="28"/>
          <w:szCs w:val="32"/>
        </w:rPr>
        <w:t>项目负责人</w:t>
      </w:r>
      <w:r>
        <w:rPr>
          <w:rFonts w:eastAsia="仿宋_GB2312"/>
          <w:color w:val="000000"/>
          <w:kern w:val="0"/>
          <w:sz w:val="28"/>
          <w:szCs w:val="32"/>
        </w:rPr>
        <w:t>短期离开施工场地，应事先征得监理人同意，并委派代表代行其职责。</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4.5.2  承包人</w:t>
      </w:r>
      <w:r>
        <w:rPr>
          <w:rFonts w:hint="eastAsia" w:eastAsia="仿宋_GB2312"/>
          <w:color w:val="000000"/>
          <w:kern w:val="0"/>
          <w:sz w:val="28"/>
          <w:szCs w:val="32"/>
        </w:rPr>
        <w:t>项目负责人</w:t>
      </w:r>
      <w:r>
        <w:rPr>
          <w:rFonts w:eastAsia="仿宋_GB2312"/>
          <w:color w:val="000000"/>
          <w:kern w:val="0"/>
          <w:sz w:val="28"/>
          <w:szCs w:val="32"/>
        </w:rPr>
        <w:t>应按合同约定以及监理人按第3.4 款作出的指示，负责组织合同工程的实施。在情况紧急且无法与监理人取得联系时，可采取保证工程和人员生命财产安全的紧急措施，并在采取措施后24 小时内向监理人提交书面报告。</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4.5.3  承包人为履行合同发出的一切函件均应盖有承包人授权的施工场地管理机构章，并由承包人</w:t>
      </w:r>
      <w:r>
        <w:rPr>
          <w:rFonts w:hint="eastAsia" w:eastAsia="仿宋_GB2312"/>
          <w:color w:val="000000"/>
          <w:kern w:val="0"/>
          <w:sz w:val="28"/>
          <w:szCs w:val="32"/>
        </w:rPr>
        <w:t>项目负责人</w:t>
      </w:r>
      <w:r>
        <w:rPr>
          <w:rFonts w:eastAsia="仿宋_GB2312"/>
          <w:color w:val="000000"/>
          <w:kern w:val="0"/>
          <w:sz w:val="28"/>
          <w:szCs w:val="32"/>
        </w:rPr>
        <w:t>或其授权代表签字。</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4.5.4  承包人</w:t>
      </w:r>
      <w:r>
        <w:rPr>
          <w:rFonts w:hint="eastAsia" w:eastAsia="仿宋_GB2312"/>
          <w:color w:val="000000"/>
          <w:kern w:val="0"/>
          <w:sz w:val="28"/>
          <w:szCs w:val="32"/>
        </w:rPr>
        <w:t>项目负责人</w:t>
      </w:r>
      <w:r>
        <w:rPr>
          <w:rFonts w:eastAsia="仿宋_GB2312"/>
          <w:color w:val="000000"/>
          <w:kern w:val="0"/>
          <w:sz w:val="28"/>
          <w:szCs w:val="32"/>
        </w:rPr>
        <w:t>可以授权其下属人员履行其某项职责，但事先应将这些人员的姓名和授权范围通知监理人。</w:t>
      </w:r>
    </w:p>
    <w:p>
      <w:pPr>
        <w:spacing w:line="490" w:lineRule="exact"/>
        <w:ind w:firstLine="562" w:firstLineChars="200"/>
        <w:outlineLvl w:val="3"/>
        <w:rPr>
          <w:rFonts w:eastAsia="楷体_GB2312"/>
          <w:b/>
          <w:bCs/>
          <w:color w:val="000000"/>
          <w:kern w:val="0"/>
          <w:sz w:val="28"/>
          <w:szCs w:val="32"/>
        </w:rPr>
      </w:pPr>
      <w:bookmarkStart w:id="1488" w:name="_Toc189386137"/>
      <w:bookmarkStart w:id="1489" w:name="_Toc511318079"/>
      <w:bookmarkStart w:id="1490" w:name="_Toc511317330"/>
      <w:r>
        <w:rPr>
          <w:rFonts w:eastAsia="楷体_GB2312"/>
          <w:b/>
          <w:bCs/>
          <w:color w:val="000000"/>
          <w:kern w:val="0"/>
          <w:sz w:val="28"/>
          <w:szCs w:val="32"/>
        </w:rPr>
        <w:t>4.6 承包人人员的管理</w:t>
      </w:r>
      <w:bookmarkEnd w:id="1488"/>
      <w:bookmarkEnd w:id="1489"/>
      <w:bookmarkEnd w:id="1490"/>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4.6.1  承包人应在接到开工通知后28 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4.6.2  为完成合同约定的各项工作，承包人应向施工场地派遣或雇佣足够数量的下列人员：</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（1）具有相应资格的专业技工和合格的普工；</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（2）具有相应施工经验的技术人员；</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（3）具有相应岗位资格的各级管理人员。</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4.6.3  承包人安排在施工场地的主要管理人员和技术骨干应相对稳定。承包人更换主要管理人员和技术骨干时，应取得监理人的同意。</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4.6.4  特殊岗位的工作人员均应持有相应的资格证明，监理人有权随时检查。监理人认为有必要时，可进行现场考核。</w:t>
      </w:r>
    </w:p>
    <w:p>
      <w:pPr>
        <w:spacing w:line="490" w:lineRule="exact"/>
        <w:ind w:firstLine="562" w:firstLineChars="200"/>
        <w:outlineLvl w:val="3"/>
        <w:rPr>
          <w:rFonts w:eastAsia="楷体_GB2312"/>
          <w:b/>
          <w:bCs/>
          <w:color w:val="000000"/>
          <w:kern w:val="0"/>
          <w:sz w:val="28"/>
          <w:szCs w:val="32"/>
        </w:rPr>
      </w:pPr>
      <w:bookmarkStart w:id="1491" w:name="_Toc189386138"/>
      <w:bookmarkStart w:id="1492" w:name="_Toc511318080"/>
      <w:bookmarkStart w:id="1493" w:name="_Toc511317331"/>
      <w:r>
        <w:rPr>
          <w:rFonts w:eastAsia="楷体_GB2312"/>
          <w:b/>
          <w:bCs/>
          <w:color w:val="000000"/>
          <w:kern w:val="0"/>
          <w:sz w:val="28"/>
          <w:szCs w:val="32"/>
        </w:rPr>
        <w:t>4.7 撤换承包人</w:t>
      </w:r>
      <w:r>
        <w:rPr>
          <w:rFonts w:hint="eastAsia" w:eastAsia="楷体_GB2312"/>
          <w:b/>
          <w:bCs/>
          <w:color w:val="000000"/>
          <w:kern w:val="0"/>
          <w:sz w:val="28"/>
          <w:szCs w:val="32"/>
        </w:rPr>
        <w:t>项目负责人</w:t>
      </w:r>
      <w:r>
        <w:rPr>
          <w:rFonts w:eastAsia="楷体_GB2312"/>
          <w:b/>
          <w:bCs/>
          <w:color w:val="000000"/>
          <w:kern w:val="0"/>
          <w:sz w:val="28"/>
          <w:szCs w:val="32"/>
        </w:rPr>
        <w:t>和其他人员</w:t>
      </w:r>
      <w:bookmarkEnd w:id="1491"/>
      <w:bookmarkEnd w:id="1492"/>
      <w:bookmarkEnd w:id="1493"/>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承包人应对其</w:t>
      </w:r>
      <w:r>
        <w:rPr>
          <w:rFonts w:hint="eastAsia" w:eastAsia="仿宋_GB2312"/>
          <w:color w:val="000000"/>
          <w:kern w:val="0"/>
          <w:sz w:val="28"/>
          <w:szCs w:val="32"/>
        </w:rPr>
        <w:t>项目负责人</w:t>
      </w:r>
      <w:r>
        <w:rPr>
          <w:rFonts w:eastAsia="仿宋_GB2312"/>
          <w:color w:val="000000"/>
          <w:kern w:val="0"/>
          <w:sz w:val="28"/>
          <w:szCs w:val="32"/>
        </w:rPr>
        <w:t>和其他人员进行有效管理。监理人要求撤换不能胜任本职工作、行为不端或玩忽职守的承包人</w:t>
      </w:r>
      <w:r>
        <w:rPr>
          <w:rFonts w:hint="eastAsia" w:eastAsia="仿宋_GB2312"/>
          <w:color w:val="000000"/>
          <w:kern w:val="0"/>
          <w:sz w:val="28"/>
          <w:szCs w:val="32"/>
        </w:rPr>
        <w:t>项目负责人</w:t>
      </w:r>
      <w:r>
        <w:rPr>
          <w:rFonts w:eastAsia="仿宋_GB2312"/>
          <w:color w:val="000000"/>
          <w:kern w:val="0"/>
          <w:sz w:val="28"/>
          <w:szCs w:val="32"/>
        </w:rPr>
        <w:t>和其他人员的，承包人应予以撤换。</w:t>
      </w:r>
    </w:p>
    <w:p>
      <w:pPr>
        <w:spacing w:line="490" w:lineRule="exact"/>
        <w:ind w:firstLine="562" w:firstLineChars="200"/>
        <w:outlineLvl w:val="3"/>
        <w:rPr>
          <w:rFonts w:eastAsia="楷体_GB2312"/>
          <w:b/>
          <w:bCs/>
          <w:color w:val="000000"/>
          <w:kern w:val="0"/>
          <w:sz w:val="28"/>
          <w:szCs w:val="32"/>
        </w:rPr>
      </w:pPr>
      <w:bookmarkStart w:id="1494" w:name="_Toc189386139"/>
      <w:bookmarkStart w:id="1495" w:name="_Toc511317332"/>
      <w:bookmarkStart w:id="1496" w:name="_Toc511318081"/>
      <w:r>
        <w:rPr>
          <w:rFonts w:eastAsia="楷体_GB2312"/>
          <w:b/>
          <w:bCs/>
          <w:color w:val="000000"/>
          <w:kern w:val="0"/>
          <w:sz w:val="28"/>
          <w:szCs w:val="32"/>
        </w:rPr>
        <w:t>4.8 保障承包人人员的合法权益</w:t>
      </w:r>
      <w:bookmarkEnd w:id="1494"/>
      <w:bookmarkEnd w:id="1495"/>
      <w:bookmarkEnd w:id="1496"/>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4.8.1  承包人应与其雇佣的人员签订劳动合同，并按时发放工资。</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4.8.2  承包人应按劳动法的规定安排工作时间，保证其雇佣人员享有休息和休假的权利。因工程施工的特殊需要占用休假日或延长工作时间的，应不超过法律规定的限度，并按法律规定给予补休或付酬。</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4.8.3  承包人应为其雇佣人员提供必要的食宿条件，以及符合环境保护和卫生要求的生活环境，在远离城镇的施工场地，还应配备必要的伤病防治和急救的医务人员与医疗设施。</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4.8.4  承包人应按国家有关劳动保护的规定，采取有效的防止粉尘、降低噪声、控制有害气体和保障高温、高寒、高空作业安全等劳动保护措施。其雇佣人员在施工中受到伤害的，承包人应立即采取有效措施进行抢救和治疗。</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4.8.5  承包人应按有关法律规定和合同约定，为其雇佣人员办理保险。</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4.8.6  承包人应负责处理其雇佣人员因工伤亡事故的善后事宜。</w:t>
      </w:r>
    </w:p>
    <w:p>
      <w:pPr>
        <w:spacing w:line="490" w:lineRule="exact"/>
        <w:ind w:firstLine="562" w:firstLineChars="200"/>
        <w:outlineLvl w:val="3"/>
        <w:rPr>
          <w:rFonts w:eastAsia="楷体_GB2312"/>
          <w:b/>
          <w:bCs/>
          <w:color w:val="000000"/>
          <w:kern w:val="0"/>
          <w:sz w:val="28"/>
          <w:szCs w:val="32"/>
        </w:rPr>
      </w:pPr>
      <w:bookmarkStart w:id="1497" w:name="_Toc511317333"/>
      <w:bookmarkStart w:id="1498" w:name="_Toc189386140"/>
      <w:bookmarkStart w:id="1499" w:name="_Toc511318082"/>
      <w:r>
        <w:rPr>
          <w:rFonts w:eastAsia="楷体_GB2312"/>
          <w:b/>
          <w:bCs/>
          <w:color w:val="000000"/>
          <w:kern w:val="0"/>
          <w:sz w:val="28"/>
          <w:szCs w:val="32"/>
        </w:rPr>
        <w:t>4.9 工程价款应专款专用</w:t>
      </w:r>
      <w:bookmarkEnd w:id="1497"/>
      <w:bookmarkEnd w:id="1498"/>
      <w:bookmarkEnd w:id="1499"/>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发包人按合同约定支付给承包人的各项价款应专用于合同工程。</w:t>
      </w:r>
    </w:p>
    <w:p>
      <w:pPr>
        <w:spacing w:line="490" w:lineRule="exact"/>
        <w:ind w:firstLine="562" w:firstLineChars="200"/>
        <w:outlineLvl w:val="3"/>
        <w:rPr>
          <w:rFonts w:eastAsia="楷体_GB2312"/>
          <w:b/>
          <w:bCs/>
          <w:color w:val="000000"/>
          <w:kern w:val="0"/>
          <w:sz w:val="28"/>
          <w:szCs w:val="32"/>
        </w:rPr>
      </w:pPr>
      <w:bookmarkStart w:id="1500" w:name="_Toc511318083"/>
      <w:bookmarkStart w:id="1501" w:name="_Toc189386141"/>
      <w:bookmarkStart w:id="1502" w:name="_Toc511317334"/>
      <w:r>
        <w:rPr>
          <w:rFonts w:eastAsia="楷体_GB2312"/>
          <w:b/>
          <w:bCs/>
          <w:color w:val="000000"/>
          <w:kern w:val="0"/>
          <w:sz w:val="28"/>
          <w:szCs w:val="32"/>
        </w:rPr>
        <w:t>4.10 承包人现场查勘</w:t>
      </w:r>
      <w:bookmarkEnd w:id="1500"/>
      <w:bookmarkEnd w:id="1501"/>
      <w:bookmarkEnd w:id="1502"/>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4.10.1  发包人应将其持有的现场地质勘探资料、水文气象资料提供给承包人，并对其准确性负责。但承包人应对其阅读上述有关资料后所作出的解释和推断负责。</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4.10.2  承包人应对施工场地和周围环境进行查勘，并收集有关地质、水文、气象条件、交通条件、风俗习惯以及其他为完成合同工作有关的当地资料。在全部合同工作中，应视为承包人已充分估计了应承担的责任和风险。</w:t>
      </w:r>
    </w:p>
    <w:p>
      <w:pPr>
        <w:spacing w:line="490" w:lineRule="exact"/>
        <w:ind w:firstLine="562" w:firstLineChars="200"/>
        <w:outlineLvl w:val="3"/>
        <w:rPr>
          <w:rFonts w:eastAsia="楷体_GB2312"/>
          <w:b/>
          <w:bCs/>
          <w:color w:val="000000"/>
          <w:kern w:val="0"/>
          <w:sz w:val="28"/>
          <w:szCs w:val="32"/>
        </w:rPr>
      </w:pPr>
      <w:bookmarkStart w:id="1503" w:name="_Toc511317335"/>
      <w:bookmarkStart w:id="1504" w:name="_Toc511318084"/>
      <w:bookmarkStart w:id="1505" w:name="_Toc189386142"/>
      <w:r>
        <w:rPr>
          <w:rFonts w:eastAsia="楷体_GB2312"/>
          <w:b/>
          <w:bCs/>
          <w:color w:val="000000"/>
          <w:kern w:val="0"/>
          <w:sz w:val="28"/>
          <w:szCs w:val="32"/>
        </w:rPr>
        <w:t>4.11 不利物质条件</w:t>
      </w:r>
      <w:bookmarkEnd w:id="1503"/>
      <w:bookmarkEnd w:id="1504"/>
      <w:bookmarkEnd w:id="1505"/>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4.11.1  除专用合同条款另有约定外，不利物质条件是指在施工中遭遇不可预见的外界障碍或自然条件造成施工受阻。</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4.11.2  承包人遇到不利物质条件时，应采取适应不利物质条件的合理措施继续施工，并及时通知监理人。承包人有权根据第23.1款的约定，要求延长工期及增加费用。监理人收到此类要求后，应在分析上述外界障碍或自然条件是否不可预见及不可预见程度的基础上</w:t>
      </w:r>
      <w:r>
        <w:rPr>
          <w:rFonts w:hint="eastAsia" w:eastAsia="仿宋_GB2312"/>
          <w:color w:val="000000"/>
          <w:kern w:val="0"/>
          <w:sz w:val="28"/>
          <w:szCs w:val="32"/>
        </w:rPr>
        <w:t>并经发包人同意</w:t>
      </w:r>
      <w:r>
        <w:rPr>
          <w:rFonts w:eastAsia="仿宋_GB2312"/>
          <w:color w:val="000000"/>
          <w:kern w:val="0"/>
          <w:sz w:val="28"/>
          <w:szCs w:val="32"/>
        </w:rPr>
        <w:t>，</w:t>
      </w:r>
      <w:r>
        <w:rPr>
          <w:rFonts w:hint="eastAsia" w:eastAsia="仿宋_GB2312"/>
          <w:color w:val="000000"/>
          <w:kern w:val="0"/>
          <w:sz w:val="28"/>
          <w:szCs w:val="32"/>
        </w:rPr>
        <w:t>方可</w:t>
      </w:r>
      <w:r>
        <w:rPr>
          <w:rFonts w:eastAsia="仿宋_GB2312"/>
          <w:color w:val="000000"/>
          <w:kern w:val="0"/>
          <w:sz w:val="28"/>
          <w:szCs w:val="32"/>
        </w:rPr>
        <w:t>按照通用合同条款第15条的约定办理。</w:t>
      </w:r>
    </w:p>
    <w:p>
      <w:pPr>
        <w:pStyle w:val="6"/>
        <w:keepNext w:val="0"/>
        <w:keepLines w:val="0"/>
        <w:spacing w:before="0" w:after="0" w:line="490" w:lineRule="exact"/>
        <w:ind w:firstLine="562" w:firstLineChars="200"/>
        <w:rPr>
          <w:rFonts w:eastAsia="黑体"/>
          <w:bCs w:val="0"/>
          <w:color w:val="000000"/>
          <w:sz w:val="28"/>
        </w:rPr>
      </w:pPr>
      <w:bookmarkStart w:id="1506" w:name="_Toc17416"/>
      <w:bookmarkStart w:id="1507" w:name="_Toc51091882"/>
      <w:bookmarkStart w:id="1508" w:name="_Toc16390"/>
      <w:bookmarkStart w:id="1509" w:name="_Toc189386143"/>
      <w:r>
        <w:rPr>
          <w:rFonts w:eastAsia="黑体"/>
          <w:bCs w:val="0"/>
          <w:color w:val="000000"/>
          <w:sz w:val="28"/>
        </w:rPr>
        <w:t>5．材料和工程设备</w:t>
      </w:r>
      <w:bookmarkEnd w:id="1506"/>
      <w:bookmarkEnd w:id="1507"/>
      <w:bookmarkEnd w:id="1508"/>
      <w:bookmarkEnd w:id="1509"/>
    </w:p>
    <w:p>
      <w:pPr>
        <w:spacing w:line="490" w:lineRule="exact"/>
        <w:ind w:firstLine="562" w:firstLineChars="200"/>
        <w:outlineLvl w:val="3"/>
        <w:rPr>
          <w:rFonts w:eastAsia="楷体_GB2312"/>
          <w:b/>
          <w:bCs/>
          <w:color w:val="000000"/>
          <w:kern w:val="0"/>
          <w:sz w:val="28"/>
          <w:szCs w:val="32"/>
        </w:rPr>
      </w:pPr>
      <w:bookmarkStart w:id="1510" w:name="_Toc511318086"/>
      <w:bookmarkStart w:id="1511" w:name="_Toc189386144"/>
      <w:bookmarkStart w:id="1512" w:name="_Toc511317337"/>
      <w:r>
        <w:rPr>
          <w:rFonts w:eastAsia="楷体_GB2312"/>
          <w:b/>
          <w:bCs/>
          <w:color w:val="000000"/>
          <w:kern w:val="0"/>
          <w:sz w:val="28"/>
          <w:szCs w:val="32"/>
        </w:rPr>
        <w:t>5.1承包人提供的材料和工程设备</w:t>
      </w:r>
      <w:bookmarkEnd w:id="1510"/>
      <w:bookmarkEnd w:id="1511"/>
      <w:bookmarkEnd w:id="1512"/>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5.1.1  除第5.2款约定由发包人提供的材料和工程设备外，承包人负责采购、运输和保管完成本合同工作所需的材料和工程设备。承包人应对其采购的材料和工程设备负责。</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5.1.2  承包人应按专用合同条款的约定，将各项材料和工程设备的供货人及品种、规格、数量和供货时间等报送监理人审批。承包人应向监理人提交其负责提供的材料和工程设备的质量证明文件，并满足合同约定的质量标准。</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5.1.3  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pPr>
        <w:spacing w:line="490" w:lineRule="exact"/>
        <w:ind w:firstLine="562" w:firstLineChars="200"/>
        <w:outlineLvl w:val="3"/>
        <w:rPr>
          <w:rFonts w:eastAsia="楷体_GB2312"/>
          <w:b/>
          <w:bCs/>
          <w:color w:val="000000"/>
          <w:kern w:val="0"/>
          <w:sz w:val="28"/>
          <w:szCs w:val="32"/>
        </w:rPr>
      </w:pPr>
      <w:bookmarkStart w:id="1513" w:name="_Toc189386145"/>
      <w:r>
        <w:rPr>
          <w:rFonts w:eastAsia="楷体_GB2312"/>
          <w:b/>
          <w:bCs/>
          <w:color w:val="000000"/>
          <w:kern w:val="0"/>
          <w:sz w:val="28"/>
          <w:szCs w:val="32"/>
        </w:rPr>
        <w:t>5.2 发包人提供的材料和工程设备</w:t>
      </w:r>
      <w:bookmarkEnd w:id="1513"/>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5.2.1 发包人提供的材料和工程设备，应在专用合同条款中写明材料和工程设备的名称、规格、数量、价格、交货方式、交货地点和计划交货日期等。</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5.2.2  承包人应根据合同进度计划的安排，向监理人报送要求发包人交货的日期计划。发包人应按照监理人与合同双方当事人商定的交货日期，向承包人提交材料和工程设备。</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5.2.3  发包人应在材料和工程设备到货7天前通知承包人，承包人应会同监理人在约定的时间内，赴交货地点共同进行验收。发包人提供的材料和工程设备运至交货地点验收后，由承包人负责接收、卸货、运输和保管。</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5.2.4  发包人要求向承包人提前交货的，承包人不得拒绝，但发包人应承担承包人由此增加的费用。</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5.2.5  承包人要求更改交货日期或地点的，应事先报请监理人批准。由于承包人要求更改交货时间或地点所增加的费用和（或）工期延误由承包人承担。</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5.2.6  发包人提供的材料和工程设备的规格、数量或质量不符合合同要求，或由于发包人原因发生交货日期延误及交货地点变更等情况的，发包人应承担由此增加的费用和（或）工期延误，并向承包人支付合理利润。</w:t>
      </w:r>
    </w:p>
    <w:p>
      <w:pPr>
        <w:spacing w:line="490" w:lineRule="exact"/>
        <w:ind w:firstLine="562" w:firstLineChars="200"/>
        <w:outlineLvl w:val="3"/>
        <w:rPr>
          <w:rFonts w:eastAsia="楷体_GB2312"/>
          <w:b/>
          <w:bCs/>
          <w:color w:val="000000"/>
          <w:kern w:val="0"/>
          <w:sz w:val="28"/>
          <w:szCs w:val="32"/>
        </w:rPr>
      </w:pPr>
      <w:bookmarkStart w:id="1514" w:name="_Toc189386146"/>
      <w:r>
        <w:rPr>
          <w:rFonts w:eastAsia="楷体_GB2312"/>
          <w:b/>
          <w:bCs/>
          <w:color w:val="000000"/>
          <w:kern w:val="0"/>
          <w:sz w:val="28"/>
          <w:szCs w:val="32"/>
        </w:rPr>
        <w:t>5.3 材料和工程设备专用于合同工程</w:t>
      </w:r>
      <w:bookmarkEnd w:id="1514"/>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5.3.1  运入施工场地的材料、工程设备，包括备品备件、安装专用工器具与随机资料，必须专用于合同工程，未经监理人同意，承包人不得运出施工场地或挪作他用。</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5.3.2  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pPr>
        <w:spacing w:line="490" w:lineRule="exact"/>
        <w:ind w:firstLine="562" w:firstLineChars="200"/>
        <w:outlineLvl w:val="3"/>
        <w:rPr>
          <w:rFonts w:eastAsia="楷体_GB2312"/>
          <w:b/>
          <w:bCs/>
          <w:color w:val="000000"/>
          <w:kern w:val="0"/>
          <w:sz w:val="28"/>
          <w:szCs w:val="32"/>
        </w:rPr>
      </w:pPr>
      <w:bookmarkStart w:id="1515" w:name="_Toc189386147"/>
      <w:r>
        <w:rPr>
          <w:rFonts w:eastAsia="楷体_GB2312"/>
          <w:b/>
          <w:bCs/>
          <w:color w:val="000000"/>
          <w:kern w:val="0"/>
          <w:sz w:val="28"/>
          <w:szCs w:val="32"/>
        </w:rPr>
        <w:t>5.4 禁止使用不合格的材料和工程设备</w:t>
      </w:r>
      <w:bookmarkEnd w:id="1515"/>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5.4.1  监理人有权拒绝承包人提供的不合格材料或工程设备，并要求承包人立即进行更换。监理人应在更换后再次进行检查和检验，由此增加的费用和（或）工期延误由承包人承担。</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5.4.2  监理人发现承包人使用了不合格的材料和工程设备，应即时发出指示要求承包人立即改正，并禁止在工程中继续使用不合格的材料和工程设备。</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5.4.3  发包人提供的材料或工程设备不符合合同要求的，承包人有权拒绝，并可要求发包人更换，由此增加的费用和（或）工期延误由发包人承担。</w:t>
      </w:r>
    </w:p>
    <w:p>
      <w:pPr>
        <w:pStyle w:val="6"/>
        <w:keepNext w:val="0"/>
        <w:keepLines w:val="0"/>
        <w:spacing w:before="0" w:after="0" w:line="490" w:lineRule="exact"/>
        <w:ind w:firstLine="562" w:firstLineChars="200"/>
        <w:rPr>
          <w:rFonts w:eastAsia="黑体"/>
          <w:bCs w:val="0"/>
          <w:color w:val="000000"/>
          <w:sz w:val="28"/>
        </w:rPr>
      </w:pPr>
      <w:bookmarkStart w:id="1516" w:name="_Toc5633"/>
      <w:bookmarkStart w:id="1517" w:name="_Toc189386148"/>
      <w:bookmarkStart w:id="1518" w:name="_Toc51091883"/>
      <w:bookmarkStart w:id="1519" w:name="_Toc32523"/>
      <w:r>
        <w:rPr>
          <w:rFonts w:eastAsia="黑体"/>
          <w:bCs w:val="0"/>
          <w:color w:val="000000"/>
          <w:sz w:val="28"/>
        </w:rPr>
        <w:t>6．施工设备和临时设施</w:t>
      </w:r>
      <w:bookmarkEnd w:id="1516"/>
      <w:bookmarkEnd w:id="1517"/>
      <w:bookmarkEnd w:id="1518"/>
      <w:bookmarkEnd w:id="1519"/>
    </w:p>
    <w:p>
      <w:pPr>
        <w:spacing w:line="490" w:lineRule="exact"/>
        <w:ind w:firstLine="562" w:firstLineChars="200"/>
        <w:outlineLvl w:val="3"/>
        <w:rPr>
          <w:rFonts w:eastAsia="楷体_GB2312"/>
          <w:b/>
          <w:bCs/>
          <w:color w:val="000000"/>
          <w:kern w:val="0"/>
          <w:sz w:val="28"/>
          <w:szCs w:val="32"/>
        </w:rPr>
      </w:pPr>
      <w:bookmarkStart w:id="1520" w:name="_Toc189386149"/>
      <w:r>
        <w:rPr>
          <w:rFonts w:eastAsia="楷体_GB2312"/>
          <w:b/>
          <w:bCs/>
          <w:color w:val="000000"/>
          <w:kern w:val="0"/>
          <w:sz w:val="28"/>
          <w:szCs w:val="32"/>
        </w:rPr>
        <w:t>6.1承包人提供的施工设备和临时设施</w:t>
      </w:r>
      <w:bookmarkEnd w:id="1520"/>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6.1.1  承包人应按合同进度计划的要求，及时配置施工设备和修建临时设施。进入施工场地的承包人设备需经监理人核查后才能投入使用。承包人更换合同约定的承包人设备的，应报监理人批准。</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6.1.2  除专用合同条款另有约定外，承包人应自行承担修建临时设施的费用，需要临时占地的，应由发包人办理申请手续并承担相应费用。</w:t>
      </w:r>
    </w:p>
    <w:p>
      <w:pPr>
        <w:spacing w:line="490" w:lineRule="exact"/>
        <w:ind w:firstLine="562" w:firstLineChars="200"/>
        <w:outlineLvl w:val="3"/>
        <w:rPr>
          <w:rFonts w:eastAsia="楷体_GB2312"/>
          <w:b/>
          <w:bCs/>
          <w:color w:val="000000"/>
          <w:kern w:val="0"/>
          <w:sz w:val="28"/>
          <w:szCs w:val="32"/>
        </w:rPr>
      </w:pPr>
      <w:bookmarkStart w:id="1521" w:name="_Toc189386150"/>
      <w:r>
        <w:rPr>
          <w:rFonts w:eastAsia="楷体_GB2312"/>
          <w:b/>
          <w:bCs/>
          <w:color w:val="000000"/>
          <w:kern w:val="0"/>
          <w:sz w:val="28"/>
          <w:szCs w:val="32"/>
        </w:rPr>
        <w:t>6.2 发包人提供的施工设备和临时设施</w:t>
      </w:r>
      <w:bookmarkEnd w:id="1521"/>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发包人提供的施工设备或临时设施在专用合同条款中约定。</w:t>
      </w:r>
    </w:p>
    <w:p>
      <w:pPr>
        <w:spacing w:line="490" w:lineRule="exact"/>
        <w:ind w:firstLine="562" w:firstLineChars="200"/>
        <w:outlineLvl w:val="3"/>
        <w:rPr>
          <w:rFonts w:eastAsia="楷体_GB2312"/>
          <w:b/>
          <w:bCs/>
          <w:color w:val="000000"/>
          <w:kern w:val="0"/>
          <w:sz w:val="28"/>
          <w:szCs w:val="32"/>
        </w:rPr>
      </w:pPr>
      <w:bookmarkStart w:id="1522" w:name="_Toc189386151"/>
      <w:r>
        <w:rPr>
          <w:rFonts w:eastAsia="楷体_GB2312"/>
          <w:b/>
          <w:bCs/>
          <w:color w:val="000000"/>
          <w:kern w:val="0"/>
          <w:sz w:val="28"/>
          <w:szCs w:val="32"/>
        </w:rPr>
        <w:t>6.3 要求承包人增加或更换施工设备</w:t>
      </w:r>
      <w:bookmarkEnd w:id="1522"/>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承包人使用的施工设备不能满足合同进度计划和（或）质量要求时，监理人有权要求承包人增加或更换施工设备，承包人应及时增加或更换，由此增加的费用和（或）工期延误由承包人承担。</w:t>
      </w:r>
    </w:p>
    <w:p>
      <w:pPr>
        <w:spacing w:line="490" w:lineRule="exact"/>
        <w:ind w:firstLine="562" w:firstLineChars="200"/>
        <w:outlineLvl w:val="3"/>
        <w:rPr>
          <w:rFonts w:eastAsia="楷体_GB2312"/>
          <w:b/>
          <w:bCs/>
          <w:color w:val="000000"/>
          <w:kern w:val="0"/>
          <w:sz w:val="28"/>
          <w:szCs w:val="32"/>
        </w:rPr>
      </w:pPr>
      <w:bookmarkStart w:id="1523" w:name="_Toc189386152"/>
      <w:r>
        <w:rPr>
          <w:rFonts w:eastAsia="楷体_GB2312"/>
          <w:b/>
          <w:bCs/>
          <w:color w:val="000000"/>
          <w:kern w:val="0"/>
          <w:sz w:val="28"/>
          <w:szCs w:val="32"/>
        </w:rPr>
        <w:t>6.4 施工设备和临时设施专用于合同工程</w:t>
      </w:r>
      <w:bookmarkEnd w:id="1523"/>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6.4.1  除合同另有约定外，运入施工场地的所有施工设备以及在施工场地建设的临时设施应专用于合同工程。未经监理人同意，不得将上述施工设备和临时设施中的任何部分运出施工场地或挪作他用。</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6.4.2  经监理人同意，承包人可根据合同进度计划撤走闲置的施工设备。</w:t>
      </w:r>
    </w:p>
    <w:p>
      <w:pPr>
        <w:pStyle w:val="6"/>
        <w:keepNext w:val="0"/>
        <w:keepLines w:val="0"/>
        <w:spacing w:before="0" w:after="0" w:line="490" w:lineRule="exact"/>
        <w:ind w:firstLine="562" w:firstLineChars="200"/>
        <w:rPr>
          <w:rFonts w:eastAsia="黑体"/>
          <w:bCs w:val="0"/>
          <w:color w:val="000000"/>
          <w:sz w:val="28"/>
        </w:rPr>
      </w:pPr>
      <w:bookmarkStart w:id="1524" w:name="_Toc189386153"/>
      <w:bookmarkStart w:id="1525" w:name="_Toc160"/>
      <w:bookmarkStart w:id="1526" w:name="_Toc51091884"/>
      <w:bookmarkStart w:id="1527" w:name="_Toc11740"/>
      <w:r>
        <w:rPr>
          <w:rFonts w:eastAsia="黑体"/>
          <w:bCs w:val="0"/>
          <w:color w:val="000000"/>
          <w:sz w:val="28"/>
        </w:rPr>
        <w:t>7．交通运输</w:t>
      </w:r>
      <w:bookmarkEnd w:id="1524"/>
      <w:bookmarkEnd w:id="1525"/>
      <w:bookmarkEnd w:id="1526"/>
      <w:bookmarkEnd w:id="1527"/>
    </w:p>
    <w:p>
      <w:pPr>
        <w:spacing w:line="490" w:lineRule="exact"/>
        <w:ind w:firstLine="562" w:firstLineChars="200"/>
        <w:outlineLvl w:val="3"/>
        <w:rPr>
          <w:rFonts w:eastAsia="楷体_GB2312"/>
          <w:b/>
          <w:bCs/>
          <w:color w:val="000000"/>
          <w:kern w:val="0"/>
          <w:sz w:val="28"/>
          <w:szCs w:val="32"/>
        </w:rPr>
      </w:pPr>
      <w:bookmarkStart w:id="1528" w:name="_Toc189386154"/>
      <w:r>
        <w:rPr>
          <w:rFonts w:eastAsia="楷体_GB2312"/>
          <w:b/>
          <w:bCs/>
          <w:color w:val="000000"/>
          <w:kern w:val="0"/>
          <w:sz w:val="28"/>
          <w:szCs w:val="32"/>
        </w:rPr>
        <w:t>7.1道路通行权和场外设施</w:t>
      </w:r>
      <w:bookmarkEnd w:id="1528"/>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除专用合同条款另有约定外，承包人应根据合同工程的施工需要，负责办理取得出入施工场地的专用和临时道路的通行权，以及取得为工程建设所需修建场外设施的权利，并承担相关费用。发包人应协助承包人办理上述手续。</w:t>
      </w:r>
    </w:p>
    <w:p>
      <w:pPr>
        <w:spacing w:line="490" w:lineRule="exact"/>
        <w:ind w:firstLine="562" w:firstLineChars="200"/>
        <w:outlineLvl w:val="3"/>
        <w:rPr>
          <w:rFonts w:eastAsia="楷体_GB2312"/>
          <w:b/>
          <w:bCs/>
          <w:color w:val="000000"/>
          <w:kern w:val="0"/>
          <w:sz w:val="28"/>
          <w:szCs w:val="32"/>
        </w:rPr>
      </w:pPr>
      <w:bookmarkStart w:id="1529" w:name="_Toc511318089"/>
      <w:bookmarkStart w:id="1530" w:name="_Toc189386155"/>
      <w:bookmarkStart w:id="1531" w:name="_Toc511317340"/>
      <w:r>
        <w:rPr>
          <w:rFonts w:eastAsia="楷体_GB2312"/>
          <w:b/>
          <w:bCs/>
          <w:color w:val="000000"/>
          <w:kern w:val="0"/>
          <w:sz w:val="28"/>
          <w:szCs w:val="32"/>
        </w:rPr>
        <w:t>7.2 场内施工道路</w:t>
      </w:r>
      <w:bookmarkEnd w:id="1529"/>
      <w:bookmarkEnd w:id="1530"/>
      <w:bookmarkEnd w:id="1531"/>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7.2.1  除本合同约定由发包人提供的部分道路和交通设施外，承包人应负责修建、维修、养护和管理其施工所需的全部临时道路和交通设施（包括合同约定由发包人提供的部分道路和交通设施的维修、养护和管理），并承担相应费用。</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7.2.2  承包人修建的临时道路和交通设施，应免费提供发包人、监理人以及与本合同有关的其他承包人使用。</w:t>
      </w:r>
    </w:p>
    <w:p>
      <w:pPr>
        <w:spacing w:line="490" w:lineRule="exact"/>
        <w:ind w:firstLine="562" w:firstLineChars="200"/>
        <w:outlineLvl w:val="3"/>
        <w:rPr>
          <w:rFonts w:eastAsia="楷体_GB2312"/>
          <w:b/>
          <w:bCs/>
          <w:color w:val="000000"/>
          <w:kern w:val="0"/>
          <w:sz w:val="28"/>
          <w:szCs w:val="32"/>
        </w:rPr>
      </w:pPr>
      <w:bookmarkStart w:id="1532" w:name="_Toc511318090"/>
      <w:bookmarkStart w:id="1533" w:name="_Toc511317341"/>
      <w:bookmarkStart w:id="1534" w:name="_Toc189386156"/>
      <w:r>
        <w:rPr>
          <w:rFonts w:eastAsia="楷体_GB2312"/>
          <w:b/>
          <w:bCs/>
          <w:color w:val="000000"/>
          <w:kern w:val="0"/>
          <w:sz w:val="28"/>
          <w:szCs w:val="32"/>
        </w:rPr>
        <w:t>7.3 场外交通</w:t>
      </w:r>
      <w:bookmarkEnd w:id="1532"/>
      <w:bookmarkEnd w:id="1533"/>
      <w:bookmarkEnd w:id="1534"/>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7.3.1  承包人车辆外出行驶所需的场外公共道路的通行费、养路费和税款等由承包人承担。</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7.3.2  承包人应遵守有关交通法规，严格按照道路和桥梁的限制荷重安全行驶，并服从交通管理部门的检查和监督。</w:t>
      </w:r>
    </w:p>
    <w:p>
      <w:pPr>
        <w:spacing w:line="490" w:lineRule="exact"/>
        <w:ind w:firstLine="562" w:firstLineChars="200"/>
        <w:outlineLvl w:val="3"/>
        <w:rPr>
          <w:rFonts w:eastAsia="楷体_GB2312"/>
          <w:b/>
          <w:bCs/>
          <w:color w:val="000000"/>
          <w:kern w:val="0"/>
          <w:sz w:val="28"/>
          <w:szCs w:val="32"/>
        </w:rPr>
      </w:pPr>
      <w:bookmarkStart w:id="1535" w:name="_Toc189386157"/>
      <w:bookmarkStart w:id="1536" w:name="_Toc511318091"/>
      <w:bookmarkStart w:id="1537" w:name="_Toc511317342"/>
      <w:r>
        <w:rPr>
          <w:rFonts w:eastAsia="楷体_GB2312"/>
          <w:b/>
          <w:bCs/>
          <w:color w:val="000000"/>
          <w:kern w:val="0"/>
          <w:sz w:val="28"/>
          <w:szCs w:val="32"/>
        </w:rPr>
        <w:t>7.4 超大件和超重件的运输</w:t>
      </w:r>
      <w:bookmarkEnd w:id="1535"/>
      <w:bookmarkEnd w:id="1536"/>
      <w:bookmarkEnd w:id="1537"/>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pPr>
        <w:spacing w:line="490" w:lineRule="exact"/>
        <w:ind w:firstLine="562" w:firstLineChars="200"/>
        <w:outlineLvl w:val="3"/>
        <w:rPr>
          <w:rFonts w:eastAsia="楷体_GB2312"/>
          <w:b/>
          <w:bCs/>
          <w:color w:val="000000"/>
          <w:kern w:val="0"/>
          <w:sz w:val="28"/>
          <w:szCs w:val="32"/>
        </w:rPr>
      </w:pPr>
      <w:bookmarkStart w:id="1538" w:name="_Toc511318092"/>
      <w:bookmarkStart w:id="1539" w:name="_Toc511317343"/>
      <w:bookmarkStart w:id="1540" w:name="_Toc189386158"/>
      <w:r>
        <w:rPr>
          <w:rFonts w:eastAsia="楷体_GB2312"/>
          <w:b/>
          <w:bCs/>
          <w:color w:val="000000"/>
          <w:kern w:val="0"/>
          <w:sz w:val="28"/>
          <w:szCs w:val="32"/>
        </w:rPr>
        <w:t>7.5 道路和桥梁的损坏责任</w:t>
      </w:r>
      <w:bookmarkEnd w:id="1538"/>
      <w:bookmarkEnd w:id="1539"/>
      <w:bookmarkEnd w:id="1540"/>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因承包人运输造成施工场地内外公共道路和桥梁损坏的，由承包人承担修复损坏的全部费用和可能引起的赔偿。</w:t>
      </w:r>
    </w:p>
    <w:p>
      <w:pPr>
        <w:spacing w:line="490" w:lineRule="exact"/>
        <w:ind w:firstLine="562" w:firstLineChars="200"/>
        <w:outlineLvl w:val="3"/>
        <w:rPr>
          <w:rFonts w:eastAsia="楷体_GB2312"/>
          <w:b/>
          <w:bCs/>
          <w:color w:val="000000"/>
          <w:kern w:val="0"/>
          <w:sz w:val="28"/>
          <w:szCs w:val="32"/>
        </w:rPr>
      </w:pPr>
      <w:bookmarkStart w:id="1541" w:name="_Toc511317344"/>
      <w:bookmarkStart w:id="1542" w:name="_Toc189386159"/>
      <w:bookmarkStart w:id="1543" w:name="_Toc511318093"/>
      <w:r>
        <w:rPr>
          <w:rFonts w:eastAsia="楷体_GB2312"/>
          <w:b/>
          <w:bCs/>
          <w:color w:val="000000"/>
          <w:kern w:val="0"/>
          <w:sz w:val="28"/>
          <w:szCs w:val="32"/>
        </w:rPr>
        <w:t>7.6 水路和航空运输</w:t>
      </w:r>
      <w:bookmarkEnd w:id="1541"/>
      <w:bookmarkEnd w:id="1542"/>
      <w:bookmarkEnd w:id="1543"/>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本条上述各款的内容适用于水路运输和航空运输，其中“道路”一词的涵义包括河道、航线、船闸、机场、码头、堤防以及水路或航空运输中其他相似结构物；“车辆”一词的涵义包括船舶和飞机等。</w:t>
      </w:r>
    </w:p>
    <w:p>
      <w:pPr>
        <w:pStyle w:val="6"/>
        <w:keepNext w:val="0"/>
        <w:keepLines w:val="0"/>
        <w:spacing w:before="0" w:after="0" w:line="490" w:lineRule="exact"/>
        <w:ind w:firstLine="562" w:firstLineChars="200"/>
        <w:rPr>
          <w:rFonts w:eastAsia="黑体"/>
          <w:bCs w:val="0"/>
          <w:color w:val="000000"/>
          <w:sz w:val="28"/>
        </w:rPr>
      </w:pPr>
      <w:bookmarkStart w:id="1544" w:name="_Toc19108"/>
      <w:bookmarkStart w:id="1545" w:name="_Toc31200"/>
      <w:bookmarkStart w:id="1546" w:name="_Toc189386160"/>
      <w:bookmarkStart w:id="1547" w:name="_Toc51091885"/>
      <w:r>
        <w:rPr>
          <w:rFonts w:eastAsia="黑体"/>
          <w:bCs w:val="0"/>
          <w:color w:val="000000"/>
          <w:sz w:val="28"/>
        </w:rPr>
        <w:t>8．测量放线</w:t>
      </w:r>
      <w:bookmarkEnd w:id="1544"/>
      <w:bookmarkEnd w:id="1545"/>
      <w:bookmarkEnd w:id="1546"/>
      <w:bookmarkEnd w:id="1547"/>
    </w:p>
    <w:p>
      <w:pPr>
        <w:spacing w:line="490" w:lineRule="exact"/>
        <w:ind w:firstLine="562" w:firstLineChars="200"/>
        <w:outlineLvl w:val="3"/>
        <w:rPr>
          <w:rFonts w:eastAsia="楷体_GB2312"/>
          <w:b/>
          <w:bCs/>
          <w:color w:val="000000"/>
          <w:kern w:val="0"/>
          <w:sz w:val="28"/>
          <w:szCs w:val="32"/>
        </w:rPr>
      </w:pPr>
      <w:bookmarkStart w:id="1548" w:name="_Toc189386161"/>
      <w:r>
        <w:rPr>
          <w:rFonts w:eastAsia="楷体_GB2312"/>
          <w:b/>
          <w:bCs/>
          <w:color w:val="000000"/>
          <w:kern w:val="0"/>
          <w:sz w:val="28"/>
          <w:szCs w:val="32"/>
        </w:rPr>
        <w:t>8.1施工控制网</w:t>
      </w:r>
      <w:bookmarkEnd w:id="1548"/>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8.1.1  除专用合同条款另有约定外，施工控制网由承包人负责测设，发包人应在本合同协议书签订后的14天内，向承包人提供测量基准点、基准线和水准点及其相关资料。承包人应在收到上述资料后的28天内，将施测的施工控制网资料提交监理人审批。监理人应在收到报批件后的14天内批复承包人。</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8.1.2  承包人应负责管理施工控制网点。施工控制网点丢失或损坏的，承包人应及时修复。承包人应承担施工控制网点的管理与修复费用，并在工程竣工后将施工控制网点移交发包人。</w:t>
      </w:r>
    </w:p>
    <w:p>
      <w:pPr>
        <w:spacing w:line="490" w:lineRule="exact"/>
        <w:ind w:firstLine="562" w:firstLineChars="200"/>
        <w:outlineLvl w:val="3"/>
        <w:rPr>
          <w:rFonts w:eastAsia="楷体_GB2312"/>
          <w:b/>
          <w:bCs/>
          <w:color w:val="000000"/>
          <w:kern w:val="0"/>
          <w:sz w:val="28"/>
          <w:szCs w:val="32"/>
        </w:rPr>
      </w:pPr>
      <w:bookmarkStart w:id="1549" w:name="_Toc189386162"/>
      <w:r>
        <w:rPr>
          <w:rFonts w:eastAsia="楷体_GB2312"/>
          <w:b/>
          <w:bCs/>
          <w:color w:val="000000"/>
          <w:kern w:val="0"/>
          <w:sz w:val="28"/>
          <w:szCs w:val="32"/>
        </w:rPr>
        <w:t>8.2 施工测量</w:t>
      </w:r>
      <w:bookmarkEnd w:id="1549"/>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8.2.1  承包人应负责施工过程中的全部施工测量放线工作，并配置合格的人员、仪器、设备和其他物品。</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8.2.2  监理人可以指示承包人进行抽样复测，当复测中发现错误或出现超过合同约定的误差时，承包人应按监理人指示进行修正或补测，并承担相应的复测费用。</w:t>
      </w:r>
    </w:p>
    <w:p>
      <w:pPr>
        <w:spacing w:line="490" w:lineRule="exact"/>
        <w:ind w:firstLine="562" w:firstLineChars="200"/>
        <w:outlineLvl w:val="3"/>
        <w:rPr>
          <w:rFonts w:eastAsia="楷体_GB2312"/>
          <w:b/>
          <w:bCs/>
          <w:color w:val="000000"/>
          <w:kern w:val="0"/>
          <w:sz w:val="28"/>
          <w:szCs w:val="32"/>
        </w:rPr>
      </w:pPr>
      <w:bookmarkStart w:id="1550" w:name="_Toc189386163"/>
      <w:r>
        <w:rPr>
          <w:rFonts w:eastAsia="楷体_GB2312"/>
          <w:b/>
          <w:bCs/>
          <w:color w:val="000000"/>
          <w:kern w:val="0"/>
          <w:sz w:val="28"/>
          <w:szCs w:val="32"/>
        </w:rPr>
        <w:t>8.3 基准资料错误的责任</w:t>
      </w:r>
      <w:bookmarkEnd w:id="1550"/>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pPr>
        <w:spacing w:line="490" w:lineRule="exact"/>
        <w:ind w:firstLine="562" w:firstLineChars="200"/>
        <w:outlineLvl w:val="3"/>
        <w:rPr>
          <w:rFonts w:eastAsia="楷体_GB2312"/>
          <w:b/>
          <w:bCs/>
          <w:color w:val="000000"/>
          <w:kern w:val="0"/>
          <w:sz w:val="28"/>
          <w:szCs w:val="32"/>
        </w:rPr>
      </w:pPr>
      <w:bookmarkStart w:id="1551" w:name="_Toc189386164"/>
      <w:r>
        <w:rPr>
          <w:rFonts w:eastAsia="楷体_GB2312"/>
          <w:b/>
          <w:bCs/>
          <w:color w:val="000000"/>
          <w:kern w:val="0"/>
          <w:sz w:val="28"/>
          <w:szCs w:val="32"/>
        </w:rPr>
        <w:t>8.4 监理人使用施工控制网</w:t>
      </w:r>
      <w:bookmarkEnd w:id="1551"/>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监理人需要使用施工控制网的，承包人应提供必要的协助，发包人不再为此支付费用。</w:t>
      </w:r>
    </w:p>
    <w:p>
      <w:pPr>
        <w:spacing w:line="490" w:lineRule="exact"/>
        <w:ind w:firstLine="562" w:firstLineChars="200"/>
        <w:outlineLvl w:val="3"/>
        <w:rPr>
          <w:rFonts w:eastAsia="楷体_GB2312"/>
          <w:b/>
          <w:bCs/>
          <w:color w:val="000000"/>
          <w:kern w:val="0"/>
          <w:sz w:val="28"/>
          <w:szCs w:val="32"/>
        </w:rPr>
      </w:pPr>
      <w:r>
        <w:rPr>
          <w:rFonts w:eastAsia="楷体_GB2312"/>
          <w:b/>
          <w:bCs/>
          <w:color w:val="000000"/>
          <w:kern w:val="0"/>
          <w:sz w:val="28"/>
          <w:szCs w:val="32"/>
        </w:rPr>
        <w:t>8.5  补充地质勘探</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在合同实施期间，监理人可以指示承包人进行必要的补充地质勘探并提供有关资料。承包人为本合同永久工程施工的需要进行补充地质勘探时，须经监理人批准，并应向监理人提交有关资料，上述补充勘探的费用由发包人承担。承包人为其临时工程设计及施工的需要进行的补充地质勘探，其费用由承包人承担。</w:t>
      </w:r>
    </w:p>
    <w:p>
      <w:pPr>
        <w:pStyle w:val="6"/>
        <w:keepNext w:val="0"/>
        <w:keepLines w:val="0"/>
        <w:spacing w:before="0" w:after="0" w:line="490" w:lineRule="exact"/>
        <w:ind w:firstLine="562" w:firstLineChars="200"/>
        <w:rPr>
          <w:rFonts w:eastAsia="黑体"/>
          <w:bCs w:val="0"/>
          <w:color w:val="000000"/>
          <w:sz w:val="28"/>
        </w:rPr>
      </w:pPr>
      <w:bookmarkStart w:id="1552" w:name="_Toc189386165"/>
      <w:bookmarkStart w:id="1553" w:name="_Toc9812"/>
      <w:bookmarkStart w:id="1554" w:name="_Toc24113"/>
      <w:bookmarkStart w:id="1555" w:name="_Toc51091886"/>
      <w:r>
        <w:rPr>
          <w:rFonts w:eastAsia="黑体"/>
          <w:bCs w:val="0"/>
          <w:color w:val="000000"/>
          <w:sz w:val="28"/>
        </w:rPr>
        <w:t>9．施工安全、治安保卫和环境保护</w:t>
      </w:r>
      <w:bookmarkEnd w:id="1552"/>
      <w:bookmarkEnd w:id="1553"/>
      <w:bookmarkEnd w:id="1554"/>
      <w:bookmarkEnd w:id="1555"/>
    </w:p>
    <w:p>
      <w:pPr>
        <w:spacing w:line="490" w:lineRule="exact"/>
        <w:ind w:firstLine="562" w:firstLineChars="200"/>
        <w:outlineLvl w:val="3"/>
        <w:rPr>
          <w:rFonts w:eastAsia="楷体_GB2312"/>
          <w:b/>
          <w:bCs/>
          <w:color w:val="000000"/>
          <w:kern w:val="0"/>
          <w:sz w:val="28"/>
          <w:szCs w:val="32"/>
        </w:rPr>
      </w:pPr>
      <w:bookmarkStart w:id="1556" w:name="_Toc189386166"/>
      <w:r>
        <w:rPr>
          <w:rFonts w:eastAsia="楷体_GB2312"/>
          <w:b/>
          <w:bCs/>
          <w:color w:val="000000"/>
          <w:kern w:val="0"/>
          <w:sz w:val="28"/>
          <w:szCs w:val="32"/>
        </w:rPr>
        <w:t>9.1发包人的施工安全责任</w:t>
      </w:r>
      <w:bookmarkEnd w:id="1556"/>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9.1.1  发包人应按合同约定履行安全职责。发包人委托监理人根据国家有关安全的法律、法规、强制性标准以及部门规章，对承包人的安全责任履行情况进行监督和检查。监理人的监督检查不减轻承包人应负的安全责任。</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9.1.2  发包人应对其现场机构雇佣的全部人员的工伤事故承担责任，但由于承包人原因造成发包人人员工伤的，应由承包人承担责任。</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9.1.3  发包人应负责赔偿以下各种情况造成的第三者人身伤亡和财产损失：</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（1）工程或工程的任何部分对土地的占用所造成的第三者财产损失；</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（2）由于发包人原因在施工场地及其毗邻地带造成的第三者人身伤亡和财产损失。</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9.1.4  除专用合同条款另有约定外，发包人负责向承包人提供施工现场及施工可能影响的毗邻区域内供水、排水、供电、供气、供热、通信、广播电视等地下管线资料，气象和水文观测资料，拟建工程可能影响的相邻建筑物地下工程的有关资料，并保证有关资料的真实、准确、完整</w:t>
      </w:r>
      <w:r>
        <w:rPr>
          <w:rFonts w:hint="eastAsia" w:eastAsia="仿宋_GB2312"/>
          <w:color w:val="000000"/>
          <w:kern w:val="0"/>
          <w:sz w:val="28"/>
          <w:szCs w:val="32"/>
        </w:rPr>
        <w:t>。</w:t>
      </w:r>
      <w:r>
        <w:rPr>
          <w:rFonts w:eastAsia="仿宋_GB2312"/>
          <w:color w:val="000000"/>
          <w:kern w:val="0"/>
          <w:sz w:val="28"/>
          <w:szCs w:val="32"/>
        </w:rPr>
        <w:t>9.1.5  发包人按照已标价工程量清单所列金额和合同约定的计量支付规定，支付安全作业环境及安全施工措施所需费用。</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9.1.6  发包人负责组织工程参建单位编制保证安全生产的措施方案。工程开工前，就落实保证安全生产的措施进行全面系统的布置，进一步明确承包人的安全生产责任。</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9.1.7  发包人负责在拆除工程和爆破工程施工14天前向有关部门或机构报送相关备案资料。</w:t>
      </w:r>
    </w:p>
    <w:p>
      <w:pPr>
        <w:spacing w:line="490" w:lineRule="exact"/>
        <w:ind w:firstLine="562" w:firstLineChars="200"/>
        <w:outlineLvl w:val="3"/>
        <w:rPr>
          <w:rFonts w:eastAsia="楷体_GB2312"/>
          <w:b/>
          <w:bCs/>
          <w:color w:val="000000"/>
          <w:kern w:val="0"/>
          <w:sz w:val="28"/>
          <w:szCs w:val="32"/>
        </w:rPr>
      </w:pPr>
      <w:bookmarkStart w:id="1557" w:name="_Toc511317347"/>
      <w:bookmarkStart w:id="1558" w:name="_Toc189386167"/>
      <w:bookmarkStart w:id="1559" w:name="_Toc511318096"/>
      <w:r>
        <w:rPr>
          <w:rFonts w:eastAsia="楷体_GB2312"/>
          <w:b/>
          <w:bCs/>
          <w:color w:val="000000"/>
          <w:kern w:val="0"/>
          <w:sz w:val="28"/>
          <w:szCs w:val="32"/>
        </w:rPr>
        <w:t>9.2 承包人的施工安全责任</w:t>
      </w:r>
      <w:bookmarkEnd w:id="1557"/>
      <w:bookmarkEnd w:id="1558"/>
      <w:bookmarkEnd w:id="1559"/>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9.2.1  承包人应按合同约定履行安全职责，执行监理人有关安全工作的指示。承包人应按技术标准和要求（合同技术条款）约定的内容和期限，以及监理人的指示，编制施工安全技术措施提交监理人审批。监理人应在技术标准和要求（合同技术条款）约定的期限内批复承包人。</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9.2.2  承包人应加强施工作业安全管理，特别应加强易燃、易爆材料、火工器材、有毒与腐蚀性材料和其他危险品的管理，以及对爆破作业和地下工程施工等危险作业的管理。</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9.2.3  承包人应严格按照国家安全标准制定施工安全操作规程，配备必要的安全生产和劳动保护设施，加强对承包人人员的安全教育，并发放安全工作手册和劳动保护用具。</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9.2.4  承包人应按监理人的指示制定应对灾害的紧急预案，报送监理人审批。承包人还应按预案做好安全检查，配置必要的救助物资和器材，切实保护好有关人员的人身和财产安全。</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9.2.5  合同约定的安全作业环境及安全施工措施所需费用应遵守有关规定，并包括在相关工作的合同价格中。因采取合同未约定的安全作业环境及安全施工措施增加的费用，由监理人按第3.5款商定或确定。</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9.2.6  承包人应对其履行合同所雇佣的全部人员，包括分包人人员的工伤事故承担责任，但由于发包人原因造成承包人人员工伤事故的，应由发包人承担责任。</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9.2.7  由于承包人原因在施工场地内及其毗邻地带造成的第三者人员伤亡和财产损失，由承包人负责赔偿。</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9.2.8  承包人已标价工程量清单应包含工程安全作业环境及安全施工措施所需费用。</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9.2.9  承包人应建立健全安全生产责任制度和安全生产教育培训制度，制定安全生产规章制度和操作规程，保证本单位建立和完善安全生产条件所需资金的投入，对本工程进行定期和专项安全检查，并做好安全检查记录。</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9.2.10  承包人应设立安全生产管理机构，施工现场应有专职安全生产管理人员。</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9.2.11  承包人应负责对特种作业人员进行专门的安全作业培训，并保证特种作业人员持证上岗。</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9.2.12  承包人应在施工组织设计中编制安全技术措施和施工现场临时用电方案。对专用合同条款约定的工程，应编制专项施工方案报监理人批准。对专用合同条款约定的专项施工方案，还应组织专家进行论证、审查，其中专家1/2人员应经发包人同意。</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9.2.13  承包人在使用施工起重机械和整体提升脚手架、模板等自升式架设设施前，应组织有关单位进行验收。</w:t>
      </w:r>
    </w:p>
    <w:p>
      <w:pPr>
        <w:spacing w:line="490" w:lineRule="exact"/>
        <w:ind w:firstLine="562" w:firstLineChars="200"/>
        <w:outlineLvl w:val="3"/>
        <w:rPr>
          <w:rFonts w:eastAsia="楷体_GB2312"/>
          <w:b/>
          <w:bCs/>
          <w:color w:val="000000"/>
          <w:kern w:val="0"/>
          <w:sz w:val="28"/>
          <w:szCs w:val="32"/>
        </w:rPr>
      </w:pPr>
      <w:bookmarkStart w:id="1560" w:name="_Toc189386168"/>
      <w:bookmarkStart w:id="1561" w:name="_Toc511318097"/>
      <w:bookmarkStart w:id="1562" w:name="_Toc511317348"/>
      <w:r>
        <w:rPr>
          <w:rFonts w:eastAsia="楷体_GB2312"/>
          <w:b/>
          <w:bCs/>
          <w:color w:val="000000"/>
          <w:kern w:val="0"/>
          <w:sz w:val="28"/>
          <w:szCs w:val="32"/>
        </w:rPr>
        <w:t>9.3 治安保卫</w:t>
      </w:r>
      <w:bookmarkEnd w:id="1560"/>
      <w:bookmarkEnd w:id="1561"/>
      <w:bookmarkEnd w:id="1562"/>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9.3.1  除合同另有约定外，发包人应与当地公安部门协商，在现场建立治安管理机构或联防组织，统一管理施工场地的治安保卫事项，履行合同工程的治安保卫职责。</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9.3.2  发包人和承包人除应协助现场治安管理机构或联防组织维护施工场地的社会治安外，还应做好包括生活区在内的各自管辖区的治安保卫工作。</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9.3.3  除合同另有约定外，发包人和承包人应在工程开工后，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减少财产损失和避免人员伤亡。</w:t>
      </w:r>
    </w:p>
    <w:p>
      <w:pPr>
        <w:spacing w:line="490" w:lineRule="exact"/>
        <w:ind w:firstLine="562" w:firstLineChars="200"/>
        <w:outlineLvl w:val="3"/>
        <w:rPr>
          <w:rFonts w:eastAsia="楷体_GB2312"/>
          <w:b/>
          <w:bCs/>
          <w:color w:val="000000"/>
          <w:kern w:val="0"/>
          <w:sz w:val="28"/>
          <w:szCs w:val="32"/>
        </w:rPr>
      </w:pPr>
      <w:bookmarkStart w:id="1563" w:name="_Toc189386169"/>
      <w:bookmarkStart w:id="1564" w:name="_Toc511317349"/>
      <w:bookmarkStart w:id="1565" w:name="_Toc511318098"/>
      <w:r>
        <w:rPr>
          <w:rFonts w:eastAsia="楷体_GB2312"/>
          <w:b/>
          <w:bCs/>
          <w:color w:val="000000"/>
          <w:kern w:val="0"/>
          <w:sz w:val="28"/>
          <w:szCs w:val="32"/>
        </w:rPr>
        <w:t>9.4 环境保护</w:t>
      </w:r>
      <w:bookmarkEnd w:id="1563"/>
      <w:bookmarkEnd w:id="1564"/>
      <w:bookmarkEnd w:id="1565"/>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9.4.1  承包人在施工过程中，应遵守有关环境保护的法律，履行合同约定的环境保护义务，并对违反法律和合同约定义务所造成的环境破坏、人身伤害和财产损失负责。</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9.4.2  承包人应按合同约定的环保工作内容，编制施工环保措施计划，报送监理人审批。</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9.4.3  承包人应按照批准的施工环保措施计划有序地堆放和处理施工废弃物，避免对环境造成破坏。因承包人任意堆放或弃置施工废弃物造成妨碍公共交通、影响城镇居民生活、降低河流行洪能力、危及居民安全、破坏周边环境，或者影响其他承包人施工等后果的，承包人应承担责任。</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9.4.4  承包人应按合同约定采取有效措施，对施工开挖的边坡及时进行支护</w:t>
      </w:r>
      <w:r>
        <w:rPr>
          <w:rFonts w:hint="eastAsia" w:eastAsia="仿宋_GB2312"/>
          <w:color w:val="000000"/>
          <w:kern w:val="0"/>
          <w:sz w:val="28"/>
          <w:szCs w:val="32"/>
        </w:rPr>
        <w:t>，</w:t>
      </w:r>
      <w:r>
        <w:rPr>
          <w:rFonts w:eastAsia="仿宋_GB2312"/>
          <w:color w:val="000000"/>
          <w:kern w:val="0"/>
          <w:sz w:val="28"/>
          <w:szCs w:val="32"/>
        </w:rPr>
        <w:t>维护排水设施，并进行水土保护，避免因施工造成的地质灾害。</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9.4.5  承包人应按国家饮用水管理标准定期对饮用水源进行监测，防止施工活动污染饮用水源。</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9.4.6  承包人应按合同约定，加强对噪声、粉尘、废气、废水和废油的控制，努力降低噪声，控制粉尘和废气浓度，做好废水和废油的治理和排放。</w:t>
      </w:r>
    </w:p>
    <w:p>
      <w:pPr>
        <w:spacing w:line="490" w:lineRule="exact"/>
        <w:ind w:firstLine="562" w:firstLineChars="200"/>
        <w:outlineLvl w:val="3"/>
        <w:rPr>
          <w:rFonts w:eastAsia="楷体_GB2312"/>
          <w:b/>
          <w:bCs/>
          <w:color w:val="000000"/>
          <w:kern w:val="0"/>
          <w:sz w:val="28"/>
          <w:szCs w:val="32"/>
        </w:rPr>
      </w:pPr>
      <w:bookmarkStart w:id="1566" w:name="_Toc511318099"/>
      <w:bookmarkStart w:id="1567" w:name="_Toc189386170"/>
      <w:bookmarkStart w:id="1568" w:name="_Toc511317350"/>
      <w:r>
        <w:rPr>
          <w:rFonts w:eastAsia="楷体_GB2312"/>
          <w:b/>
          <w:bCs/>
          <w:color w:val="000000"/>
          <w:kern w:val="0"/>
          <w:sz w:val="28"/>
          <w:szCs w:val="32"/>
        </w:rPr>
        <w:t>9.5 事故处理</w:t>
      </w:r>
      <w:bookmarkEnd w:id="1566"/>
      <w:bookmarkEnd w:id="1567"/>
      <w:bookmarkEnd w:id="1568"/>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9.5.1  发包人负责组织参建单位制定本工程的质量与安全事故应急预案，建立质量与安全事故应急处置指挥部。</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9.5.2  承包人应对施工现场易发生重大事故的部位、环节进行监控，配备救援器材、设备，并定期组织演练。</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9.5.3  工程开工前，承包人应根据本工程的特点制定施工现场施工质量与安全事故应急预案，并报发包人备案。</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9.5.4  施工过程中发生事故时，发包人、承包人应立即启动应急预案。</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9.5.5  事故调查处理由发包人按相关规定履行手续，承包人应配合。</w:t>
      </w:r>
    </w:p>
    <w:p>
      <w:pPr>
        <w:spacing w:line="490" w:lineRule="exact"/>
        <w:ind w:firstLine="562" w:firstLineChars="200"/>
        <w:outlineLvl w:val="3"/>
        <w:rPr>
          <w:rFonts w:eastAsia="楷体_GB2312"/>
          <w:b/>
          <w:bCs/>
          <w:color w:val="000000"/>
          <w:kern w:val="0"/>
          <w:sz w:val="28"/>
          <w:szCs w:val="32"/>
        </w:rPr>
      </w:pPr>
      <w:bookmarkStart w:id="1569" w:name="_Toc511318100"/>
      <w:bookmarkStart w:id="1570" w:name="_Toc511317351"/>
      <w:r>
        <w:rPr>
          <w:rFonts w:eastAsia="楷体_GB2312"/>
          <w:b/>
          <w:bCs/>
          <w:color w:val="000000"/>
          <w:kern w:val="0"/>
          <w:sz w:val="28"/>
          <w:szCs w:val="32"/>
        </w:rPr>
        <w:t>9.6  水土保持</w:t>
      </w:r>
      <w:bookmarkEnd w:id="1569"/>
      <w:bookmarkEnd w:id="1570"/>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9.6.1  发包人应及时向承包人提供水土保持方案。</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9.6.2  承包人在施工过程中，应遵守有关水土保持的法律法规和规章，履行合同约定的水土保持义务，并对其违反法律和合同约定义务所造成的水土流失灾害、人身伤害和财产损失负责。</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9.6.3  承包人的水土保持措施计划，应满足技术标准和要求（合同技术条款）约定的要求。</w:t>
      </w:r>
    </w:p>
    <w:p>
      <w:pPr>
        <w:spacing w:line="490" w:lineRule="exact"/>
        <w:ind w:firstLine="562" w:firstLineChars="200"/>
        <w:outlineLvl w:val="3"/>
        <w:rPr>
          <w:rFonts w:eastAsia="楷体_GB2312"/>
          <w:b/>
          <w:bCs/>
          <w:color w:val="000000"/>
          <w:kern w:val="0"/>
          <w:sz w:val="28"/>
          <w:szCs w:val="32"/>
        </w:rPr>
      </w:pPr>
      <w:bookmarkStart w:id="1571" w:name="_Toc511317352"/>
      <w:bookmarkStart w:id="1572" w:name="_Toc511318101"/>
      <w:r>
        <w:rPr>
          <w:rFonts w:eastAsia="楷体_GB2312"/>
          <w:b/>
          <w:bCs/>
          <w:color w:val="000000"/>
          <w:kern w:val="0"/>
          <w:sz w:val="28"/>
          <w:szCs w:val="32"/>
        </w:rPr>
        <w:t>9.7  文明工地</w:t>
      </w:r>
      <w:bookmarkEnd w:id="1571"/>
      <w:bookmarkEnd w:id="1572"/>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9.7.1  发包人应按专用合同条款的约定，负责建立创建文明建设工地的组织机构，制定创建文明建设工地的规划和办法。</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9.7.2  承包人应按创建文明建设工地的规划和办法，履行职责，承担相应责任。所需费用应含在已标价工程量清单中。</w:t>
      </w:r>
    </w:p>
    <w:p>
      <w:pPr>
        <w:spacing w:line="490" w:lineRule="exact"/>
        <w:ind w:firstLine="562" w:firstLineChars="200"/>
        <w:outlineLvl w:val="3"/>
        <w:rPr>
          <w:rFonts w:eastAsia="楷体_GB2312"/>
          <w:b/>
          <w:bCs/>
          <w:color w:val="000000"/>
          <w:kern w:val="0"/>
          <w:sz w:val="28"/>
          <w:szCs w:val="32"/>
        </w:rPr>
      </w:pPr>
      <w:bookmarkStart w:id="1573" w:name="_Toc511318102"/>
      <w:bookmarkStart w:id="1574" w:name="_Toc511317353"/>
      <w:r>
        <w:rPr>
          <w:rFonts w:eastAsia="楷体_GB2312"/>
          <w:b/>
          <w:bCs/>
          <w:color w:val="000000"/>
          <w:kern w:val="0"/>
          <w:sz w:val="28"/>
          <w:szCs w:val="32"/>
        </w:rPr>
        <w:t>9.8  防汛度汛</w:t>
      </w:r>
      <w:bookmarkEnd w:id="1573"/>
      <w:bookmarkEnd w:id="1574"/>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9.8.1  发包人负责组织工程参建单位编制本工程的度汛方案和措施。</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9.8.2  承包人应根据发包人编制的本工程度汛方案和措施，制定相应的度汛方案，报发包人批准后实施。</w:t>
      </w:r>
    </w:p>
    <w:p>
      <w:pPr>
        <w:pStyle w:val="6"/>
        <w:keepNext w:val="0"/>
        <w:keepLines w:val="0"/>
        <w:spacing w:before="0" w:after="0" w:line="490" w:lineRule="exact"/>
        <w:ind w:firstLine="562" w:firstLineChars="200"/>
        <w:rPr>
          <w:rFonts w:eastAsia="黑体"/>
          <w:bCs w:val="0"/>
          <w:color w:val="000000"/>
          <w:sz w:val="28"/>
        </w:rPr>
      </w:pPr>
      <w:bookmarkStart w:id="1575" w:name="_Toc24845"/>
      <w:bookmarkStart w:id="1576" w:name="_Toc51091887"/>
      <w:bookmarkStart w:id="1577" w:name="_Toc25037"/>
      <w:bookmarkStart w:id="1578" w:name="_Toc189386171"/>
      <w:r>
        <w:rPr>
          <w:rFonts w:eastAsia="黑体"/>
          <w:bCs w:val="0"/>
          <w:color w:val="000000"/>
          <w:sz w:val="28"/>
        </w:rPr>
        <w:t>10．进度计划</w:t>
      </w:r>
      <w:bookmarkEnd w:id="1575"/>
      <w:bookmarkEnd w:id="1576"/>
      <w:bookmarkEnd w:id="1577"/>
      <w:bookmarkEnd w:id="1578"/>
    </w:p>
    <w:p>
      <w:pPr>
        <w:spacing w:line="490" w:lineRule="exact"/>
        <w:ind w:firstLine="562" w:firstLineChars="200"/>
        <w:outlineLvl w:val="3"/>
        <w:rPr>
          <w:rFonts w:eastAsia="楷体_GB2312"/>
          <w:b/>
          <w:bCs/>
          <w:color w:val="000000"/>
          <w:kern w:val="0"/>
          <w:sz w:val="28"/>
          <w:szCs w:val="32"/>
        </w:rPr>
      </w:pPr>
      <w:bookmarkStart w:id="1579" w:name="_Toc511318104"/>
      <w:bookmarkStart w:id="1580" w:name="_Toc511317355"/>
      <w:bookmarkStart w:id="1581" w:name="_Toc189386172"/>
      <w:r>
        <w:rPr>
          <w:rFonts w:eastAsia="楷体_GB2312"/>
          <w:b/>
          <w:bCs/>
          <w:color w:val="000000"/>
          <w:kern w:val="0"/>
          <w:sz w:val="28"/>
          <w:szCs w:val="32"/>
        </w:rPr>
        <w:t>10.1 合同进度计划</w:t>
      </w:r>
      <w:bookmarkEnd w:id="1579"/>
      <w:bookmarkEnd w:id="1580"/>
      <w:bookmarkEnd w:id="1581"/>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承包人应按技术标准和要求（合同技术条款）约定的内容和期限以及监理人的指示，编制详细的施工总进度计划及其说明提交监理人审批。监理人应在技术标准和要求（合同技术条款）约定的期限内批复承包人，否则该进度计划视为已得到批准。经监理人批准的施工进度计划称为合同进度计划，是控制合同工程进度的依据。承包人还应根据合同进度计划，编制更为详细的分阶段或单位工程或分部工程进度计划，报监理人审批。</w:t>
      </w:r>
    </w:p>
    <w:p>
      <w:pPr>
        <w:spacing w:line="490" w:lineRule="exact"/>
        <w:ind w:firstLine="562" w:firstLineChars="200"/>
        <w:outlineLvl w:val="3"/>
        <w:rPr>
          <w:rFonts w:eastAsia="楷体_GB2312"/>
          <w:b/>
          <w:bCs/>
          <w:color w:val="000000"/>
          <w:kern w:val="0"/>
          <w:sz w:val="28"/>
          <w:szCs w:val="32"/>
        </w:rPr>
      </w:pPr>
      <w:bookmarkStart w:id="1582" w:name="_Toc189386173"/>
      <w:bookmarkStart w:id="1583" w:name="_Toc511317356"/>
      <w:bookmarkStart w:id="1584" w:name="_Toc511318105"/>
      <w:r>
        <w:rPr>
          <w:rFonts w:eastAsia="楷体_GB2312"/>
          <w:b/>
          <w:bCs/>
          <w:color w:val="000000"/>
          <w:kern w:val="0"/>
          <w:sz w:val="28"/>
          <w:szCs w:val="32"/>
        </w:rPr>
        <w:t>10.2 合同进度计划的修订</w:t>
      </w:r>
      <w:bookmarkEnd w:id="1582"/>
      <w:bookmarkEnd w:id="1583"/>
      <w:bookmarkEnd w:id="1584"/>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不论何种原因造成工程的实际进度与第10.1款的合同进度计划不符时，承包人均应在14天内向监理人提交修订合同进度计划的申请报告，并附有关措施和相关资料，报监理人审批，监理人应在收到申请报告后的14天内批复。当监理人认为需要修订合同进度计划时，承包人应按监理人的指示，在14天内向监理人提交修订的合同进度计划，并附调整计划的相关资料，提交监理人审批。监理人应在收到进度计划后的14天内批复。</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不论何种原因造成施工进度延迟，承包人均应按监理人的指示，采取有效措施赶上进度。承包人应在向监理人提交修订合同进度计划的同时，编制一份赶工措施报告提交监理人审批。由于发包人原因造成施工进度延迟，应按第11.3款的约定办理；由于承包人原因造成施工进度延迟，应按第11.5款的约定办理。</w:t>
      </w:r>
    </w:p>
    <w:p>
      <w:pPr>
        <w:spacing w:line="490" w:lineRule="exact"/>
        <w:ind w:firstLine="562" w:firstLineChars="200"/>
        <w:outlineLvl w:val="3"/>
        <w:rPr>
          <w:rFonts w:eastAsia="楷体_GB2312"/>
          <w:b/>
          <w:bCs/>
          <w:color w:val="000000"/>
          <w:kern w:val="0"/>
          <w:sz w:val="28"/>
          <w:szCs w:val="32"/>
        </w:rPr>
      </w:pPr>
      <w:bookmarkStart w:id="1585" w:name="_Toc511317357"/>
      <w:bookmarkStart w:id="1586" w:name="_Toc511318106"/>
      <w:r>
        <w:rPr>
          <w:rFonts w:eastAsia="楷体_GB2312"/>
          <w:b/>
          <w:bCs/>
          <w:color w:val="000000"/>
          <w:kern w:val="0"/>
          <w:sz w:val="28"/>
          <w:szCs w:val="32"/>
        </w:rPr>
        <w:t>10.3  单位工程进度计划</w:t>
      </w:r>
      <w:bookmarkEnd w:id="1585"/>
      <w:bookmarkEnd w:id="1586"/>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监理人认为有必要时，承包人应按监理人指示的内容和期限，并根据合同进度计划的进度控制要求，编制单位工程进度计划，提交监理人审批。</w:t>
      </w:r>
    </w:p>
    <w:p>
      <w:pPr>
        <w:spacing w:line="490" w:lineRule="exact"/>
        <w:ind w:firstLine="562" w:firstLineChars="200"/>
        <w:outlineLvl w:val="3"/>
        <w:rPr>
          <w:rFonts w:eastAsia="楷体_GB2312"/>
          <w:b/>
          <w:bCs/>
          <w:color w:val="000000"/>
          <w:kern w:val="0"/>
          <w:sz w:val="28"/>
          <w:szCs w:val="32"/>
        </w:rPr>
      </w:pPr>
      <w:bookmarkStart w:id="1587" w:name="_Toc511317358"/>
      <w:bookmarkStart w:id="1588" w:name="_Toc511318107"/>
      <w:r>
        <w:rPr>
          <w:rFonts w:eastAsia="楷体_GB2312"/>
          <w:b/>
          <w:bCs/>
          <w:color w:val="000000"/>
          <w:kern w:val="0"/>
          <w:sz w:val="28"/>
          <w:szCs w:val="32"/>
        </w:rPr>
        <w:t>10.4  提交资金流估算表</w:t>
      </w:r>
      <w:bookmarkEnd w:id="1587"/>
      <w:bookmarkEnd w:id="1588"/>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承包人应在按第10.1款约定向监理人提交施工总进度计划的同时，按下表约定的格式，向监理人提交按月的资金流估算表。估算表应包括承包人计划可从发包人处得到的全部款额，以供发包人参考。此后，当监理人提出要求时，承包人应在监理人指定的期限内提交修订的资金流估算表。</w:t>
      </w:r>
    </w:p>
    <w:p>
      <w:pPr>
        <w:spacing w:before="120" w:beforeLines="50" w:after="120" w:afterLines="50" w:line="490" w:lineRule="exact"/>
        <w:ind w:firstLine="562" w:firstLineChars="200"/>
        <w:jc w:val="center"/>
        <w:rPr>
          <w:rFonts w:eastAsia="黑体"/>
          <w:b/>
          <w:color w:val="000000"/>
          <w:kern w:val="0"/>
          <w:sz w:val="28"/>
          <w:szCs w:val="28"/>
        </w:rPr>
      </w:pPr>
      <w:r>
        <w:rPr>
          <w:rFonts w:eastAsia="黑体"/>
          <w:b/>
          <w:color w:val="000000"/>
          <w:kern w:val="0"/>
          <w:sz w:val="28"/>
          <w:szCs w:val="28"/>
        </w:rPr>
        <w:t>资金流估算表（参考格式）</w:t>
      </w:r>
    </w:p>
    <w:p>
      <w:pPr>
        <w:spacing w:line="276" w:lineRule="auto"/>
        <w:ind w:firstLine="7560" w:firstLineChars="3600"/>
        <w:rPr>
          <w:color w:val="000000"/>
          <w:kern w:val="0"/>
          <w:szCs w:val="21"/>
        </w:rPr>
      </w:pPr>
      <w:r>
        <w:rPr>
          <w:color w:val="000000"/>
          <w:kern w:val="0"/>
          <w:szCs w:val="21"/>
        </w:rPr>
        <w:t>金额单位</w:t>
      </w:r>
    </w:p>
    <w:tbl>
      <w:tblPr>
        <w:tblStyle w:val="4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
        <w:gridCol w:w="426"/>
        <w:gridCol w:w="1187"/>
        <w:gridCol w:w="1062"/>
        <w:gridCol w:w="1206"/>
        <w:gridCol w:w="1151"/>
        <w:gridCol w:w="927"/>
        <w:gridCol w:w="615"/>
        <w:gridCol w:w="851"/>
        <w:gridCol w:w="11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6" w:type="dxa"/>
            <w:noWrap w:val="0"/>
            <w:vAlign w:val="center"/>
          </w:tcPr>
          <w:p>
            <w:pPr>
              <w:jc w:val="center"/>
              <w:rPr>
                <w:color w:val="000000"/>
                <w:kern w:val="0"/>
                <w:sz w:val="18"/>
                <w:szCs w:val="18"/>
              </w:rPr>
            </w:pPr>
            <w:r>
              <w:rPr>
                <w:color w:val="000000"/>
                <w:kern w:val="0"/>
                <w:sz w:val="18"/>
                <w:szCs w:val="18"/>
              </w:rPr>
              <w:t>年</w:t>
            </w:r>
          </w:p>
        </w:tc>
        <w:tc>
          <w:tcPr>
            <w:tcW w:w="426" w:type="dxa"/>
            <w:noWrap w:val="0"/>
            <w:vAlign w:val="center"/>
          </w:tcPr>
          <w:p>
            <w:pPr>
              <w:jc w:val="center"/>
              <w:rPr>
                <w:color w:val="000000"/>
                <w:kern w:val="0"/>
                <w:sz w:val="18"/>
                <w:szCs w:val="18"/>
              </w:rPr>
            </w:pPr>
            <w:r>
              <w:rPr>
                <w:color w:val="000000"/>
                <w:kern w:val="0"/>
                <w:sz w:val="18"/>
                <w:szCs w:val="18"/>
              </w:rPr>
              <w:t>月</w:t>
            </w:r>
          </w:p>
        </w:tc>
        <w:tc>
          <w:tcPr>
            <w:tcW w:w="1187" w:type="dxa"/>
            <w:noWrap w:val="0"/>
            <w:vAlign w:val="center"/>
          </w:tcPr>
          <w:p>
            <w:pPr>
              <w:jc w:val="center"/>
              <w:rPr>
                <w:color w:val="000000"/>
                <w:kern w:val="0"/>
                <w:sz w:val="18"/>
                <w:szCs w:val="18"/>
              </w:rPr>
            </w:pPr>
            <w:r>
              <w:rPr>
                <w:color w:val="000000"/>
                <w:kern w:val="0"/>
                <w:sz w:val="18"/>
                <w:szCs w:val="18"/>
              </w:rPr>
              <w:t>工程预付款</w:t>
            </w:r>
          </w:p>
        </w:tc>
        <w:tc>
          <w:tcPr>
            <w:tcW w:w="1062" w:type="dxa"/>
            <w:noWrap w:val="0"/>
            <w:vAlign w:val="center"/>
          </w:tcPr>
          <w:p>
            <w:pPr>
              <w:jc w:val="center"/>
              <w:rPr>
                <w:color w:val="000000"/>
                <w:kern w:val="0"/>
                <w:sz w:val="18"/>
                <w:szCs w:val="18"/>
              </w:rPr>
            </w:pPr>
            <w:r>
              <w:rPr>
                <w:color w:val="000000"/>
                <w:kern w:val="0"/>
                <w:sz w:val="18"/>
                <w:szCs w:val="18"/>
              </w:rPr>
              <w:t>完成工作量付款</w:t>
            </w:r>
          </w:p>
        </w:tc>
        <w:tc>
          <w:tcPr>
            <w:tcW w:w="1206" w:type="dxa"/>
            <w:noWrap w:val="0"/>
            <w:vAlign w:val="center"/>
          </w:tcPr>
          <w:p>
            <w:pPr>
              <w:jc w:val="center"/>
              <w:rPr>
                <w:color w:val="000000"/>
                <w:kern w:val="0"/>
                <w:sz w:val="18"/>
                <w:szCs w:val="18"/>
              </w:rPr>
            </w:pPr>
            <w:r>
              <w:rPr>
                <w:color w:val="000000"/>
                <w:kern w:val="0"/>
                <w:sz w:val="18"/>
                <w:szCs w:val="18"/>
              </w:rPr>
              <w:t>质量保证金扣留</w:t>
            </w:r>
          </w:p>
        </w:tc>
        <w:tc>
          <w:tcPr>
            <w:tcW w:w="1151" w:type="dxa"/>
            <w:noWrap w:val="0"/>
            <w:vAlign w:val="center"/>
          </w:tcPr>
          <w:p>
            <w:pPr>
              <w:jc w:val="center"/>
              <w:rPr>
                <w:color w:val="000000"/>
                <w:kern w:val="0"/>
                <w:sz w:val="18"/>
                <w:szCs w:val="18"/>
              </w:rPr>
            </w:pPr>
            <w:r>
              <w:rPr>
                <w:color w:val="000000"/>
                <w:kern w:val="0"/>
                <w:sz w:val="18"/>
                <w:szCs w:val="18"/>
              </w:rPr>
              <w:t>材料款扣除</w:t>
            </w:r>
          </w:p>
        </w:tc>
        <w:tc>
          <w:tcPr>
            <w:tcW w:w="927" w:type="dxa"/>
            <w:noWrap w:val="0"/>
            <w:vAlign w:val="center"/>
          </w:tcPr>
          <w:p>
            <w:pPr>
              <w:jc w:val="center"/>
              <w:rPr>
                <w:color w:val="000000"/>
                <w:kern w:val="0"/>
                <w:sz w:val="18"/>
                <w:szCs w:val="18"/>
              </w:rPr>
            </w:pPr>
            <w:r>
              <w:rPr>
                <w:color w:val="000000"/>
                <w:kern w:val="0"/>
                <w:sz w:val="18"/>
                <w:szCs w:val="18"/>
              </w:rPr>
              <w:t>预付款扣还</w:t>
            </w:r>
          </w:p>
        </w:tc>
        <w:tc>
          <w:tcPr>
            <w:tcW w:w="615" w:type="dxa"/>
            <w:noWrap w:val="0"/>
            <w:vAlign w:val="center"/>
          </w:tcPr>
          <w:p>
            <w:pPr>
              <w:jc w:val="center"/>
              <w:rPr>
                <w:color w:val="000000"/>
                <w:kern w:val="0"/>
                <w:sz w:val="18"/>
                <w:szCs w:val="18"/>
              </w:rPr>
            </w:pPr>
            <w:r>
              <w:rPr>
                <w:color w:val="000000"/>
                <w:kern w:val="0"/>
                <w:sz w:val="18"/>
                <w:szCs w:val="18"/>
              </w:rPr>
              <w:t>其它</w:t>
            </w:r>
          </w:p>
        </w:tc>
        <w:tc>
          <w:tcPr>
            <w:tcW w:w="851" w:type="dxa"/>
            <w:noWrap w:val="0"/>
            <w:vAlign w:val="center"/>
          </w:tcPr>
          <w:p>
            <w:pPr>
              <w:jc w:val="center"/>
              <w:rPr>
                <w:color w:val="000000"/>
                <w:kern w:val="0"/>
                <w:sz w:val="18"/>
                <w:szCs w:val="18"/>
              </w:rPr>
            </w:pPr>
            <w:r>
              <w:rPr>
                <w:color w:val="000000"/>
                <w:kern w:val="0"/>
                <w:sz w:val="18"/>
                <w:szCs w:val="18"/>
              </w:rPr>
              <w:t>应收款</w:t>
            </w:r>
          </w:p>
        </w:tc>
        <w:tc>
          <w:tcPr>
            <w:tcW w:w="1158" w:type="dxa"/>
            <w:noWrap w:val="0"/>
            <w:vAlign w:val="center"/>
          </w:tcPr>
          <w:p>
            <w:pPr>
              <w:jc w:val="center"/>
              <w:rPr>
                <w:color w:val="000000"/>
                <w:kern w:val="0"/>
                <w:sz w:val="18"/>
                <w:szCs w:val="18"/>
              </w:rPr>
            </w:pPr>
            <w:r>
              <w:rPr>
                <w:color w:val="000000"/>
                <w:kern w:val="0"/>
                <w:sz w:val="18"/>
                <w:szCs w:val="18"/>
              </w:rPr>
              <w:t>累计应收款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6" w:type="dxa"/>
            <w:noWrap w:val="0"/>
            <w:vAlign w:val="center"/>
          </w:tcPr>
          <w:p>
            <w:pPr>
              <w:spacing w:line="276" w:lineRule="auto"/>
              <w:ind w:firstLine="360" w:firstLineChars="200"/>
              <w:rPr>
                <w:color w:val="000000"/>
                <w:kern w:val="0"/>
                <w:sz w:val="18"/>
                <w:szCs w:val="18"/>
              </w:rPr>
            </w:pPr>
          </w:p>
        </w:tc>
        <w:tc>
          <w:tcPr>
            <w:tcW w:w="426" w:type="dxa"/>
            <w:noWrap w:val="0"/>
            <w:vAlign w:val="center"/>
          </w:tcPr>
          <w:p>
            <w:pPr>
              <w:spacing w:line="276" w:lineRule="auto"/>
              <w:ind w:firstLine="360" w:firstLineChars="200"/>
              <w:rPr>
                <w:color w:val="000000"/>
                <w:kern w:val="0"/>
                <w:sz w:val="18"/>
                <w:szCs w:val="18"/>
              </w:rPr>
            </w:pPr>
          </w:p>
        </w:tc>
        <w:tc>
          <w:tcPr>
            <w:tcW w:w="1187" w:type="dxa"/>
            <w:noWrap w:val="0"/>
            <w:vAlign w:val="center"/>
          </w:tcPr>
          <w:p>
            <w:pPr>
              <w:spacing w:line="276" w:lineRule="auto"/>
              <w:ind w:firstLine="360" w:firstLineChars="200"/>
              <w:rPr>
                <w:color w:val="000000"/>
                <w:kern w:val="0"/>
                <w:sz w:val="18"/>
                <w:szCs w:val="18"/>
              </w:rPr>
            </w:pPr>
          </w:p>
        </w:tc>
        <w:tc>
          <w:tcPr>
            <w:tcW w:w="1062" w:type="dxa"/>
            <w:noWrap w:val="0"/>
            <w:vAlign w:val="center"/>
          </w:tcPr>
          <w:p>
            <w:pPr>
              <w:spacing w:line="276" w:lineRule="auto"/>
              <w:ind w:firstLine="360" w:firstLineChars="200"/>
              <w:rPr>
                <w:color w:val="000000"/>
                <w:kern w:val="0"/>
                <w:sz w:val="18"/>
                <w:szCs w:val="18"/>
              </w:rPr>
            </w:pPr>
          </w:p>
        </w:tc>
        <w:tc>
          <w:tcPr>
            <w:tcW w:w="1206" w:type="dxa"/>
            <w:noWrap w:val="0"/>
            <w:vAlign w:val="center"/>
          </w:tcPr>
          <w:p>
            <w:pPr>
              <w:spacing w:line="276" w:lineRule="auto"/>
              <w:ind w:firstLine="360" w:firstLineChars="200"/>
              <w:rPr>
                <w:color w:val="000000"/>
                <w:kern w:val="0"/>
                <w:sz w:val="18"/>
                <w:szCs w:val="18"/>
              </w:rPr>
            </w:pPr>
          </w:p>
        </w:tc>
        <w:tc>
          <w:tcPr>
            <w:tcW w:w="1151" w:type="dxa"/>
            <w:noWrap w:val="0"/>
            <w:vAlign w:val="center"/>
          </w:tcPr>
          <w:p>
            <w:pPr>
              <w:spacing w:line="276" w:lineRule="auto"/>
              <w:ind w:firstLine="360" w:firstLineChars="200"/>
              <w:rPr>
                <w:color w:val="000000"/>
                <w:kern w:val="0"/>
                <w:sz w:val="18"/>
                <w:szCs w:val="18"/>
              </w:rPr>
            </w:pPr>
          </w:p>
        </w:tc>
        <w:tc>
          <w:tcPr>
            <w:tcW w:w="927" w:type="dxa"/>
            <w:noWrap w:val="0"/>
            <w:vAlign w:val="center"/>
          </w:tcPr>
          <w:p>
            <w:pPr>
              <w:spacing w:line="276" w:lineRule="auto"/>
              <w:ind w:firstLine="360" w:firstLineChars="200"/>
              <w:rPr>
                <w:color w:val="000000"/>
                <w:kern w:val="0"/>
                <w:sz w:val="18"/>
                <w:szCs w:val="18"/>
              </w:rPr>
            </w:pPr>
          </w:p>
        </w:tc>
        <w:tc>
          <w:tcPr>
            <w:tcW w:w="615" w:type="dxa"/>
            <w:noWrap w:val="0"/>
            <w:vAlign w:val="center"/>
          </w:tcPr>
          <w:p>
            <w:pPr>
              <w:spacing w:line="276" w:lineRule="auto"/>
              <w:ind w:firstLine="360" w:firstLineChars="200"/>
              <w:rPr>
                <w:color w:val="000000"/>
                <w:kern w:val="0"/>
                <w:sz w:val="18"/>
                <w:szCs w:val="18"/>
              </w:rPr>
            </w:pPr>
          </w:p>
        </w:tc>
        <w:tc>
          <w:tcPr>
            <w:tcW w:w="851" w:type="dxa"/>
            <w:noWrap w:val="0"/>
            <w:vAlign w:val="center"/>
          </w:tcPr>
          <w:p>
            <w:pPr>
              <w:spacing w:line="276" w:lineRule="auto"/>
              <w:ind w:firstLine="360" w:firstLineChars="200"/>
              <w:rPr>
                <w:color w:val="000000"/>
                <w:kern w:val="0"/>
                <w:sz w:val="18"/>
                <w:szCs w:val="18"/>
              </w:rPr>
            </w:pPr>
          </w:p>
        </w:tc>
        <w:tc>
          <w:tcPr>
            <w:tcW w:w="1158" w:type="dxa"/>
            <w:noWrap w:val="0"/>
            <w:vAlign w:val="center"/>
          </w:tcPr>
          <w:p>
            <w:pPr>
              <w:spacing w:line="276" w:lineRule="auto"/>
              <w:ind w:firstLine="360" w:firstLineChars="200"/>
              <w:rPr>
                <w:color w:val="000000"/>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6" w:type="dxa"/>
            <w:noWrap w:val="0"/>
            <w:vAlign w:val="center"/>
          </w:tcPr>
          <w:p>
            <w:pPr>
              <w:spacing w:line="276" w:lineRule="auto"/>
              <w:ind w:firstLine="360" w:firstLineChars="200"/>
              <w:rPr>
                <w:color w:val="000000"/>
                <w:kern w:val="0"/>
                <w:sz w:val="18"/>
                <w:szCs w:val="18"/>
              </w:rPr>
            </w:pPr>
          </w:p>
        </w:tc>
        <w:tc>
          <w:tcPr>
            <w:tcW w:w="426" w:type="dxa"/>
            <w:noWrap w:val="0"/>
            <w:vAlign w:val="center"/>
          </w:tcPr>
          <w:p>
            <w:pPr>
              <w:spacing w:line="276" w:lineRule="auto"/>
              <w:ind w:firstLine="360" w:firstLineChars="200"/>
              <w:rPr>
                <w:color w:val="000000"/>
                <w:kern w:val="0"/>
                <w:sz w:val="18"/>
                <w:szCs w:val="18"/>
              </w:rPr>
            </w:pPr>
          </w:p>
        </w:tc>
        <w:tc>
          <w:tcPr>
            <w:tcW w:w="1187" w:type="dxa"/>
            <w:noWrap w:val="0"/>
            <w:vAlign w:val="center"/>
          </w:tcPr>
          <w:p>
            <w:pPr>
              <w:spacing w:line="276" w:lineRule="auto"/>
              <w:ind w:firstLine="360" w:firstLineChars="200"/>
              <w:rPr>
                <w:color w:val="000000"/>
                <w:kern w:val="0"/>
                <w:sz w:val="18"/>
                <w:szCs w:val="18"/>
              </w:rPr>
            </w:pPr>
          </w:p>
        </w:tc>
        <w:tc>
          <w:tcPr>
            <w:tcW w:w="1062" w:type="dxa"/>
            <w:noWrap w:val="0"/>
            <w:vAlign w:val="center"/>
          </w:tcPr>
          <w:p>
            <w:pPr>
              <w:spacing w:line="276" w:lineRule="auto"/>
              <w:ind w:firstLine="360" w:firstLineChars="200"/>
              <w:rPr>
                <w:color w:val="000000"/>
                <w:kern w:val="0"/>
                <w:sz w:val="18"/>
                <w:szCs w:val="18"/>
              </w:rPr>
            </w:pPr>
          </w:p>
        </w:tc>
        <w:tc>
          <w:tcPr>
            <w:tcW w:w="1206" w:type="dxa"/>
            <w:noWrap w:val="0"/>
            <w:vAlign w:val="center"/>
          </w:tcPr>
          <w:p>
            <w:pPr>
              <w:spacing w:line="276" w:lineRule="auto"/>
              <w:ind w:firstLine="360" w:firstLineChars="200"/>
              <w:rPr>
                <w:color w:val="000000"/>
                <w:kern w:val="0"/>
                <w:sz w:val="18"/>
                <w:szCs w:val="18"/>
              </w:rPr>
            </w:pPr>
          </w:p>
        </w:tc>
        <w:tc>
          <w:tcPr>
            <w:tcW w:w="1151" w:type="dxa"/>
            <w:noWrap w:val="0"/>
            <w:vAlign w:val="center"/>
          </w:tcPr>
          <w:p>
            <w:pPr>
              <w:spacing w:line="276" w:lineRule="auto"/>
              <w:ind w:firstLine="360" w:firstLineChars="200"/>
              <w:rPr>
                <w:color w:val="000000"/>
                <w:kern w:val="0"/>
                <w:sz w:val="18"/>
                <w:szCs w:val="18"/>
              </w:rPr>
            </w:pPr>
          </w:p>
        </w:tc>
        <w:tc>
          <w:tcPr>
            <w:tcW w:w="927" w:type="dxa"/>
            <w:noWrap w:val="0"/>
            <w:vAlign w:val="center"/>
          </w:tcPr>
          <w:p>
            <w:pPr>
              <w:spacing w:line="276" w:lineRule="auto"/>
              <w:ind w:firstLine="360" w:firstLineChars="200"/>
              <w:rPr>
                <w:color w:val="000000"/>
                <w:kern w:val="0"/>
                <w:sz w:val="18"/>
                <w:szCs w:val="18"/>
              </w:rPr>
            </w:pPr>
          </w:p>
        </w:tc>
        <w:tc>
          <w:tcPr>
            <w:tcW w:w="615" w:type="dxa"/>
            <w:noWrap w:val="0"/>
            <w:vAlign w:val="center"/>
          </w:tcPr>
          <w:p>
            <w:pPr>
              <w:spacing w:line="276" w:lineRule="auto"/>
              <w:ind w:firstLine="360" w:firstLineChars="200"/>
              <w:rPr>
                <w:color w:val="000000"/>
                <w:kern w:val="0"/>
                <w:sz w:val="18"/>
                <w:szCs w:val="18"/>
              </w:rPr>
            </w:pPr>
          </w:p>
        </w:tc>
        <w:tc>
          <w:tcPr>
            <w:tcW w:w="851" w:type="dxa"/>
            <w:noWrap w:val="0"/>
            <w:vAlign w:val="center"/>
          </w:tcPr>
          <w:p>
            <w:pPr>
              <w:spacing w:line="276" w:lineRule="auto"/>
              <w:ind w:firstLine="360" w:firstLineChars="200"/>
              <w:rPr>
                <w:color w:val="000000"/>
                <w:kern w:val="0"/>
                <w:sz w:val="18"/>
                <w:szCs w:val="18"/>
              </w:rPr>
            </w:pPr>
          </w:p>
        </w:tc>
        <w:tc>
          <w:tcPr>
            <w:tcW w:w="1158" w:type="dxa"/>
            <w:noWrap w:val="0"/>
            <w:vAlign w:val="center"/>
          </w:tcPr>
          <w:p>
            <w:pPr>
              <w:spacing w:line="276" w:lineRule="auto"/>
              <w:ind w:firstLine="360" w:firstLineChars="200"/>
              <w:rPr>
                <w:color w:val="000000"/>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6" w:type="dxa"/>
            <w:noWrap w:val="0"/>
            <w:vAlign w:val="center"/>
          </w:tcPr>
          <w:p>
            <w:pPr>
              <w:spacing w:line="276" w:lineRule="auto"/>
              <w:ind w:firstLine="360" w:firstLineChars="200"/>
              <w:rPr>
                <w:color w:val="000000"/>
                <w:kern w:val="0"/>
                <w:sz w:val="18"/>
                <w:szCs w:val="18"/>
              </w:rPr>
            </w:pPr>
          </w:p>
        </w:tc>
        <w:tc>
          <w:tcPr>
            <w:tcW w:w="426" w:type="dxa"/>
            <w:noWrap w:val="0"/>
            <w:vAlign w:val="center"/>
          </w:tcPr>
          <w:p>
            <w:pPr>
              <w:spacing w:line="276" w:lineRule="auto"/>
              <w:ind w:firstLine="360" w:firstLineChars="200"/>
              <w:rPr>
                <w:color w:val="000000"/>
                <w:kern w:val="0"/>
                <w:sz w:val="18"/>
                <w:szCs w:val="18"/>
              </w:rPr>
            </w:pPr>
          </w:p>
        </w:tc>
        <w:tc>
          <w:tcPr>
            <w:tcW w:w="1187" w:type="dxa"/>
            <w:noWrap w:val="0"/>
            <w:vAlign w:val="center"/>
          </w:tcPr>
          <w:p>
            <w:pPr>
              <w:spacing w:line="276" w:lineRule="auto"/>
              <w:ind w:firstLine="360" w:firstLineChars="200"/>
              <w:rPr>
                <w:color w:val="000000"/>
                <w:kern w:val="0"/>
                <w:sz w:val="18"/>
                <w:szCs w:val="18"/>
              </w:rPr>
            </w:pPr>
          </w:p>
        </w:tc>
        <w:tc>
          <w:tcPr>
            <w:tcW w:w="1062" w:type="dxa"/>
            <w:noWrap w:val="0"/>
            <w:vAlign w:val="center"/>
          </w:tcPr>
          <w:p>
            <w:pPr>
              <w:spacing w:line="276" w:lineRule="auto"/>
              <w:ind w:firstLine="360" w:firstLineChars="200"/>
              <w:rPr>
                <w:color w:val="000000"/>
                <w:kern w:val="0"/>
                <w:sz w:val="18"/>
                <w:szCs w:val="18"/>
              </w:rPr>
            </w:pPr>
          </w:p>
        </w:tc>
        <w:tc>
          <w:tcPr>
            <w:tcW w:w="1206" w:type="dxa"/>
            <w:noWrap w:val="0"/>
            <w:vAlign w:val="center"/>
          </w:tcPr>
          <w:p>
            <w:pPr>
              <w:spacing w:line="276" w:lineRule="auto"/>
              <w:ind w:firstLine="360" w:firstLineChars="200"/>
              <w:rPr>
                <w:color w:val="000000"/>
                <w:kern w:val="0"/>
                <w:sz w:val="18"/>
                <w:szCs w:val="18"/>
              </w:rPr>
            </w:pPr>
          </w:p>
        </w:tc>
        <w:tc>
          <w:tcPr>
            <w:tcW w:w="1151" w:type="dxa"/>
            <w:noWrap w:val="0"/>
            <w:vAlign w:val="center"/>
          </w:tcPr>
          <w:p>
            <w:pPr>
              <w:spacing w:line="276" w:lineRule="auto"/>
              <w:ind w:firstLine="360" w:firstLineChars="200"/>
              <w:rPr>
                <w:color w:val="000000"/>
                <w:kern w:val="0"/>
                <w:sz w:val="18"/>
                <w:szCs w:val="18"/>
              </w:rPr>
            </w:pPr>
          </w:p>
        </w:tc>
        <w:tc>
          <w:tcPr>
            <w:tcW w:w="927" w:type="dxa"/>
            <w:noWrap w:val="0"/>
            <w:vAlign w:val="center"/>
          </w:tcPr>
          <w:p>
            <w:pPr>
              <w:spacing w:line="276" w:lineRule="auto"/>
              <w:ind w:firstLine="360" w:firstLineChars="200"/>
              <w:rPr>
                <w:color w:val="000000"/>
                <w:kern w:val="0"/>
                <w:sz w:val="18"/>
                <w:szCs w:val="18"/>
              </w:rPr>
            </w:pPr>
          </w:p>
        </w:tc>
        <w:tc>
          <w:tcPr>
            <w:tcW w:w="615" w:type="dxa"/>
            <w:noWrap w:val="0"/>
            <w:vAlign w:val="center"/>
          </w:tcPr>
          <w:p>
            <w:pPr>
              <w:spacing w:line="276" w:lineRule="auto"/>
              <w:ind w:firstLine="360" w:firstLineChars="200"/>
              <w:rPr>
                <w:color w:val="000000"/>
                <w:kern w:val="0"/>
                <w:sz w:val="18"/>
                <w:szCs w:val="18"/>
              </w:rPr>
            </w:pPr>
          </w:p>
        </w:tc>
        <w:tc>
          <w:tcPr>
            <w:tcW w:w="851" w:type="dxa"/>
            <w:noWrap w:val="0"/>
            <w:vAlign w:val="center"/>
          </w:tcPr>
          <w:p>
            <w:pPr>
              <w:spacing w:line="276" w:lineRule="auto"/>
              <w:ind w:firstLine="360" w:firstLineChars="200"/>
              <w:rPr>
                <w:color w:val="000000"/>
                <w:kern w:val="0"/>
                <w:sz w:val="18"/>
                <w:szCs w:val="18"/>
              </w:rPr>
            </w:pPr>
          </w:p>
        </w:tc>
        <w:tc>
          <w:tcPr>
            <w:tcW w:w="1158" w:type="dxa"/>
            <w:noWrap w:val="0"/>
            <w:vAlign w:val="center"/>
          </w:tcPr>
          <w:p>
            <w:pPr>
              <w:spacing w:line="276" w:lineRule="auto"/>
              <w:ind w:firstLine="360" w:firstLineChars="200"/>
              <w:rPr>
                <w:color w:val="000000"/>
                <w:kern w:val="0"/>
                <w:sz w:val="18"/>
                <w:szCs w:val="18"/>
              </w:rPr>
            </w:pPr>
          </w:p>
        </w:tc>
      </w:tr>
    </w:tbl>
    <w:p>
      <w:pPr>
        <w:pStyle w:val="6"/>
        <w:keepNext w:val="0"/>
        <w:keepLines w:val="0"/>
        <w:spacing w:before="0" w:after="0" w:line="490" w:lineRule="exact"/>
        <w:ind w:firstLine="562" w:firstLineChars="200"/>
        <w:rPr>
          <w:rFonts w:eastAsia="黑体"/>
          <w:bCs w:val="0"/>
          <w:color w:val="000000"/>
          <w:sz w:val="28"/>
        </w:rPr>
      </w:pPr>
      <w:bookmarkStart w:id="1589" w:name="_Toc51091888"/>
      <w:bookmarkStart w:id="1590" w:name="_Toc189386174"/>
      <w:bookmarkStart w:id="1591" w:name="_Toc28262"/>
      <w:bookmarkStart w:id="1592" w:name="_Toc4242"/>
      <w:r>
        <w:rPr>
          <w:rFonts w:eastAsia="黑体"/>
          <w:bCs w:val="0"/>
          <w:color w:val="000000"/>
          <w:sz w:val="28"/>
        </w:rPr>
        <w:t>11．开工和竣工</w:t>
      </w:r>
      <w:bookmarkEnd w:id="1589"/>
      <w:bookmarkEnd w:id="1590"/>
      <w:bookmarkEnd w:id="1591"/>
      <w:bookmarkEnd w:id="1592"/>
    </w:p>
    <w:p>
      <w:pPr>
        <w:spacing w:line="490" w:lineRule="exact"/>
        <w:ind w:firstLine="562" w:firstLineChars="200"/>
        <w:outlineLvl w:val="3"/>
        <w:rPr>
          <w:rFonts w:eastAsia="楷体_GB2312"/>
          <w:b/>
          <w:bCs/>
          <w:color w:val="000000"/>
          <w:kern w:val="0"/>
          <w:sz w:val="28"/>
          <w:szCs w:val="32"/>
        </w:rPr>
      </w:pPr>
      <w:bookmarkStart w:id="1593" w:name="_Toc189386175"/>
      <w:bookmarkStart w:id="1594" w:name="_Toc511318109"/>
      <w:bookmarkStart w:id="1595" w:name="_Toc511317360"/>
      <w:r>
        <w:rPr>
          <w:rFonts w:eastAsia="楷体_GB2312"/>
          <w:b/>
          <w:bCs/>
          <w:color w:val="000000"/>
          <w:kern w:val="0"/>
          <w:sz w:val="28"/>
          <w:szCs w:val="32"/>
        </w:rPr>
        <w:t>11.1 开工</w:t>
      </w:r>
      <w:bookmarkEnd w:id="1593"/>
      <w:bookmarkEnd w:id="1594"/>
      <w:bookmarkEnd w:id="1595"/>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11.1.1  监理人应在开工日期7天前向承包人发出开工通知。监理人在发出开工通知前应获得发包人同意。工期自监理人发出的开工通知中载明的开工日期起计算。承包人应在开工日期后尽快施工。</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11.1.2  承包人应按第10.1款约定的合同进度计划，向监理人提交工程开工报审表，经监理人审批后执行。开工报审表应详细说明按合同进度计划正常施工所需的施工道路、临时设施、材料设备、施工人员等施工组织措施的落实情况以及工程的进度安排。</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11.1.3  若发包人未能按合同约定向承包人提供开工的必要条件，承包人有权要求延长工期。监理人应在收到承包人的书面要求后，按第3.5款的约定，与合同双方商定或确定增加的费用和延长的工期。</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11.1.4  承包人在接到开工通知后14天内未按进度计划要求及时进场组织施工，监理人可通知承包人在接到通知后7天内提交一份说明其进场延误的书面报告，报送监理人。书面报告应说明不能及时进场的原因和补救措施，由此增加的费用和工期延误责任由承包人承担。</w:t>
      </w:r>
    </w:p>
    <w:p>
      <w:pPr>
        <w:spacing w:line="490" w:lineRule="exact"/>
        <w:ind w:firstLine="562" w:firstLineChars="200"/>
        <w:outlineLvl w:val="3"/>
        <w:rPr>
          <w:rFonts w:eastAsia="楷体_GB2312"/>
          <w:b/>
          <w:bCs/>
          <w:color w:val="000000"/>
          <w:kern w:val="0"/>
          <w:sz w:val="28"/>
          <w:szCs w:val="32"/>
        </w:rPr>
      </w:pPr>
      <w:bookmarkStart w:id="1596" w:name="_Toc189386176"/>
      <w:r>
        <w:rPr>
          <w:rFonts w:eastAsia="楷体_GB2312"/>
          <w:b/>
          <w:bCs/>
          <w:color w:val="000000"/>
          <w:kern w:val="0"/>
          <w:sz w:val="28"/>
          <w:szCs w:val="32"/>
        </w:rPr>
        <w:t>11.2竣工</w:t>
      </w:r>
      <w:bookmarkEnd w:id="1596"/>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承包人应在第1.1.4.3目约定的期限内完成合同工程。合同工程实际完工日期在合同工程完工证书中明确。</w:t>
      </w:r>
    </w:p>
    <w:p>
      <w:pPr>
        <w:spacing w:line="490" w:lineRule="exact"/>
        <w:ind w:firstLine="562" w:firstLineChars="200"/>
        <w:outlineLvl w:val="3"/>
        <w:rPr>
          <w:rFonts w:eastAsia="楷体_GB2312"/>
          <w:b/>
          <w:bCs/>
          <w:color w:val="000000"/>
          <w:kern w:val="0"/>
          <w:sz w:val="28"/>
          <w:szCs w:val="32"/>
        </w:rPr>
      </w:pPr>
      <w:bookmarkStart w:id="1597" w:name="_Toc511318110"/>
      <w:bookmarkStart w:id="1598" w:name="_Toc189386177"/>
      <w:bookmarkStart w:id="1599" w:name="_Toc511317361"/>
      <w:r>
        <w:rPr>
          <w:rFonts w:eastAsia="楷体_GB2312"/>
          <w:b/>
          <w:bCs/>
          <w:color w:val="000000"/>
          <w:kern w:val="0"/>
          <w:sz w:val="28"/>
          <w:szCs w:val="32"/>
        </w:rPr>
        <w:t>11.3 发包人的工期延误</w:t>
      </w:r>
      <w:bookmarkEnd w:id="1597"/>
      <w:bookmarkEnd w:id="1598"/>
      <w:bookmarkEnd w:id="1599"/>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在履行合同过程中，由于发包人的下列原因造成工期延误的，承包人有权要求发包人延长工期和（或）增加费用，并支付合理利润。需要修订合同进度计划的，按照第10.2 款的约定办理。</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（1）增加合同工作内容；</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（2）改变合同中任何一项工作的质量要求或其他特性；</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（3）发包人迟延提供材料、工程设备或变更交货地点的；</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（4）因发包人原因导致的暂停施工；</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（5）提供图纸延误；</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（6）未按合同约定及时支付预付款、进度款；</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（7）发包人造成工期延误的其他原因。</w:t>
      </w:r>
    </w:p>
    <w:p>
      <w:pPr>
        <w:spacing w:line="490" w:lineRule="exact"/>
        <w:ind w:firstLine="562" w:firstLineChars="200"/>
        <w:outlineLvl w:val="3"/>
        <w:rPr>
          <w:rFonts w:eastAsia="楷体_GB2312"/>
          <w:b/>
          <w:bCs/>
          <w:color w:val="000000"/>
          <w:kern w:val="0"/>
          <w:sz w:val="28"/>
          <w:szCs w:val="32"/>
        </w:rPr>
      </w:pPr>
      <w:bookmarkStart w:id="1600" w:name="_Toc511317362"/>
      <w:bookmarkStart w:id="1601" w:name="_Toc511318111"/>
      <w:bookmarkStart w:id="1602" w:name="_Toc189386178"/>
      <w:r>
        <w:rPr>
          <w:rFonts w:eastAsia="楷体_GB2312"/>
          <w:b/>
          <w:bCs/>
          <w:color w:val="000000"/>
          <w:kern w:val="0"/>
          <w:sz w:val="28"/>
          <w:szCs w:val="32"/>
        </w:rPr>
        <w:t>11.4 异常恶劣的气候条件</w:t>
      </w:r>
      <w:bookmarkEnd w:id="1600"/>
      <w:bookmarkEnd w:id="1601"/>
      <w:bookmarkEnd w:id="1602"/>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 xml:space="preserve">11.4.1 </w:t>
      </w:r>
      <w:r>
        <w:rPr>
          <w:rFonts w:hint="eastAsia" w:eastAsia="仿宋_GB2312"/>
          <w:color w:val="000000"/>
          <w:kern w:val="0"/>
          <w:sz w:val="28"/>
          <w:szCs w:val="32"/>
        </w:rPr>
        <w:t xml:space="preserve"> 异常恶劣的气候条件是指在施工过程中遇到的，有经验的承包人在订立合同时不可预见的，对合同履行造成实质性影响的，但尚未构成不可抗力事件的恶劣气候条件。合同当事人可以在专用合同条件中约定异常恶劣的气候条件的具体情形。</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11.4.2</w:t>
      </w:r>
      <w:r>
        <w:rPr>
          <w:rFonts w:hint="eastAsia" w:eastAsia="仿宋_GB2312"/>
          <w:color w:val="000000"/>
          <w:kern w:val="0"/>
          <w:sz w:val="28"/>
          <w:szCs w:val="32"/>
        </w:rPr>
        <w:t xml:space="preserve">  </w:t>
      </w:r>
      <w:r>
        <w:rPr>
          <w:rFonts w:eastAsia="仿宋_GB2312"/>
          <w:color w:val="000000"/>
          <w:kern w:val="0"/>
          <w:sz w:val="28"/>
          <w:szCs w:val="32"/>
        </w:rPr>
        <w:t>当工程所在地发生危及施工安全的异常恶劣气候时，发包人和承包人应按本合同通用合同条款第12条的约定，及时采取暂停施工或部分暂停施工措施。异常恶劣气候条件解除后，承包人应及时安排复工。</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11.4.</w:t>
      </w:r>
      <w:r>
        <w:rPr>
          <w:rFonts w:hint="eastAsia" w:eastAsia="仿宋_GB2312"/>
          <w:color w:val="000000"/>
          <w:kern w:val="0"/>
          <w:sz w:val="28"/>
          <w:szCs w:val="32"/>
        </w:rPr>
        <w:t>3</w:t>
      </w:r>
      <w:r>
        <w:rPr>
          <w:rFonts w:eastAsia="仿宋_GB2312"/>
          <w:color w:val="000000"/>
          <w:kern w:val="0"/>
          <w:sz w:val="28"/>
          <w:szCs w:val="32"/>
        </w:rPr>
        <w:t xml:space="preserve">  异常恶劣气候条件造成的工期延误</w:t>
      </w:r>
      <w:r>
        <w:rPr>
          <w:rFonts w:hint="eastAsia" w:eastAsia="仿宋_GB2312"/>
          <w:color w:val="000000"/>
          <w:kern w:val="0"/>
          <w:sz w:val="28"/>
          <w:szCs w:val="32"/>
        </w:rPr>
        <w:t>应以顺延，造成的经济损失则由双方协商解决。</w:t>
      </w:r>
    </w:p>
    <w:p>
      <w:pPr>
        <w:spacing w:line="490" w:lineRule="exact"/>
        <w:ind w:firstLine="560" w:firstLineChars="200"/>
        <w:rPr>
          <w:rFonts w:eastAsia="仿宋_GB2312"/>
          <w:color w:val="000000"/>
          <w:kern w:val="0"/>
          <w:sz w:val="28"/>
          <w:szCs w:val="32"/>
        </w:rPr>
      </w:pPr>
      <w:r>
        <w:rPr>
          <w:rFonts w:hint="eastAsia" w:eastAsia="仿宋_GB2312"/>
          <w:color w:val="000000"/>
          <w:kern w:val="0"/>
          <w:sz w:val="28"/>
          <w:szCs w:val="32"/>
        </w:rPr>
        <w:t xml:space="preserve">11.4.4  </w:t>
      </w:r>
      <w:r>
        <w:rPr>
          <w:rFonts w:eastAsia="仿宋_GB2312"/>
          <w:color w:val="000000"/>
          <w:kern w:val="0"/>
          <w:sz w:val="28"/>
          <w:szCs w:val="32"/>
        </w:rPr>
        <w:t>本合同工程界定异常恶劣气候条件的范围在专用合同条款中约定。</w:t>
      </w:r>
    </w:p>
    <w:p>
      <w:pPr>
        <w:spacing w:line="490" w:lineRule="exact"/>
        <w:ind w:firstLine="562" w:firstLineChars="200"/>
        <w:outlineLvl w:val="3"/>
        <w:rPr>
          <w:rFonts w:eastAsia="楷体_GB2312"/>
          <w:b/>
          <w:bCs/>
          <w:color w:val="000000"/>
          <w:kern w:val="0"/>
          <w:sz w:val="28"/>
          <w:szCs w:val="32"/>
        </w:rPr>
      </w:pPr>
      <w:bookmarkStart w:id="1603" w:name="_Toc189386179"/>
      <w:bookmarkStart w:id="1604" w:name="_Toc511318112"/>
      <w:bookmarkStart w:id="1605" w:name="_Toc511317363"/>
      <w:r>
        <w:rPr>
          <w:rFonts w:eastAsia="楷体_GB2312"/>
          <w:b/>
          <w:bCs/>
          <w:color w:val="000000"/>
          <w:kern w:val="0"/>
          <w:sz w:val="28"/>
          <w:szCs w:val="32"/>
        </w:rPr>
        <w:t>11.5 承包人的工期延误</w:t>
      </w:r>
      <w:bookmarkEnd w:id="1603"/>
      <w:bookmarkEnd w:id="1604"/>
      <w:bookmarkEnd w:id="1605"/>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由于承包人原因，未能按合同进度计划完成工作，或监理人认为承包人施工进度不能满足合同工期要求的，承包人应采取措施加快进度，并承担加快进度所增加的费用。由于承包人原因造成工期延误，承包人应支付逾期竣工违约金。逾期竣工违约金的计算方法在专用合同条款中约定。承包人支付逾期竣工违约金，不免除承包人完成工程及修补缺陷的义务。</w:t>
      </w:r>
    </w:p>
    <w:p>
      <w:pPr>
        <w:spacing w:line="490" w:lineRule="exact"/>
        <w:ind w:firstLine="562" w:firstLineChars="200"/>
        <w:outlineLvl w:val="3"/>
        <w:rPr>
          <w:rFonts w:eastAsia="楷体_GB2312"/>
          <w:b/>
          <w:bCs/>
          <w:color w:val="000000"/>
          <w:kern w:val="0"/>
          <w:sz w:val="28"/>
          <w:szCs w:val="32"/>
        </w:rPr>
      </w:pPr>
      <w:bookmarkStart w:id="1606" w:name="_Toc511318113"/>
      <w:bookmarkStart w:id="1607" w:name="_Toc189386180"/>
      <w:bookmarkStart w:id="1608" w:name="_Toc511317364"/>
      <w:r>
        <w:rPr>
          <w:rFonts w:eastAsia="楷体_GB2312"/>
          <w:b/>
          <w:bCs/>
          <w:color w:val="000000"/>
          <w:kern w:val="0"/>
          <w:sz w:val="28"/>
          <w:szCs w:val="32"/>
        </w:rPr>
        <w:t>11.6 工期提前</w:t>
      </w:r>
      <w:bookmarkEnd w:id="1606"/>
      <w:bookmarkEnd w:id="1607"/>
      <w:bookmarkEnd w:id="1608"/>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发包人要求承包人提前完工，或承包人提出提前完工的建议能够给发包人带来效益的，应由监理人与承包人共同协商采取加快工程进度的措施和修订合同进度计划</w:t>
      </w:r>
      <w:r>
        <w:rPr>
          <w:rFonts w:hint="eastAsia" w:eastAsia="仿宋_GB2312"/>
          <w:color w:val="000000"/>
          <w:kern w:val="0"/>
          <w:sz w:val="28"/>
          <w:szCs w:val="32"/>
        </w:rPr>
        <w:t>，并经发包人同意</w:t>
      </w:r>
      <w:r>
        <w:rPr>
          <w:rFonts w:eastAsia="仿宋_GB2312"/>
          <w:color w:val="000000"/>
          <w:kern w:val="0"/>
          <w:sz w:val="28"/>
          <w:szCs w:val="32"/>
        </w:rPr>
        <w:t>。发包人应承担承包人由此增加的费用，并</w:t>
      </w:r>
      <w:r>
        <w:rPr>
          <w:rFonts w:hint="eastAsia" w:eastAsia="仿宋_GB2312"/>
          <w:color w:val="000000"/>
          <w:kern w:val="0"/>
          <w:sz w:val="28"/>
          <w:szCs w:val="32"/>
        </w:rPr>
        <w:t>可在</w:t>
      </w:r>
      <w:r>
        <w:rPr>
          <w:rFonts w:eastAsia="仿宋_GB2312"/>
          <w:color w:val="000000"/>
          <w:kern w:val="0"/>
          <w:sz w:val="28"/>
          <w:szCs w:val="32"/>
        </w:rPr>
        <w:t>专用合同条款</w:t>
      </w:r>
      <w:r>
        <w:rPr>
          <w:rFonts w:hint="eastAsia" w:eastAsia="仿宋_GB2312"/>
          <w:color w:val="000000"/>
          <w:kern w:val="0"/>
          <w:sz w:val="28"/>
          <w:szCs w:val="32"/>
        </w:rPr>
        <w:t>中</w:t>
      </w:r>
      <w:r>
        <w:rPr>
          <w:rFonts w:eastAsia="仿宋_GB2312"/>
          <w:color w:val="000000"/>
          <w:kern w:val="0"/>
          <w:sz w:val="28"/>
          <w:szCs w:val="32"/>
        </w:rPr>
        <w:t>约定相应</w:t>
      </w:r>
      <w:r>
        <w:rPr>
          <w:rFonts w:hint="eastAsia" w:eastAsia="仿宋_GB2312"/>
          <w:color w:val="000000"/>
          <w:kern w:val="0"/>
          <w:sz w:val="28"/>
          <w:szCs w:val="32"/>
        </w:rPr>
        <w:t>的</w:t>
      </w:r>
      <w:r>
        <w:rPr>
          <w:rFonts w:eastAsia="仿宋_GB2312"/>
          <w:color w:val="000000"/>
          <w:kern w:val="0"/>
          <w:sz w:val="28"/>
          <w:szCs w:val="32"/>
        </w:rPr>
        <w:t>奖金。</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发包人要求提前完工的，双方协商一致后应签订提前完工协议，协议内容包括：</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（1）提前的时间和修订后的进度计划；</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（2）承包人的赶工措施；</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（3）发包人为赶工提供的条件；</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（4）赶工费用（包括利润和奖金）。</w:t>
      </w:r>
    </w:p>
    <w:p>
      <w:pPr>
        <w:pStyle w:val="6"/>
        <w:keepNext w:val="0"/>
        <w:keepLines w:val="0"/>
        <w:spacing w:before="0" w:after="0" w:line="490" w:lineRule="exact"/>
        <w:ind w:firstLine="562" w:firstLineChars="200"/>
        <w:rPr>
          <w:rFonts w:eastAsia="黑体"/>
          <w:bCs w:val="0"/>
          <w:color w:val="000000"/>
          <w:sz w:val="28"/>
        </w:rPr>
      </w:pPr>
      <w:bookmarkStart w:id="1609" w:name="_Toc22849"/>
      <w:bookmarkStart w:id="1610" w:name="_Toc13730"/>
      <w:bookmarkStart w:id="1611" w:name="_Toc51091889"/>
      <w:bookmarkStart w:id="1612" w:name="_Toc189386181"/>
      <w:r>
        <w:rPr>
          <w:rFonts w:eastAsia="黑体"/>
          <w:bCs w:val="0"/>
          <w:color w:val="000000"/>
          <w:sz w:val="28"/>
        </w:rPr>
        <w:t>12．暂停施工</w:t>
      </w:r>
      <w:bookmarkEnd w:id="1609"/>
      <w:bookmarkEnd w:id="1610"/>
      <w:bookmarkEnd w:id="1611"/>
      <w:bookmarkEnd w:id="1612"/>
    </w:p>
    <w:p>
      <w:pPr>
        <w:spacing w:line="490" w:lineRule="exact"/>
        <w:ind w:firstLine="562" w:firstLineChars="200"/>
        <w:outlineLvl w:val="3"/>
        <w:rPr>
          <w:rFonts w:eastAsia="楷体_GB2312"/>
          <w:b/>
          <w:bCs/>
          <w:color w:val="000000"/>
          <w:kern w:val="0"/>
          <w:sz w:val="28"/>
          <w:szCs w:val="32"/>
        </w:rPr>
      </w:pPr>
      <w:bookmarkStart w:id="1613" w:name="_Toc189386182"/>
      <w:bookmarkStart w:id="1614" w:name="_Toc511318115"/>
      <w:bookmarkStart w:id="1615" w:name="_Toc511317366"/>
      <w:r>
        <w:rPr>
          <w:rFonts w:eastAsia="楷体_GB2312"/>
          <w:b/>
          <w:bCs/>
          <w:color w:val="000000"/>
          <w:kern w:val="0"/>
          <w:sz w:val="28"/>
          <w:szCs w:val="32"/>
        </w:rPr>
        <w:t>12.1 承包人暂停施工的责任</w:t>
      </w:r>
      <w:bookmarkEnd w:id="1613"/>
      <w:bookmarkEnd w:id="1614"/>
      <w:bookmarkEnd w:id="1615"/>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因下列暂停施工增加的费用和（或）工期延误由承包人承担：</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（1）承包人违约引起的暂停施工；</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（2）由于承包人原因为工程合理施工和安全保障所必需的暂停施工；</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（3）承包人擅自暂停施工；</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（4）承包人其他原因引起的暂停施工；</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（5）专用合同条款约定由承包人承担的其他暂停施工。</w:t>
      </w:r>
    </w:p>
    <w:p>
      <w:pPr>
        <w:spacing w:line="490" w:lineRule="exact"/>
        <w:ind w:firstLine="562" w:firstLineChars="200"/>
        <w:outlineLvl w:val="3"/>
        <w:rPr>
          <w:rFonts w:eastAsia="楷体_GB2312"/>
          <w:b/>
          <w:bCs/>
          <w:color w:val="000000"/>
          <w:kern w:val="0"/>
          <w:sz w:val="28"/>
          <w:szCs w:val="32"/>
        </w:rPr>
      </w:pPr>
      <w:bookmarkStart w:id="1616" w:name="_Toc511317367"/>
      <w:bookmarkStart w:id="1617" w:name="_Toc511318116"/>
      <w:bookmarkStart w:id="1618" w:name="_Toc189386183"/>
      <w:r>
        <w:rPr>
          <w:rFonts w:eastAsia="楷体_GB2312"/>
          <w:b/>
          <w:bCs/>
          <w:color w:val="000000"/>
          <w:kern w:val="0"/>
          <w:sz w:val="28"/>
          <w:szCs w:val="32"/>
        </w:rPr>
        <w:t>12.2 发包人暂停施工的责任</w:t>
      </w:r>
      <w:bookmarkEnd w:id="1616"/>
      <w:bookmarkEnd w:id="1617"/>
      <w:bookmarkEnd w:id="1618"/>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由于发包人原因引起的暂停施工造成工期延误的，承包人有权要求发包人延长工期和（或）增加费用，并支付合理利润。</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属于下列任何一种情况引起的暂停施工，均为发包人的责任：</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（1）由于发包人违约引起的暂停施工；</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（2）由于不可抗力的自然或社会因素引起的暂停施工；</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（3）专用合同条款中约定的其它由于发包人原因引起的暂停施工。</w:t>
      </w:r>
    </w:p>
    <w:p>
      <w:pPr>
        <w:spacing w:line="490" w:lineRule="exact"/>
        <w:ind w:firstLine="562" w:firstLineChars="200"/>
        <w:outlineLvl w:val="3"/>
        <w:rPr>
          <w:rFonts w:eastAsia="楷体_GB2312"/>
          <w:b/>
          <w:bCs/>
          <w:color w:val="000000"/>
          <w:kern w:val="0"/>
          <w:sz w:val="28"/>
          <w:szCs w:val="32"/>
        </w:rPr>
      </w:pPr>
      <w:bookmarkStart w:id="1619" w:name="_Toc189386184"/>
      <w:r>
        <w:rPr>
          <w:rFonts w:eastAsia="楷体_GB2312"/>
          <w:b/>
          <w:bCs/>
          <w:color w:val="000000"/>
          <w:kern w:val="0"/>
          <w:sz w:val="28"/>
          <w:szCs w:val="32"/>
        </w:rPr>
        <w:t>12.3 监理人暂停施工指示</w:t>
      </w:r>
      <w:bookmarkEnd w:id="1619"/>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12.3.1  监理人认为有必要</w:t>
      </w:r>
      <w:r>
        <w:rPr>
          <w:rFonts w:hint="eastAsia" w:eastAsia="仿宋_GB2312"/>
          <w:color w:val="000000"/>
          <w:kern w:val="0"/>
          <w:sz w:val="28"/>
          <w:szCs w:val="32"/>
        </w:rPr>
        <w:t>且经发包人同意</w:t>
      </w:r>
      <w:r>
        <w:rPr>
          <w:rFonts w:eastAsia="仿宋_GB2312"/>
          <w:color w:val="000000"/>
          <w:kern w:val="0"/>
          <w:sz w:val="28"/>
          <w:szCs w:val="32"/>
        </w:rPr>
        <w:t>，可向承包人作出暂停施工的指示，承包人应按监理人指示暂停施工。不论由于何种原因引起的暂停施工，暂停施工期间承包人应负责妥善保护工程并提供安全保障。</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12.3.2  由于发包人的原因发生暂停施工的紧急情况，且监理人未及时下达暂停施工指示的，承包人可先暂停施工，并及时向监理人提出暂停施工的书面请求。监理人应在接到书面请求后的24小时内予以答复，逾期未答复的，视为同意承包人的暂停施工请求。</w:t>
      </w:r>
    </w:p>
    <w:p>
      <w:pPr>
        <w:spacing w:line="490" w:lineRule="exact"/>
        <w:ind w:firstLine="562" w:firstLineChars="200"/>
        <w:outlineLvl w:val="3"/>
        <w:rPr>
          <w:rFonts w:eastAsia="楷体_GB2312"/>
          <w:b/>
          <w:bCs/>
          <w:color w:val="000000"/>
          <w:kern w:val="0"/>
          <w:sz w:val="28"/>
          <w:szCs w:val="32"/>
        </w:rPr>
      </w:pPr>
      <w:bookmarkStart w:id="1620" w:name="_Toc189386185"/>
      <w:r>
        <w:rPr>
          <w:rFonts w:eastAsia="楷体_GB2312"/>
          <w:b/>
          <w:bCs/>
          <w:color w:val="000000"/>
          <w:kern w:val="0"/>
          <w:sz w:val="28"/>
          <w:szCs w:val="32"/>
        </w:rPr>
        <w:t>12.4 暂停施工后的复工</w:t>
      </w:r>
      <w:bookmarkEnd w:id="1620"/>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12.4.1  暂停施工后，监理人应与发包人和承包人协商，采取有效措施积极消除暂停施工的影响。当工程具备复工条件时，监理人应立即向承包人发出复工通知。承包人收到复工通知后，应在监理人指定的期限内复工。</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12.4.2  承包人无故拖延和拒绝复工的，由此增加的费用和工期延误由承包人承担；因发包人原因无法按时复工的，承包人有权要求发包人延长工期和（或）增加费用，并支付合理利润。</w:t>
      </w:r>
    </w:p>
    <w:p>
      <w:pPr>
        <w:spacing w:line="490" w:lineRule="exact"/>
        <w:ind w:firstLine="562" w:firstLineChars="200"/>
        <w:outlineLvl w:val="3"/>
        <w:rPr>
          <w:rFonts w:eastAsia="楷体_GB2312"/>
          <w:b/>
          <w:bCs/>
          <w:color w:val="000000"/>
          <w:kern w:val="0"/>
          <w:sz w:val="28"/>
          <w:szCs w:val="32"/>
        </w:rPr>
      </w:pPr>
      <w:bookmarkStart w:id="1621" w:name="_Toc189386186"/>
      <w:r>
        <w:rPr>
          <w:rFonts w:eastAsia="楷体_GB2312"/>
          <w:b/>
          <w:bCs/>
          <w:color w:val="000000"/>
          <w:kern w:val="0"/>
          <w:sz w:val="28"/>
          <w:szCs w:val="32"/>
        </w:rPr>
        <w:t>12.5 暂停施工持续56天以上</w:t>
      </w:r>
      <w:bookmarkEnd w:id="1621"/>
    </w:p>
    <w:p>
      <w:pPr>
        <w:spacing w:line="490" w:lineRule="exact"/>
        <w:ind w:firstLine="560" w:firstLineChars="200"/>
        <w:rPr>
          <w:rFonts w:hint="eastAsia" w:eastAsia="仿宋_GB2312"/>
          <w:color w:val="000000"/>
          <w:kern w:val="0"/>
          <w:sz w:val="28"/>
          <w:szCs w:val="32"/>
        </w:rPr>
      </w:pPr>
      <w:r>
        <w:rPr>
          <w:rFonts w:eastAsia="仿宋_GB2312"/>
          <w:color w:val="000000"/>
          <w:kern w:val="0"/>
          <w:sz w:val="28"/>
          <w:szCs w:val="32"/>
        </w:rPr>
        <w:t xml:space="preserve">12.5.1 </w:t>
      </w:r>
      <w:r>
        <w:rPr>
          <w:rFonts w:hint="eastAsia" w:eastAsia="仿宋_GB2312"/>
          <w:color w:val="000000"/>
          <w:kern w:val="0"/>
          <w:sz w:val="28"/>
          <w:szCs w:val="32"/>
        </w:rPr>
        <w:t xml:space="preserve"> 监理人发出暂停施工指示后56天内未向承包人发出复工通知，</w:t>
      </w:r>
    </w:p>
    <w:p>
      <w:pPr>
        <w:spacing w:line="490" w:lineRule="exact"/>
        <w:ind w:firstLine="560" w:firstLineChars="200"/>
        <w:rPr>
          <w:rFonts w:hint="eastAsia" w:eastAsia="仿宋_GB2312"/>
          <w:color w:val="000000"/>
          <w:kern w:val="0"/>
          <w:sz w:val="28"/>
          <w:szCs w:val="32"/>
        </w:rPr>
      </w:pPr>
      <w:r>
        <w:rPr>
          <w:rFonts w:hint="eastAsia" w:eastAsia="仿宋_GB2312"/>
          <w:color w:val="000000"/>
          <w:kern w:val="0"/>
          <w:sz w:val="28"/>
          <w:szCs w:val="32"/>
        </w:rPr>
        <w:t>除该项停工属于第11.4款（</w:t>
      </w:r>
      <w:r>
        <w:rPr>
          <w:rFonts w:eastAsia="仿宋_GB2312"/>
          <w:color w:val="000000"/>
          <w:kern w:val="0"/>
          <w:sz w:val="28"/>
          <w:szCs w:val="32"/>
        </w:rPr>
        <w:t>异常恶劣的气候条件</w:t>
      </w:r>
      <w:r>
        <w:rPr>
          <w:rFonts w:hint="eastAsia" w:eastAsia="仿宋_GB2312"/>
          <w:color w:val="000000"/>
          <w:kern w:val="0"/>
          <w:sz w:val="28"/>
          <w:szCs w:val="32"/>
        </w:rPr>
        <w:t>）第12.1款〔承包人暂停施工的责任〕及第21项（不可抗力）约定的情形外，承包人可向发包人提交书面通知，要求发包人在收到书面通知后28天内准许已暂停施工的部分或全部工程继续施工。发包人逾期不予批准的，则承包人可以通知发包人，将工程受影响的部分视为可取消工作。</w:t>
      </w:r>
    </w:p>
    <w:p>
      <w:pPr>
        <w:spacing w:line="490" w:lineRule="exact"/>
        <w:ind w:firstLine="560" w:firstLineChars="200"/>
        <w:rPr>
          <w:rFonts w:hint="eastAsia" w:eastAsia="仿宋_GB2312"/>
          <w:color w:val="000000"/>
          <w:kern w:val="0"/>
          <w:sz w:val="28"/>
          <w:szCs w:val="32"/>
        </w:rPr>
      </w:pPr>
      <w:r>
        <w:rPr>
          <w:rFonts w:eastAsia="仿宋_GB2312"/>
          <w:color w:val="000000"/>
          <w:kern w:val="0"/>
          <w:sz w:val="28"/>
          <w:szCs w:val="32"/>
        </w:rPr>
        <w:t xml:space="preserve">12.5.2  </w:t>
      </w:r>
      <w:r>
        <w:rPr>
          <w:rFonts w:hint="eastAsia" w:eastAsia="仿宋_GB2312"/>
          <w:color w:val="000000"/>
          <w:kern w:val="0"/>
          <w:sz w:val="28"/>
          <w:szCs w:val="32"/>
        </w:rPr>
        <w:t>暂停施工持续84天以上不复工的，且不属于承包人原因引起的暂停施工、</w:t>
      </w:r>
      <w:r>
        <w:rPr>
          <w:rFonts w:eastAsia="仿宋_GB2312"/>
          <w:color w:val="000000"/>
          <w:kern w:val="0"/>
          <w:sz w:val="28"/>
          <w:szCs w:val="32"/>
        </w:rPr>
        <w:t>异常恶劣的气候条件</w:t>
      </w:r>
      <w:r>
        <w:rPr>
          <w:rFonts w:hint="eastAsia" w:eastAsia="仿宋_GB2312"/>
          <w:color w:val="000000"/>
          <w:kern w:val="0"/>
          <w:sz w:val="28"/>
          <w:szCs w:val="32"/>
        </w:rPr>
        <w:t>引起的情形及不可抗力引起的情形，并影响到整个工程以及合同目的实现的，承包人有权提出价格调整要求，或者解除合同。解除合同的，按照第22.2.3 款（发包人违约解除合同）执行。</w:t>
      </w:r>
    </w:p>
    <w:p>
      <w:pPr>
        <w:pStyle w:val="6"/>
        <w:keepNext w:val="0"/>
        <w:keepLines w:val="0"/>
        <w:spacing w:before="0" w:after="0" w:line="490" w:lineRule="exact"/>
        <w:ind w:firstLine="562" w:firstLineChars="200"/>
        <w:rPr>
          <w:rFonts w:eastAsia="黑体"/>
          <w:bCs w:val="0"/>
          <w:color w:val="000000"/>
          <w:sz w:val="28"/>
        </w:rPr>
      </w:pPr>
      <w:bookmarkStart w:id="1622" w:name="_Toc51091890"/>
      <w:bookmarkStart w:id="1623" w:name="_Toc8682"/>
      <w:bookmarkStart w:id="1624" w:name="_Toc29574"/>
      <w:bookmarkStart w:id="1625" w:name="_Toc189386187"/>
      <w:r>
        <w:rPr>
          <w:rFonts w:eastAsia="黑体"/>
          <w:bCs w:val="0"/>
          <w:color w:val="000000"/>
          <w:sz w:val="28"/>
        </w:rPr>
        <w:t>13．工程质量</w:t>
      </w:r>
      <w:bookmarkEnd w:id="1622"/>
      <w:bookmarkEnd w:id="1623"/>
      <w:bookmarkEnd w:id="1624"/>
      <w:bookmarkEnd w:id="1625"/>
    </w:p>
    <w:p>
      <w:pPr>
        <w:spacing w:line="490" w:lineRule="exact"/>
        <w:ind w:firstLine="562" w:firstLineChars="200"/>
        <w:outlineLvl w:val="3"/>
        <w:rPr>
          <w:rFonts w:eastAsia="楷体_GB2312"/>
          <w:b/>
          <w:bCs/>
          <w:color w:val="000000"/>
          <w:kern w:val="0"/>
          <w:sz w:val="28"/>
          <w:szCs w:val="32"/>
        </w:rPr>
      </w:pPr>
      <w:bookmarkStart w:id="1626" w:name="_Toc511317369"/>
      <w:bookmarkStart w:id="1627" w:name="_Toc511318118"/>
      <w:bookmarkStart w:id="1628" w:name="_Toc189386188"/>
      <w:r>
        <w:rPr>
          <w:rFonts w:eastAsia="楷体_GB2312"/>
          <w:b/>
          <w:bCs/>
          <w:color w:val="000000"/>
          <w:kern w:val="0"/>
          <w:sz w:val="28"/>
          <w:szCs w:val="32"/>
        </w:rPr>
        <w:t>13.1 工程质量要求</w:t>
      </w:r>
      <w:bookmarkEnd w:id="1626"/>
      <w:bookmarkEnd w:id="1627"/>
      <w:bookmarkEnd w:id="1628"/>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13.1.1  工程质量验收按合同约定验收标准执行。</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13.1.2  因承包人原因造成工程质量达不到合同约定验收标准的，监理人有权要求承包人返工直至符合合同要求为止，由此造成的费用增加和（或）工期延误由承包人承担。</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13.1.3  因发包人原因造成工程质量达不到合同约定验收标准的，发包人应承担由于承包人返工造成的费用增加和（或）工期延误，并支付承包人合理利润。</w:t>
      </w:r>
    </w:p>
    <w:p>
      <w:pPr>
        <w:spacing w:line="490" w:lineRule="exact"/>
        <w:ind w:firstLine="562" w:firstLineChars="200"/>
        <w:outlineLvl w:val="3"/>
        <w:rPr>
          <w:rFonts w:eastAsia="楷体_GB2312"/>
          <w:b/>
          <w:bCs/>
          <w:color w:val="000000"/>
          <w:kern w:val="0"/>
          <w:sz w:val="28"/>
          <w:szCs w:val="32"/>
        </w:rPr>
      </w:pPr>
      <w:bookmarkStart w:id="1629" w:name="_Toc189386189"/>
      <w:bookmarkStart w:id="1630" w:name="_Toc511318119"/>
      <w:bookmarkStart w:id="1631" w:name="_Toc511317370"/>
      <w:r>
        <w:rPr>
          <w:rFonts w:eastAsia="楷体_GB2312"/>
          <w:b/>
          <w:bCs/>
          <w:color w:val="000000"/>
          <w:kern w:val="0"/>
          <w:sz w:val="28"/>
          <w:szCs w:val="32"/>
        </w:rPr>
        <w:t>13.2 承包人的质量管理</w:t>
      </w:r>
      <w:bookmarkEnd w:id="1629"/>
      <w:bookmarkEnd w:id="1630"/>
      <w:bookmarkEnd w:id="1631"/>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13.2.1  承包人应在施工场地设置专门的质量检查机构，配备专职质量检查人员，建立完善的质量检查制度。承包人应按技术标准和要求（合同技术条款）约定的内容和期限，编制工程质量保证措施文件，包括质量检查机构的组织和岗位责任、质量检查人员的组成、质量检查程序和实施细则等，提交监理人审批。监理人应在技术标准和要求（合同技术条款）约定的期限内批复承包人。</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13.2.2  承包人应加强对施工人员的质量教育和技术培训，定期考核施工人员的劳动技能，严格执行规范和操作规程。</w:t>
      </w:r>
    </w:p>
    <w:p>
      <w:pPr>
        <w:spacing w:line="490" w:lineRule="exact"/>
        <w:ind w:firstLine="562" w:firstLineChars="200"/>
        <w:outlineLvl w:val="3"/>
        <w:rPr>
          <w:rFonts w:eastAsia="楷体_GB2312"/>
          <w:b/>
          <w:bCs/>
          <w:color w:val="000000"/>
          <w:kern w:val="0"/>
          <w:sz w:val="28"/>
          <w:szCs w:val="32"/>
        </w:rPr>
      </w:pPr>
      <w:bookmarkStart w:id="1632" w:name="_Toc189386190"/>
      <w:bookmarkStart w:id="1633" w:name="_Toc511318120"/>
      <w:bookmarkStart w:id="1634" w:name="_Toc511317371"/>
      <w:r>
        <w:rPr>
          <w:rFonts w:eastAsia="楷体_GB2312"/>
          <w:b/>
          <w:bCs/>
          <w:color w:val="000000"/>
          <w:kern w:val="0"/>
          <w:sz w:val="28"/>
          <w:szCs w:val="32"/>
        </w:rPr>
        <w:t>13.3 承包人的质量检查</w:t>
      </w:r>
      <w:bookmarkEnd w:id="1632"/>
      <w:bookmarkEnd w:id="1633"/>
      <w:bookmarkEnd w:id="1634"/>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承包人应按合同约定对材料、工程设备以及工程的所有部位及其施工工艺进行全过程的质量检查和检验，并作详细记录，编制工程质量报表，报送监理人审查。</w:t>
      </w:r>
    </w:p>
    <w:p>
      <w:pPr>
        <w:spacing w:line="490" w:lineRule="exact"/>
        <w:ind w:firstLine="562" w:firstLineChars="200"/>
        <w:outlineLvl w:val="3"/>
        <w:rPr>
          <w:rFonts w:eastAsia="楷体_GB2312"/>
          <w:b/>
          <w:bCs/>
          <w:color w:val="000000"/>
          <w:kern w:val="0"/>
          <w:sz w:val="28"/>
          <w:szCs w:val="32"/>
        </w:rPr>
      </w:pPr>
      <w:bookmarkStart w:id="1635" w:name="_Toc511318121"/>
      <w:bookmarkStart w:id="1636" w:name="_Toc511317372"/>
      <w:bookmarkStart w:id="1637" w:name="_Toc189386191"/>
      <w:r>
        <w:rPr>
          <w:rFonts w:eastAsia="楷体_GB2312"/>
          <w:b/>
          <w:bCs/>
          <w:color w:val="000000"/>
          <w:kern w:val="0"/>
          <w:sz w:val="28"/>
          <w:szCs w:val="32"/>
        </w:rPr>
        <w:t>13.4 监理人的质量检查</w:t>
      </w:r>
      <w:bookmarkEnd w:id="1635"/>
      <w:bookmarkEnd w:id="1636"/>
      <w:bookmarkEnd w:id="1637"/>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w:t>
      </w:r>
    </w:p>
    <w:p>
      <w:pPr>
        <w:spacing w:line="490" w:lineRule="exact"/>
        <w:ind w:firstLine="562" w:firstLineChars="200"/>
        <w:outlineLvl w:val="3"/>
        <w:rPr>
          <w:rFonts w:eastAsia="楷体_GB2312"/>
          <w:b/>
          <w:bCs/>
          <w:color w:val="000000"/>
          <w:kern w:val="0"/>
          <w:sz w:val="28"/>
          <w:szCs w:val="32"/>
        </w:rPr>
      </w:pPr>
      <w:bookmarkStart w:id="1638" w:name="_Toc189386192"/>
      <w:bookmarkStart w:id="1639" w:name="_Toc511318122"/>
      <w:bookmarkStart w:id="1640" w:name="_Toc511317373"/>
      <w:r>
        <w:rPr>
          <w:rFonts w:eastAsia="楷体_GB2312"/>
          <w:b/>
          <w:bCs/>
          <w:color w:val="000000"/>
          <w:kern w:val="0"/>
          <w:sz w:val="28"/>
          <w:szCs w:val="32"/>
        </w:rPr>
        <w:t>13.5 工程隐蔽部位覆盖前的检查</w:t>
      </w:r>
      <w:bookmarkEnd w:id="1638"/>
      <w:bookmarkEnd w:id="1639"/>
      <w:bookmarkEnd w:id="1640"/>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13.5.1  通知监理人检查</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经承包人自检确认的工程隐蔽部位具备覆盖条件后，承包人应通知监理人在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r>
        <w:rPr>
          <w:rFonts w:hint="eastAsia" w:eastAsia="仿宋_GB2312"/>
          <w:color w:val="000000"/>
          <w:kern w:val="0"/>
          <w:sz w:val="28"/>
          <w:szCs w:val="32"/>
        </w:rPr>
        <w:t>，</w:t>
      </w:r>
      <w:r>
        <w:rPr>
          <w:rFonts w:eastAsia="仿宋_GB2312"/>
          <w:color w:val="000000"/>
          <w:kern w:val="0"/>
          <w:sz w:val="28"/>
          <w:szCs w:val="32"/>
        </w:rPr>
        <w:t>由此增加的费用和（或）工期延误由承包人承担。</w:t>
      </w:r>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13.5.2  监理人未到场检查</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监理人未按第13.5.1项约定的时间进行检查的，除监理人另有指示外，承包人可自行完成覆盖工作，并作相应记录报送监理人，监理人应签字确认。监理人事后对检查记录有疑问的，可按第13.5.3项的约定重新检查。</w:t>
      </w:r>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13.5.3  监理人重新检查</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承包人按第13.5.1项或第13.5.2项覆盖工程隐蔽部位后，监理人对质量有疑问的，可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13.5.4  承包人私自覆盖</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承包人未通知监理人到场检查，私自将工程隐蔽部位覆盖的，监理人有权指示承包人钻孔探测或揭开检查，由此增加的费用和（或）工期延误由承包人承担。</w:t>
      </w:r>
    </w:p>
    <w:p>
      <w:pPr>
        <w:spacing w:line="490" w:lineRule="exact"/>
        <w:ind w:firstLine="562" w:firstLineChars="200"/>
        <w:outlineLvl w:val="3"/>
        <w:rPr>
          <w:rFonts w:eastAsia="楷体_GB2312"/>
          <w:b/>
          <w:bCs/>
          <w:color w:val="000000"/>
          <w:kern w:val="0"/>
          <w:sz w:val="28"/>
          <w:szCs w:val="32"/>
        </w:rPr>
      </w:pPr>
      <w:bookmarkStart w:id="1641" w:name="_Toc511317374"/>
      <w:bookmarkStart w:id="1642" w:name="_Toc511318123"/>
      <w:bookmarkStart w:id="1643" w:name="_Toc189386193"/>
      <w:r>
        <w:rPr>
          <w:rFonts w:eastAsia="楷体_GB2312"/>
          <w:b/>
          <w:bCs/>
          <w:color w:val="000000"/>
          <w:kern w:val="0"/>
          <w:sz w:val="28"/>
          <w:szCs w:val="32"/>
        </w:rPr>
        <w:t>13.6  清除不合格工程</w:t>
      </w:r>
      <w:bookmarkEnd w:id="1641"/>
      <w:bookmarkEnd w:id="1642"/>
      <w:bookmarkEnd w:id="1643"/>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13.6.1  承包人使用不合格材料、工程设备，或采用不适当的施工工艺，或施工不当，造成工程不合格的，监理人可以随时发出指示，要求承包人立即采取措施进行补救，直至达到合同要求的质量标准，由此增加的费用和（或）工期延误由承包人承担。</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13.6.2  由于发包人提供的材料或工程设备不合格造成的工程不合格，需要承包人采取措施补救的，发包人应承担由此增加的费用和（或）工期延误，并支付承包人合理利润。</w:t>
      </w:r>
    </w:p>
    <w:p>
      <w:pPr>
        <w:spacing w:line="490" w:lineRule="exact"/>
        <w:ind w:firstLine="562" w:firstLineChars="200"/>
        <w:outlineLvl w:val="3"/>
        <w:rPr>
          <w:rFonts w:eastAsia="楷体_GB2312"/>
          <w:b/>
          <w:bCs/>
          <w:color w:val="000000"/>
          <w:kern w:val="0"/>
          <w:sz w:val="28"/>
          <w:szCs w:val="32"/>
        </w:rPr>
      </w:pPr>
      <w:bookmarkStart w:id="1644" w:name="_Toc511318124"/>
      <w:r>
        <w:rPr>
          <w:rFonts w:eastAsia="楷体_GB2312"/>
          <w:b/>
          <w:bCs/>
          <w:color w:val="000000"/>
          <w:kern w:val="0"/>
          <w:sz w:val="28"/>
          <w:szCs w:val="32"/>
        </w:rPr>
        <w:t>13.7  质量评定</w:t>
      </w:r>
      <w:bookmarkEnd w:id="1644"/>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13.7.1  发包人应组织承包人进行工程项目划分，并确定单位工程、主要分部工程、重要隐蔽单元工程和关键部位单元工程。</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13.7.2  工程实施过程中，单位工程、主要分部工程、重要隐蔽单元工程和关键部位单元工程的项目划分需要调整时，承包人应报发包人确认。</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13.7.3  承包人应在单元（工序）工程质量自评合格后，报监理人核定质量等级并签证认可。</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13.7.4  除专用合同条款另有约定外，承包人应在重要隐蔽单元工程和关键部位单元工程质量自评合格以及监理人抽检后，由监理人组织承包人等单位组成的联合小组，共同检查核定其质量等级并填写签证表。发包人按有关规定完成质量结论报工程质量监督机构核备手续。</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13.7.5  承包人应在分部工程质量自评合格后，报监理人复核和发包人认定。发包人负责按有关规定完成分部工程质量结论报工程质量监督机构核备（核定）手续。</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13.7.6  承包人应在单位工程质量自评合格后，报监理人复核和发包人认定。发包人负责按有关规定完成单位工程质量结论报工程质量监督机构核定手续。</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13.7.7  除专用合同条款另有约定外，工程质量等级分为合格和优良，应分别达到约定的标准。</w:t>
      </w:r>
    </w:p>
    <w:p>
      <w:pPr>
        <w:spacing w:line="490" w:lineRule="exact"/>
        <w:ind w:firstLine="562" w:firstLineChars="200"/>
        <w:outlineLvl w:val="3"/>
        <w:rPr>
          <w:rFonts w:eastAsia="楷体_GB2312"/>
          <w:b/>
          <w:bCs/>
          <w:color w:val="000000"/>
          <w:kern w:val="0"/>
          <w:sz w:val="28"/>
          <w:szCs w:val="32"/>
        </w:rPr>
      </w:pPr>
      <w:bookmarkStart w:id="1645" w:name="_Toc511318125"/>
      <w:r>
        <w:rPr>
          <w:rFonts w:eastAsia="楷体_GB2312"/>
          <w:b/>
          <w:bCs/>
          <w:color w:val="000000"/>
          <w:kern w:val="0"/>
          <w:sz w:val="28"/>
          <w:szCs w:val="32"/>
        </w:rPr>
        <w:t>13.8  质量事故处理</w:t>
      </w:r>
      <w:bookmarkEnd w:id="1645"/>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13.8.1  发生质量事故时，承包人应及时向发包人和监理人报告。</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13.8.2  质量事故调查处理由发包人按相关规定履行手续，承包人应配合。</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13.8.3  承包人应对质量缺陷进行备案。发包人委托监理人对质量缺陷备案情况进行监督检查并履行相关手续。</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13.8.4  除专用合同条款另有约定外，工程竣工验收时，发包人负责向竣工验收委员会汇报并提交历次质量缺陷处理的备案资料。</w:t>
      </w:r>
    </w:p>
    <w:p>
      <w:pPr>
        <w:pStyle w:val="6"/>
        <w:keepNext w:val="0"/>
        <w:keepLines w:val="0"/>
        <w:spacing w:before="0" w:after="0" w:line="490" w:lineRule="exact"/>
        <w:ind w:firstLine="562" w:firstLineChars="200"/>
        <w:rPr>
          <w:rFonts w:eastAsia="黑体"/>
          <w:bCs w:val="0"/>
          <w:color w:val="000000"/>
          <w:sz w:val="28"/>
        </w:rPr>
      </w:pPr>
      <w:bookmarkStart w:id="1646" w:name="_Toc12045"/>
      <w:bookmarkStart w:id="1647" w:name="_Toc189386194"/>
      <w:bookmarkStart w:id="1648" w:name="_Toc51091891"/>
      <w:bookmarkStart w:id="1649" w:name="_Toc9844"/>
      <w:r>
        <w:rPr>
          <w:rFonts w:eastAsia="黑体"/>
          <w:bCs w:val="0"/>
          <w:color w:val="000000"/>
          <w:sz w:val="28"/>
        </w:rPr>
        <w:t>14．试验和检验</w:t>
      </w:r>
      <w:bookmarkEnd w:id="1646"/>
      <w:bookmarkEnd w:id="1647"/>
      <w:bookmarkEnd w:id="1648"/>
      <w:bookmarkEnd w:id="1649"/>
    </w:p>
    <w:p>
      <w:pPr>
        <w:spacing w:line="490" w:lineRule="exact"/>
        <w:ind w:firstLine="562" w:firstLineChars="200"/>
        <w:outlineLvl w:val="3"/>
        <w:rPr>
          <w:rFonts w:eastAsia="楷体_GB2312"/>
          <w:b/>
          <w:bCs/>
          <w:color w:val="000000"/>
          <w:kern w:val="0"/>
          <w:sz w:val="28"/>
          <w:szCs w:val="32"/>
        </w:rPr>
      </w:pPr>
      <w:bookmarkStart w:id="1650" w:name="_Toc189386195"/>
      <w:r>
        <w:rPr>
          <w:rFonts w:eastAsia="楷体_GB2312"/>
          <w:b/>
          <w:bCs/>
          <w:color w:val="000000"/>
          <w:kern w:val="0"/>
          <w:sz w:val="28"/>
          <w:szCs w:val="32"/>
        </w:rPr>
        <w:t>14.1材料、工程设备和工程的试验和检验</w:t>
      </w:r>
      <w:bookmarkEnd w:id="1650"/>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14.1.1  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14.1.2  监理人未按合同约定派员参加试验和检验的，除监理人另有指示外，承包人可自行试验和检验，并应立即将试验和检验结果报送监理人，监理人应签字确认。</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14.1.3  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14.1.4  承包人应按相关规定和标准对水泥、钢材等原材料与中间产品质量进行检验，并报监理人复核。</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14.1.5  除专用合同条款另有约定外，水工金属结构、启闭机及机电产品进场后，监理人组织发包人按合同进行交货检查和验收。安装前，承包人应检查产品是否有出厂合格证、设备安装说明书及有关技术文件，对在运输和存放过程中发生的变形、受潮、损坏等问题应作好记录，并进行妥善处理。</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14.1.6  对专用合同条款约定的试块、试件及有关材料，监理人实行见证取样。见证取样资料由承包人制备，记录应真实齐全，监理人、承包人等参与见证取样人员均应在相关文件上签字。</w:t>
      </w:r>
    </w:p>
    <w:p>
      <w:pPr>
        <w:spacing w:line="490" w:lineRule="exact"/>
        <w:ind w:firstLine="562" w:firstLineChars="200"/>
        <w:outlineLvl w:val="3"/>
        <w:rPr>
          <w:rFonts w:eastAsia="楷体_GB2312"/>
          <w:b/>
          <w:bCs/>
          <w:color w:val="000000"/>
          <w:kern w:val="0"/>
          <w:sz w:val="28"/>
          <w:szCs w:val="32"/>
        </w:rPr>
      </w:pPr>
      <w:bookmarkStart w:id="1651" w:name="_Toc189386196"/>
      <w:r>
        <w:rPr>
          <w:rFonts w:eastAsia="楷体_GB2312"/>
          <w:b/>
          <w:bCs/>
          <w:color w:val="000000"/>
          <w:kern w:val="0"/>
          <w:sz w:val="28"/>
          <w:szCs w:val="32"/>
        </w:rPr>
        <w:t>14.2 现场材料试验</w:t>
      </w:r>
      <w:bookmarkEnd w:id="1651"/>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14.2.1  承包人根据合同约定或监理人指示进行的现场材料试验，应由承包人提供试验场所、试验人员、试验设备器材以及其他必要的试验条件。</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14.2.2  监理人在必要时可以使用承包人的试验场所、试验设备器材以及其他试验条件，进行以工程质量检查为目的的复核性材料试验，承包人应予以协助。</w:t>
      </w:r>
    </w:p>
    <w:p>
      <w:pPr>
        <w:spacing w:line="490" w:lineRule="exact"/>
        <w:ind w:firstLine="562" w:firstLineChars="200"/>
        <w:outlineLvl w:val="3"/>
        <w:rPr>
          <w:rFonts w:eastAsia="楷体_GB2312"/>
          <w:b/>
          <w:bCs/>
          <w:color w:val="000000"/>
          <w:kern w:val="0"/>
          <w:sz w:val="28"/>
          <w:szCs w:val="32"/>
        </w:rPr>
      </w:pPr>
      <w:bookmarkStart w:id="1652" w:name="_Toc189386197"/>
      <w:r>
        <w:rPr>
          <w:rFonts w:eastAsia="楷体_GB2312"/>
          <w:b/>
          <w:bCs/>
          <w:color w:val="000000"/>
          <w:kern w:val="0"/>
          <w:sz w:val="28"/>
          <w:szCs w:val="32"/>
        </w:rPr>
        <w:t>14.3 现场工艺试验</w:t>
      </w:r>
      <w:bookmarkEnd w:id="1652"/>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承包人应按合同约定或监理人指示进行现场工艺试验。对大型的现场工艺试验，监理人认为必要时，应由承包人根据监理人提出的工艺试验要求，编制工艺试验措施计划，报送监理人审批。</w:t>
      </w:r>
    </w:p>
    <w:p>
      <w:pPr>
        <w:pStyle w:val="6"/>
        <w:keepNext w:val="0"/>
        <w:keepLines w:val="0"/>
        <w:spacing w:before="0" w:after="0" w:line="490" w:lineRule="exact"/>
        <w:ind w:firstLine="562" w:firstLineChars="200"/>
        <w:rPr>
          <w:rFonts w:eastAsia="黑体"/>
          <w:bCs w:val="0"/>
          <w:color w:val="000000"/>
          <w:sz w:val="28"/>
        </w:rPr>
      </w:pPr>
      <w:bookmarkStart w:id="1653" w:name="_Toc20150"/>
      <w:bookmarkStart w:id="1654" w:name="_Toc189386198"/>
      <w:bookmarkStart w:id="1655" w:name="_Toc51091892"/>
      <w:bookmarkStart w:id="1656" w:name="_Toc26511"/>
      <w:r>
        <w:rPr>
          <w:rFonts w:eastAsia="黑体"/>
          <w:bCs w:val="0"/>
          <w:color w:val="000000"/>
          <w:sz w:val="28"/>
        </w:rPr>
        <w:t>15．变更</w:t>
      </w:r>
      <w:bookmarkEnd w:id="1653"/>
      <w:bookmarkEnd w:id="1654"/>
      <w:bookmarkEnd w:id="1655"/>
      <w:bookmarkEnd w:id="1656"/>
    </w:p>
    <w:p>
      <w:pPr>
        <w:spacing w:line="490" w:lineRule="exact"/>
        <w:ind w:firstLine="562" w:firstLineChars="200"/>
        <w:outlineLvl w:val="3"/>
        <w:rPr>
          <w:rFonts w:eastAsia="楷体_GB2312"/>
          <w:b/>
          <w:bCs/>
          <w:color w:val="000000"/>
          <w:kern w:val="0"/>
          <w:sz w:val="28"/>
          <w:szCs w:val="32"/>
        </w:rPr>
      </w:pPr>
      <w:bookmarkStart w:id="1657" w:name="_Toc189386199"/>
      <w:bookmarkStart w:id="1658" w:name="_Toc511318128"/>
      <w:r>
        <w:rPr>
          <w:rFonts w:eastAsia="楷体_GB2312"/>
          <w:b/>
          <w:bCs/>
          <w:color w:val="000000"/>
          <w:kern w:val="0"/>
          <w:sz w:val="28"/>
          <w:szCs w:val="32"/>
        </w:rPr>
        <w:t>15.1 变更的范围和内容</w:t>
      </w:r>
      <w:bookmarkEnd w:id="1657"/>
      <w:bookmarkEnd w:id="1658"/>
    </w:p>
    <w:p>
      <w:pPr>
        <w:spacing w:line="490" w:lineRule="exact"/>
        <w:ind w:firstLine="560" w:firstLineChars="200"/>
        <w:rPr>
          <w:rFonts w:eastAsia="仿宋_GB2312"/>
          <w:color w:val="000000"/>
          <w:kern w:val="0"/>
          <w:sz w:val="28"/>
          <w:szCs w:val="32"/>
        </w:rPr>
      </w:pPr>
      <w:r>
        <w:rPr>
          <w:rFonts w:hint="eastAsia" w:eastAsia="仿宋_GB2312"/>
          <w:color w:val="000000"/>
          <w:kern w:val="0"/>
          <w:sz w:val="28"/>
          <w:szCs w:val="32"/>
        </w:rPr>
        <w:t>除专用合同条款约定外，</w:t>
      </w:r>
      <w:r>
        <w:rPr>
          <w:rFonts w:eastAsia="仿宋_GB2312"/>
          <w:color w:val="000000"/>
          <w:kern w:val="0"/>
          <w:sz w:val="28"/>
          <w:szCs w:val="32"/>
        </w:rPr>
        <w:t>在履行合同中发生以下情形之一，应按照本款规定进行变更。</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（1）取消合同中任何一项工作，但被取消的工作不能转由发包人或其它人实施；</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（2）改变合同中任何一项工作的质量或其它特性；</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（3）改变合同工程的基线、标高、位置或尺寸；</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（4）改变合同中任何一项工作的施工时间或改变已批准的施工工艺或顺序；</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（5）为完成工程需要追加的额外工作；</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（6）增加或减少专用合同条款中约定的关键项目工程量超过其工程总量的一定数量百分比。</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上述第（1）～（6）目的变更内容引起工程施工组织和进度计划发生实质性变动和影响其原定的价格时，才予调整该项目的单价。第（6）目情形下单价调整方式在专用合同条款中约定。</w:t>
      </w:r>
    </w:p>
    <w:p>
      <w:pPr>
        <w:spacing w:line="490" w:lineRule="exact"/>
        <w:ind w:firstLine="562" w:firstLineChars="200"/>
        <w:outlineLvl w:val="3"/>
        <w:rPr>
          <w:rFonts w:eastAsia="楷体_GB2312"/>
          <w:b/>
          <w:bCs/>
          <w:color w:val="000000"/>
          <w:kern w:val="0"/>
          <w:sz w:val="28"/>
          <w:szCs w:val="32"/>
        </w:rPr>
      </w:pPr>
      <w:bookmarkStart w:id="1659" w:name="_Toc511318129"/>
      <w:bookmarkStart w:id="1660" w:name="_Toc189386200"/>
      <w:r>
        <w:rPr>
          <w:rFonts w:eastAsia="楷体_GB2312"/>
          <w:b/>
          <w:bCs/>
          <w:color w:val="000000"/>
          <w:kern w:val="0"/>
          <w:sz w:val="28"/>
          <w:szCs w:val="32"/>
        </w:rPr>
        <w:t>15.2 变更权</w:t>
      </w:r>
      <w:bookmarkEnd w:id="1659"/>
      <w:bookmarkEnd w:id="1660"/>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在履行合同过程中，经发包人同意，监理人可按第15.3款约定的变更程序向承包人作出变更指示，承包人应遵照执行。没有</w:t>
      </w:r>
      <w:r>
        <w:rPr>
          <w:rFonts w:hint="eastAsia" w:eastAsia="仿宋_GB2312"/>
          <w:color w:val="000000"/>
          <w:kern w:val="0"/>
          <w:sz w:val="28"/>
          <w:szCs w:val="32"/>
        </w:rPr>
        <w:t>收到经发包人签认的</w:t>
      </w:r>
      <w:r>
        <w:rPr>
          <w:rFonts w:eastAsia="仿宋_GB2312"/>
          <w:color w:val="000000"/>
          <w:kern w:val="0"/>
          <w:sz w:val="28"/>
          <w:szCs w:val="32"/>
        </w:rPr>
        <w:t>监理人的变更指示，承包人不得擅自变更。</w:t>
      </w:r>
    </w:p>
    <w:p>
      <w:pPr>
        <w:spacing w:line="490" w:lineRule="exact"/>
        <w:ind w:firstLine="562" w:firstLineChars="200"/>
        <w:outlineLvl w:val="3"/>
        <w:rPr>
          <w:rFonts w:eastAsia="楷体_GB2312"/>
          <w:b/>
          <w:bCs/>
          <w:color w:val="000000"/>
          <w:kern w:val="0"/>
          <w:sz w:val="28"/>
          <w:szCs w:val="32"/>
        </w:rPr>
      </w:pPr>
      <w:bookmarkStart w:id="1661" w:name="_Toc511318130"/>
      <w:bookmarkStart w:id="1662" w:name="_Toc189386201"/>
      <w:r>
        <w:rPr>
          <w:rFonts w:eastAsia="楷体_GB2312"/>
          <w:b/>
          <w:bCs/>
          <w:color w:val="000000"/>
          <w:kern w:val="0"/>
          <w:sz w:val="28"/>
          <w:szCs w:val="32"/>
        </w:rPr>
        <w:t>15.3 变更程序</w:t>
      </w:r>
      <w:bookmarkEnd w:id="1661"/>
      <w:bookmarkEnd w:id="1662"/>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15.3.1  变更的提出</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在合同履行过程中，可能发生第15.1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15.3.3 项约定发出变更指示。</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（2）在合同履行过程中，发生第15.1款约定情形的，监理人应按照第15.3.3项约定向承包人发出变更指示。</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3）承包人收到监理人按合同约定发出的图纸和文件，经检查认为其中存在第15.1款约定情形的，可向监理人提出书面变更建议。变更建议应阐明要求变更的依据，并附必要的图纸和说明。监理人收到承包人书面建议后，应与发包人共同研究，确认存在变更的，应在收到承包人书面建议后的14 天内作出变更指示。经研究后不同意作为变更的，应由监理人书面答复承包人。</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（4）若承包人收到监理人的变更意向书后认为难以实施此项变更，应立即通知监理人，说明原因并附详细依据。监理人与承包人和发包人协商后确定撤销、改变或不改变原变更意向书。</w:t>
      </w:r>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15.3.2  变更估价</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除专用合同条款对期限另有约定外，承包人应在收到变更指示或变更意向书后的14天内，向监理人提交变更报价书，报价内容应根据第15.4款约定的估价原则，详细开列变更工作的价格组成及其依据，并附必要的施工方法说明和有关图纸。</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（2）变更工作影响工期的，承包人应提出调整工期的具体细节。监理人认为有必要时，可要求承包人提交要求提前或延长工期的施工进度计划及相应施工措施等详细资料。</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（3）除专用合同条款对期限另有约定外，监理人收到承包人变更报价书后的14 天内，根据第15.4款约定的估价原则，按照第3.5款商定或确定变更价格。</w:t>
      </w:r>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15.3.3  变更指示</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（1）变更指示只能由监理人发出。</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（2）变更指示应说明变更的目的、范围、变更内容以及变更的工程量及其进度和技术要求，并附有关图纸和文件。承包人收到变更指示后，应按变更指示进行变更工作。</w:t>
      </w:r>
    </w:p>
    <w:p>
      <w:pPr>
        <w:spacing w:line="490" w:lineRule="exact"/>
        <w:ind w:firstLine="562" w:firstLineChars="200"/>
        <w:outlineLvl w:val="3"/>
        <w:rPr>
          <w:rFonts w:eastAsia="楷体_GB2312"/>
          <w:b/>
          <w:bCs/>
          <w:color w:val="000000"/>
          <w:kern w:val="0"/>
          <w:sz w:val="28"/>
          <w:szCs w:val="32"/>
        </w:rPr>
      </w:pPr>
      <w:bookmarkStart w:id="1663" w:name="_Toc189386202"/>
      <w:bookmarkStart w:id="1664" w:name="_Toc511318131"/>
      <w:r>
        <w:rPr>
          <w:rFonts w:eastAsia="楷体_GB2312"/>
          <w:b/>
          <w:bCs/>
          <w:color w:val="000000"/>
          <w:kern w:val="0"/>
          <w:sz w:val="28"/>
          <w:szCs w:val="32"/>
        </w:rPr>
        <w:t>15.4 变更的估价原则</w:t>
      </w:r>
      <w:bookmarkEnd w:id="1663"/>
      <w:bookmarkEnd w:id="1664"/>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除专用合同条款另有约定外，因变更引起的价格调整按照本款约定处理。</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15.4.1  已标价工程量清单中有适用于变更工作的子目的，采用该子目的单价。</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15.4.2  已标价工程量清单中无适用于变更工作的子目，但有类似子目的，可在合理范围内参照类似子目的单价，由监理人按第3.5款商定或确定变更工作的单价。</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15.4.3  已标价工程量清单中无适用或类似子目的单价，可按照成本加利润的原则，由监理人按第3.5款商定或确定变更工作的单价。</w:t>
      </w:r>
    </w:p>
    <w:p>
      <w:pPr>
        <w:spacing w:line="490" w:lineRule="exact"/>
        <w:ind w:firstLine="562" w:firstLineChars="200"/>
        <w:outlineLvl w:val="3"/>
        <w:rPr>
          <w:rFonts w:eastAsia="楷体_GB2312"/>
          <w:b/>
          <w:bCs/>
          <w:color w:val="000000"/>
          <w:kern w:val="0"/>
          <w:sz w:val="28"/>
          <w:szCs w:val="32"/>
        </w:rPr>
      </w:pPr>
      <w:bookmarkStart w:id="1665" w:name="_Toc511318132"/>
      <w:bookmarkStart w:id="1666" w:name="_Toc189386203"/>
      <w:r>
        <w:rPr>
          <w:rFonts w:eastAsia="楷体_GB2312"/>
          <w:b/>
          <w:bCs/>
          <w:color w:val="000000"/>
          <w:kern w:val="0"/>
          <w:sz w:val="28"/>
          <w:szCs w:val="32"/>
        </w:rPr>
        <w:t>15.5 承包人的合理化建议</w:t>
      </w:r>
      <w:bookmarkEnd w:id="1665"/>
      <w:bookmarkEnd w:id="1666"/>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15.5.1  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15.3.3项约定向承包人发出变更指示。</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15.5.2  承包人提出的合理化建议降低了合同价格、缩短了工期或者提高了工程经济效益的，发包人可按国家有关规定在专用合同条款中约定给予奖励。</w:t>
      </w:r>
    </w:p>
    <w:p>
      <w:pPr>
        <w:spacing w:line="490" w:lineRule="exact"/>
        <w:ind w:firstLine="562" w:firstLineChars="200"/>
        <w:outlineLvl w:val="3"/>
        <w:rPr>
          <w:rFonts w:eastAsia="楷体_GB2312"/>
          <w:b/>
          <w:bCs/>
          <w:color w:val="000000"/>
          <w:kern w:val="0"/>
          <w:sz w:val="28"/>
          <w:szCs w:val="32"/>
        </w:rPr>
      </w:pPr>
      <w:bookmarkStart w:id="1667" w:name="_Toc189386204"/>
      <w:bookmarkStart w:id="1668" w:name="_Toc511318133"/>
      <w:r>
        <w:rPr>
          <w:rFonts w:eastAsia="楷体_GB2312"/>
          <w:b/>
          <w:bCs/>
          <w:color w:val="000000"/>
          <w:kern w:val="0"/>
          <w:sz w:val="28"/>
          <w:szCs w:val="32"/>
        </w:rPr>
        <w:t>15.6 暂列金额</w:t>
      </w:r>
      <w:bookmarkEnd w:id="1667"/>
      <w:bookmarkEnd w:id="1668"/>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暂列金额只能按照监理人的指示使用，并对合同价格进行相应调整。</w:t>
      </w:r>
    </w:p>
    <w:p>
      <w:pPr>
        <w:spacing w:line="490" w:lineRule="exact"/>
        <w:ind w:firstLine="562" w:firstLineChars="200"/>
        <w:outlineLvl w:val="3"/>
        <w:rPr>
          <w:rFonts w:eastAsia="楷体_GB2312"/>
          <w:b/>
          <w:bCs/>
          <w:color w:val="000000"/>
          <w:kern w:val="0"/>
          <w:sz w:val="28"/>
          <w:szCs w:val="32"/>
        </w:rPr>
      </w:pPr>
      <w:bookmarkStart w:id="1669" w:name="_Toc511318134"/>
      <w:bookmarkStart w:id="1670" w:name="_Toc189386205"/>
      <w:r>
        <w:rPr>
          <w:rFonts w:eastAsia="楷体_GB2312"/>
          <w:b/>
          <w:bCs/>
          <w:color w:val="000000"/>
          <w:kern w:val="0"/>
          <w:sz w:val="28"/>
          <w:szCs w:val="32"/>
        </w:rPr>
        <w:t>15.7 计日工</w:t>
      </w:r>
      <w:bookmarkEnd w:id="1669"/>
      <w:bookmarkEnd w:id="1670"/>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15.7.1  发包人认为有必要时，由监理人通知承包人以计日工方式实施变更的零星工作。其价款按列入已标价工程量清单中的计日工计价子目及其单价进行计算。</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15.7.2  采用计日工计价的任何一项变更工作，应从暂列金额中支付，承包人应在该项变更的实施过程中，每天提交以下报表和有关凭证报送监理人审批：</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（1）工作名称、内容和数量；</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（2）投入该工作所有人员的姓名、工种、级别和耗用工时；</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（3）投入该工作的材料类别和数量；</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（4）投入该工作的施工设备型号、台数和耗用台时；</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（5）监理人要求提交的其他资料和凭证。</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15.7.3  计日工由承包人汇总后，按第17.3.2项的约定列入进度付款申请单，由监理人复核并经发包人同意后列入进度付款。</w:t>
      </w:r>
    </w:p>
    <w:p>
      <w:pPr>
        <w:spacing w:line="490" w:lineRule="exact"/>
        <w:ind w:firstLine="562" w:firstLineChars="200"/>
        <w:outlineLvl w:val="3"/>
        <w:rPr>
          <w:rFonts w:eastAsia="楷体_GB2312"/>
          <w:b/>
          <w:bCs/>
          <w:color w:val="000000"/>
          <w:kern w:val="0"/>
          <w:sz w:val="28"/>
          <w:szCs w:val="32"/>
        </w:rPr>
      </w:pPr>
      <w:bookmarkStart w:id="1671" w:name="_Toc511318135"/>
      <w:bookmarkStart w:id="1672" w:name="_Toc189386206"/>
      <w:r>
        <w:rPr>
          <w:rFonts w:eastAsia="楷体_GB2312"/>
          <w:b/>
          <w:bCs/>
          <w:color w:val="000000"/>
          <w:kern w:val="0"/>
          <w:sz w:val="28"/>
          <w:szCs w:val="32"/>
        </w:rPr>
        <w:t>15.8 暂估价</w:t>
      </w:r>
      <w:bookmarkEnd w:id="1671"/>
      <w:bookmarkEnd w:id="1672"/>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15.8.1  发包人在工程量清单中给定暂估价的材料、工程设备和专业工程属于依法必须招标的范围并达到规定的规模标准的，若承包人不具备承担暂估价项目的能力或具备承担暂估价项目的能力但明确不参与投标的，由发包人和承包人组织招标；若承包人具备承担暂估价项目的能力且明确参与投标的，由发包人组织招标。暂估价项目中标金额与工程量清单中所列金额差以及相应的税金等其它费用列入合同价格。必须招标的暂估价项目招标组织形式、发包人和承包人组织招标时双方的权利义务关系在专用合同条款中约定。</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15.8.2  发包人在工程量清单中给定暂估价的材料和工程设备不属于依法必须招标的范围或未达到规定的规模标准的，应由承包人按第5.1款的约定提供。经监理人确认的材料、工程设备的价格与工程量清单中所列的暂估价的金额差以及相应的税金等其他费用列入合同价格。</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15.8.3  发包人在工程量清单中给定暂估价的专业工程不属于依法必须招标的范围或未达到规定的规模标准的，由监理人按照第15.4款进行估价，但专用合同条款另有约定的除外。经估价的专业工程与工程量清单中所列的暂估价的金额差以及相应的税金等其他费用列入合同价格。</w:t>
      </w:r>
    </w:p>
    <w:p>
      <w:pPr>
        <w:pStyle w:val="6"/>
        <w:keepNext w:val="0"/>
        <w:keepLines w:val="0"/>
        <w:spacing w:before="0" w:after="0" w:line="490" w:lineRule="exact"/>
        <w:ind w:firstLine="562" w:firstLineChars="200"/>
        <w:rPr>
          <w:rFonts w:eastAsia="黑体"/>
          <w:bCs w:val="0"/>
          <w:color w:val="000000"/>
          <w:sz w:val="28"/>
        </w:rPr>
      </w:pPr>
      <w:bookmarkStart w:id="1673" w:name="_Toc189386207"/>
      <w:bookmarkStart w:id="1674" w:name="_Toc2"/>
      <w:bookmarkStart w:id="1675" w:name="_Toc16761"/>
      <w:bookmarkStart w:id="1676" w:name="_Toc51091893"/>
      <w:r>
        <w:rPr>
          <w:rFonts w:eastAsia="黑体"/>
          <w:bCs w:val="0"/>
          <w:color w:val="000000"/>
          <w:sz w:val="28"/>
        </w:rPr>
        <w:t>16．价格调整</w:t>
      </w:r>
      <w:bookmarkEnd w:id="1673"/>
      <w:bookmarkEnd w:id="1674"/>
      <w:bookmarkEnd w:id="1675"/>
      <w:bookmarkEnd w:id="1676"/>
    </w:p>
    <w:p>
      <w:pPr>
        <w:spacing w:line="490" w:lineRule="exact"/>
        <w:ind w:firstLine="562" w:firstLineChars="200"/>
        <w:outlineLvl w:val="3"/>
        <w:rPr>
          <w:rFonts w:eastAsia="楷体_GB2312"/>
          <w:b/>
          <w:bCs/>
          <w:color w:val="000000"/>
          <w:kern w:val="0"/>
          <w:sz w:val="28"/>
          <w:szCs w:val="32"/>
        </w:rPr>
      </w:pPr>
      <w:bookmarkStart w:id="1677" w:name="_Toc511318137"/>
      <w:bookmarkStart w:id="1678" w:name="_Toc189386208"/>
      <w:r>
        <w:rPr>
          <w:rFonts w:eastAsia="楷体_GB2312"/>
          <w:b/>
          <w:bCs/>
          <w:color w:val="000000"/>
          <w:kern w:val="0"/>
          <w:sz w:val="28"/>
          <w:szCs w:val="32"/>
        </w:rPr>
        <w:t>16.1 物价波动引起的价格调整</w:t>
      </w:r>
      <w:bookmarkEnd w:id="1677"/>
      <w:bookmarkEnd w:id="1678"/>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由于物价波动原因引起合同价格需要调整的，其价格调整方式在专用合同条款中约定。</w:t>
      </w:r>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16.1.1  采用价格指数调整价格差额</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16.1.1.1  价格调整公式</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因人工、材料和设备等价格波动影响合同价格时，根据投标函附录中的价格指数和权重表约定的数据，按以下公式计算差额并调整合同价格。</w:t>
      </w:r>
    </w:p>
    <w:p>
      <w:pPr>
        <w:spacing w:line="490" w:lineRule="exact"/>
        <w:ind w:firstLine="504" w:firstLineChars="200"/>
        <w:jc w:val="left"/>
        <w:rPr>
          <w:rFonts w:eastAsia="仿宋_GB2312"/>
          <w:color w:val="000000"/>
          <w:w w:val="90"/>
          <w:kern w:val="0"/>
          <w:sz w:val="28"/>
          <w:szCs w:val="32"/>
        </w:rPr>
      </w:pPr>
      <w:r>
        <w:rPr>
          <w:rFonts w:eastAsia="仿宋_GB2312"/>
          <w:color w:val="000000"/>
          <w:w w:val="90"/>
          <w:kern w:val="0"/>
          <w:sz w:val="28"/>
          <w:szCs w:val="32"/>
        </w:rPr>
        <w:t>ΔP＝P0[A＋（B1×Ft1/F01＋B2×Ft2/F02＋B3×Ft3/F03＋…＋Bn×Ftn/F0n）－1]</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式中：</w:t>
      </w:r>
      <w:r>
        <w:rPr>
          <w:rFonts w:ascii="Cambria Math" w:hAnsi="Cambria Math" w:eastAsia="仿宋_GB2312" w:cs="Cambria Math"/>
          <w:color w:val="000000"/>
          <w:kern w:val="0"/>
          <w:sz w:val="28"/>
          <w:szCs w:val="32"/>
        </w:rPr>
        <w:t>△</w:t>
      </w:r>
      <w:r>
        <w:rPr>
          <w:rFonts w:eastAsia="仿宋_GB2312"/>
          <w:color w:val="000000"/>
          <w:kern w:val="0"/>
          <w:sz w:val="28"/>
          <w:szCs w:val="32"/>
        </w:rPr>
        <w:t>P—需调整的价格差额；</w:t>
      </w:r>
    </w:p>
    <w:p>
      <w:pPr>
        <w:spacing w:line="490" w:lineRule="exact"/>
        <w:ind w:firstLine="1400" w:firstLineChars="500"/>
        <w:rPr>
          <w:rFonts w:eastAsia="仿宋_GB2312"/>
          <w:color w:val="000000"/>
          <w:kern w:val="0"/>
          <w:sz w:val="28"/>
          <w:szCs w:val="32"/>
        </w:rPr>
      </w:pPr>
      <w:r>
        <w:rPr>
          <w:rFonts w:eastAsia="仿宋_GB2312"/>
          <w:color w:val="000000"/>
          <w:kern w:val="0"/>
          <w:sz w:val="28"/>
          <w:szCs w:val="32"/>
        </w:rPr>
        <w:t>P0—第17.3.3项、第17.5.2项和第17.6.2项约定的付款证书中承包人应得到的已完成工程量的金额。此项金额应不包括价格调整、不计质量保证金的扣留和支付、预付款的支付和扣回。第15条约定的变更及其他金额已按现行价格计价的，也不计在内；</w:t>
      </w:r>
    </w:p>
    <w:p>
      <w:pPr>
        <w:spacing w:line="490" w:lineRule="exact"/>
        <w:ind w:firstLine="1372" w:firstLineChars="490"/>
        <w:rPr>
          <w:rFonts w:eastAsia="仿宋_GB2312"/>
          <w:color w:val="000000"/>
          <w:kern w:val="0"/>
          <w:sz w:val="28"/>
          <w:szCs w:val="32"/>
        </w:rPr>
      </w:pPr>
      <w:r>
        <w:rPr>
          <w:rFonts w:eastAsia="仿宋_GB2312"/>
          <w:color w:val="000000"/>
          <w:kern w:val="0"/>
          <w:sz w:val="28"/>
          <w:szCs w:val="32"/>
        </w:rPr>
        <w:t xml:space="preserve">A—定值权重（即不调部分的权重）； </w:t>
      </w:r>
    </w:p>
    <w:p>
      <w:pPr>
        <w:spacing w:line="490" w:lineRule="exact"/>
        <w:ind w:firstLine="1372" w:firstLineChars="490"/>
        <w:rPr>
          <w:rFonts w:eastAsia="仿宋_GB2312"/>
          <w:color w:val="000000"/>
          <w:kern w:val="0"/>
          <w:sz w:val="28"/>
          <w:szCs w:val="32"/>
        </w:rPr>
      </w:pPr>
      <w:r>
        <w:rPr>
          <w:rFonts w:eastAsia="仿宋_GB2312"/>
          <w:color w:val="000000"/>
          <w:kern w:val="0"/>
          <w:sz w:val="28"/>
          <w:szCs w:val="32"/>
        </w:rPr>
        <w:t xml:space="preserve">B1；B2；B3…Bn—各可调因子的变值权重（即可调部分的权重）为各调因子在投标函投标总报价中所占的比例； </w:t>
      </w:r>
    </w:p>
    <w:p>
      <w:pPr>
        <w:spacing w:line="490" w:lineRule="exact"/>
        <w:ind w:firstLine="1344" w:firstLineChars="480"/>
        <w:rPr>
          <w:rFonts w:eastAsia="仿宋_GB2312"/>
          <w:color w:val="000000"/>
          <w:kern w:val="0"/>
          <w:sz w:val="28"/>
          <w:szCs w:val="32"/>
        </w:rPr>
      </w:pPr>
      <w:r>
        <w:rPr>
          <w:rFonts w:eastAsia="仿宋_GB2312"/>
          <w:color w:val="000000"/>
          <w:kern w:val="0"/>
          <w:sz w:val="28"/>
          <w:szCs w:val="32"/>
        </w:rPr>
        <w:t xml:space="preserve">Ft1；Ft2；Ft3…Ftn—各可调因子的现行价格指数，指第17.3.3项、17.5.2项和第17.6.2项约定的付款证书相关周期最后一天的前42天的各可调因子的价格指数； </w:t>
      </w:r>
    </w:p>
    <w:p>
      <w:pPr>
        <w:spacing w:line="490" w:lineRule="exact"/>
        <w:ind w:firstLine="1344" w:firstLineChars="480"/>
        <w:rPr>
          <w:rFonts w:eastAsia="仿宋_GB2312"/>
          <w:color w:val="000000"/>
          <w:kern w:val="0"/>
          <w:sz w:val="28"/>
          <w:szCs w:val="32"/>
        </w:rPr>
      </w:pPr>
      <w:r>
        <w:rPr>
          <w:rFonts w:eastAsia="仿宋_GB2312"/>
          <w:color w:val="000000"/>
          <w:kern w:val="0"/>
          <w:sz w:val="28"/>
          <w:szCs w:val="32"/>
        </w:rPr>
        <w:t>F01；F02；F03…F0n—各可调因子的基本价格指数，指基准日期的各可调因子的价格指数。</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以上价格调整公式中的各可调因子、定值和变值权重，以及基本价格指数及其来源在投标函附录价格指数和权重表中约定。价格指数应首先采用有关部门提供的价格指数，缺乏上述价格指数时，可采用有关部门提供的价格代替。</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16.1.1.2  暂时确定调整差额</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在计算调整差额时得不到现行价格指数的，可暂用上一次价格指数计算，并在以后的付款中再按实际价格指数进行调整。</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16.1.1.3  权重的调整</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按第15.1款约定的变更导致原定合同中的权重不合理时，由监理人与承包人和发包人协商后进行调整。</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16.1.1.4  承包人工期延误后的价格调整</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由于承包人原因未在约定的工期内竣工的，则对原约定竣工日期后继续施工的工程，在使用第16.1.1.1目价格调整公式时，应采用原约定竣工日期与实际竣工日期的两个价格指数中较低的一个作为现行价格指数。</w:t>
      </w:r>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 xml:space="preserve">16.1.2  采用造价信息调整价格差额 </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施工期内，因人工、材料、设备和机械台班价格波动影响合同价格时，人工、机械使用费按照国家或省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数量，作为调整工程合同价格差额的依据。</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工程造价信息的来源以及价格调整的项目和系数在专用合同条款中约定。</w:t>
      </w:r>
    </w:p>
    <w:p>
      <w:pPr>
        <w:spacing w:line="490" w:lineRule="exact"/>
        <w:ind w:firstLine="562" w:firstLineChars="200"/>
        <w:outlineLvl w:val="3"/>
        <w:rPr>
          <w:rFonts w:eastAsia="楷体_GB2312"/>
          <w:b/>
          <w:bCs/>
          <w:color w:val="000000"/>
          <w:kern w:val="0"/>
          <w:sz w:val="28"/>
          <w:szCs w:val="32"/>
        </w:rPr>
      </w:pPr>
      <w:bookmarkStart w:id="1679" w:name="_Toc511318138"/>
      <w:bookmarkStart w:id="1680" w:name="_Toc189386209"/>
      <w:r>
        <w:rPr>
          <w:rFonts w:eastAsia="楷体_GB2312"/>
          <w:b/>
          <w:bCs/>
          <w:color w:val="000000"/>
          <w:kern w:val="0"/>
          <w:sz w:val="28"/>
          <w:szCs w:val="32"/>
        </w:rPr>
        <w:t>16.2 法律变化引起的价格调整</w:t>
      </w:r>
      <w:bookmarkEnd w:id="1679"/>
      <w:bookmarkEnd w:id="1680"/>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在基准日后，因法律变化导致承包人在合同履行中所需要的工程费用发生除第16.1 款约定以外的增减时，监理人应根据法律、国家或省有关部门的规定，按第3.5款商定或确定需调整的合同价款</w:t>
      </w:r>
      <w:r>
        <w:rPr>
          <w:rFonts w:hint="eastAsia" w:eastAsia="仿宋_GB2312"/>
          <w:color w:val="000000"/>
          <w:kern w:val="0"/>
          <w:sz w:val="28"/>
          <w:szCs w:val="32"/>
        </w:rPr>
        <w:t>，因承包人原因造成的工期延误，在工期延误期间发生的法律变化引起的价格调整由承包人承担</w:t>
      </w:r>
      <w:r>
        <w:rPr>
          <w:rFonts w:eastAsia="仿宋_GB2312"/>
          <w:color w:val="000000"/>
          <w:kern w:val="0"/>
          <w:sz w:val="28"/>
          <w:szCs w:val="32"/>
        </w:rPr>
        <w:t>。</w:t>
      </w:r>
    </w:p>
    <w:p>
      <w:pPr>
        <w:pStyle w:val="6"/>
        <w:keepNext w:val="0"/>
        <w:keepLines w:val="0"/>
        <w:spacing w:before="0" w:after="0" w:line="490" w:lineRule="exact"/>
        <w:ind w:firstLine="562" w:firstLineChars="200"/>
        <w:rPr>
          <w:rFonts w:eastAsia="黑体"/>
          <w:bCs w:val="0"/>
          <w:color w:val="000000"/>
          <w:sz w:val="28"/>
        </w:rPr>
      </w:pPr>
      <w:bookmarkStart w:id="1681" w:name="_Toc51091894"/>
      <w:bookmarkStart w:id="1682" w:name="_Toc9732"/>
      <w:bookmarkStart w:id="1683" w:name="_Toc189386210"/>
      <w:bookmarkStart w:id="1684" w:name="_Toc19158"/>
      <w:r>
        <w:rPr>
          <w:rFonts w:eastAsia="黑体"/>
          <w:bCs w:val="0"/>
          <w:color w:val="000000"/>
          <w:sz w:val="28"/>
        </w:rPr>
        <w:t>17．计量与支付</w:t>
      </w:r>
      <w:bookmarkEnd w:id="1681"/>
      <w:bookmarkEnd w:id="1682"/>
      <w:bookmarkEnd w:id="1683"/>
      <w:bookmarkEnd w:id="1684"/>
    </w:p>
    <w:p>
      <w:pPr>
        <w:spacing w:line="490" w:lineRule="exact"/>
        <w:ind w:firstLine="562" w:firstLineChars="200"/>
        <w:outlineLvl w:val="3"/>
        <w:rPr>
          <w:rFonts w:eastAsia="楷体_GB2312"/>
          <w:b/>
          <w:bCs/>
          <w:color w:val="000000"/>
          <w:kern w:val="0"/>
          <w:sz w:val="28"/>
          <w:szCs w:val="32"/>
        </w:rPr>
      </w:pPr>
      <w:bookmarkStart w:id="1685" w:name="_Toc189386211"/>
      <w:bookmarkStart w:id="1686" w:name="_Toc511318140"/>
      <w:r>
        <w:rPr>
          <w:rFonts w:eastAsia="楷体_GB2312"/>
          <w:b/>
          <w:bCs/>
          <w:color w:val="000000"/>
          <w:kern w:val="0"/>
          <w:sz w:val="28"/>
          <w:szCs w:val="32"/>
        </w:rPr>
        <w:t>17.1 计量</w:t>
      </w:r>
      <w:bookmarkEnd w:id="1685"/>
      <w:bookmarkEnd w:id="1686"/>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17.1.1  计量单位</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计量采用国家法定的计量单位。</w:t>
      </w:r>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17.1.2  计量方法</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结算工程量应按</w:t>
      </w:r>
      <w:r>
        <w:rPr>
          <w:rFonts w:hint="eastAsia" w:eastAsia="仿宋_GB2312"/>
          <w:color w:val="000000"/>
          <w:kern w:val="0"/>
          <w:sz w:val="28"/>
          <w:szCs w:val="32"/>
        </w:rPr>
        <w:t>国家强制标准及</w:t>
      </w:r>
      <w:r>
        <w:rPr>
          <w:rFonts w:eastAsia="仿宋_GB2312"/>
          <w:color w:val="000000"/>
          <w:kern w:val="0"/>
          <w:sz w:val="28"/>
          <w:szCs w:val="32"/>
        </w:rPr>
        <w:t>工程量清单中约定的方法计量</w:t>
      </w:r>
      <w:r>
        <w:rPr>
          <w:rFonts w:hint="eastAsia" w:eastAsia="仿宋_GB2312"/>
          <w:color w:val="000000"/>
          <w:kern w:val="0"/>
          <w:sz w:val="28"/>
          <w:szCs w:val="32"/>
        </w:rPr>
        <w:t>。</w:t>
      </w:r>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17.1.3  计量周期</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除专用合同条款另有约定外，单价子目已完成工程量按月计量，总价子目的计量周期按批准的支付分解报告确定。</w:t>
      </w:r>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17.1.4  单价子目的计量</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（1）已标价工程量清单中的单价子目工程量为估算工程量。结算工程量是承包人实际完成的，并按合同约定的计量方法进行计量的工程量。</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（2）承包人对已完成的工程进行计量，向监理人提交进度付款申请单、已完成工程量报表和有关计量资料。</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3）监理人对承包人提交的工程量报表进行复核，以确定实际完成的工程量。对数量有异议的，可要求承包人按第8.2款约定进行共同复核和抽样复测。承包人应协助监理人进行复核并按监理人要求提供补充计量资料。承包人未按监理人要求参加复核，监理人复核或修正的工程量视为承包人实际完成的工程量。</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（4）监理人认为有必要时，可通知承包人共同进行联合测量、计量，承包人应遵照执行。</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5）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（6）监理人应在收到承包人提交的工程量报表后的7天内进行复核，监理人未在约定时间内复核的，承包人提交的工程量报表中的工程量视为承包人实际完成的工程量，据此计算工程价款。</w:t>
      </w:r>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17.1.5  总价子目的计量</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总价子目的分解和计量按照下述约定进行。</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（1）总价子目的计量和支付应以总价为基础，不因第16.1款中的因素而进行调整。承包人实际完成的工程量，是进行工程目标管理和控制进度支付的依据。</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2）承包人应按工程量清单的要求对总价子目进行分解，并在签订协议书后的28天内将各子目的总价支付分解表提交监理人审批。分解表应标明其所属子目和分阶段需支付的金额。承包人应按批准的各总价子目支付周期，对已完成的总价子目进行计量，确定分项的应付金额列入进度付款申请单中。</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（3）监理人对承包人提交的上述资料进行复核，以确定分阶段实际完成的工程量和工程形象目标。对其有异议的，可要求承包人按第8.2款约定进行共同复核和抽样复测。</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（4）除按照第15条约定的变更外，总价子目的工程量是承包人用于结算的最终工程量。</w:t>
      </w:r>
    </w:p>
    <w:p>
      <w:pPr>
        <w:spacing w:line="490" w:lineRule="exact"/>
        <w:ind w:firstLine="562" w:firstLineChars="200"/>
        <w:outlineLvl w:val="3"/>
        <w:rPr>
          <w:rFonts w:eastAsia="楷体_GB2312"/>
          <w:b/>
          <w:bCs/>
          <w:color w:val="000000"/>
          <w:kern w:val="0"/>
          <w:sz w:val="28"/>
          <w:szCs w:val="32"/>
        </w:rPr>
      </w:pPr>
      <w:bookmarkStart w:id="1687" w:name="_Toc189386212"/>
      <w:r>
        <w:rPr>
          <w:rFonts w:eastAsia="楷体_GB2312"/>
          <w:b/>
          <w:bCs/>
          <w:color w:val="000000"/>
          <w:kern w:val="0"/>
          <w:sz w:val="28"/>
          <w:szCs w:val="32"/>
        </w:rPr>
        <w:t>17.2 预付款</w:t>
      </w:r>
      <w:bookmarkEnd w:id="1687"/>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17.2.1  预付款</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预付款用于承包人为合同工程施工购置材料、工程设备、施工设备、修建临时设施以及组织施工队伍进场等，分为工程预付款和工程材料预付款。预付款必须专用于合同工程。预付款的额度和预付办法在专用合同条款中约定。</w:t>
      </w:r>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17.2.2  预付款保函（担保）</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（1）承包人应在收到第一次工程预付款的同时向发包人提交工程预付款担保，担保金额应与第一次工程预付款金额相同，工程预付款担保在第一次工程预付款被发包人扣回前一直有效。</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（2）工程材料预付款的担保在专用合同条款中约定。</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（3）预付款担保的担保金额可根据预付款扣回的金额相应递减。</w:t>
      </w:r>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17.2.3  预付款的扣回与还清</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预付款在进度付款中扣回，扣回与还清办法在专用合同条款中约定。在颁发合同工程完工证书前，由于不可抗力或其它原因解除合同时，预付款尚未扣清的，尚未扣清的预付款余额应作为承包人的到期应付款。</w:t>
      </w:r>
    </w:p>
    <w:p>
      <w:pPr>
        <w:spacing w:line="490" w:lineRule="exact"/>
        <w:ind w:firstLine="562" w:firstLineChars="200"/>
        <w:outlineLvl w:val="3"/>
        <w:rPr>
          <w:rFonts w:eastAsia="楷体_GB2312"/>
          <w:b/>
          <w:bCs/>
          <w:color w:val="000000"/>
          <w:kern w:val="0"/>
          <w:sz w:val="28"/>
          <w:szCs w:val="32"/>
        </w:rPr>
      </w:pPr>
      <w:bookmarkStart w:id="1688" w:name="_Toc511318141"/>
      <w:bookmarkStart w:id="1689" w:name="_Toc189386213"/>
      <w:r>
        <w:rPr>
          <w:rFonts w:eastAsia="楷体_GB2312"/>
          <w:b/>
          <w:bCs/>
          <w:color w:val="000000"/>
          <w:kern w:val="0"/>
          <w:sz w:val="28"/>
          <w:szCs w:val="32"/>
        </w:rPr>
        <w:t>17.3 工程进度付款</w:t>
      </w:r>
      <w:bookmarkEnd w:id="1688"/>
      <w:bookmarkEnd w:id="1689"/>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17.3.1  付款周期</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付款周期同计量周期。</w:t>
      </w:r>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17.3.2  进度付款申请单</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承包人应在每个付款周期末，按监理人批准的格式和专用合同条款约定的份数，向监理人提交进度付款申请单，并附相应的支持性证明文件。除专用合同条款另有约定外，进度付款申请单应包括下列内容：</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（1）截至本次付款周期末已实施工程的价款；</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（2）根据第15条应增加和扣减的变更金额；</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（3）根据第23条应增加和扣减的索赔金额；</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（4）根据第17.2款约定应支付的预付款和扣减的返还预付款；</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（5）根据第17.4.1项约定应扣减的质量保证金；</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（6）根据合同应增加和扣减的其他金额。</w:t>
      </w:r>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17.3.3  进度付款证书和支付时间</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监理人在收到承包人进度付款申请单以及相应的支持性证明文件后的14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（2）发包人应在监理人收到进度付款申请单后的28天内，将进度应付款支付给承包人。发包人不按期支付的，按专用合同条款的约定支付逾期付款违约金。</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（3）监理人出具进度付款证书，不应视为监理人已同意、批准或接受了承包人完成的该部分工作。</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（4）进度付款涉及政府投资资金的，按照国库集中支付等国家相关规定和专用合同条款的约定办理。</w:t>
      </w:r>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17.3.4  工程进度付款的修正</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在对以往历次已签发的进度付款证书进行汇总和复核中发现错、漏或重复的，监理人有权予以修正，承包人也有权提出修正申请。经双方复核同意的修正，应在本次进度付款中支付或扣除。</w:t>
      </w:r>
    </w:p>
    <w:p>
      <w:pPr>
        <w:spacing w:line="490" w:lineRule="exact"/>
        <w:ind w:firstLine="562" w:firstLineChars="200"/>
        <w:outlineLvl w:val="3"/>
        <w:rPr>
          <w:rFonts w:eastAsia="楷体_GB2312"/>
          <w:b/>
          <w:bCs/>
          <w:color w:val="000000"/>
          <w:kern w:val="0"/>
          <w:sz w:val="28"/>
          <w:szCs w:val="32"/>
        </w:rPr>
      </w:pPr>
      <w:bookmarkStart w:id="1690" w:name="_Toc189386214"/>
      <w:bookmarkStart w:id="1691" w:name="_Toc511318142"/>
      <w:r>
        <w:rPr>
          <w:rFonts w:eastAsia="楷体_GB2312"/>
          <w:b/>
          <w:bCs/>
          <w:color w:val="000000"/>
          <w:kern w:val="0"/>
          <w:sz w:val="28"/>
          <w:szCs w:val="32"/>
        </w:rPr>
        <w:t>17.4 质量保证金</w:t>
      </w:r>
      <w:bookmarkEnd w:id="1690"/>
      <w:bookmarkEnd w:id="1691"/>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17.4.1  监理人应从第一个工程进度付款周期开始，在发包人的进度付款中，按专用合同条款的约定扣留质量保证金，直至扣留的质量保证金总额达到专用合同条款约定的金额或比例为止。质量保证金的计算额度不包括预付款的支付与扣回金额。</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17.4.2 合同工程完工证书颁发后14天内，发包人将质量保证金总额的一半支付给承包人。在第1.1.4.5目约定的缺陷责任期（工程质量保修期）满时，发包人将在30个工作日内会同承包人按照合同约定的内容核实承包人是否完成保修责任。如无异议，发包人应当在核实后将剩余的质量保证金支付给承包人。</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17.4.3  在第1.1.4.5目约定的缺陷责任期满时，承包人没有完成缺陷责任的，发包人有权扣留与未履行责任剩余工作所需金额相应的质量保证金余额，并有权根据第19.3款约定要求延长缺陷责任期，直至完成剩余工作为止。</w:t>
      </w:r>
    </w:p>
    <w:p>
      <w:pPr>
        <w:spacing w:line="490" w:lineRule="exact"/>
        <w:ind w:firstLine="562" w:firstLineChars="200"/>
        <w:outlineLvl w:val="3"/>
        <w:rPr>
          <w:rFonts w:eastAsia="楷体_GB2312"/>
          <w:b/>
          <w:bCs/>
          <w:color w:val="000000"/>
          <w:kern w:val="0"/>
          <w:sz w:val="28"/>
          <w:szCs w:val="32"/>
        </w:rPr>
      </w:pPr>
      <w:bookmarkStart w:id="1692" w:name="_Toc189386215"/>
      <w:bookmarkStart w:id="1693" w:name="_Toc511318143"/>
      <w:r>
        <w:rPr>
          <w:rFonts w:eastAsia="楷体_GB2312"/>
          <w:b/>
          <w:bCs/>
          <w:color w:val="000000"/>
          <w:kern w:val="0"/>
          <w:sz w:val="28"/>
          <w:szCs w:val="32"/>
        </w:rPr>
        <w:t>17.5 竣工</w:t>
      </w:r>
      <w:bookmarkEnd w:id="1692"/>
      <w:r>
        <w:rPr>
          <w:rFonts w:eastAsia="楷体_GB2312"/>
          <w:b/>
          <w:bCs/>
          <w:color w:val="000000"/>
          <w:kern w:val="0"/>
          <w:sz w:val="28"/>
          <w:szCs w:val="32"/>
        </w:rPr>
        <w:t>（完工</w:t>
      </w:r>
      <w:r>
        <w:rPr>
          <w:rFonts w:hint="eastAsia" w:eastAsia="楷体_GB2312"/>
          <w:b/>
          <w:bCs/>
          <w:color w:val="000000"/>
          <w:kern w:val="0"/>
          <w:sz w:val="28"/>
          <w:szCs w:val="32"/>
        </w:rPr>
        <w:t>）</w:t>
      </w:r>
      <w:r>
        <w:rPr>
          <w:rFonts w:eastAsia="楷体_GB2312"/>
          <w:b/>
          <w:bCs/>
          <w:color w:val="000000"/>
          <w:kern w:val="0"/>
          <w:sz w:val="28"/>
          <w:szCs w:val="32"/>
        </w:rPr>
        <w:t>结算</w:t>
      </w:r>
      <w:bookmarkEnd w:id="1693"/>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17.5.1  竣工（完工）付款申请单</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承包人应在合同工程完工证书颁发后28天内，按专用合同条款约定的份数向监理人提交完工付款申请单，并提供相关证明材料。完工付款申请单应包括下列内容：完工结算合同总价、发包人已支付承包人的工程价款、应扣留的质量保证金、应支付的完工付款金额。</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（2）监理人对完工付款申请单有异议的，有权要求承包人进行修正和提供补充资料。经监理人和承包人协商后，由承包人向监理人提交修正后的完工付款申请单。</w:t>
      </w:r>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17.5.2  竣工（完工）付款证书及支付时间</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监理人在收到承包人提交的完工付款申请单后的14天内完成核查，提出发包人到期应支付给承包人的价款送发包人审核并抄送承包人。发包人应在收到后14天内审核完毕，由监理人向承包人出具经发包人签认的完工付款证书。监理人未在约定时间内核查，又未提出具体意见的，视为承包人提交的完工付款申请单已经监理人核查同意。发包人未在约定时间内审核又未提出具体意见的，监理人提出发包人到期应支付给承包人的价款视为已经发包人同意。</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（2）发包人应在监理人出具完工付款证书后的14天内，将应支付款支付给承包人。发包人不按期支付的，按第17.3.3（2）目的约定，将逾期付款违约金支付给承包人。</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（3）承包人对发包人签认的完工付款证书有异议的，发包人可出具完工付款申请单中承包人已同意部分的临时付款证书。存在争议的部分，按第24条的约定办理。</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（4）完工付款涉及政府投资资金的，按第17.3.3（4）目的约定办理。</w:t>
      </w:r>
    </w:p>
    <w:p>
      <w:pPr>
        <w:spacing w:line="490" w:lineRule="exact"/>
        <w:ind w:firstLine="562" w:firstLineChars="200"/>
        <w:outlineLvl w:val="3"/>
        <w:rPr>
          <w:rFonts w:eastAsia="楷体_GB2312"/>
          <w:b/>
          <w:bCs/>
          <w:color w:val="000000"/>
          <w:kern w:val="0"/>
          <w:sz w:val="28"/>
          <w:szCs w:val="32"/>
        </w:rPr>
      </w:pPr>
      <w:bookmarkStart w:id="1694" w:name="_Toc189386216"/>
      <w:r>
        <w:rPr>
          <w:rFonts w:eastAsia="楷体_GB2312"/>
          <w:b/>
          <w:bCs/>
          <w:color w:val="000000"/>
          <w:kern w:val="0"/>
          <w:sz w:val="28"/>
          <w:szCs w:val="32"/>
        </w:rPr>
        <w:t>17.6 最终结清</w:t>
      </w:r>
      <w:bookmarkEnd w:id="1694"/>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17.6.1  最终结清申请单</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（1）工程质量保修责任终止证书签发后，承包人应按监理人批准的格式提交最终结清申请单。提交最终结清申请单的份数在专用合同条款中约定。</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（2）发包人对最终结清申请单内容有异议的，有权要求承包人进行修正和提供补充资料，由承包人向监理人提交修正后的最终结清申请单。</w:t>
      </w:r>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17.6.2  最终结清证书和支付时间</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（1）监理人收到承包人提交的最终结清申请单后的14天内，提出发包人应支付给承包人的价款送发包人审核并抄送承包人。发包人应在收到后14 天内审核完毕，由监理人向承包人出具经发包人签认的最终结清证书。监理人未在约定时间内核查，又未提出具体意见的，视为承包人提交的最终结清申请已经监理人核查同意；发包人未在约定时间内审核又未提出具体意见的，监理人提出应支付给承包人的价款视为已经发包人同意。</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（2）发包人应在监理人出具最终结清证书后的14天内，将应支付款支付给承包人。发包人不按期支付的，按第17.3.3（2）目的约定，将逾期付款违约金支付给承包人。</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（3）承包人对发包人签认的最终结清证书有异议的，按第24条的约定办理。</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（4）最终结清付款涉及政府投资资金的，按第17.3.3（４）目的约定办理。</w:t>
      </w:r>
    </w:p>
    <w:p>
      <w:pPr>
        <w:spacing w:line="490" w:lineRule="exact"/>
        <w:ind w:firstLine="562" w:firstLineChars="200"/>
        <w:outlineLvl w:val="3"/>
        <w:rPr>
          <w:rFonts w:eastAsia="楷体_GB2312"/>
          <w:b/>
          <w:bCs/>
          <w:color w:val="000000"/>
          <w:kern w:val="0"/>
          <w:sz w:val="28"/>
          <w:szCs w:val="32"/>
        </w:rPr>
      </w:pPr>
      <w:bookmarkStart w:id="1695" w:name="_Toc511318144"/>
      <w:r>
        <w:rPr>
          <w:rFonts w:eastAsia="楷体_GB2312"/>
          <w:b/>
          <w:bCs/>
          <w:color w:val="000000"/>
          <w:kern w:val="0"/>
          <w:sz w:val="28"/>
          <w:szCs w:val="32"/>
        </w:rPr>
        <w:t>17.7  竣工财务决算</w:t>
      </w:r>
      <w:bookmarkEnd w:id="1695"/>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发包人负责编制本工程项目竣工财务决算，承包人应按专用合同条款的约定提供竣工财务决算编制所需的相关材料。</w:t>
      </w:r>
    </w:p>
    <w:p>
      <w:pPr>
        <w:spacing w:line="490" w:lineRule="exact"/>
        <w:ind w:firstLine="562" w:firstLineChars="200"/>
        <w:outlineLvl w:val="3"/>
        <w:rPr>
          <w:rFonts w:eastAsia="楷体_GB2312"/>
          <w:b/>
          <w:bCs/>
          <w:color w:val="000000"/>
          <w:kern w:val="0"/>
          <w:sz w:val="28"/>
          <w:szCs w:val="32"/>
        </w:rPr>
      </w:pPr>
      <w:bookmarkStart w:id="1696" w:name="_Toc511318145"/>
      <w:r>
        <w:rPr>
          <w:rFonts w:eastAsia="楷体_GB2312"/>
          <w:b/>
          <w:bCs/>
          <w:color w:val="000000"/>
          <w:kern w:val="0"/>
          <w:sz w:val="28"/>
          <w:szCs w:val="32"/>
        </w:rPr>
        <w:t>17.8  竣工审计</w:t>
      </w:r>
      <w:bookmarkEnd w:id="1696"/>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发包人负责完成本工程竣工审计手续，承包人应完成相关配合工作。</w:t>
      </w:r>
    </w:p>
    <w:p>
      <w:pPr>
        <w:pStyle w:val="6"/>
        <w:keepNext w:val="0"/>
        <w:keepLines w:val="0"/>
        <w:spacing w:before="0" w:after="0" w:line="490" w:lineRule="exact"/>
        <w:ind w:firstLine="562" w:firstLineChars="200"/>
        <w:rPr>
          <w:rFonts w:eastAsia="黑体"/>
          <w:bCs w:val="0"/>
          <w:color w:val="000000"/>
          <w:sz w:val="28"/>
        </w:rPr>
      </w:pPr>
      <w:bookmarkStart w:id="1697" w:name="_Toc189386217"/>
      <w:bookmarkStart w:id="1698" w:name="_Toc24957"/>
      <w:bookmarkStart w:id="1699" w:name="_Toc30562"/>
      <w:bookmarkStart w:id="1700" w:name="_Toc51091895"/>
      <w:r>
        <w:rPr>
          <w:rFonts w:eastAsia="黑体"/>
          <w:bCs w:val="0"/>
          <w:color w:val="000000"/>
          <w:sz w:val="28"/>
        </w:rPr>
        <w:t>18．竣工验收</w:t>
      </w:r>
      <w:bookmarkEnd w:id="1697"/>
      <w:r>
        <w:rPr>
          <w:rFonts w:eastAsia="黑体"/>
          <w:bCs w:val="0"/>
          <w:color w:val="000000"/>
          <w:sz w:val="28"/>
        </w:rPr>
        <w:t>（验收）</w:t>
      </w:r>
      <w:bookmarkEnd w:id="1698"/>
      <w:bookmarkEnd w:id="1699"/>
      <w:bookmarkEnd w:id="1700"/>
    </w:p>
    <w:p>
      <w:pPr>
        <w:spacing w:line="490" w:lineRule="exact"/>
        <w:ind w:firstLine="562" w:firstLineChars="200"/>
        <w:outlineLvl w:val="3"/>
        <w:rPr>
          <w:rFonts w:eastAsia="楷体_GB2312"/>
          <w:b/>
          <w:bCs/>
          <w:color w:val="000000"/>
          <w:kern w:val="0"/>
          <w:sz w:val="28"/>
          <w:szCs w:val="32"/>
        </w:rPr>
      </w:pPr>
      <w:bookmarkStart w:id="1701" w:name="_Toc511318147"/>
      <w:r>
        <w:rPr>
          <w:rFonts w:eastAsia="楷体_GB2312"/>
          <w:b/>
          <w:bCs/>
          <w:color w:val="000000"/>
          <w:kern w:val="0"/>
          <w:sz w:val="28"/>
          <w:szCs w:val="32"/>
        </w:rPr>
        <w:t>18.1  验收工作分类</w:t>
      </w:r>
      <w:bookmarkEnd w:id="1701"/>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本工程验收工作按主持单位分为法人验收和政府验收。法人验收和政府验收的类别在专用合同条款中约定。除专用合同条款另有约定外，法人验收由发包人主持。承包人应完成法人验收和政府验收的配合工作，所需费用应含在已标价工程量清单中。</w:t>
      </w:r>
    </w:p>
    <w:p>
      <w:pPr>
        <w:spacing w:line="490" w:lineRule="exact"/>
        <w:ind w:firstLine="562" w:firstLineChars="200"/>
        <w:outlineLvl w:val="3"/>
        <w:rPr>
          <w:rFonts w:eastAsia="楷体_GB2312"/>
          <w:b/>
          <w:bCs/>
          <w:color w:val="000000"/>
          <w:kern w:val="0"/>
          <w:sz w:val="28"/>
          <w:szCs w:val="32"/>
        </w:rPr>
      </w:pPr>
      <w:bookmarkStart w:id="1702" w:name="_Toc511318148"/>
      <w:r>
        <w:rPr>
          <w:rFonts w:eastAsia="楷体_GB2312"/>
          <w:b/>
          <w:bCs/>
          <w:color w:val="000000"/>
          <w:kern w:val="0"/>
          <w:sz w:val="28"/>
          <w:szCs w:val="32"/>
        </w:rPr>
        <w:t>18.2  分部工程验收</w:t>
      </w:r>
      <w:bookmarkEnd w:id="1702"/>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18.2.1  分部工程具备验收条件时，承包人应向</w:t>
      </w:r>
      <w:r>
        <w:rPr>
          <w:rFonts w:hint="eastAsia" w:eastAsia="仿宋_GB2312"/>
          <w:color w:val="000000"/>
          <w:kern w:val="0"/>
          <w:sz w:val="28"/>
          <w:szCs w:val="32"/>
        </w:rPr>
        <w:t>监理</w:t>
      </w:r>
      <w:r>
        <w:rPr>
          <w:rFonts w:eastAsia="仿宋_GB2312"/>
          <w:color w:val="000000"/>
          <w:kern w:val="0"/>
          <w:sz w:val="28"/>
          <w:szCs w:val="32"/>
        </w:rPr>
        <w:t>人提交验收申请报告，</w:t>
      </w:r>
      <w:r>
        <w:rPr>
          <w:rFonts w:hint="eastAsia" w:eastAsia="仿宋_GB2312"/>
          <w:color w:val="000000"/>
          <w:kern w:val="0"/>
          <w:sz w:val="28"/>
          <w:szCs w:val="32"/>
        </w:rPr>
        <w:t>监理人应在收到竣工验收申请报告后14天内完成审查并报送发包人</w:t>
      </w:r>
      <w:r>
        <w:rPr>
          <w:rFonts w:eastAsia="仿宋_GB2312"/>
          <w:color w:val="000000"/>
          <w:kern w:val="0"/>
          <w:sz w:val="28"/>
          <w:szCs w:val="32"/>
        </w:rPr>
        <w:t>。</w:t>
      </w:r>
      <w:r>
        <w:rPr>
          <w:rFonts w:hint="eastAsia" w:eastAsia="仿宋_GB2312"/>
          <w:color w:val="000000"/>
          <w:kern w:val="0"/>
          <w:sz w:val="28"/>
          <w:szCs w:val="32"/>
        </w:rPr>
        <w:t xml:space="preserve"> 监理人审查后认为尚不具备竣工验收条件的，应在收到竣工验收申请报告后的14天内通知承包人，并指出承包人在竣工验收前还需完成的工作内容，承包人应在完成监理人通知的全部工作内容后， 再次提交竣工验收申请报告，直至监理人同意为止。</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18.2.2  除专用合同条款另有约定外，监理人主持分部工程验收，承包人应派符合条件的代表参加验收工作组。</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18.2.3  分部工程验收通过后，发包人向承包人发送分部工程验收鉴定书。承包人应及时完成分部工程验收鉴定书载明应由承包人处理的遗留问</w:t>
      </w:r>
    </w:p>
    <w:p>
      <w:pPr>
        <w:spacing w:line="490" w:lineRule="exact"/>
        <w:rPr>
          <w:rFonts w:eastAsia="仿宋_GB2312"/>
          <w:color w:val="000000"/>
          <w:kern w:val="0"/>
          <w:sz w:val="28"/>
          <w:szCs w:val="32"/>
        </w:rPr>
      </w:pPr>
      <w:r>
        <w:rPr>
          <w:rFonts w:eastAsia="仿宋_GB2312"/>
          <w:color w:val="000000"/>
          <w:kern w:val="0"/>
          <w:sz w:val="28"/>
          <w:szCs w:val="32"/>
        </w:rPr>
        <w:t>题。</w:t>
      </w:r>
    </w:p>
    <w:p>
      <w:pPr>
        <w:spacing w:line="490" w:lineRule="exact"/>
        <w:ind w:firstLine="560" w:firstLineChars="200"/>
        <w:rPr>
          <w:rFonts w:hint="eastAsia" w:eastAsia="仿宋_GB2312"/>
          <w:color w:val="000000"/>
          <w:kern w:val="0"/>
          <w:sz w:val="28"/>
          <w:szCs w:val="32"/>
        </w:rPr>
      </w:pPr>
      <w:r>
        <w:rPr>
          <w:rFonts w:hint="eastAsia" w:eastAsia="仿宋_GB2312"/>
          <w:color w:val="000000"/>
          <w:kern w:val="0"/>
          <w:sz w:val="28"/>
          <w:szCs w:val="32"/>
        </w:rPr>
        <w:t>18.2.4  竣工验收不合格的，监理人应按照验收意见发出指示，要求承包人对不合格工程返工、修复或采取其他补救措施，由此增加的费用和（或）延误的工期由承包人承担。承包人在完成不合格工程的返工、修复或釆取其他补救措施后，应重新提交竣工验收申请报告，重新进行验收。</w:t>
      </w:r>
    </w:p>
    <w:p>
      <w:pPr>
        <w:spacing w:line="490" w:lineRule="exact"/>
        <w:ind w:firstLine="562" w:firstLineChars="200"/>
        <w:outlineLvl w:val="3"/>
        <w:rPr>
          <w:rFonts w:eastAsia="楷体_GB2312"/>
          <w:b/>
          <w:bCs/>
          <w:color w:val="000000"/>
          <w:kern w:val="0"/>
          <w:sz w:val="28"/>
          <w:szCs w:val="32"/>
        </w:rPr>
      </w:pPr>
      <w:bookmarkStart w:id="1703" w:name="_Toc511318149"/>
      <w:r>
        <w:rPr>
          <w:rFonts w:eastAsia="楷体_GB2312"/>
          <w:b/>
          <w:bCs/>
          <w:color w:val="000000"/>
          <w:kern w:val="0"/>
          <w:sz w:val="28"/>
          <w:szCs w:val="32"/>
        </w:rPr>
        <w:t>18.3  单位工程验收</w:t>
      </w:r>
      <w:bookmarkEnd w:id="1703"/>
    </w:p>
    <w:p>
      <w:pPr>
        <w:pStyle w:val="188"/>
        <w:tabs>
          <w:tab w:val="left" w:pos="1352"/>
        </w:tabs>
        <w:spacing w:line="490" w:lineRule="exact"/>
        <w:ind w:firstLine="560" w:firstLineChars="200"/>
        <w:rPr>
          <w:rFonts w:ascii="Times New Roman" w:hAnsi="Times New Roman" w:eastAsia="仿宋_GB2312" w:cs="Times New Roman"/>
          <w:color w:val="000000"/>
          <w:kern w:val="0"/>
          <w:szCs w:val="32"/>
          <w:lang w:val="en-US" w:eastAsia="zh-CN" w:bidi="ar-SA"/>
        </w:rPr>
      </w:pPr>
      <w:r>
        <w:rPr>
          <w:rFonts w:eastAsia="仿宋_GB2312"/>
          <w:color w:val="000000"/>
          <w:kern w:val="0"/>
          <w:szCs w:val="32"/>
        </w:rPr>
        <w:t>18.3.1  单位工程具备验收条件时，承包人应向</w:t>
      </w:r>
      <w:r>
        <w:rPr>
          <w:rFonts w:hint="eastAsia" w:eastAsia="仿宋_GB2312"/>
          <w:color w:val="000000"/>
          <w:kern w:val="0"/>
          <w:szCs w:val="32"/>
          <w:lang w:val="en-US" w:eastAsia="zh-CN"/>
        </w:rPr>
        <w:t>发包</w:t>
      </w:r>
      <w:r>
        <w:rPr>
          <w:rFonts w:eastAsia="仿宋_GB2312"/>
          <w:color w:val="000000"/>
          <w:kern w:val="0"/>
          <w:szCs w:val="32"/>
        </w:rPr>
        <w:t>人提交验收申请</w:t>
      </w:r>
      <w:r>
        <w:rPr>
          <w:rFonts w:ascii="Times New Roman" w:hAnsi="Times New Roman" w:eastAsia="仿宋_GB2312" w:cs="Times New Roman"/>
          <w:color w:val="000000"/>
          <w:kern w:val="0"/>
          <w:szCs w:val="32"/>
          <w:lang w:val="en-US" w:eastAsia="zh-CN" w:bidi="ar-SA"/>
        </w:rPr>
        <w:t>报告，</w:t>
      </w:r>
      <w:r>
        <w:rPr>
          <w:rFonts w:hint="eastAsia" w:ascii="Times New Roman" w:hAnsi="Times New Roman" w:eastAsia="仿宋_GB2312" w:cs="Times New Roman"/>
          <w:color w:val="000000"/>
          <w:kern w:val="0"/>
          <w:szCs w:val="32"/>
          <w:lang w:val="en-US" w:eastAsia="zh-CN" w:bidi="ar-SA"/>
        </w:rPr>
        <w:t>监理人应在收到竣工验收申请报告后14天内完成审查并报送发包人</w:t>
      </w:r>
      <w:r>
        <w:rPr>
          <w:rFonts w:ascii="Times New Roman" w:hAnsi="Times New Roman" w:eastAsia="仿宋_GB2312" w:cs="Times New Roman"/>
          <w:color w:val="000000"/>
          <w:kern w:val="0"/>
          <w:szCs w:val="32"/>
          <w:lang w:val="en-US" w:eastAsia="zh-CN" w:bidi="ar-SA"/>
        </w:rPr>
        <w:t>。</w:t>
      </w:r>
      <w:r>
        <w:rPr>
          <w:rFonts w:hint="eastAsia" w:ascii="Times New Roman" w:hAnsi="Times New Roman" w:eastAsia="仿宋_GB2312" w:cs="Times New Roman"/>
          <w:color w:val="000000"/>
          <w:kern w:val="0"/>
          <w:szCs w:val="32"/>
          <w:lang w:val="en-US" w:eastAsia="zh-CN" w:bidi="ar-SA"/>
        </w:rPr>
        <w:t xml:space="preserve"> 监理人审查后认为尚不具备竣工验收条件的，应在收到竣工验收申请报告后的14天内通知承包人，并指出承包人在竣工验收前还需完成的工作内容，承包人应在完成监理人通知的全部工作内容后， 再次提交竣工验收申请报告，直至监理人同意为止。</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18.3.2  发包人主持单位工程验收，承包人应派符合条件的代表参加验收工作组。</w:t>
      </w:r>
    </w:p>
    <w:p>
      <w:pPr>
        <w:spacing w:line="490" w:lineRule="exact"/>
        <w:ind w:firstLine="544" w:firstLineChars="200"/>
        <w:rPr>
          <w:rFonts w:eastAsia="仿宋_GB2312"/>
          <w:color w:val="000000"/>
          <w:spacing w:val="-4"/>
          <w:kern w:val="0"/>
          <w:sz w:val="28"/>
          <w:szCs w:val="32"/>
        </w:rPr>
      </w:pPr>
      <w:r>
        <w:rPr>
          <w:rFonts w:eastAsia="仿宋_GB2312"/>
          <w:color w:val="000000"/>
          <w:spacing w:val="-4"/>
          <w:kern w:val="0"/>
          <w:sz w:val="28"/>
          <w:szCs w:val="32"/>
        </w:rPr>
        <w:t>18.3.3  单位工程验收通过后，发包人向承包人发送单位工程验收鉴定书。承包人应及时完成单位工程验收鉴定书载明应由承包人处理的遗留问题。</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18.3.4  需提前投入使用的单位工程在专用合同条款中明确。</w:t>
      </w:r>
    </w:p>
    <w:p>
      <w:pPr>
        <w:pStyle w:val="188"/>
        <w:tabs>
          <w:tab w:val="left" w:pos="1348"/>
        </w:tabs>
        <w:spacing w:after="120" w:line="490" w:lineRule="exact"/>
        <w:ind w:firstLine="560" w:firstLineChars="200"/>
        <w:rPr>
          <w:rFonts w:hint="eastAsia" w:ascii="Times New Roman" w:hAnsi="Times New Roman" w:eastAsia="仿宋_GB2312" w:cs="Times New Roman"/>
          <w:color w:val="000000"/>
          <w:kern w:val="0"/>
          <w:szCs w:val="32"/>
          <w:lang w:val="en-US" w:eastAsia="zh-CN" w:bidi="ar-SA"/>
        </w:rPr>
      </w:pPr>
      <w:r>
        <w:rPr>
          <w:rFonts w:ascii="Times New Roman" w:hAnsi="Times New Roman" w:eastAsia="仿宋_GB2312" w:cs="Times New Roman"/>
          <w:color w:val="000000"/>
          <w:kern w:val="0"/>
          <w:szCs w:val="32"/>
          <w:lang w:val="en-US" w:eastAsia="zh-CN" w:bidi="ar-SA"/>
        </w:rPr>
        <w:t>18.3.5</w:t>
      </w:r>
      <w:r>
        <w:rPr>
          <w:rFonts w:hint="eastAsia" w:ascii="Times New Roman" w:hAnsi="Times New Roman" w:eastAsia="仿宋_GB2312" w:cs="Times New Roman"/>
          <w:color w:val="000000"/>
          <w:kern w:val="0"/>
          <w:szCs w:val="32"/>
          <w:lang w:val="en-US" w:eastAsia="zh-CN" w:bidi="ar-SA"/>
        </w:rPr>
        <w:t xml:space="preserve">  竣工验收不合格的，监理人应按照验收意见发出指示，要求承包人对不合格工程返工、修复或采取其他补救措施，由此增加的费用和（或）延误的工期由承包人承担。承包人在完成不合格工程的返工、修复或釆取其他补救措施后，应重新提交竣工验收申请报告，重新进行验收。</w:t>
      </w:r>
    </w:p>
    <w:p>
      <w:pPr>
        <w:spacing w:line="490" w:lineRule="exact"/>
        <w:ind w:firstLine="562" w:firstLineChars="200"/>
        <w:outlineLvl w:val="3"/>
        <w:rPr>
          <w:rFonts w:eastAsia="楷体_GB2312"/>
          <w:b/>
          <w:bCs/>
          <w:color w:val="000000"/>
          <w:kern w:val="0"/>
          <w:sz w:val="28"/>
          <w:szCs w:val="32"/>
        </w:rPr>
      </w:pPr>
      <w:bookmarkStart w:id="1704" w:name="_Toc511318150"/>
      <w:r>
        <w:rPr>
          <w:rFonts w:eastAsia="楷体_GB2312"/>
          <w:b/>
          <w:bCs/>
          <w:color w:val="000000"/>
          <w:kern w:val="0"/>
          <w:sz w:val="28"/>
          <w:szCs w:val="32"/>
        </w:rPr>
        <w:t>18.4  合同工程完工验收</w:t>
      </w:r>
      <w:bookmarkEnd w:id="1704"/>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18.4.1  合同工程具备验收条件时，承包人应向发包人提交验收申请报告，发包人应在收到验收申请报告之日起20个工作日内决定是否同意进行验收。</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18.4.2  发包人主持合同工程完工验收，承包人应派代表参加验收工作组。</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18.4.3  合同工程完工验收通过后，发包人向承包人发送合同工程完工验收鉴定书。承包人应及时完成合同工程完工验收鉴定书载明应由承包人处理的遗留问题。</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18.4.4  合同工程完工验收通过后，发包人与承包人应在30个工作日内组织专人负责工程交接，双方交接负责人应在交接记录上签字。承包人应按验收鉴定书约定的时间及时移交工程及其档案资料。工程移交时，承包人应向发包人递交工程质量保修书。在承包人递交了工程质量保修书、完成施工场地清理以及提交有关资料后，发包人应在30个工作日内向承包人颁发合同工程完工证书。</w:t>
      </w:r>
    </w:p>
    <w:p>
      <w:pPr>
        <w:spacing w:line="490" w:lineRule="exact"/>
        <w:ind w:firstLine="562" w:firstLineChars="200"/>
        <w:outlineLvl w:val="3"/>
        <w:rPr>
          <w:rFonts w:eastAsia="楷体_GB2312"/>
          <w:b/>
          <w:bCs/>
          <w:color w:val="000000"/>
          <w:kern w:val="0"/>
          <w:sz w:val="28"/>
          <w:szCs w:val="32"/>
        </w:rPr>
      </w:pPr>
      <w:bookmarkStart w:id="1705" w:name="_Toc511318151"/>
      <w:r>
        <w:rPr>
          <w:rFonts w:eastAsia="楷体_GB2312"/>
          <w:b/>
          <w:bCs/>
          <w:color w:val="000000"/>
          <w:kern w:val="0"/>
          <w:sz w:val="28"/>
          <w:szCs w:val="32"/>
        </w:rPr>
        <w:t>18.5  阶段验收</w:t>
      </w:r>
      <w:bookmarkEnd w:id="1705"/>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18.5.1  工程建设具备阶段验收条件时，发包人负责提出阶段验收申请报告。承包人应派代表参加阶段验收，并作为被验收单位在验收鉴定书上签字。阶段验收的具体类别在专用合同条款中约定。</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18.5.2  承包人应及时完成阶段验收鉴定书载明应由承包人处理的遗留问题。</w:t>
      </w:r>
    </w:p>
    <w:p>
      <w:pPr>
        <w:spacing w:line="490" w:lineRule="exact"/>
        <w:ind w:firstLine="562" w:firstLineChars="200"/>
        <w:outlineLvl w:val="3"/>
        <w:rPr>
          <w:rFonts w:eastAsia="楷体_GB2312"/>
          <w:b/>
          <w:bCs/>
          <w:color w:val="000000"/>
          <w:kern w:val="0"/>
          <w:sz w:val="28"/>
          <w:szCs w:val="32"/>
        </w:rPr>
      </w:pPr>
      <w:bookmarkStart w:id="1706" w:name="_Toc511318152"/>
      <w:r>
        <w:rPr>
          <w:rFonts w:eastAsia="楷体_GB2312"/>
          <w:b/>
          <w:bCs/>
          <w:color w:val="000000"/>
          <w:kern w:val="0"/>
          <w:sz w:val="28"/>
          <w:szCs w:val="32"/>
        </w:rPr>
        <w:t>18.6  专项验收</w:t>
      </w:r>
      <w:bookmarkEnd w:id="1706"/>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18.6.1  发包人负责提出专项验收申请报告。承包人应按专项验收的相关规定参加专项验收。专项验收的具体类别在专用合同条款中约定。</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18.6.2  承包人应及时完成专项验收成果性文件载明应由承包人处理的遗留问题。</w:t>
      </w:r>
    </w:p>
    <w:p>
      <w:pPr>
        <w:spacing w:line="490" w:lineRule="exact"/>
        <w:ind w:firstLine="562" w:firstLineChars="200"/>
        <w:outlineLvl w:val="3"/>
        <w:rPr>
          <w:rFonts w:eastAsia="楷体_GB2312"/>
          <w:b/>
          <w:bCs/>
          <w:color w:val="000000"/>
          <w:kern w:val="0"/>
          <w:sz w:val="28"/>
          <w:szCs w:val="32"/>
        </w:rPr>
      </w:pPr>
      <w:bookmarkStart w:id="1707" w:name="_Toc511318153"/>
      <w:r>
        <w:rPr>
          <w:rFonts w:eastAsia="楷体_GB2312"/>
          <w:b/>
          <w:bCs/>
          <w:color w:val="000000"/>
          <w:kern w:val="0"/>
          <w:sz w:val="28"/>
          <w:szCs w:val="32"/>
        </w:rPr>
        <w:t>18.7  竣工验收</w:t>
      </w:r>
      <w:bookmarkEnd w:id="1707"/>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18.7.1  申请竣工验收前，发包人组织竣工验收自查，承包人应派代表参加。</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18.7.2  竣工验收分为竣工技术预验收和竣工验收两个阶段。发包人应通知承包人派代表参加技术预验收和竣工验收。</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18.7.3  专用合同条款约定工程需要进行技术鉴定的，承包人应提交有关资料并完成配合工作。</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18.7.4  竣工验收</w:t>
      </w:r>
      <w:r>
        <w:rPr>
          <w:rFonts w:hint="eastAsia" w:eastAsia="仿宋_GB2312"/>
          <w:color w:val="000000"/>
          <w:kern w:val="0"/>
          <w:sz w:val="28"/>
          <w:szCs w:val="32"/>
        </w:rPr>
        <w:t>依法依规</w:t>
      </w:r>
      <w:r>
        <w:rPr>
          <w:rFonts w:eastAsia="仿宋_GB2312"/>
          <w:color w:val="000000"/>
          <w:kern w:val="0"/>
          <w:sz w:val="28"/>
          <w:szCs w:val="32"/>
        </w:rPr>
        <w:t>需要进行质量检测的，所需费用由</w:t>
      </w:r>
      <w:r>
        <w:rPr>
          <w:rFonts w:hint="eastAsia" w:eastAsia="仿宋_GB2312"/>
          <w:color w:val="000000"/>
          <w:kern w:val="0"/>
          <w:sz w:val="28"/>
          <w:szCs w:val="32"/>
        </w:rPr>
        <w:t>发</w:t>
      </w:r>
      <w:r>
        <w:rPr>
          <w:rFonts w:eastAsia="仿宋_GB2312"/>
          <w:color w:val="000000"/>
          <w:kern w:val="0"/>
          <w:sz w:val="28"/>
          <w:szCs w:val="32"/>
        </w:rPr>
        <w:t>包人承担</w:t>
      </w:r>
      <w:r>
        <w:rPr>
          <w:rFonts w:hint="eastAsia" w:eastAsia="仿宋_GB2312"/>
          <w:color w:val="000000"/>
          <w:kern w:val="0"/>
          <w:sz w:val="28"/>
          <w:szCs w:val="32"/>
        </w:rPr>
        <w:t>，如检测质量不符合规范要求的，所需费用由承包人承担。</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18.7.5  工程质量保修期满以及竣工验收遗留问题和尾工处理完成并通过验收后，发包人负责将处理情况和验收成果报送竣工验收主持单位，申请领取工程竣工证书，并发送承包人。</w:t>
      </w:r>
    </w:p>
    <w:p>
      <w:pPr>
        <w:spacing w:line="490" w:lineRule="exact"/>
        <w:ind w:firstLine="562" w:firstLineChars="200"/>
        <w:outlineLvl w:val="3"/>
        <w:rPr>
          <w:rFonts w:eastAsia="楷体_GB2312"/>
          <w:b/>
          <w:bCs/>
          <w:color w:val="000000"/>
          <w:kern w:val="0"/>
          <w:sz w:val="28"/>
          <w:szCs w:val="32"/>
        </w:rPr>
      </w:pPr>
      <w:r>
        <w:rPr>
          <w:rFonts w:eastAsia="楷体_GB2312"/>
          <w:b/>
          <w:bCs/>
          <w:color w:val="000000"/>
          <w:kern w:val="0"/>
          <w:sz w:val="28"/>
          <w:szCs w:val="32"/>
        </w:rPr>
        <w:t>18.8  施工期运行</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18.8.1  施工期运行是指合同工程尚未全部完工，其中某单位工程或部分工程已完工，需要投入施工期运行的，经发包人按第18.2款或第18.3款的约定验收合格，证明能确保安全后，才能在施工期投入运行。需要在施工期运行的单位工程或部分工程在专用合同条款中约定。</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18.8.2  在施工期运行中发现工程或工程设备损坏或存在缺陷的，由承包人按第19.2款约定进行修复。</w:t>
      </w:r>
    </w:p>
    <w:p>
      <w:pPr>
        <w:spacing w:line="490" w:lineRule="exact"/>
        <w:ind w:firstLine="562" w:firstLineChars="200"/>
        <w:outlineLvl w:val="3"/>
        <w:rPr>
          <w:rFonts w:eastAsia="楷体_GB2312"/>
          <w:b/>
          <w:bCs/>
          <w:color w:val="000000"/>
          <w:kern w:val="0"/>
          <w:sz w:val="28"/>
          <w:szCs w:val="32"/>
        </w:rPr>
      </w:pPr>
      <w:r>
        <w:rPr>
          <w:rFonts w:eastAsia="楷体_GB2312"/>
          <w:b/>
          <w:bCs/>
          <w:color w:val="000000"/>
          <w:kern w:val="0"/>
          <w:sz w:val="28"/>
          <w:szCs w:val="32"/>
        </w:rPr>
        <w:t>18.9  试运行</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18.9.1  除专用合同条款另有约定外，承包人应按规定进行工程及工程设备试运行，负责提供试运行所需的人员、器材和必要的条件，并承担全部试运行费用。</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18.9.2  由于承包人的原因导致试运行失败的，承包人应采取措施保证试运行合格，并承担相应费用。由于发包人的原因导致试运行失败的，承包人应当采取措施保证试运行合格，发包人应承担由此产生的费用，并支付承包人合理利润。</w:t>
      </w:r>
    </w:p>
    <w:p>
      <w:pPr>
        <w:spacing w:line="490" w:lineRule="exact"/>
        <w:ind w:firstLine="562" w:firstLineChars="200"/>
        <w:outlineLvl w:val="3"/>
        <w:rPr>
          <w:rFonts w:eastAsia="楷体_GB2312"/>
          <w:b/>
          <w:bCs/>
          <w:color w:val="000000"/>
          <w:kern w:val="0"/>
          <w:sz w:val="28"/>
          <w:szCs w:val="32"/>
        </w:rPr>
      </w:pPr>
      <w:r>
        <w:rPr>
          <w:rFonts w:eastAsia="楷体_GB2312"/>
          <w:b/>
          <w:bCs/>
          <w:color w:val="000000"/>
          <w:kern w:val="0"/>
          <w:sz w:val="28"/>
          <w:szCs w:val="32"/>
        </w:rPr>
        <w:t>18.10  竣工（完工）清场</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18.10.1  工程项目竣工（完工）清场的工作范围和内容在技术标准和要求（合同技术条款）中约定。</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18.10.2  承包人未按监理人的要求恢复临时占地，或者场地清理未达到合同约定的，发包人有权委托其它人恢复或清理，所发生的金额从拟支付给承包人的款项中扣除。</w:t>
      </w:r>
    </w:p>
    <w:p>
      <w:pPr>
        <w:spacing w:line="490" w:lineRule="exact"/>
        <w:ind w:firstLine="562" w:firstLineChars="200"/>
        <w:outlineLvl w:val="3"/>
        <w:rPr>
          <w:rFonts w:eastAsia="楷体_GB2312"/>
          <w:b/>
          <w:bCs/>
          <w:color w:val="000000"/>
          <w:kern w:val="0"/>
          <w:sz w:val="28"/>
          <w:szCs w:val="32"/>
        </w:rPr>
      </w:pPr>
      <w:r>
        <w:rPr>
          <w:rFonts w:eastAsia="楷体_GB2312"/>
          <w:b/>
          <w:bCs/>
          <w:color w:val="000000"/>
          <w:kern w:val="0"/>
          <w:sz w:val="28"/>
          <w:szCs w:val="32"/>
        </w:rPr>
        <w:t>18.11  施工队伍的撤离</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合同工程完工证书颁发后的56天内，除了经监理人同意需在缺陷责任期（工程质量保修期）内继续工作和使用的人员、施工设备和临时工程外，其余的人员、施工设备和临时工程均应撤离施工场地或拆除。除合同另有约定外，缺陷责任期（工程质量保修期）满时，承包人的人员和施工设备应全部撤离施工场地。</w:t>
      </w:r>
    </w:p>
    <w:p>
      <w:pPr>
        <w:pStyle w:val="6"/>
        <w:keepNext w:val="0"/>
        <w:keepLines w:val="0"/>
        <w:spacing w:before="0" w:after="0" w:line="490" w:lineRule="exact"/>
        <w:ind w:firstLine="562" w:firstLineChars="200"/>
        <w:rPr>
          <w:rFonts w:eastAsia="黑体"/>
          <w:bCs w:val="0"/>
          <w:color w:val="000000"/>
          <w:sz w:val="28"/>
        </w:rPr>
      </w:pPr>
      <w:bookmarkStart w:id="1708" w:name="_Toc51091896"/>
      <w:bookmarkStart w:id="1709" w:name="_Toc3867"/>
      <w:bookmarkStart w:id="1710" w:name="_Toc189386226"/>
      <w:bookmarkStart w:id="1711" w:name="_Toc20149"/>
      <w:r>
        <w:rPr>
          <w:rFonts w:eastAsia="黑体"/>
          <w:bCs w:val="0"/>
          <w:color w:val="000000"/>
          <w:sz w:val="28"/>
        </w:rPr>
        <w:t>19．缺陷责任与保修责任</w:t>
      </w:r>
      <w:bookmarkEnd w:id="1708"/>
      <w:bookmarkEnd w:id="1709"/>
      <w:bookmarkEnd w:id="1710"/>
      <w:bookmarkEnd w:id="1711"/>
    </w:p>
    <w:p>
      <w:pPr>
        <w:spacing w:line="490" w:lineRule="exact"/>
        <w:ind w:firstLine="562" w:firstLineChars="200"/>
        <w:outlineLvl w:val="3"/>
        <w:rPr>
          <w:rFonts w:eastAsia="楷体_GB2312"/>
          <w:b/>
          <w:bCs/>
          <w:color w:val="000000"/>
          <w:kern w:val="0"/>
          <w:sz w:val="28"/>
          <w:szCs w:val="32"/>
        </w:rPr>
      </w:pPr>
      <w:bookmarkStart w:id="1712" w:name="_Toc189386227"/>
      <w:r>
        <w:rPr>
          <w:rFonts w:eastAsia="楷体_GB2312"/>
          <w:b/>
          <w:bCs/>
          <w:color w:val="000000"/>
          <w:kern w:val="0"/>
          <w:sz w:val="28"/>
          <w:szCs w:val="32"/>
        </w:rPr>
        <w:t>19.1缺陷责任期的起算时间</w:t>
      </w:r>
      <w:bookmarkEnd w:id="1712"/>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除专用合同条款另有约定外，缺陷责任期（工程质量保修期）从工程通过合同工程完工验收后开始计算。在合同工程完工验收前，已经发包人提前验收的单位工程或部分工程，若未投入使用，其缺陷责任期（工程质量保修期）亦从工程通过合同工程完工验收后开始计算；若已投入使用，其缺陷责任期（工程质量保修期）从通过单位工程或部分工程投入使用验收后开始计算。缺陷责任期（工程质量保修期）的期限在专用合同条款中约定。</w:t>
      </w:r>
    </w:p>
    <w:p>
      <w:pPr>
        <w:spacing w:line="490" w:lineRule="exact"/>
        <w:ind w:firstLine="562" w:firstLineChars="200"/>
        <w:outlineLvl w:val="3"/>
        <w:rPr>
          <w:rFonts w:eastAsia="楷体_GB2312"/>
          <w:b/>
          <w:bCs/>
          <w:color w:val="000000"/>
          <w:kern w:val="0"/>
          <w:sz w:val="28"/>
          <w:szCs w:val="32"/>
        </w:rPr>
      </w:pPr>
      <w:bookmarkStart w:id="1713" w:name="_Toc511318159"/>
      <w:bookmarkStart w:id="1714" w:name="_Toc189386228"/>
      <w:r>
        <w:rPr>
          <w:rFonts w:eastAsia="楷体_GB2312"/>
          <w:b/>
          <w:bCs/>
          <w:color w:val="000000"/>
          <w:kern w:val="0"/>
          <w:sz w:val="28"/>
          <w:szCs w:val="32"/>
        </w:rPr>
        <w:t>19.2 缺陷责任</w:t>
      </w:r>
      <w:bookmarkEnd w:id="1713"/>
      <w:bookmarkEnd w:id="1714"/>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19.2.1  承包人应在缺陷责任期内对已交付使用的工程承担缺陷责任。</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19.2.2  缺陷责任期内，发包人对已接收使用的工程负责日常维护工作。发包人在使用过程中，发现已接收的工程存在新的缺陷或已修复的缺陷部位或部件又遭损坏的，承包人应负责修复，直至检验合格为止。</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19.2.3  监理人和承包人应共同查清缺陷和（或）损坏的原因。经查明属承包人原因造成的，应由承包人承担修复和查验的费用。经查验属发包人原因造成的，发包人应承担修复和查验的费用，并支付承包人合理利润。</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19.2.4  承包人不能在合理时间内修复缺陷的，发包人可自行修复或委托其他人修复，所需费用和利润的承担，按第19.2.3项约定办理。</w:t>
      </w:r>
    </w:p>
    <w:p>
      <w:pPr>
        <w:spacing w:line="490" w:lineRule="exact"/>
        <w:ind w:firstLine="562" w:firstLineChars="200"/>
        <w:outlineLvl w:val="3"/>
        <w:rPr>
          <w:rFonts w:eastAsia="楷体_GB2312"/>
          <w:b/>
          <w:bCs/>
          <w:color w:val="000000"/>
          <w:kern w:val="0"/>
          <w:sz w:val="28"/>
          <w:szCs w:val="32"/>
        </w:rPr>
      </w:pPr>
      <w:bookmarkStart w:id="1715" w:name="_Toc511318160"/>
      <w:bookmarkStart w:id="1716" w:name="_Toc189386229"/>
      <w:r>
        <w:rPr>
          <w:rFonts w:eastAsia="楷体_GB2312"/>
          <w:b/>
          <w:bCs/>
          <w:color w:val="000000"/>
          <w:kern w:val="0"/>
          <w:sz w:val="28"/>
          <w:szCs w:val="32"/>
        </w:rPr>
        <w:t>19.3 缺陷责任期的延长</w:t>
      </w:r>
      <w:bookmarkEnd w:id="1715"/>
      <w:bookmarkEnd w:id="1716"/>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由于承包人原因造成某项缺陷或损坏使某项工程或工程设备不能按原定目标使用而需要再次检查、检验和修复的，发包人有权要求承包人相应延长缺陷责任期，但缺陷责任期最长不超过2年。</w:t>
      </w:r>
    </w:p>
    <w:p>
      <w:pPr>
        <w:spacing w:line="490" w:lineRule="exact"/>
        <w:ind w:firstLine="562" w:firstLineChars="200"/>
        <w:outlineLvl w:val="3"/>
        <w:rPr>
          <w:rFonts w:eastAsia="楷体_GB2312"/>
          <w:b/>
          <w:bCs/>
          <w:color w:val="000000"/>
          <w:kern w:val="0"/>
          <w:sz w:val="28"/>
          <w:szCs w:val="32"/>
        </w:rPr>
      </w:pPr>
      <w:bookmarkStart w:id="1717" w:name="_Toc189386230"/>
      <w:bookmarkStart w:id="1718" w:name="_Toc511318161"/>
      <w:r>
        <w:rPr>
          <w:rFonts w:eastAsia="楷体_GB2312"/>
          <w:b/>
          <w:bCs/>
          <w:color w:val="000000"/>
          <w:kern w:val="0"/>
          <w:sz w:val="28"/>
          <w:szCs w:val="32"/>
        </w:rPr>
        <w:t>19.4 进一步试验和试运行</w:t>
      </w:r>
      <w:bookmarkEnd w:id="1717"/>
      <w:bookmarkEnd w:id="1718"/>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任何一项缺陷或损坏修复后，经检查证明其影响了工程或工程设备的使用性能，承包人应重新进行合同约定的试验和试运行，试验和试运行的全部费用应由责任方承担。</w:t>
      </w:r>
    </w:p>
    <w:p>
      <w:pPr>
        <w:spacing w:line="490" w:lineRule="exact"/>
        <w:ind w:firstLine="562" w:firstLineChars="200"/>
        <w:outlineLvl w:val="3"/>
        <w:rPr>
          <w:rFonts w:eastAsia="楷体_GB2312"/>
          <w:b/>
          <w:bCs/>
          <w:color w:val="000000"/>
          <w:kern w:val="0"/>
          <w:sz w:val="28"/>
          <w:szCs w:val="32"/>
        </w:rPr>
      </w:pPr>
      <w:bookmarkStart w:id="1719" w:name="_Toc189386231"/>
      <w:bookmarkStart w:id="1720" w:name="_Toc511318162"/>
      <w:r>
        <w:rPr>
          <w:rFonts w:eastAsia="楷体_GB2312"/>
          <w:b/>
          <w:bCs/>
          <w:color w:val="000000"/>
          <w:kern w:val="0"/>
          <w:sz w:val="28"/>
          <w:szCs w:val="32"/>
        </w:rPr>
        <w:t>19.5 承包人的进入权</w:t>
      </w:r>
      <w:bookmarkEnd w:id="1719"/>
      <w:bookmarkEnd w:id="1720"/>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缺陷责任期内承包人为缺陷修复工作需要，有权进入工程现场，但应遵守发包人的保安和保密规定。</w:t>
      </w:r>
    </w:p>
    <w:p>
      <w:pPr>
        <w:spacing w:line="490" w:lineRule="exact"/>
        <w:ind w:firstLine="562" w:firstLineChars="200"/>
        <w:outlineLvl w:val="3"/>
        <w:rPr>
          <w:rFonts w:eastAsia="楷体_GB2312"/>
          <w:b/>
          <w:bCs/>
          <w:color w:val="000000"/>
          <w:kern w:val="0"/>
          <w:sz w:val="28"/>
          <w:szCs w:val="32"/>
        </w:rPr>
      </w:pPr>
      <w:bookmarkStart w:id="1721" w:name="_Toc511318163"/>
      <w:r>
        <w:rPr>
          <w:rFonts w:eastAsia="楷体_GB2312"/>
          <w:b/>
          <w:bCs/>
          <w:color w:val="000000"/>
          <w:kern w:val="0"/>
          <w:sz w:val="28"/>
          <w:szCs w:val="32"/>
        </w:rPr>
        <w:t>19.6  缺陷责任期终止证书（工程质量保修责任终止证书）</w:t>
      </w:r>
      <w:bookmarkEnd w:id="1721"/>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合同工程完工验收或投入使用验收后，发包人与承包人应办理工程交接手续，承包人应向发包人递交工程质量保修书。</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缺陷责任期（工程质量保修期）满后30个工作日内，发包人应向承包人颁发工程质量保修责任终止证书，并退还剩余的质量保证金，但保修责任范围内的质量缺陷未处理完成的应除外。</w:t>
      </w:r>
    </w:p>
    <w:p>
      <w:pPr>
        <w:spacing w:line="490" w:lineRule="exact"/>
        <w:ind w:firstLine="562" w:firstLineChars="200"/>
        <w:outlineLvl w:val="3"/>
        <w:rPr>
          <w:rFonts w:eastAsia="楷体_GB2312"/>
          <w:b/>
          <w:bCs/>
          <w:color w:val="000000"/>
          <w:kern w:val="0"/>
          <w:sz w:val="28"/>
          <w:szCs w:val="32"/>
        </w:rPr>
      </w:pPr>
      <w:bookmarkStart w:id="1722" w:name="_Toc189386233"/>
      <w:bookmarkStart w:id="1723" w:name="_Toc511318164"/>
      <w:r>
        <w:rPr>
          <w:rFonts w:eastAsia="楷体_GB2312"/>
          <w:b/>
          <w:bCs/>
          <w:color w:val="000000"/>
          <w:kern w:val="0"/>
          <w:sz w:val="28"/>
          <w:szCs w:val="32"/>
        </w:rPr>
        <w:t>19.7 保修责任</w:t>
      </w:r>
      <w:bookmarkEnd w:id="1722"/>
      <w:bookmarkEnd w:id="1723"/>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合同当事人根据有关法律规定，在专用合同条款中约定工程质量保修范围、期限和责任。保修期自实际竣工日期起计算。在全部工程竣工验收前，已经发包人提前验收的单位工程，其保修期的起算日期相应提前。</w:t>
      </w:r>
    </w:p>
    <w:p>
      <w:pPr>
        <w:pStyle w:val="6"/>
        <w:keepNext w:val="0"/>
        <w:keepLines w:val="0"/>
        <w:spacing w:before="0" w:after="0" w:line="490" w:lineRule="exact"/>
        <w:ind w:firstLine="562" w:firstLineChars="200"/>
        <w:rPr>
          <w:rFonts w:eastAsia="黑体"/>
          <w:bCs w:val="0"/>
          <w:color w:val="000000"/>
          <w:sz w:val="28"/>
        </w:rPr>
      </w:pPr>
      <w:bookmarkStart w:id="1724" w:name="_Toc189386234"/>
      <w:bookmarkStart w:id="1725" w:name="_Toc22358"/>
      <w:bookmarkStart w:id="1726" w:name="_Toc25225"/>
      <w:bookmarkStart w:id="1727" w:name="_Toc51091897"/>
      <w:r>
        <w:rPr>
          <w:rFonts w:eastAsia="黑体"/>
          <w:bCs w:val="0"/>
          <w:color w:val="000000"/>
          <w:sz w:val="28"/>
        </w:rPr>
        <w:t>20．保险</w:t>
      </w:r>
      <w:bookmarkEnd w:id="1724"/>
      <w:bookmarkEnd w:id="1725"/>
      <w:bookmarkEnd w:id="1726"/>
      <w:bookmarkEnd w:id="1727"/>
    </w:p>
    <w:p>
      <w:pPr>
        <w:spacing w:line="490" w:lineRule="exact"/>
        <w:ind w:firstLine="562" w:firstLineChars="200"/>
        <w:outlineLvl w:val="3"/>
        <w:rPr>
          <w:rFonts w:eastAsia="楷体_GB2312"/>
          <w:b/>
          <w:bCs/>
          <w:color w:val="000000"/>
          <w:kern w:val="0"/>
          <w:sz w:val="28"/>
          <w:szCs w:val="32"/>
        </w:rPr>
      </w:pPr>
      <w:bookmarkStart w:id="1728" w:name="_Toc189386235"/>
      <w:r>
        <w:rPr>
          <w:rFonts w:eastAsia="楷体_GB2312"/>
          <w:b/>
          <w:bCs/>
          <w:color w:val="000000"/>
          <w:kern w:val="0"/>
          <w:sz w:val="28"/>
          <w:szCs w:val="32"/>
        </w:rPr>
        <w:t>20.1工程保险</w:t>
      </w:r>
      <w:bookmarkEnd w:id="1728"/>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除专用合同条款另有约定外，承包人应以发包人和承包人的共同名义向双方同意的保险人投保建筑工程一切险、安装工程一切险。其具体的投保内容、保险金额、保险费率、保险期限等有关内容在专用合同条款中约定。</w:t>
      </w:r>
    </w:p>
    <w:p>
      <w:pPr>
        <w:spacing w:line="490" w:lineRule="exact"/>
        <w:ind w:firstLine="562" w:firstLineChars="200"/>
        <w:outlineLvl w:val="3"/>
        <w:rPr>
          <w:rFonts w:eastAsia="楷体_GB2312"/>
          <w:b/>
          <w:bCs/>
          <w:color w:val="000000"/>
          <w:kern w:val="0"/>
          <w:sz w:val="28"/>
          <w:szCs w:val="32"/>
        </w:rPr>
      </w:pPr>
      <w:bookmarkStart w:id="1729" w:name="_Toc189386236"/>
      <w:r>
        <w:rPr>
          <w:rFonts w:eastAsia="楷体_GB2312"/>
          <w:b/>
          <w:bCs/>
          <w:color w:val="000000"/>
          <w:kern w:val="0"/>
          <w:sz w:val="28"/>
          <w:szCs w:val="32"/>
        </w:rPr>
        <w:t>20.2 人员工伤事故的保险</w:t>
      </w:r>
      <w:bookmarkEnd w:id="1729"/>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 xml:space="preserve">20.2.1  承包人员工伤事故的保险 </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承包人应依照有关法律规定参加工伤保险，为其履行合同所雇佣的全部人员，缴纳工伤保险费，并要求其分包人也进行此项保险。</w:t>
      </w:r>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 xml:space="preserve">20.2.2  发包人员工伤事故的保险 </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发包人应依照有关法律规定参加工伤保险，为其现场机构雇佣的全部人员，缴纳工伤保险费，并要求其监理人也进行此项保险。</w:t>
      </w:r>
    </w:p>
    <w:p>
      <w:pPr>
        <w:spacing w:line="490" w:lineRule="exact"/>
        <w:ind w:firstLine="562" w:firstLineChars="200"/>
        <w:outlineLvl w:val="3"/>
        <w:rPr>
          <w:rFonts w:eastAsia="楷体_GB2312"/>
          <w:b/>
          <w:bCs/>
          <w:color w:val="000000"/>
          <w:kern w:val="0"/>
          <w:sz w:val="28"/>
          <w:szCs w:val="32"/>
        </w:rPr>
      </w:pPr>
      <w:bookmarkStart w:id="1730" w:name="_Toc511318166"/>
      <w:bookmarkStart w:id="1731" w:name="_Toc189386237"/>
      <w:r>
        <w:rPr>
          <w:rFonts w:eastAsia="楷体_GB2312"/>
          <w:b/>
          <w:bCs/>
          <w:color w:val="000000"/>
          <w:kern w:val="0"/>
          <w:sz w:val="28"/>
          <w:szCs w:val="32"/>
        </w:rPr>
        <w:t>20.3 人身意外伤害险</w:t>
      </w:r>
      <w:bookmarkEnd w:id="1730"/>
      <w:bookmarkEnd w:id="1731"/>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20.3.1  发包人应在整个施工期间为其现场机构雇用的全部人员，投保人身意外伤害险，缴纳保险费，并要求其监理人也进行此项保险。</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20.3.2  承包人应在整个施工期间为其现场机构雇用的全部人员，投保人身意外伤害险，缴纳保险费，并要求其分包人也进行此项保险。</w:t>
      </w:r>
    </w:p>
    <w:p>
      <w:pPr>
        <w:spacing w:line="490" w:lineRule="exact"/>
        <w:ind w:firstLine="562" w:firstLineChars="200"/>
        <w:outlineLvl w:val="3"/>
        <w:rPr>
          <w:rFonts w:eastAsia="楷体_GB2312"/>
          <w:b/>
          <w:bCs/>
          <w:color w:val="000000"/>
          <w:kern w:val="0"/>
          <w:sz w:val="28"/>
          <w:szCs w:val="32"/>
        </w:rPr>
      </w:pPr>
      <w:bookmarkStart w:id="1732" w:name="_Toc189386238"/>
      <w:bookmarkStart w:id="1733" w:name="_Toc511318167"/>
      <w:r>
        <w:rPr>
          <w:rFonts w:eastAsia="楷体_GB2312"/>
          <w:b/>
          <w:bCs/>
          <w:color w:val="000000"/>
          <w:kern w:val="0"/>
          <w:sz w:val="28"/>
          <w:szCs w:val="32"/>
        </w:rPr>
        <w:t>20.4 第三者责任险</w:t>
      </w:r>
      <w:bookmarkEnd w:id="1732"/>
      <w:bookmarkEnd w:id="1733"/>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20.4.1  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20.4.2  在缺陷责任期终止证书颁发前，承包人应以承包人和发包人的共同名义，投保第项约定的第三者责任险，其保险费率、保险金额等有关内容在专用合同条款中约定。</w:t>
      </w:r>
    </w:p>
    <w:p>
      <w:pPr>
        <w:spacing w:line="490" w:lineRule="exact"/>
        <w:ind w:firstLine="562" w:firstLineChars="200"/>
        <w:outlineLvl w:val="3"/>
        <w:rPr>
          <w:rFonts w:eastAsia="楷体_GB2312"/>
          <w:b/>
          <w:bCs/>
          <w:color w:val="000000"/>
          <w:kern w:val="0"/>
          <w:sz w:val="28"/>
          <w:szCs w:val="32"/>
        </w:rPr>
      </w:pPr>
      <w:bookmarkStart w:id="1734" w:name="_Toc511318168"/>
      <w:bookmarkStart w:id="1735" w:name="_Toc189386239"/>
      <w:r>
        <w:rPr>
          <w:rFonts w:eastAsia="楷体_GB2312"/>
          <w:b/>
          <w:bCs/>
          <w:color w:val="000000"/>
          <w:kern w:val="0"/>
          <w:sz w:val="28"/>
          <w:szCs w:val="32"/>
        </w:rPr>
        <w:t>20.5 其他保险</w:t>
      </w:r>
      <w:bookmarkEnd w:id="1734"/>
      <w:bookmarkEnd w:id="1735"/>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除专用合同条款另有约定外，承包人应为其施工设备、进场的材料和工程设备等办理保险。</w:t>
      </w:r>
    </w:p>
    <w:p>
      <w:pPr>
        <w:spacing w:line="490" w:lineRule="exact"/>
        <w:ind w:firstLine="562" w:firstLineChars="200"/>
        <w:outlineLvl w:val="3"/>
        <w:rPr>
          <w:rFonts w:eastAsia="楷体_GB2312"/>
          <w:b/>
          <w:bCs/>
          <w:color w:val="000000"/>
          <w:kern w:val="0"/>
          <w:sz w:val="28"/>
          <w:szCs w:val="32"/>
        </w:rPr>
      </w:pPr>
      <w:bookmarkStart w:id="1736" w:name="_Toc511318169"/>
      <w:bookmarkStart w:id="1737" w:name="_Toc189386240"/>
      <w:r>
        <w:rPr>
          <w:rFonts w:eastAsia="楷体_GB2312"/>
          <w:b/>
          <w:bCs/>
          <w:color w:val="000000"/>
          <w:kern w:val="0"/>
          <w:sz w:val="28"/>
          <w:szCs w:val="32"/>
        </w:rPr>
        <w:t>20.6 对各项保险的一般要求</w:t>
      </w:r>
      <w:bookmarkEnd w:id="1736"/>
      <w:bookmarkEnd w:id="1737"/>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20.6.1  保险凭证</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承包人应在专用合同条款约定的期限内向发包人提交各项保险生效的证据和保险单副本，保险单必须与专用合同条款约定的条件保持一致。</w:t>
      </w:r>
    </w:p>
    <w:p>
      <w:pPr>
        <w:spacing w:line="490" w:lineRule="exact"/>
        <w:ind w:firstLine="562" w:firstLineChars="200"/>
        <w:rPr>
          <w:rFonts w:eastAsia="仿宋_GB2312"/>
          <w:b/>
          <w:color w:val="000000"/>
          <w:kern w:val="0"/>
          <w:sz w:val="28"/>
          <w:szCs w:val="32"/>
        </w:rPr>
      </w:pPr>
      <w:r>
        <w:rPr>
          <w:rFonts w:eastAsia="仿宋_GB2312"/>
          <w:b/>
          <w:color w:val="000000"/>
          <w:kern w:val="0"/>
          <w:sz w:val="28"/>
          <w:szCs w:val="32"/>
        </w:rPr>
        <w:t>20.6.2  保险合同条款的变动</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承包人需要变动保险合同条款时，应事先征得发包人同意，并通知监理人。保险人作出变动的，承包人应在收到保险人通知后立即通知发包人和监理人。</w:t>
      </w:r>
    </w:p>
    <w:p>
      <w:pPr>
        <w:spacing w:line="480" w:lineRule="exact"/>
        <w:ind w:firstLine="562" w:firstLineChars="200"/>
        <w:rPr>
          <w:rFonts w:eastAsia="仿宋_GB2312"/>
          <w:b/>
          <w:color w:val="000000"/>
          <w:kern w:val="0"/>
          <w:sz w:val="28"/>
          <w:szCs w:val="32"/>
        </w:rPr>
      </w:pPr>
      <w:r>
        <w:rPr>
          <w:rFonts w:eastAsia="仿宋_GB2312"/>
          <w:b/>
          <w:color w:val="000000"/>
          <w:kern w:val="0"/>
          <w:sz w:val="28"/>
          <w:szCs w:val="32"/>
        </w:rPr>
        <w:t>20.6.3  持续保险</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承包人应与保险人保持联系，使保险人能够随时了解工程实施中的变动，并确保按保险合同条款要求持续保险。</w:t>
      </w:r>
    </w:p>
    <w:p>
      <w:pPr>
        <w:spacing w:line="480" w:lineRule="exact"/>
        <w:ind w:firstLine="562" w:firstLineChars="200"/>
        <w:rPr>
          <w:rFonts w:eastAsia="仿宋_GB2312"/>
          <w:b/>
          <w:color w:val="000000"/>
          <w:kern w:val="0"/>
          <w:sz w:val="28"/>
          <w:szCs w:val="32"/>
        </w:rPr>
      </w:pPr>
      <w:r>
        <w:rPr>
          <w:rFonts w:eastAsia="仿宋_GB2312"/>
          <w:b/>
          <w:color w:val="000000"/>
          <w:kern w:val="0"/>
          <w:sz w:val="28"/>
          <w:szCs w:val="32"/>
        </w:rPr>
        <w:t xml:space="preserve">20.6.4  保险金不足的补偿 </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保险金不足以补偿损失时，应由承包人和发包人各自负责补偿的范围和金额在专用合同条款中约定。</w:t>
      </w:r>
    </w:p>
    <w:p>
      <w:pPr>
        <w:spacing w:line="480" w:lineRule="exact"/>
        <w:ind w:firstLine="562" w:firstLineChars="200"/>
        <w:rPr>
          <w:rFonts w:eastAsia="仿宋_GB2312"/>
          <w:b/>
          <w:color w:val="000000"/>
          <w:kern w:val="0"/>
          <w:sz w:val="28"/>
          <w:szCs w:val="32"/>
        </w:rPr>
      </w:pPr>
      <w:r>
        <w:rPr>
          <w:rFonts w:eastAsia="仿宋_GB2312"/>
          <w:b/>
          <w:color w:val="000000"/>
          <w:kern w:val="0"/>
          <w:sz w:val="28"/>
          <w:szCs w:val="32"/>
        </w:rPr>
        <w:t xml:space="preserve">20.6.5  未按约定投保的补救 </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（1）由于负有投保义务的一方当事人未按合同约定办理保险，或未能使保险持续有效的，另一方当事人可代为办理，所需费用由对方当事人承担。</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（2）由于负有投保义务的一方当事人未按合同约定办理某项保险，导致受益人未能得到保险人的赔偿，原应从该项保险得到的保险金应由负有投保义务的一方当事人支付。</w:t>
      </w:r>
    </w:p>
    <w:p>
      <w:pPr>
        <w:spacing w:line="480" w:lineRule="exact"/>
        <w:ind w:firstLine="562" w:firstLineChars="200"/>
        <w:rPr>
          <w:rFonts w:eastAsia="仿宋_GB2312"/>
          <w:b/>
          <w:color w:val="000000"/>
          <w:kern w:val="0"/>
          <w:sz w:val="28"/>
          <w:szCs w:val="32"/>
        </w:rPr>
      </w:pPr>
      <w:r>
        <w:rPr>
          <w:rFonts w:eastAsia="仿宋_GB2312"/>
          <w:b/>
          <w:color w:val="000000"/>
          <w:kern w:val="0"/>
          <w:sz w:val="28"/>
          <w:szCs w:val="32"/>
        </w:rPr>
        <w:t xml:space="preserve">20.6.6  报告义务 </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当保险事故发生时，投保人应按照保险单规定的条件和期限及时向保险人报告。</w:t>
      </w:r>
    </w:p>
    <w:p>
      <w:pPr>
        <w:pStyle w:val="6"/>
        <w:keepNext w:val="0"/>
        <w:keepLines w:val="0"/>
        <w:spacing w:before="0" w:after="0" w:line="490" w:lineRule="exact"/>
        <w:ind w:firstLine="562" w:firstLineChars="200"/>
        <w:rPr>
          <w:rFonts w:eastAsia="黑体"/>
          <w:bCs w:val="0"/>
          <w:color w:val="000000"/>
          <w:sz w:val="28"/>
        </w:rPr>
      </w:pPr>
      <w:bookmarkStart w:id="1738" w:name="_Toc189386241"/>
      <w:bookmarkStart w:id="1739" w:name="_Toc51091898"/>
      <w:bookmarkStart w:id="1740" w:name="_Toc98"/>
      <w:bookmarkStart w:id="1741" w:name="_Toc32519"/>
      <w:r>
        <w:rPr>
          <w:rFonts w:eastAsia="黑体"/>
          <w:bCs w:val="0"/>
          <w:color w:val="000000"/>
          <w:sz w:val="28"/>
        </w:rPr>
        <w:t>21．不可抗力</w:t>
      </w:r>
      <w:bookmarkEnd w:id="1738"/>
      <w:bookmarkEnd w:id="1739"/>
      <w:bookmarkEnd w:id="1740"/>
      <w:bookmarkEnd w:id="1741"/>
    </w:p>
    <w:p>
      <w:pPr>
        <w:spacing w:line="490" w:lineRule="exact"/>
        <w:ind w:firstLine="562" w:firstLineChars="200"/>
        <w:outlineLvl w:val="3"/>
        <w:rPr>
          <w:rFonts w:eastAsia="楷体_GB2312"/>
          <w:b/>
          <w:bCs/>
          <w:color w:val="000000"/>
          <w:kern w:val="0"/>
          <w:sz w:val="28"/>
          <w:szCs w:val="32"/>
        </w:rPr>
      </w:pPr>
      <w:bookmarkStart w:id="1742" w:name="_Toc189386242"/>
      <w:bookmarkStart w:id="1743" w:name="_Toc511318171"/>
      <w:r>
        <w:rPr>
          <w:rFonts w:eastAsia="楷体_GB2312"/>
          <w:b/>
          <w:bCs/>
          <w:color w:val="000000"/>
          <w:kern w:val="0"/>
          <w:sz w:val="28"/>
          <w:szCs w:val="32"/>
        </w:rPr>
        <w:t>21.1 不可抗力的确认</w:t>
      </w:r>
      <w:bookmarkEnd w:id="1742"/>
      <w:bookmarkEnd w:id="1743"/>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21.1.1  不可抗力是指承包人和发包人在订立合同时不可预见，在工程施工过程中不可避免发生并不能克服的自然灾害和社会性突发事件，如地震、海啸、瘟疫、水灾、骚乱、暴动、战争和专用合同条款约定的其他情形。</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21.1.2  不可抗力发生后，发包人和承包人应及时认真统计所造成的损失，收集不可抗力造成损失的证据。合同双方对是否属于不可抗力或其损失的意见不一致的，由监理人按第</w:t>
      </w:r>
      <w:r>
        <w:rPr>
          <w:rFonts w:hint="eastAsia" w:eastAsia="仿宋_GB2312"/>
          <w:color w:val="000000"/>
          <w:kern w:val="0"/>
          <w:sz w:val="28"/>
          <w:szCs w:val="32"/>
        </w:rPr>
        <w:t>3.5</w:t>
      </w:r>
      <w:r>
        <w:rPr>
          <w:rFonts w:eastAsia="仿宋_GB2312"/>
          <w:color w:val="000000"/>
          <w:kern w:val="0"/>
          <w:sz w:val="28"/>
          <w:szCs w:val="32"/>
        </w:rPr>
        <w:t>款商定或确定。发生争议时，按第24条的约定办理。</w:t>
      </w:r>
    </w:p>
    <w:p>
      <w:pPr>
        <w:spacing w:line="490" w:lineRule="exact"/>
        <w:ind w:firstLine="562" w:firstLineChars="200"/>
        <w:outlineLvl w:val="3"/>
        <w:rPr>
          <w:rFonts w:eastAsia="楷体_GB2312"/>
          <w:b/>
          <w:bCs/>
          <w:color w:val="000000"/>
          <w:kern w:val="0"/>
          <w:sz w:val="28"/>
          <w:szCs w:val="32"/>
        </w:rPr>
      </w:pPr>
      <w:bookmarkStart w:id="1744" w:name="_Toc189386243"/>
      <w:bookmarkStart w:id="1745" w:name="_Toc511318172"/>
      <w:r>
        <w:rPr>
          <w:rFonts w:eastAsia="楷体_GB2312"/>
          <w:b/>
          <w:bCs/>
          <w:color w:val="000000"/>
          <w:kern w:val="0"/>
          <w:sz w:val="28"/>
          <w:szCs w:val="32"/>
        </w:rPr>
        <w:t>21.2 不可抗力的通知</w:t>
      </w:r>
      <w:bookmarkEnd w:id="1744"/>
      <w:bookmarkEnd w:id="1745"/>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21.2.1  合同一方当事人遇到不可抗力事件，使其履行合同义务受到阻碍时，应立即通知合同另一方当事人和监理人，书面说明不可抗力和受阻碍的详细情况，并提供必要的证明。</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21.2.2  如不可抗力持续发生，合同一方当事人应及时向合同另一方当事人和监理人提交中间报告，说明不可抗力和履行合同受阻的情况，并于不可抗力事件结束后28天内提交最终报告及有关资料。</w:t>
      </w:r>
    </w:p>
    <w:p>
      <w:pPr>
        <w:spacing w:line="490" w:lineRule="exact"/>
        <w:ind w:firstLine="562" w:firstLineChars="200"/>
        <w:outlineLvl w:val="3"/>
        <w:rPr>
          <w:rFonts w:eastAsia="楷体_GB2312"/>
          <w:b/>
          <w:bCs/>
          <w:color w:val="000000"/>
          <w:kern w:val="0"/>
          <w:sz w:val="28"/>
          <w:szCs w:val="32"/>
        </w:rPr>
      </w:pPr>
      <w:bookmarkStart w:id="1746" w:name="_Toc189386244"/>
      <w:bookmarkStart w:id="1747" w:name="_Toc511318173"/>
      <w:r>
        <w:rPr>
          <w:rFonts w:eastAsia="楷体_GB2312"/>
          <w:b/>
          <w:bCs/>
          <w:color w:val="000000"/>
          <w:kern w:val="0"/>
          <w:sz w:val="28"/>
          <w:szCs w:val="32"/>
        </w:rPr>
        <w:t>21.3 不可抗力后果及其处理</w:t>
      </w:r>
      <w:bookmarkEnd w:id="1746"/>
      <w:bookmarkEnd w:id="1747"/>
    </w:p>
    <w:p>
      <w:pPr>
        <w:spacing w:line="480" w:lineRule="exact"/>
        <w:ind w:firstLine="562" w:firstLineChars="200"/>
        <w:rPr>
          <w:rFonts w:eastAsia="仿宋_GB2312"/>
          <w:b/>
          <w:color w:val="000000"/>
          <w:kern w:val="0"/>
          <w:sz w:val="28"/>
          <w:szCs w:val="32"/>
        </w:rPr>
      </w:pPr>
      <w:r>
        <w:rPr>
          <w:rFonts w:eastAsia="仿宋_GB2312"/>
          <w:b/>
          <w:color w:val="000000"/>
          <w:kern w:val="0"/>
          <w:sz w:val="28"/>
          <w:szCs w:val="32"/>
        </w:rPr>
        <w:t>21.3.1  不可抗力造成损害的责任</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除专用合同条款另有约定外，不可抗力导致的人员伤亡、财产损失、费用增加和（或）工期延误等后果，由合同双方按以下原则承担：</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（1）永久工程，包括已运至施工场地的材料和工程设备的损害，以及因工程损害造成的第三者人员伤亡和财产损失由发包人承担；</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（2）承包人设备的损坏由承包人承担；</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（3）发包人和承包人各自承担其人员伤亡和其他财产损失及其相关费用；</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（4）承包人的停工损失由承包人承担，但停工期间应监理人要求照管工程和清理、修复工程的金额由发包人承担；</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（5）不能按期竣工的，应合理延长工期，承包人不需支付逾期竣工违约金。发包人要求赶工的，承包人应采取赶工措施，赶工费用由发包人承担。</w:t>
      </w:r>
    </w:p>
    <w:p>
      <w:pPr>
        <w:spacing w:line="480" w:lineRule="exact"/>
        <w:ind w:firstLine="562" w:firstLineChars="200"/>
        <w:rPr>
          <w:rFonts w:eastAsia="仿宋_GB2312"/>
          <w:b/>
          <w:color w:val="000000"/>
          <w:kern w:val="0"/>
          <w:sz w:val="28"/>
          <w:szCs w:val="32"/>
        </w:rPr>
      </w:pPr>
      <w:r>
        <w:rPr>
          <w:rFonts w:eastAsia="仿宋_GB2312"/>
          <w:b/>
          <w:color w:val="000000"/>
          <w:kern w:val="0"/>
          <w:sz w:val="28"/>
          <w:szCs w:val="32"/>
        </w:rPr>
        <w:t>21.3.2  延迟履行期间发生的不可抗力</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合同一方当事人延迟履行，在延迟履行期间发生不可抗力的，不免除其责任。</w:t>
      </w:r>
    </w:p>
    <w:p>
      <w:pPr>
        <w:spacing w:line="480" w:lineRule="exact"/>
        <w:ind w:firstLine="562" w:firstLineChars="200"/>
        <w:rPr>
          <w:rFonts w:eastAsia="仿宋_GB2312"/>
          <w:b/>
          <w:color w:val="000000"/>
          <w:kern w:val="0"/>
          <w:sz w:val="28"/>
          <w:szCs w:val="32"/>
        </w:rPr>
      </w:pPr>
      <w:r>
        <w:rPr>
          <w:rFonts w:eastAsia="仿宋_GB2312"/>
          <w:b/>
          <w:color w:val="000000"/>
          <w:kern w:val="0"/>
          <w:sz w:val="28"/>
          <w:szCs w:val="32"/>
        </w:rPr>
        <w:t>21.3.3  避免和减少不可抗力损失</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不可抗力发生后，发包人和承包人均应采取措施尽量避免和减少损失的扩大，任何一方没有采取有效措施导致损失扩大的，应对扩大的损失承担责任。</w:t>
      </w:r>
    </w:p>
    <w:p>
      <w:pPr>
        <w:spacing w:line="480" w:lineRule="exact"/>
        <w:ind w:firstLine="562" w:firstLineChars="200"/>
        <w:rPr>
          <w:rFonts w:eastAsia="仿宋_GB2312"/>
          <w:b/>
          <w:color w:val="000000"/>
          <w:kern w:val="0"/>
          <w:sz w:val="28"/>
          <w:szCs w:val="32"/>
        </w:rPr>
      </w:pPr>
      <w:r>
        <w:rPr>
          <w:rFonts w:eastAsia="仿宋_GB2312"/>
          <w:b/>
          <w:color w:val="000000"/>
          <w:kern w:val="0"/>
          <w:sz w:val="28"/>
          <w:szCs w:val="32"/>
        </w:rPr>
        <w:t>21.3.4  因不可抗力解除合同</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合同一方当事人因不可抗力不能履行合同的，应当及时通知对方解除合同。合同解除后，承包人应按照第22.2.5项约定撤离施工场地。已经订货的材料、设备由订货方负责退货或解除订货合同，不能退还的货款和因退货、解除订货合同发生的费用，由发包人承担，因未及时退货造成的损失由责任方承担。合同解除后的付款，参照第22.2.4项约定，由监理人按第3.5 款商定或确定。</w:t>
      </w:r>
    </w:p>
    <w:p>
      <w:pPr>
        <w:pStyle w:val="6"/>
        <w:keepNext w:val="0"/>
        <w:keepLines w:val="0"/>
        <w:spacing w:before="0" w:after="0" w:line="490" w:lineRule="exact"/>
        <w:ind w:firstLine="562" w:firstLineChars="200"/>
        <w:rPr>
          <w:rFonts w:eastAsia="黑体"/>
          <w:bCs w:val="0"/>
          <w:color w:val="000000"/>
          <w:sz w:val="28"/>
        </w:rPr>
      </w:pPr>
      <w:bookmarkStart w:id="1748" w:name="_Toc26265"/>
      <w:bookmarkStart w:id="1749" w:name="_Toc27629"/>
      <w:bookmarkStart w:id="1750" w:name="_Toc51091899"/>
      <w:bookmarkStart w:id="1751" w:name="_Toc189386245"/>
      <w:r>
        <w:rPr>
          <w:rFonts w:eastAsia="黑体"/>
          <w:bCs w:val="0"/>
          <w:color w:val="000000"/>
          <w:sz w:val="28"/>
        </w:rPr>
        <w:t>22．违约</w:t>
      </w:r>
      <w:bookmarkEnd w:id="1748"/>
      <w:bookmarkEnd w:id="1749"/>
      <w:bookmarkEnd w:id="1750"/>
      <w:bookmarkEnd w:id="1751"/>
    </w:p>
    <w:p>
      <w:pPr>
        <w:spacing w:line="490" w:lineRule="exact"/>
        <w:ind w:firstLine="562" w:firstLineChars="200"/>
        <w:outlineLvl w:val="3"/>
        <w:rPr>
          <w:rFonts w:eastAsia="楷体_GB2312"/>
          <w:b/>
          <w:bCs/>
          <w:color w:val="000000"/>
          <w:kern w:val="0"/>
          <w:sz w:val="28"/>
          <w:szCs w:val="32"/>
        </w:rPr>
      </w:pPr>
      <w:bookmarkStart w:id="1752" w:name="_Toc189386246"/>
      <w:r>
        <w:rPr>
          <w:rFonts w:eastAsia="楷体_GB2312"/>
          <w:b/>
          <w:bCs/>
          <w:color w:val="000000"/>
          <w:kern w:val="0"/>
          <w:sz w:val="28"/>
          <w:szCs w:val="32"/>
        </w:rPr>
        <w:t>22.1承包人违约</w:t>
      </w:r>
      <w:bookmarkEnd w:id="1752"/>
    </w:p>
    <w:p>
      <w:pPr>
        <w:spacing w:line="480" w:lineRule="exact"/>
        <w:ind w:firstLine="562" w:firstLineChars="200"/>
        <w:rPr>
          <w:rFonts w:eastAsia="仿宋_GB2312"/>
          <w:b/>
          <w:color w:val="000000"/>
          <w:kern w:val="0"/>
          <w:sz w:val="28"/>
          <w:szCs w:val="32"/>
        </w:rPr>
      </w:pPr>
      <w:r>
        <w:rPr>
          <w:rFonts w:eastAsia="仿宋_GB2312"/>
          <w:b/>
          <w:color w:val="000000"/>
          <w:kern w:val="0"/>
          <w:sz w:val="28"/>
          <w:szCs w:val="32"/>
        </w:rPr>
        <w:t>22.1.1  承包人违约的情形</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在履行合同过程中发生的下列情况属承包人违约：</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（1）承包人违反第1.8款或第4.3款的约定，私自将合同的全部或部分权利转让给其他人，或私自将合同的全部或部分义务转移给其他人；</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（2）承包人违反第5.3款或第6.4款的约定，未经监理人批准，私自将已按合同约定进入施工场地的施工设备、临时设施或材料撤离施工场地；</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（3）承包人违反第5.4款的约定使用了不合格材料或工程设备，工程质量达不到标准要求，又拒绝清除不合格工程；</w:t>
      </w:r>
    </w:p>
    <w:p>
      <w:pPr>
        <w:spacing w:line="480" w:lineRule="exact"/>
        <w:ind w:firstLine="560" w:firstLineChars="200"/>
        <w:rPr>
          <w:rFonts w:eastAsia="仿宋_GB2312"/>
          <w:color w:val="000000"/>
          <w:sz w:val="28"/>
          <w:szCs w:val="32"/>
        </w:rPr>
      </w:pPr>
      <w:r>
        <w:rPr>
          <w:rFonts w:eastAsia="仿宋_GB2312"/>
          <w:color w:val="000000"/>
          <w:sz w:val="28"/>
          <w:szCs w:val="32"/>
        </w:rPr>
        <w:t>（4）承包人未能按合同进度计划及时完成合同约定的工作，已造成或预期造成工期延误；</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（5）承包人在缺陷责任期（工程质量保修期）内，未能对合同工程完工验收鉴定书所列的缺陷清单的内容或缺陷责任期（工程质量保修期）内发生的缺陷进行修复，而又拒绝按监理人指示再进行修补；</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（6）承包人无法继续履行或明确表示不履行或实质上已停止履行合同；</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（7）承包人不按合同约定履行义务的其它情况。</w:t>
      </w:r>
    </w:p>
    <w:p>
      <w:pPr>
        <w:spacing w:line="480" w:lineRule="exact"/>
        <w:ind w:firstLine="562" w:firstLineChars="200"/>
        <w:rPr>
          <w:rFonts w:eastAsia="仿宋_GB2312"/>
          <w:b/>
          <w:color w:val="000000"/>
          <w:kern w:val="0"/>
          <w:sz w:val="28"/>
          <w:szCs w:val="32"/>
        </w:rPr>
      </w:pPr>
      <w:r>
        <w:rPr>
          <w:rFonts w:eastAsia="仿宋_GB2312"/>
          <w:b/>
          <w:color w:val="000000"/>
          <w:kern w:val="0"/>
          <w:sz w:val="28"/>
          <w:szCs w:val="32"/>
        </w:rPr>
        <w:t xml:space="preserve">22.1.2  对承包人违约的处理 </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（1）承包人发生第22.1.1（6）目约定的违约情况时，发包人可通知承包人立即解除合同，并按有关法律处理。</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（2）承包人发生除第22.1.1（6）目约定以外的其他违约情况时，监理人可向承包人发出整改通知，要求其在指定的期限内改正。承包人应承担其违约所引起的费用增加和（或）工期延误。</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（3）经检查证明承包人已采取了有效措施纠正违约行为，具备复工条件的，可由监理人签发复工通知复工。</w:t>
      </w:r>
    </w:p>
    <w:p>
      <w:pPr>
        <w:spacing w:line="480" w:lineRule="exact"/>
        <w:ind w:firstLine="562" w:firstLineChars="200"/>
        <w:rPr>
          <w:rFonts w:eastAsia="仿宋_GB2312"/>
          <w:b/>
          <w:color w:val="000000"/>
          <w:kern w:val="0"/>
          <w:sz w:val="28"/>
          <w:szCs w:val="32"/>
        </w:rPr>
      </w:pPr>
      <w:r>
        <w:rPr>
          <w:rFonts w:eastAsia="仿宋_GB2312"/>
          <w:b/>
          <w:color w:val="000000"/>
          <w:kern w:val="0"/>
          <w:sz w:val="28"/>
          <w:szCs w:val="32"/>
        </w:rPr>
        <w:t xml:space="preserve">22.1.3  承包人违约解除合同 </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监理人发出整改通知28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pPr>
        <w:spacing w:line="480" w:lineRule="exact"/>
        <w:ind w:firstLine="562" w:firstLineChars="200"/>
        <w:rPr>
          <w:rFonts w:eastAsia="仿宋_GB2312"/>
          <w:b/>
          <w:color w:val="000000"/>
          <w:kern w:val="0"/>
          <w:sz w:val="28"/>
          <w:szCs w:val="32"/>
        </w:rPr>
      </w:pPr>
      <w:r>
        <w:rPr>
          <w:rFonts w:eastAsia="仿宋_GB2312"/>
          <w:b/>
          <w:color w:val="000000"/>
          <w:kern w:val="0"/>
          <w:sz w:val="28"/>
          <w:szCs w:val="32"/>
        </w:rPr>
        <w:t xml:space="preserve">22.1.4  合同解除后的估价、付款和结清 </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（1）合同解除后，监理人按第3.5款商定或确定承包人实际完成工作的价值，以及承包人已提供的材料、施工设备、工程设备和临时工程等的价值。</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（2）合同解除后，发包人应暂停对承包人的一切付款，查清各项付款和已扣款金额，包括承包人应支付的违约金。</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（3）合同解除后，发包人应按第23.4款的约定向承包人索赔由于解除合同给发包人造成的损失。</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（4）合同双方确认上述往来款项后，出具最终结清付款证书，结清全部合同款项。</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（5）发包人和承包人未能就解除合同后的结清达成一致而形成争议的，按第24条的约定办理。</w:t>
      </w:r>
    </w:p>
    <w:p>
      <w:pPr>
        <w:spacing w:line="480" w:lineRule="exact"/>
        <w:ind w:firstLine="562" w:firstLineChars="200"/>
        <w:rPr>
          <w:rFonts w:eastAsia="仿宋_GB2312"/>
          <w:b/>
          <w:color w:val="000000"/>
          <w:kern w:val="0"/>
          <w:sz w:val="28"/>
          <w:szCs w:val="32"/>
        </w:rPr>
      </w:pPr>
      <w:r>
        <w:rPr>
          <w:rFonts w:eastAsia="仿宋_GB2312"/>
          <w:b/>
          <w:color w:val="000000"/>
          <w:kern w:val="0"/>
          <w:sz w:val="28"/>
          <w:szCs w:val="32"/>
        </w:rPr>
        <w:t xml:space="preserve">22.1.5  协议利益的转让 </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因承包人违约解除合同的，发包人有权要求承包人将其为实施合同而签订的材料和设备的订货协议或任何服务协议利益转让给发包人，并在解除合同后的14 天内，依法办理转让手续。</w:t>
      </w:r>
    </w:p>
    <w:p>
      <w:pPr>
        <w:spacing w:line="480" w:lineRule="exact"/>
        <w:ind w:firstLine="562" w:firstLineChars="200"/>
        <w:rPr>
          <w:rFonts w:eastAsia="仿宋_GB2312"/>
          <w:b/>
          <w:color w:val="000000"/>
          <w:kern w:val="0"/>
          <w:sz w:val="28"/>
          <w:szCs w:val="32"/>
        </w:rPr>
      </w:pPr>
      <w:r>
        <w:rPr>
          <w:rFonts w:eastAsia="仿宋_GB2312"/>
          <w:b/>
          <w:color w:val="000000"/>
          <w:kern w:val="0"/>
          <w:sz w:val="28"/>
          <w:szCs w:val="32"/>
        </w:rPr>
        <w:t xml:space="preserve">22.1.6  紧急情况下无能力或不愿进行抢救 </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pPr>
        <w:spacing w:line="490" w:lineRule="exact"/>
        <w:ind w:firstLine="562" w:firstLineChars="200"/>
        <w:outlineLvl w:val="3"/>
        <w:rPr>
          <w:rFonts w:eastAsia="楷体_GB2312"/>
          <w:b/>
          <w:bCs/>
          <w:color w:val="000000"/>
          <w:kern w:val="0"/>
          <w:sz w:val="28"/>
          <w:szCs w:val="32"/>
        </w:rPr>
      </w:pPr>
      <w:bookmarkStart w:id="1753" w:name="_Toc189386247"/>
      <w:r>
        <w:rPr>
          <w:rFonts w:eastAsia="楷体_GB2312"/>
          <w:b/>
          <w:bCs/>
          <w:color w:val="000000"/>
          <w:kern w:val="0"/>
          <w:sz w:val="28"/>
          <w:szCs w:val="32"/>
        </w:rPr>
        <w:t>22.2 发包人违约</w:t>
      </w:r>
      <w:bookmarkEnd w:id="1753"/>
    </w:p>
    <w:p>
      <w:pPr>
        <w:spacing w:line="480" w:lineRule="exact"/>
        <w:ind w:firstLine="562" w:firstLineChars="200"/>
        <w:rPr>
          <w:rFonts w:eastAsia="仿宋_GB2312"/>
          <w:b/>
          <w:color w:val="000000"/>
          <w:kern w:val="0"/>
          <w:sz w:val="28"/>
          <w:szCs w:val="32"/>
        </w:rPr>
      </w:pPr>
      <w:r>
        <w:rPr>
          <w:rFonts w:eastAsia="仿宋_GB2312"/>
          <w:b/>
          <w:color w:val="000000"/>
          <w:kern w:val="0"/>
          <w:sz w:val="28"/>
          <w:szCs w:val="32"/>
        </w:rPr>
        <w:t xml:space="preserve">22.2.1  发包人违约的情形 </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在履行合同过程中发生的下列情形，属发包人违约：</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（1）发包人未能按合同约定支付预付款或合同价款，或拖延、拒绝批准付款申请和支付凭证，导致付款延误的；</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（2）发包人原因造成停工的；</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（3）监理人无正当理由没有在约定期限内发出复工指示，导致承包人无法复工的；</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（4）发包人无法继续履行或明确表示不履行或实质上已停止履行合同的；</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（5）发包人不履行合同约定其他义务的。</w:t>
      </w:r>
    </w:p>
    <w:p>
      <w:pPr>
        <w:spacing w:line="480" w:lineRule="exact"/>
        <w:ind w:firstLine="562" w:firstLineChars="200"/>
        <w:rPr>
          <w:rFonts w:eastAsia="仿宋_GB2312"/>
          <w:b/>
          <w:color w:val="000000"/>
          <w:kern w:val="0"/>
          <w:sz w:val="28"/>
          <w:szCs w:val="32"/>
        </w:rPr>
      </w:pPr>
      <w:r>
        <w:rPr>
          <w:rFonts w:eastAsia="仿宋_GB2312"/>
          <w:b/>
          <w:color w:val="000000"/>
          <w:kern w:val="0"/>
          <w:sz w:val="28"/>
          <w:szCs w:val="32"/>
        </w:rPr>
        <w:t>22.2.2  承包人有权暂停施工</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发包人发生除第22.2.1（4）目以外的违约情况时，承包人可向发包人发出通知，要求发包人采取有效措施纠正违约行为。发包人收到承包人通知后的28 天内仍不履行合同义务，承包人有权暂停施工，并通知监理人，发包人应承担由此增加的费用和（或）工期延误，并支付承包人合理利润。</w:t>
      </w:r>
    </w:p>
    <w:p>
      <w:pPr>
        <w:spacing w:line="480" w:lineRule="exact"/>
        <w:ind w:firstLine="562" w:firstLineChars="200"/>
        <w:rPr>
          <w:rFonts w:eastAsia="仿宋_GB2312"/>
          <w:b/>
          <w:color w:val="000000"/>
          <w:kern w:val="0"/>
          <w:sz w:val="28"/>
          <w:szCs w:val="32"/>
        </w:rPr>
      </w:pPr>
      <w:r>
        <w:rPr>
          <w:rFonts w:eastAsia="仿宋_GB2312"/>
          <w:b/>
          <w:color w:val="000000"/>
          <w:kern w:val="0"/>
          <w:sz w:val="28"/>
          <w:szCs w:val="32"/>
        </w:rPr>
        <w:t>22.2.3  发包人违约解除合同</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（1）发生第22.2.1（4）目的违约情况时，承包人可书面通知发包人解除合同。</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（2）承包人按22.2.2 项暂停施工28天后，发包人仍不纠正违约行为的，承包人可向发包人发出解除合同通知。但承包人的这一行动不免除发包人承担的违约责任，也不影响承包人根据合同约定享有的索赔权利。</w:t>
      </w:r>
    </w:p>
    <w:p>
      <w:pPr>
        <w:spacing w:line="480" w:lineRule="exact"/>
        <w:ind w:firstLine="562" w:firstLineChars="200"/>
        <w:rPr>
          <w:rFonts w:eastAsia="仿宋_GB2312"/>
          <w:b/>
          <w:color w:val="000000"/>
          <w:kern w:val="0"/>
          <w:sz w:val="28"/>
          <w:szCs w:val="32"/>
        </w:rPr>
      </w:pPr>
      <w:r>
        <w:rPr>
          <w:rFonts w:eastAsia="仿宋_GB2312"/>
          <w:b/>
          <w:color w:val="000000"/>
          <w:kern w:val="0"/>
          <w:sz w:val="28"/>
          <w:szCs w:val="32"/>
        </w:rPr>
        <w:t xml:space="preserve">22.2.4  解除合同后的付款 </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因发包人违约解除合同的，发包人应在解除合同后28天内向承包人支付下列金额，承包人应在此期限内及时向发包人提交要求支付下列金额的有关资料和凭证：</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（1）合同解除日以前所完成工作的价款；</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（2）承包人为该工程施工订购并已付款的材料、工程设备和其他物品的金额。发包人付还后，该材料、工程设备和其他物品归发包人所有；</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（3）承包人为完成工程所发生的，而发包人未支付的金额；</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（4）承包人撤离施工场地以及遣散承包人人员的金额；</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（5）由于解除合同应赔偿的承包人损失；</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（6）按合同约定在合同解除日前应支付给承包人的其他金额。</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发包人应按本项约定支付上述金额并退还质量保证金和履约担保，但有权要求承包人支付应偿还给发包人的各项金额。</w:t>
      </w:r>
    </w:p>
    <w:p>
      <w:pPr>
        <w:spacing w:line="480" w:lineRule="exact"/>
        <w:ind w:firstLine="562" w:firstLineChars="200"/>
        <w:rPr>
          <w:rFonts w:eastAsia="仿宋_GB2312"/>
          <w:b/>
          <w:color w:val="000000"/>
          <w:kern w:val="0"/>
          <w:sz w:val="28"/>
          <w:szCs w:val="32"/>
        </w:rPr>
      </w:pPr>
      <w:r>
        <w:rPr>
          <w:rFonts w:eastAsia="仿宋_GB2312"/>
          <w:b/>
          <w:color w:val="000000"/>
          <w:kern w:val="0"/>
          <w:sz w:val="28"/>
          <w:szCs w:val="32"/>
        </w:rPr>
        <w:t xml:space="preserve">22.2.5  解除合同后的承包人撤离 </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因发包人违约而解除合同后，承包人应妥善做好已竣工工程和已购材料、设备的保护和移交工作，按发包人要求将承包人设备和人员撤出施工场地。承包人撤出施工场地应遵守第18.7.1项的约定，发包人应为承包人撤出提供必要条件。</w:t>
      </w:r>
    </w:p>
    <w:p>
      <w:pPr>
        <w:spacing w:line="490" w:lineRule="exact"/>
        <w:ind w:firstLine="562" w:firstLineChars="200"/>
        <w:outlineLvl w:val="3"/>
        <w:rPr>
          <w:rFonts w:eastAsia="楷体_GB2312"/>
          <w:b/>
          <w:bCs/>
          <w:color w:val="000000"/>
          <w:kern w:val="0"/>
          <w:sz w:val="28"/>
          <w:szCs w:val="32"/>
        </w:rPr>
      </w:pPr>
      <w:bookmarkStart w:id="1754" w:name="_Toc189386248"/>
      <w:r>
        <w:rPr>
          <w:rFonts w:eastAsia="楷体_GB2312"/>
          <w:b/>
          <w:bCs/>
          <w:color w:val="000000"/>
          <w:kern w:val="0"/>
          <w:sz w:val="28"/>
          <w:szCs w:val="32"/>
        </w:rPr>
        <w:t>22.3第三人造成的违约</w:t>
      </w:r>
      <w:bookmarkEnd w:id="1754"/>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在履行合同过程中，一方当事人因第三人的原因造成违约的，应当向对方当事人承担违约责任。一方当事人和第三人之间的纠纷，依照法律规定或者按照约定解决。</w:t>
      </w:r>
    </w:p>
    <w:p>
      <w:pPr>
        <w:pStyle w:val="6"/>
        <w:keepNext w:val="0"/>
        <w:keepLines w:val="0"/>
        <w:spacing w:before="0" w:after="0" w:line="490" w:lineRule="exact"/>
        <w:ind w:firstLine="562" w:firstLineChars="200"/>
        <w:rPr>
          <w:rFonts w:eastAsia="黑体"/>
          <w:bCs w:val="0"/>
          <w:color w:val="000000"/>
          <w:sz w:val="28"/>
        </w:rPr>
      </w:pPr>
      <w:bookmarkStart w:id="1755" w:name="_Toc16192"/>
      <w:bookmarkStart w:id="1756" w:name="_Toc189386249"/>
      <w:bookmarkStart w:id="1757" w:name="_Toc51091900"/>
      <w:bookmarkStart w:id="1758" w:name="_Toc7196"/>
      <w:r>
        <w:rPr>
          <w:rFonts w:eastAsia="黑体"/>
          <w:bCs w:val="0"/>
          <w:color w:val="000000"/>
          <w:sz w:val="28"/>
        </w:rPr>
        <w:t>23．索赔</w:t>
      </w:r>
      <w:bookmarkEnd w:id="1755"/>
      <w:bookmarkEnd w:id="1756"/>
      <w:bookmarkEnd w:id="1757"/>
      <w:bookmarkEnd w:id="1758"/>
    </w:p>
    <w:p>
      <w:pPr>
        <w:spacing w:line="490" w:lineRule="exact"/>
        <w:ind w:firstLine="562" w:firstLineChars="200"/>
        <w:outlineLvl w:val="3"/>
        <w:rPr>
          <w:rFonts w:eastAsia="楷体_GB2312"/>
          <w:b/>
          <w:bCs/>
          <w:color w:val="000000"/>
          <w:kern w:val="0"/>
          <w:sz w:val="28"/>
          <w:szCs w:val="32"/>
        </w:rPr>
      </w:pPr>
      <w:bookmarkStart w:id="1759" w:name="_Toc189386250"/>
      <w:bookmarkStart w:id="1760" w:name="_Toc511318176"/>
      <w:r>
        <w:rPr>
          <w:rFonts w:eastAsia="楷体_GB2312"/>
          <w:b/>
          <w:bCs/>
          <w:color w:val="000000"/>
          <w:kern w:val="0"/>
          <w:sz w:val="28"/>
          <w:szCs w:val="32"/>
        </w:rPr>
        <w:t>23.1 承包人索赔的提出</w:t>
      </w:r>
      <w:bookmarkEnd w:id="1759"/>
      <w:bookmarkEnd w:id="1760"/>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根据合同约定，承包人认为有权得到追加付款和（或）延长工期的，应按以下程序向发包人提出索赔：</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（1）承包人应在知道或应当知道索赔事件发生后28天内，向监理人递交索赔意向通知书，并说明发生索赔事件的事由。承包人未在前述28天内发出索赔意向通知书的，丧失要求追加付款和（或）延长工期的权利；</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（2）承包人应在发出索赔意向通知书后28天内，向监理人正式递交索赔通知书。索赔通知书应详细说明索赔理由以及要求追加的付款金额和（或）延长的工期，并附必要的记录和证明材料；</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（3）索赔事件具有连续影响的，承包人应按合理时间间隔继续递交延续索赔通知，说明连续影响的实际情况和记录，列出累计的追加付款金额和（或）工期延长天数；</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（4）在索赔事件影响结束后的28天内，承包人应向监理人递交最终索赔通知书，说明最终要求索赔的追加付款金额和延长的工期，并附必要的记录和证明材料。</w:t>
      </w:r>
    </w:p>
    <w:p>
      <w:pPr>
        <w:spacing w:line="490" w:lineRule="exact"/>
        <w:ind w:firstLine="562" w:firstLineChars="200"/>
        <w:outlineLvl w:val="3"/>
        <w:rPr>
          <w:rFonts w:eastAsia="楷体_GB2312"/>
          <w:b/>
          <w:bCs/>
          <w:color w:val="000000"/>
          <w:kern w:val="0"/>
          <w:sz w:val="28"/>
          <w:szCs w:val="32"/>
        </w:rPr>
      </w:pPr>
      <w:bookmarkStart w:id="1761" w:name="_Toc511318177"/>
      <w:bookmarkStart w:id="1762" w:name="_Toc189386251"/>
      <w:r>
        <w:rPr>
          <w:rFonts w:eastAsia="楷体_GB2312"/>
          <w:b/>
          <w:bCs/>
          <w:color w:val="000000"/>
          <w:kern w:val="0"/>
          <w:sz w:val="28"/>
          <w:szCs w:val="32"/>
        </w:rPr>
        <w:t>23.2 承包人索赔处理程序</w:t>
      </w:r>
      <w:bookmarkEnd w:id="1761"/>
      <w:bookmarkEnd w:id="1762"/>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（1）监理人收到承包人提交的索赔通知书后，应及时审查索赔通知书的内容、查验承包人的记录和证明材料，必要时监理人可要求承包人提交全部原始记录副本。</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（2）监理人应按第3.5款商定或确定追加的付款和（或）延长的工期，并在收到上述索赔通知书或有关索赔的进一步证明材料后的42天内，将索赔处理结果答复承包人。</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（3）承包人接受索赔处理结果的，发包人应在作出索赔处理结果答复后28 天内完成赔付。承包人不接受索赔处理结果的，按第24条的约定办理。</w:t>
      </w:r>
    </w:p>
    <w:p>
      <w:pPr>
        <w:spacing w:line="490" w:lineRule="exact"/>
        <w:ind w:firstLine="562" w:firstLineChars="200"/>
        <w:outlineLvl w:val="3"/>
        <w:rPr>
          <w:rFonts w:eastAsia="楷体_GB2312"/>
          <w:b/>
          <w:bCs/>
          <w:color w:val="000000"/>
          <w:kern w:val="0"/>
          <w:sz w:val="28"/>
          <w:szCs w:val="32"/>
        </w:rPr>
      </w:pPr>
      <w:bookmarkStart w:id="1763" w:name="_Toc189386252"/>
      <w:bookmarkStart w:id="1764" w:name="_Toc511318178"/>
      <w:r>
        <w:rPr>
          <w:rFonts w:eastAsia="楷体_GB2312"/>
          <w:b/>
          <w:bCs/>
          <w:color w:val="000000"/>
          <w:kern w:val="0"/>
          <w:sz w:val="28"/>
          <w:szCs w:val="32"/>
        </w:rPr>
        <w:t>23.3 承包人提出索赔的期限</w:t>
      </w:r>
      <w:bookmarkEnd w:id="1763"/>
      <w:bookmarkEnd w:id="1764"/>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23.3.1  承包人按第17.5款的约定接受了完工付款证书后，应被认为已无权再提出在合同工程完工证书颁发前所发生的任何索赔。</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23.3.2  承包人按第17.6款的约定提交的最终结清申请单中，只限于提出合同工程完工证书颁发后发生的索赔。提出索赔的期限自接受最终结清证书时终止。</w:t>
      </w:r>
    </w:p>
    <w:p>
      <w:pPr>
        <w:spacing w:line="490" w:lineRule="exact"/>
        <w:ind w:firstLine="562" w:firstLineChars="200"/>
        <w:outlineLvl w:val="3"/>
        <w:rPr>
          <w:rFonts w:eastAsia="楷体_GB2312"/>
          <w:b/>
          <w:bCs/>
          <w:color w:val="000000"/>
          <w:kern w:val="0"/>
          <w:sz w:val="28"/>
          <w:szCs w:val="32"/>
        </w:rPr>
      </w:pPr>
      <w:bookmarkStart w:id="1765" w:name="_Toc189386253"/>
      <w:bookmarkStart w:id="1766" w:name="_Toc511318179"/>
      <w:r>
        <w:rPr>
          <w:rFonts w:eastAsia="楷体_GB2312"/>
          <w:b/>
          <w:bCs/>
          <w:color w:val="000000"/>
          <w:kern w:val="0"/>
          <w:sz w:val="28"/>
          <w:szCs w:val="32"/>
        </w:rPr>
        <w:t>23.4 发包人的索赔</w:t>
      </w:r>
      <w:bookmarkEnd w:id="1765"/>
      <w:bookmarkEnd w:id="1766"/>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23.4.1  发生索赔事件后，监理人应及时书面通知承包人，详细说明发包人有权得到的索赔金额和（或）延长缺陷责任期的细节和依据。发包人提出索赔的期限和要求与第23.3款的约定相同，延长缺陷责任期的通知应在缺陷责任期届满前发出。</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23.4.2  监理人按第3.5款商定或确定发包人从承包人处得到赔付的金额和（或）缺陷责任期的延长期。承包人应付给发包人的金额可从拟支付给承包人的合同价款中扣除，或由承包人以其他方式支付给发包人。</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23.4.3  承包人对监理人按第23.4.1项发出的索赔书面通知内容持异议时，应在收到书面通知后的14天内，将持有异议的书面报告及其证明材料提交监理人。监理人应在收到承包人书面报告后的14天内，将异议的处理意见通知承包人，并按第23.4.2项的约定执行赔付。若承包人不接受监理人的索赔处理意见，可按本合同第24条的规定办理。</w:t>
      </w:r>
    </w:p>
    <w:p>
      <w:pPr>
        <w:pStyle w:val="6"/>
        <w:keepNext w:val="0"/>
        <w:keepLines w:val="0"/>
        <w:spacing w:before="0" w:after="0" w:line="490" w:lineRule="exact"/>
        <w:ind w:firstLine="562" w:firstLineChars="200"/>
        <w:rPr>
          <w:rFonts w:eastAsia="黑体"/>
          <w:bCs w:val="0"/>
          <w:color w:val="000000"/>
          <w:sz w:val="28"/>
        </w:rPr>
      </w:pPr>
      <w:bookmarkStart w:id="1767" w:name="_Toc3279"/>
      <w:bookmarkStart w:id="1768" w:name="_Toc51091901"/>
      <w:bookmarkStart w:id="1769" w:name="_Toc25958"/>
      <w:bookmarkStart w:id="1770" w:name="_Toc189386254"/>
      <w:r>
        <w:rPr>
          <w:rFonts w:eastAsia="黑体"/>
          <w:bCs w:val="0"/>
          <w:color w:val="000000"/>
          <w:sz w:val="28"/>
        </w:rPr>
        <w:t>24．争议的解决</w:t>
      </w:r>
      <w:bookmarkEnd w:id="1767"/>
      <w:bookmarkEnd w:id="1768"/>
      <w:bookmarkEnd w:id="1769"/>
      <w:bookmarkEnd w:id="1770"/>
    </w:p>
    <w:p>
      <w:pPr>
        <w:spacing w:line="490" w:lineRule="exact"/>
        <w:ind w:firstLine="562" w:firstLineChars="200"/>
        <w:outlineLvl w:val="3"/>
        <w:rPr>
          <w:rFonts w:eastAsia="楷体_GB2312"/>
          <w:b/>
          <w:bCs/>
          <w:color w:val="000000"/>
          <w:kern w:val="0"/>
          <w:sz w:val="28"/>
          <w:szCs w:val="32"/>
        </w:rPr>
      </w:pPr>
      <w:bookmarkStart w:id="1771" w:name="_Toc189386255"/>
      <w:r>
        <w:rPr>
          <w:rFonts w:eastAsia="楷体_GB2312"/>
          <w:b/>
          <w:bCs/>
          <w:color w:val="000000"/>
          <w:kern w:val="0"/>
          <w:sz w:val="28"/>
          <w:szCs w:val="32"/>
        </w:rPr>
        <w:t>24.1争议的解决方式</w:t>
      </w:r>
      <w:bookmarkEnd w:id="1771"/>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（1）向约定的仲裁委员会申请仲裁；</w:t>
      </w:r>
    </w:p>
    <w:p>
      <w:pPr>
        <w:spacing w:line="480" w:lineRule="exact"/>
        <w:ind w:firstLine="560" w:firstLineChars="200"/>
        <w:rPr>
          <w:rFonts w:eastAsia="仿宋_GB2312"/>
          <w:color w:val="000000"/>
          <w:kern w:val="0"/>
          <w:sz w:val="28"/>
          <w:szCs w:val="32"/>
        </w:rPr>
      </w:pPr>
      <w:r>
        <w:rPr>
          <w:rFonts w:eastAsia="仿宋_GB2312"/>
          <w:color w:val="000000"/>
          <w:kern w:val="0"/>
          <w:sz w:val="28"/>
          <w:szCs w:val="32"/>
        </w:rPr>
        <w:t>（2）向有管辖权的人民法院提起诉讼。</w:t>
      </w:r>
    </w:p>
    <w:p>
      <w:pPr>
        <w:spacing w:line="490" w:lineRule="exact"/>
        <w:ind w:firstLine="562" w:firstLineChars="200"/>
        <w:outlineLvl w:val="3"/>
        <w:rPr>
          <w:rFonts w:eastAsia="楷体_GB2312"/>
          <w:b/>
          <w:bCs/>
          <w:color w:val="000000"/>
          <w:kern w:val="0"/>
          <w:sz w:val="28"/>
          <w:szCs w:val="32"/>
        </w:rPr>
      </w:pPr>
      <w:bookmarkStart w:id="1772" w:name="_Toc511318181"/>
      <w:bookmarkStart w:id="1773" w:name="_Toc189386256"/>
      <w:r>
        <w:rPr>
          <w:rFonts w:eastAsia="楷体_GB2312"/>
          <w:b/>
          <w:bCs/>
          <w:color w:val="000000"/>
          <w:kern w:val="0"/>
          <w:sz w:val="28"/>
          <w:szCs w:val="32"/>
        </w:rPr>
        <w:t>24.2 友好解决</w:t>
      </w:r>
      <w:bookmarkEnd w:id="1772"/>
      <w:bookmarkEnd w:id="1773"/>
    </w:p>
    <w:p>
      <w:pPr>
        <w:spacing w:line="460" w:lineRule="exact"/>
        <w:ind w:firstLine="560" w:firstLineChars="200"/>
        <w:rPr>
          <w:rFonts w:eastAsia="仿宋_GB2312"/>
          <w:color w:val="000000"/>
          <w:kern w:val="0"/>
          <w:sz w:val="28"/>
          <w:szCs w:val="32"/>
        </w:rPr>
      </w:pPr>
      <w:r>
        <w:rPr>
          <w:rFonts w:eastAsia="仿宋_GB2312"/>
          <w:color w:val="000000"/>
          <w:kern w:val="0"/>
          <w:sz w:val="28"/>
          <w:szCs w:val="32"/>
        </w:rPr>
        <w:t>在提请争议评审、仲裁或者诉讼前，以及在争议评审、仲裁或诉讼过程中，发包人和承包人均可共同努力友好协商解决争议。</w:t>
      </w:r>
    </w:p>
    <w:p>
      <w:pPr>
        <w:spacing w:line="490" w:lineRule="exact"/>
        <w:ind w:firstLine="562" w:firstLineChars="200"/>
        <w:outlineLvl w:val="3"/>
        <w:rPr>
          <w:rFonts w:eastAsia="楷体_GB2312"/>
          <w:b/>
          <w:bCs/>
          <w:color w:val="000000"/>
          <w:kern w:val="0"/>
          <w:sz w:val="28"/>
          <w:szCs w:val="32"/>
        </w:rPr>
      </w:pPr>
      <w:bookmarkStart w:id="1774" w:name="_Toc511318182"/>
      <w:bookmarkStart w:id="1775" w:name="_Toc189386257"/>
      <w:r>
        <w:rPr>
          <w:rFonts w:eastAsia="楷体_GB2312"/>
          <w:b/>
          <w:bCs/>
          <w:color w:val="000000"/>
          <w:kern w:val="0"/>
          <w:sz w:val="28"/>
          <w:szCs w:val="32"/>
        </w:rPr>
        <w:t>24.3 争议评审</w:t>
      </w:r>
      <w:bookmarkEnd w:id="1774"/>
      <w:bookmarkEnd w:id="1775"/>
    </w:p>
    <w:p>
      <w:pPr>
        <w:spacing w:line="460" w:lineRule="exact"/>
        <w:ind w:firstLine="560" w:firstLineChars="200"/>
        <w:rPr>
          <w:rFonts w:eastAsia="仿宋_GB2312"/>
          <w:color w:val="000000"/>
          <w:kern w:val="0"/>
          <w:sz w:val="28"/>
          <w:szCs w:val="32"/>
        </w:rPr>
      </w:pPr>
      <w:r>
        <w:rPr>
          <w:rFonts w:eastAsia="仿宋_GB2312"/>
          <w:color w:val="000000"/>
          <w:kern w:val="0"/>
          <w:sz w:val="28"/>
          <w:szCs w:val="32"/>
        </w:rPr>
        <w:t>24.3.1  采用争议评审的，发包人和承包人应在开工日后的28天内或在争议发生后，协商成立争议评审组。争议评审组由有合同管理和工程实践经验的专家组成</w:t>
      </w:r>
      <w:r>
        <w:rPr>
          <w:rFonts w:hint="eastAsia" w:eastAsia="仿宋_GB2312"/>
          <w:color w:val="000000"/>
          <w:kern w:val="0"/>
          <w:sz w:val="28"/>
          <w:szCs w:val="32"/>
        </w:rPr>
        <w:t>且为3人以上的单数</w:t>
      </w:r>
      <w:r>
        <w:rPr>
          <w:rFonts w:eastAsia="仿宋_GB2312"/>
          <w:color w:val="000000"/>
          <w:kern w:val="0"/>
          <w:sz w:val="28"/>
          <w:szCs w:val="32"/>
        </w:rPr>
        <w:t>。</w:t>
      </w:r>
    </w:p>
    <w:p>
      <w:pPr>
        <w:spacing w:line="460" w:lineRule="exact"/>
        <w:ind w:firstLine="560" w:firstLineChars="200"/>
        <w:rPr>
          <w:rFonts w:eastAsia="仿宋_GB2312"/>
          <w:color w:val="000000"/>
          <w:kern w:val="0"/>
          <w:sz w:val="28"/>
          <w:szCs w:val="32"/>
        </w:rPr>
      </w:pPr>
      <w:r>
        <w:rPr>
          <w:rFonts w:eastAsia="仿宋_GB2312"/>
          <w:color w:val="000000"/>
          <w:kern w:val="0"/>
          <w:sz w:val="28"/>
          <w:szCs w:val="32"/>
        </w:rPr>
        <w:t>24.3.2  合同双方的争议，应首先由申请人向争议评审组提交一份详细的评审申请报告，并附必要的文件、图纸和证明材料，申请人还应将上述报告的副本同时提交给被申请人和监理人。</w:t>
      </w:r>
    </w:p>
    <w:p>
      <w:pPr>
        <w:spacing w:line="460" w:lineRule="exact"/>
        <w:ind w:firstLine="560" w:firstLineChars="200"/>
        <w:rPr>
          <w:rFonts w:eastAsia="仿宋_GB2312"/>
          <w:color w:val="000000"/>
          <w:kern w:val="0"/>
          <w:sz w:val="28"/>
          <w:szCs w:val="32"/>
        </w:rPr>
      </w:pPr>
      <w:r>
        <w:rPr>
          <w:rFonts w:eastAsia="仿宋_GB2312"/>
          <w:color w:val="000000"/>
          <w:kern w:val="0"/>
          <w:sz w:val="28"/>
          <w:szCs w:val="32"/>
        </w:rPr>
        <w:t>24.3.3  被申请人在收到申请人评审申请报告副本后的28天内，向争议评审组提交一份答辩报告，并附证明材料。被申请人应将答辩报告的副本同时提交给申请人和监理人。</w:t>
      </w:r>
    </w:p>
    <w:p>
      <w:pPr>
        <w:spacing w:line="460" w:lineRule="exact"/>
        <w:ind w:firstLine="560" w:firstLineChars="200"/>
        <w:rPr>
          <w:rFonts w:eastAsia="仿宋_GB2312"/>
          <w:color w:val="000000"/>
          <w:kern w:val="0"/>
          <w:sz w:val="28"/>
          <w:szCs w:val="32"/>
        </w:rPr>
      </w:pPr>
      <w:r>
        <w:rPr>
          <w:rFonts w:eastAsia="仿宋_GB2312"/>
          <w:color w:val="000000"/>
          <w:kern w:val="0"/>
          <w:sz w:val="28"/>
          <w:szCs w:val="32"/>
        </w:rPr>
        <w:t>24.3.4  除专用合同条款另有约定外，争议评审组在收到合同双方报告后的14 天内，邀请双方代表和有关人员举行调查会，向双方调查争议细节；必要时争议评审组可要求双方进一步提供补充材料。</w:t>
      </w:r>
    </w:p>
    <w:p>
      <w:pPr>
        <w:spacing w:line="460" w:lineRule="exact"/>
        <w:ind w:firstLine="560" w:firstLineChars="200"/>
        <w:rPr>
          <w:rFonts w:eastAsia="仿宋_GB2312"/>
          <w:color w:val="000000"/>
          <w:kern w:val="0"/>
          <w:sz w:val="28"/>
          <w:szCs w:val="32"/>
        </w:rPr>
      </w:pPr>
      <w:r>
        <w:rPr>
          <w:rFonts w:eastAsia="仿宋_GB2312"/>
          <w:color w:val="000000"/>
          <w:kern w:val="0"/>
          <w:sz w:val="28"/>
          <w:szCs w:val="32"/>
        </w:rPr>
        <w:t>24.3.5  除专用合同条款另有约定外，在调查会结束后的14天内，争议评审组应在不受任何干扰的情况下进行独立、公正的评审，作出书面评审意见，并说明理由。在争议评审期间，争议双方暂按总监理工程师的确定执行。</w:t>
      </w:r>
    </w:p>
    <w:p>
      <w:pPr>
        <w:spacing w:line="460" w:lineRule="exact"/>
        <w:ind w:firstLine="560" w:firstLineChars="200"/>
        <w:rPr>
          <w:rFonts w:eastAsia="仿宋_GB2312"/>
          <w:color w:val="000000"/>
          <w:kern w:val="0"/>
          <w:sz w:val="28"/>
          <w:szCs w:val="32"/>
        </w:rPr>
      </w:pPr>
      <w:r>
        <w:rPr>
          <w:rFonts w:eastAsia="仿宋_GB2312"/>
          <w:color w:val="000000"/>
          <w:kern w:val="0"/>
          <w:sz w:val="28"/>
          <w:szCs w:val="32"/>
        </w:rPr>
        <w:t>24.3.6  发包人和承包人接受评审意见的，由监理人根据评审意见拟定执行协议，经争议双方签字后作为合同的补充文件，并遵照执行。</w:t>
      </w:r>
    </w:p>
    <w:p>
      <w:pPr>
        <w:spacing w:line="460" w:lineRule="exact"/>
        <w:ind w:firstLine="560" w:firstLineChars="200"/>
        <w:rPr>
          <w:rFonts w:eastAsia="仿宋_GB2312"/>
          <w:color w:val="000000"/>
          <w:kern w:val="0"/>
          <w:sz w:val="28"/>
          <w:szCs w:val="32"/>
        </w:rPr>
      </w:pPr>
      <w:r>
        <w:rPr>
          <w:rFonts w:eastAsia="仿宋_GB2312"/>
          <w:color w:val="000000"/>
          <w:kern w:val="0"/>
          <w:sz w:val="28"/>
          <w:szCs w:val="32"/>
        </w:rPr>
        <w:t>24.3.7  发包人或承包人不接受评审意见，并要求提交仲裁或提起诉讼的，应在收到评审意见后的14天内将仲裁或起诉意向书面通知另一方，并抄送监理人，但在仲裁或诉讼结束前应暂按总监理工程师的确定执行。</w:t>
      </w:r>
    </w:p>
    <w:p>
      <w:pPr>
        <w:spacing w:line="490" w:lineRule="exact"/>
        <w:ind w:firstLine="562" w:firstLineChars="200"/>
        <w:outlineLvl w:val="3"/>
        <w:rPr>
          <w:rFonts w:eastAsia="楷体_GB2312"/>
          <w:b/>
          <w:bCs/>
          <w:color w:val="000000"/>
          <w:kern w:val="0"/>
          <w:sz w:val="28"/>
          <w:szCs w:val="32"/>
        </w:rPr>
      </w:pPr>
      <w:bookmarkStart w:id="1776" w:name="_Toc511318183"/>
      <w:r>
        <w:rPr>
          <w:rFonts w:eastAsia="楷体_GB2312"/>
          <w:b/>
          <w:bCs/>
          <w:color w:val="000000"/>
          <w:kern w:val="0"/>
          <w:sz w:val="28"/>
          <w:szCs w:val="32"/>
        </w:rPr>
        <w:t>24.4  仲裁</w:t>
      </w:r>
      <w:bookmarkEnd w:id="1776"/>
    </w:p>
    <w:p>
      <w:pPr>
        <w:spacing w:line="460" w:lineRule="exact"/>
        <w:ind w:firstLine="560" w:firstLineChars="200"/>
        <w:rPr>
          <w:rFonts w:eastAsia="仿宋_GB2312"/>
          <w:color w:val="000000"/>
          <w:kern w:val="0"/>
          <w:sz w:val="28"/>
          <w:szCs w:val="32"/>
        </w:rPr>
      </w:pPr>
      <w:r>
        <w:rPr>
          <w:rFonts w:eastAsia="仿宋_GB2312"/>
          <w:color w:val="000000"/>
          <w:kern w:val="0"/>
          <w:sz w:val="28"/>
          <w:szCs w:val="32"/>
        </w:rPr>
        <w:t>24.4.1  若合同双方商定直接向仲裁机构申请仲裁，应签订仲裁协议并约定仲裁机构。</w:t>
      </w:r>
    </w:p>
    <w:p>
      <w:pPr>
        <w:spacing w:line="460" w:lineRule="exact"/>
        <w:ind w:firstLine="560" w:firstLineChars="200"/>
        <w:rPr>
          <w:rFonts w:eastAsia="仿宋_GB2312"/>
          <w:color w:val="000000"/>
          <w:kern w:val="0"/>
          <w:sz w:val="28"/>
          <w:szCs w:val="32"/>
        </w:rPr>
      </w:pPr>
      <w:r>
        <w:rPr>
          <w:rFonts w:eastAsia="仿宋_GB2312"/>
          <w:color w:val="000000"/>
          <w:kern w:val="0"/>
          <w:sz w:val="28"/>
          <w:szCs w:val="32"/>
        </w:rPr>
        <w:t>24.4.2  若合同双方未能达成仲裁协议，则本合同的仲裁条款无效，任一方均有权向人民法院提起诉讼。</w:t>
      </w:r>
    </w:p>
    <w:p>
      <w:pPr>
        <w:spacing w:line="490" w:lineRule="exact"/>
        <w:ind w:firstLine="562" w:firstLineChars="200"/>
        <w:rPr>
          <w:rFonts w:eastAsia="仿宋_GB2312"/>
          <w:b/>
          <w:color w:val="000000"/>
          <w:sz w:val="28"/>
          <w:szCs w:val="32"/>
          <w:u w:val="single"/>
        </w:rPr>
      </w:pPr>
      <w:r>
        <w:rPr>
          <w:rFonts w:eastAsia="仿宋_GB2312"/>
          <w:b/>
          <w:color w:val="000000"/>
          <w:sz w:val="28"/>
          <w:szCs w:val="32"/>
          <w:u w:val="single"/>
        </w:rPr>
        <w:t>电子招标投标施工招标文件示范文本提供的专用合同条款内容供招标人参考，招标人可根据项目具体情况修改、补充、完善，除通用合同条款明确专用合同条款可作出不同约定外，专用合同条款及附件补充细化的内容不得与通用合同条款规定相抵触，不得违反法律、法规和行业规章的有关规定和平等、自愿、公平以及诚实信用原则。</w:t>
      </w:r>
    </w:p>
    <w:p>
      <w:pPr>
        <w:pStyle w:val="2"/>
        <w:rPr>
          <w:rFonts w:eastAsia="仿宋_GB2312"/>
          <w:color w:val="000000"/>
          <w:sz w:val="28"/>
          <w:szCs w:val="32"/>
        </w:rPr>
      </w:pPr>
    </w:p>
    <w:p>
      <w:pPr>
        <w:spacing w:line="490" w:lineRule="exact"/>
        <w:jc w:val="center"/>
        <w:outlineLvl w:val="1"/>
        <w:rPr>
          <w:rFonts w:eastAsia="黑体"/>
          <w:b/>
          <w:color w:val="000000"/>
          <w:sz w:val="28"/>
          <w:szCs w:val="36"/>
        </w:rPr>
      </w:pPr>
      <w:bookmarkStart w:id="1777" w:name="_Toc27121"/>
      <w:bookmarkStart w:id="1778" w:name="_Toc51091902"/>
      <w:bookmarkStart w:id="1779" w:name="_Toc2056"/>
      <w:r>
        <w:rPr>
          <w:rFonts w:eastAsia="黑体"/>
          <w:b/>
          <w:color w:val="000000"/>
          <w:sz w:val="28"/>
          <w:szCs w:val="36"/>
        </w:rPr>
        <w:t>第2节  专用合同条款</w:t>
      </w:r>
      <w:bookmarkEnd w:id="1777"/>
      <w:bookmarkEnd w:id="1778"/>
      <w:bookmarkEnd w:id="1779"/>
    </w:p>
    <w:p>
      <w:pPr>
        <w:spacing w:line="490" w:lineRule="exact"/>
        <w:ind w:firstLine="562" w:firstLineChars="200"/>
        <w:rPr>
          <w:rFonts w:eastAsia="仿宋_GB2312"/>
          <w:b/>
          <w:color w:val="000000"/>
          <w:sz w:val="28"/>
          <w:szCs w:val="32"/>
        </w:rPr>
      </w:pPr>
    </w:p>
    <w:p>
      <w:pPr>
        <w:pStyle w:val="6"/>
        <w:keepNext w:val="0"/>
        <w:keepLines w:val="0"/>
        <w:spacing w:before="0" w:after="0" w:line="490" w:lineRule="exact"/>
        <w:ind w:firstLine="562" w:firstLineChars="200"/>
        <w:rPr>
          <w:rFonts w:eastAsia="黑体"/>
          <w:bCs w:val="0"/>
          <w:color w:val="000000"/>
          <w:sz w:val="28"/>
        </w:rPr>
      </w:pPr>
      <w:bookmarkStart w:id="1780" w:name="_Toc51091903"/>
      <w:bookmarkStart w:id="1781" w:name="_Toc16533"/>
      <w:bookmarkStart w:id="1782" w:name="_Toc23561"/>
      <w:r>
        <w:rPr>
          <w:rFonts w:eastAsia="黑体"/>
          <w:bCs w:val="0"/>
          <w:color w:val="000000"/>
          <w:sz w:val="28"/>
        </w:rPr>
        <w:t>1．一般约定</w:t>
      </w:r>
      <w:bookmarkEnd w:id="1780"/>
      <w:bookmarkEnd w:id="1781"/>
      <w:bookmarkEnd w:id="1782"/>
    </w:p>
    <w:p>
      <w:pPr>
        <w:spacing w:line="490" w:lineRule="exact"/>
        <w:ind w:firstLine="562" w:firstLineChars="200"/>
        <w:outlineLvl w:val="3"/>
        <w:rPr>
          <w:rFonts w:eastAsia="楷体_GB2312"/>
          <w:b/>
          <w:bCs/>
          <w:color w:val="000000"/>
          <w:kern w:val="0"/>
          <w:sz w:val="28"/>
          <w:szCs w:val="32"/>
        </w:rPr>
      </w:pPr>
      <w:r>
        <w:rPr>
          <w:rFonts w:eastAsia="楷体_GB2312"/>
          <w:b/>
          <w:bCs/>
          <w:color w:val="000000"/>
          <w:kern w:val="0"/>
          <w:sz w:val="28"/>
          <w:szCs w:val="32"/>
        </w:rPr>
        <w:t>1.1词语定义</w:t>
      </w:r>
    </w:p>
    <w:p>
      <w:pPr>
        <w:spacing w:line="490" w:lineRule="exact"/>
        <w:ind w:firstLine="560" w:firstLineChars="200"/>
        <w:rPr>
          <w:rFonts w:eastAsia="仿宋_GB2312"/>
          <w:color w:val="000000"/>
          <w:sz w:val="28"/>
          <w:szCs w:val="32"/>
        </w:rPr>
      </w:pPr>
      <w:r>
        <w:rPr>
          <w:rFonts w:eastAsia="仿宋_GB2312"/>
          <w:color w:val="000000"/>
          <w:sz w:val="28"/>
          <w:szCs w:val="32"/>
        </w:rPr>
        <w:t>1.1.2  合同当事人和人员</w:t>
      </w:r>
    </w:p>
    <w:p>
      <w:pPr>
        <w:spacing w:line="490" w:lineRule="exact"/>
        <w:ind w:firstLine="560" w:firstLineChars="200"/>
        <w:rPr>
          <w:rFonts w:eastAsia="仿宋_GB2312"/>
          <w:color w:val="000000"/>
          <w:sz w:val="28"/>
          <w:szCs w:val="32"/>
        </w:rPr>
      </w:pPr>
      <w:r>
        <w:rPr>
          <w:rFonts w:eastAsia="仿宋_GB2312"/>
          <w:color w:val="000000"/>
          <w:sz w:val="28"/>
          <w:szCs w:val="32"/>
        </w:rPr>
        <w:t>1.2.2.2  发包人：</w:t>
      </w:r>
      <w:r>
        <w:rPr>
          <w:rFonts w:eastAsia="仿宋_GB2312"/>
          <w:color w:val="000000"/>
          <w:sz w:val="28"/>
          <w:szCs w:val="32"/>
          <w:u w:val="single"/>
        </w:rPr>
        <w:t xml:space="preserve">   （填入发包人的名称）     </w:t>
      </w:r>
      <w:r>
        <w:rPr>
          <w:rFonts w:eastAsia="仿宋_GB2312"/>
          <w:color w:val="000000"/>
          <w:sz w:val="28"/>
          <w:szCs w:val="32"/>
        </w:rPr>
        <w:t>。</w:t>
      </w:r>
    </w:p>
    <w:p>
      <w:pPr>
        <w:spacing w:line="490" w:lineRule="exact"/>
        <w:ind w:firstLine="560" w:firstLineChars="200"/>
        <w:rPr>
          <w:rFonts w:eastAsia="仿宋_GB2312"/>
          <w:color w:val="000000"/>
          <w:sz w:val="28"/>
          <w:szCs w:val="32"/>
        </w:rPr>
      </w:pPr>
      <w:r>
        <w:rPr>
          <w:rFonts w:eastAsia="仿宋_GB2312"/>
          <w:color w:val="000000"/>
          <w:sz w:val="28"/>
          <w:szCs w:val="32"/>
        </w:rPr>
        <w:t>1.1.2.3  承包人：</w:t>
      </w:r>
      <w:r>
        <w:rPr>
          <w:rFonts w:eastAsia="仿宋_GB2312"/>
          <w:color w:val="000000"/>
          <w:sz w:val="28"/>
          <w:szCs w:val="32"/>
          <w:u w:val="single"/>
        </w:rPr>
        <w:t xml:space="preserve">   （签约后填入承包人的名称）    </w:t>
      </w:r>
      <w:r>
        <w:rPr>
          <w:rFonts w:eastAsia="仿宋_GB2312"/>
          <w:color w:val="000000"/>
          <w:sz w:val="28"/>
          <w:szCs w:val="32"/>
        </w:rPr>
        <w:t>。</w:t>
      </w:r>
    </w:p>
    <w:p>
      <w:pPr>
        <w:spacing w:line="490" w:lineRule="exact"/>
        <w:ind w:firstLine="560" w:firstLineChars="200"/>
        <w:rPr>
          <w:rFonts w:eastAsia="仿宋_GB2312"/>
          <w:color w:val="000000"/>
          <w:sz w:val="28"/>
          <w:szCs w:val="32"/>
        </w:rPr>
      </w:pPr>
      <w:r>
        <w:rPr>
          <w:rFonts w:eastAsia="仿宋_GB2312"/>
          <w:color w:val="000000"/>
          <w:sz w:val="28"/>
          <w:szCs w:val="32"/>
        </w:rPr>
        <w:t>1.1.2.4（补充）  承包人项目负责人、技术负责人和专职安全员：</w:t>
      </w:r>
      <w:r>
        <w:rPr>
          <w:rFonts w:eastAsia="仿宋_GB2312"/>
          <w:color w:val="000000"/>
          <w:sz w:val="28"/>
          <w:szCs w:val="32"/>
          <w:u w:val="single"/>
        </w:rPr>
        <w:t>（签约后填入项目负责人、技术负责人和专职安全员的姓名、身份证号号码，项目负责人执业证书号码以及项目负责人和专职安全员</w:t>
      </w:r>
      <w:r>
        <w:rPr>
          <w:rFonts w:hint="eastAsia" w:eastAsia="仿宋_GB2312"/>
          <w:color w:val="000000"/>
          <w:sz w:val="28"/>
          <w:szCs w:val="32"/>
          <w:u w:val="single"/>
        </w:rPr>
        <w:t>建设或水行政</w:t>
      </w:r>
      <w:r>
        <w:rPr>
          <w:rFonts w:eastAsia="仿宋_GB2312"/>
          <w:color w:val="000000"/>
          <w:sz w:val="28"/>
          <w:szCs w:val="32"/>
          <w:u w:val="single"/>
        </w:rPr>
        <w:t xml:space="preserve">主管部门颁发的安全生产考核合格证书号码）   </w:t>
      </w:r>
      <w:r>
        <w:rPr>
          <w:rFonts w:eastAsia="仿宋_GB2312"/>
          <w:color w:val="000000"/>
          <w:sz w:val="28"/>
          <w:szCs w:val="32"/>
        </w:rPr>
        <w:t>。</w:t>
      </w:r>
    </w:p>
    <w:p>
      <w:pPr>
        <w:spacing w:line="490" w:lineRule="exact"/>
        <w:ind w:firstLine="560" w:firstLineChars="200"/>
        <w:rPr>
          <w:rFonts w:eastAsia="仿宋_GB2312"/>
          <w:color w:val="000000"/>
          <w:sz w:val="28"/>
          <w:szCs w:val="32"/>
        </w:rPr>
      </w:pPr>
      <w:r>
        <w:rPr>
          <w:rFonts w:eastAsia="仿宋_GB2312"/>
          <w:color w:val="000000"/>
          <w:sz w:val="28"/>
          <w:szCs w:val="32"/>
        </w:rPr>
        <w:t>1.1.2.5  分包人：</w:t>
      </w:r>
      <w:r>
        <w:rPr>
          <w:rFonts w:eastAsia="仿宋_GB2312"/>
          <w:color w:val="000000"/>
          <w:sz w:val="28"/>
          <w:szCs w:val="32"/>
          <w:u w:val="single"/>
        </w:rPr>
        <w:t xml:space="preserve">    （签约后填入分包人的名称）    </w:t>
      </w:r>
      <w:r>
        <w:rPr>
          <w:rFonts w:eastAsia="仿宋_GB2312"/>
          <w:color w:val="000000"/>
          <w:sz w:val="28"/>
          <w:szCs w:val="32"/>
        </w:rPr>
        <w:t>。</w:t>
      </w:r>
    </w:p>
    <w:p>
      <w:pPr>
        <w:spacing w:line="490" w:lineRule="exact"/>
        <w:ind w:firstLine="560" w:firstLineChars="200"/>
        <w:rPr>
          <w:rFonts w:eastAsia="仿宋_GB2312"/>
          <w:color w:val="000000"/>
          <w:sz w:val="28"/>
          <w:szCs w:val="32"/>
        </w:rPr>
      </w:pPr>
      <w:r>
        <w:rPr>
          <w:rFonts w:eastAsia="仿宋_GB2312"/>
          <w:color w:val="000000"/>
          <w:sz w:val="28"/>
          <w:szCs w:val="32"/>
        </w:rPr>
        <w:t>1.1.2.6  监理人：</w:t>
      </w:r>
      <w:r>
        <w:rPr>
          <w:rFonts w:eastAsia="仿宋_GB2312"/>
          <w:color w:val="000000"/>
          <w:sz w:val="28"/>
          <w:szCs w:val="32"/>
          <w:u w:val="single"/>
        </w:rPr>
        <w:t xml:space="preserve">  （填入监理人的名称或发包人另行书面通知）</w:t>
      </w:r>
      <w:r>
        <w:rPr>
          <w:rFonts w:eastAsia="仿宋_GB2312"/>
          <w:color w:val="000000"/>
          <w:sz w:val="28"/>
          <w:szCs w:val="32"/>
        </w:rPr>
        <w:t>。</w:t>
      </w:r>
    </w:p>
    <w:p>
      <w:pPr>
        <w:spacing w:line="490" w:lineRule="exact"/>
        <w:ind w:firstLine="560" w:firstLineChars="200"/>
        <w:rPr>
          <w:rFonts w:eastAsia="仿宋_GB2312"/>
          <w:color w:val="000000"/>
          <w:sz w:val="28"/>
          <w:szCs w:val="32"/>
        </w:rPr>
      </w:pPr>
      <w:r>
        <w:rPr>
          <w:rFonts w:eastAsia="仿宋_GB2312"/>
          <w:color w:val="000000"/>
          <w:sz w:val="28"/>
          <w:szCs w:val="32"/>
        </w:rPr>
        <w:t>1.1.4  日期</w:t>
      </w:r>
    </w:p>
    <w:p>
      <w:pPr>
        <w:spacing w:line="490" w:lineRule="exact"/>
        <w:ind w:firstLine="560" w:firstLineChars="200"/>
        <w:rPr>
          <w:rFonts w:eastAsia="仿宋_GB2312"/>
          <w:color w:val="000000"/>
          <w:sz w:val="28"/>
          <w:szCs w:val="32"/>
        </w:rPr>
      </w:pPr>
      <w:r>
        <w:rPr>
          <w:rFonts w:eastAsia="仿宋_GB2312"/>
          <w:color w:val="000000"/>
          <w:sz w:val="28"/>
          <w:szCs w:val="32"/>
        </w:rPr>
        <w:t>1.1.4.5  缺陷责任期（工程质量保修期）：</w:t>
      </w:r>
      <w:r>
        <w:rPr>
          <w:rFonts w:eastAsia="仿宋_GB2312"/>
          <w:color w:val="000000"/>
          <w:sz w:val="28"/>
          <w:szCs w:val="32"/>
          <w:u w:val="single"/>
        </w:rPr>
        <w:t xml:space="preserve">    </w:t>
      </w:r>
      <w:r>
        <w:rPr>
          <w:rFonts w:hint="eastAsia" w:eastAsia="仿宋_GB2312"/>
          <w:color w:val="000000"/>
          <w:sz w:val="28"/>
          <w:szCs w:val="32"/>
        </w:rPr>
        <w:t>天</w:t>
      </w:r>
      <w:r>
        <w:rPr>
          <w:rFonts w:eastAsia="仿宋_GB2312"/>
          <w:color w:val="000000"/>
          <w:sz w:val="28"/>
          <w:szCs w:val="32"/>
        </w:rPr>
        <w:t>。</w:t>
      </w:r>
    </w:p>
    <w:p>
      <w:pPr>
        <w:spacing w:line="490" w:lineRule="exact"/>
        <w:ind w:firstLine="562" w:firstLineChars="200"/>
        <w:outlineLvl w:val="3"/>
        <w:rPr>
          <w:rFonts w:eastAsia="楷体_GB2312"/>
          <w:b/>
          <w:bCs/>
          <w:color w:val="000000"/>
          <w:kern w:val="0"/>
          <w:sz w:val="28"/>
          <w:szCs w:val="32"/>
        </w:rPr>
      </w:pPr>
      <w:r>
        <w:rPr>
          <w:rFonts w:eastAsia="楷体_GB2312"/>
          <w:b/>
          <w:bCs/>
          <w:color w:val="000000"/>
          <w:kern w:val="0"/>
          <w:sz w:val="28"/>
          <w:szCs w:val="32"/>
        </w:rPr>
        <w:t>1.4合同文件的优先顺序</w:t>
      </w:r>
    </w:p>
    <w:p>
      <w:pPr>
        <w:spacing w:line="490" w:lineRule="exact"/>
        <w:ind w:firstLine="560" w:firstLineChars="200"/>
        <w:rPr>
          <w:rFonts w:eastAsia="仿宋_GB2312"/>
          <w:color w:val="000000"/>
          <w:sz w:val="28"/>
          <w:szCs w:val="32"/>
          <w:u w:val="single"/>
        </w:rPr>
      </w:pPr>
      <w:r>
        <w:rPr>
          <w:rFonts w:eastAsia="仿宋_GB2312"/>
          <w:color w:val="000000"/>
          <w:sz w:val="28"/>
          <w:szCs w:val="32"/>
        </w:rPr>
        <w:t>进入合同文件的各项文件及其优先顺序是：</w:t>
      </w:r>
    </w:p>
    <w:p>
      <w:pPr>
        <w:spacing w:line="490" w:lineRule="exact"/>
        <w:ind w:firstLine="560" w:firstLineChars="200"/>
        <w:rPr>
          <w:rFonts w:eastAsia="仿宋_GB2312"/>
          <w:color w:val="000000"/>
          <w:sz w:val="28"/>
          <w:szCs w:val="32"/>
        </w:rPr>
      </w:pPr>
      <w:r>
        <w:rPr>
          <w:rFonts w:eastAsia="仿宋_GB2312"/>
          <w:color w:val="000000"/>
          <w:sz w:val="28"/>
          <w:szCs w:val="32"/>
        </w:rPr>
        <w:t>（1）合同协议书及补充合同协议书（含评标期间和合同谈判过程中的澄清文件和补充资料）；</w:t>
      </w:r>
    </w:p>
    <w:p>
      <w:pPr>
        <w:spacing w:line="490" w:lineRule="exact"/>
        <w:ind w:firstLine="560" w:firstLineChars="200"/>
        <w:rPr>
          <w:rFonts w:eastAsia="仿宋_GB2312"/>
          <w:color w:val="000000"/>
          <w:sz w:val="28"/>
          <w:szCs w:val="32"/>
        </w:rPr>
      </w:pPr>
      <w:r>
        <w:rPr>
          <w:rFonts w:eastAsia="仿宋_GB2312"/>
          <w:color w:val="000000"/>
          <w:sz w:val="28"/>
          <w:szCs w:val="32"/>
        </w:rPr>
        <w:t>（2）中标通知书；</w:t>
      </w:r>
    </w:p>
    <w:p>
      <w:pPr>
        <w:spacing w:line="490" w:lineRule="exact"/>
        <w:ind w:firstLine="560" w:firstLineChars="200"/>
        <w:rPr>
          <w:rFonts w:eastAsia="仿宋_GB2312"/>
          <w:color w:val="000000"/>
          <w:sz w:val="28"/>
          <w:szCs w:val="32"/>
        </w:rPr>
      </w:pPr>
      <w:r>
        <w:rPr>
          <w:rFonts w:eastAsia="仿宋_GB2312"/>
          <w:color w:val="000000"/>
          <w:sz w:val="28"/>
          <w:szCs w:val="32"/>
        </w:rPr>
        <w:t>（3）投标函及投标函附录、招标文件修改通知；</w:t>
      </w:r>
    </w:p>
    <w:p>
      <w:pPr>
        <w:spacing w:line="490" w:lineRule="exact"/>
        <w:ind w:firstLine="560" w:firstLineChars="200"/>
        <w:rPr>
          <w:rFonts w:eastAsia="仿宋_GB2312"/>
          <w:color w:val="000000"/>
          <w:sz w:val="28"/>
          <w:szCs w:val="32"/>
        </w:rPr>
      </w:pPr>
      <w:r>
        <w:rPr>
          <w:rFonts w:eastAsia="仿宋_GB2312"/>
          <w:color w:val="000000"/>
          <w:sz w:val="28"/>
          <w:szCs w:val="32"/>
        </w:rPr>
        <w:t>（4）专用合同条款；</w:t>
      </w:r>
    </w:p>
    <w:p>
      <w:pPr>
        <w:spacing w:line="490" w:lineRule="exact"/>
        <w:ind w:firstLine="560" w:firstLineChars="200"/>
        <w:rPr>
          <w:rFonts w:eastAsia="仿宋_GB2312"/>
          <w:color w:val="000000"/>
          <w:sz w:val="28"/>
          <w:szCs w:val="32"/>
        </w:rPr>
      </w:pPr>
      <w:r>
        <w:rPr>
          <w:rFonts w:eastAsia="仿宋_GB2312"/>
          <w:color w:val="000000"/>
          <w:sz w:val="28"/>
          <w:szCs w:val="32"/>
        </w:rPr>
        <w:t>（5）通用合同条款；</w:t>
      </w:r>
    </w:p>
    <w:p>
      <w:pPr>
        <w:spacing w:line="490" w:lineRule="exact"/>
        <w:ind w:firstLine="560" w:firstLineChars="200"/>
        <w:rPr>
          <w:rFonts w:eastAsia="仿宋_GB2312"/>
          <w:color w:val="000000"/>
          <w:sz w:val="28"/>
          <w:szCs w:val="32"/>
        </w:rPr>
      </w:pPr>
      <w:r>
        <w:rPr>
          <w:rFonts w:eastAsia="仿宋_GB2312"/>
          <w:color w:val="000000"/>
          <w:sz w:val="28"/>
          <w:szCs w:val="32"/>
        </w:rPr>
        <w:t>（6）技术标准和要求（合同技术条款）；</w:t>
      </w:r>
    </w:p>
    <w:p>
      <w:pPr>
        <w:spacing w:line="490" w:lineRule="exact"/>
        <w:ind w:firstLine="560" w:firstLineChars="200"/>
        <w:rPr>
          <w:rFonts w:eastAsia="仿宋_GB2312"/>
          <w:color w:val="000000"/>
          <w:sz w:val="28"/>
          <w:szCs w:val="32"/>
        </w:rPr>
      </w:pPr>
      <w:r>
        <w:rPr>
          <w:rFonts w:eastAsia="仿宋_GB2312"/>
          <w:color w:val="000000"/>
          <w:sz w:val="28"/>
          <w:szCs w:val="32"/>
        </w:rPr>
        <w:t>（7）图纸；</w:t>
      </w:r>
    </w:p>
    <w:p>
      <w:pPr>
        <w:spacing w:line="490" w:lineRule="exact"/>
        <w:ind w:firstLine="560" w:firstLineChars="200"/>
        <w:rPr>
          <w:rFonts w:eastAsia="仿宋_GB2312"/>
          <w:color w:val="000000"/>
          <w:sz w:val="28"/>
          <w:szCs w:val="32"/>
        </w:rPr>
      </w:pPr>
      <w:r>
        <w:rPr>
          <w:rFonts w:eastAsia="仿宋_GB2312"/>
          <w:color w:val="000000"/>
          <w:sz w:val="28"/>
          <w:szCs w:val="32"/>
        </w:rPr>
        <w:t>（8）已标价工程量清单；</w:t>
      </w:r>
    </w:p>
    <w:p>
      <w:pPr>
        <w:spacing w:line="490" w:lineRule="exact"/>
        <w:ind w:firstLine="560" w:firstLineChars="200"/>
        <w:rPr>
          <w:rFonts w:eastAsia="仿宋_GB2312"/>
          <w:color w:val="000000"/>
          <w:sz w:val="28"/>
          <w:szCs w:val="32"/>
        </w:rPr>
      </w:pPr>
      <w:r>
        <w:rPr>
          <w:rFonts w:eastAsia="仿宋_GB2312"/>
          <w:color w:val="000000"/>
          <w:sz w:val="28"/>
          <w:szCs w:val="32"/>
        </w:rPr>
        <w:t>（9）承包人有关人员、设备投入的承诺；</w:t>
      </w:r>
    </w:p>
    <w:p>
      <w:pPr>
        <w:spacing w:line="490" w:lineRule="exact"/>
        <w:ind w:firstLine="560" w:firstLineChars="200"/>
        <w:rPr>
          <w:rFonts w:eastAsia="仿宋_GB2312"/>
          <w:color w:val="000000"/>
          <w:sz w:val="28"/>
          <w:szCs w:val="32"/>
        </w:rPr>
      </w:pPr>
      <w:r>
        <w:rPr>
          <w:rFonts w:eastAsia="仿宋_GB2312"/>
          <w:color w:val="000000"/>
          <w:sz w:val="28"/>
          <w:szCs w:val="32"/>
        </w:rPr>
        <w:t>（10）构成本合同组成部分的其他文件，包括投标承诺书、安全生产合同、环境保护和水土保持责任书、建设项目廉政责任书、</w:t>
      </w:r>
      <w:r>
        <w:rPr>
          <w:rFonts w:hint="eastAsia" w:eastAsia="仿宋_GB2312"/>
          <w:b/>
          <w:color w:val="000000"/>
          <w:sz w:val="28"/>
          <w:szCs w:val="32"/>
        </w:rPr>
        <w:t>湖南省农田建设项目工程建设</w:t>
      </w:r>
      <w:r>
        <w:rPr>
          <w:rFonts w:eastAsia="仿宋_GB2312"/>
          <w:b/>
          <w:color w:val="000000"/>
          <w:sz w:val="28"/>
          <w:szCs w:val="32"/>
        </w:rPr>
        <w:t>项目从业单位法定代表人授权书、湖南省</w:t>
      </w:r>
      <w:r>
        <w:rPr>
          <w:rFonts w:hint="eastAsia" w:eastAsia="仿宋_GB2312"/>
          <w:b/>
          <w:color w:val="000000"/>
          <w:sz w:val="28"/>
          <w:szCs w:val="32"/>
        </w:rPr>
        <w:t>农田建设项目工程</w:t>
      </w:r>
      <w:r>
        <w:rPr>
          <w:rFonts w:eastAsia="仿宋_GB2312"/>
          <w:b/>
          <w:color w:val="000000"/>
          <w:sz w:val="28"/>
          <w:szCs w:val="32"/>
        </w:rPr>
        <w:t>项目负责人质量终身责任承诺书</w:t>
      </w:r>
      <w:r>
        <w:rPr>
          <w:rFonts w:eastAsia="仿宋_GB2312"/>
          <w:color w:val="000000"/>
          <w:sz w:val="28"/>
          <w:szCs w:val="32"/>
        </w:rPr>
        <w:t>及有关会议纪要和双方认可的文件等。</w:t>
      </w:r>
    </w:p>
    <w:p>
      <w:pPr>
        <w:spacing w:line="490" w:lineRule="exact"/>
        <w:ind w:firstLine="562" w:firstLineChars="200"/>
        <w:outlineLvl w:val="3"/>
        <w:rPr>
          <w:rFonts w:eastAsia="楷体_GB2312"/>
          <w:b/>
          <w:bCs/>
          <w:color w:val="000000"/>
          <w:kern w:val="0"/>
          <w:sz w:val="28"/>
          <w:szCs w:val="32"/>
        </w:rPr>
      </w:pPr>
      <w:r>
        <w:rPr>
          <w:rFonts w:eastAsia="楷体_GB2312"/>
          <w:b/>
          <w:bCs/>
          <w:color w:val="000000"/>
          <w:kern w:val="0"/>
          <w:sz w:val="28"/>
          <w:szCs w:val="32"/>
        </w:rPr>
        <w:t>1.7联络</w:t>
      </w:r>
    </w:p>
    <w:p>
      <w:pPr>
        <w:spacing w:line="490" w:lineRule="exact"/>
        <w:ind w:firstLine="560" w:firstLineChars="200"/>
        <w:rPr>
          <w:rFonts w:eastAsia="仿宋_GB2312"/>
          <w:color w:val="000000"/>
          <w:sz w:val="28"/>
          <w:szCs w:val="32"/>
        </w:rPr>
      </w:pPr>
      <w:r>
        <w:rPr>
          <w:rFonts w:eastAsia="仿宋_GB2312"/>
          <w:color w:val="000000"/>
          <w:sz w:val="28"/>
          <w:szCs w:val="32"/>
        </w:rPr>
        <w:t>1.7.2  来往函件均应按技术标准和要求（合同技术条款）约定的期限送达</w:t>
      </w:r>
      <w:r>
        <w:rPr>
          <w:rFonts w:eastAsia="仿宋_GB2312"/>
          <w:color w:val="000000"/>
          <w:sz w:val="28"/>
          <w:szCs w:val="32"/>
          <w:u w:val="single"/>
        </w:rPr>
        <w:t xml:space="preserve">  （填写文件送达地点）  </w:t>
      </w:r>
      <w:r>
        <w:rPr>
          <w:rFonts w:eastAsia="仿宋_GB2312"/>
          <w:color w:val="000000"/>
          <w:sz w:val="28"/>
          <w:szCs w:val="32"/>
        </w:rPr>
        <w:t>。</w:t>
      </w:r>
    </w:p>
    <w:p>
      <w:pPr>
        <w:pStyle w:val="6"/>
        <w:keepNext w:val="0"/>
        <w:keepLines w:val="0"/>
        <w:spacing w:before="0" w:after="0" w:line="490" w:lineRule="exact"/>
        <w:ind w:firstLine="562" w:firstLineChars="200"/>
        <w:rPr>
          <w:rFonts w:eastAsia="黑体"/>
          <w:bCs w:val="0"/>
          <w:color w:val="000000"/>
          <w:sz w:val="28"/>
        </w:rPr>
      </w:pPr>
      <w:bookmarkStart w:id="1783" w:name="_Toc22148"/>
      <w:bookmarkStart w:id="1784" w:name="_Toc51091904"/>
      <w:bookmarkStart w:id="1785" w:name="_Toc25532"/>
      <w:r>
        <w:rPr>
          <w:rFonts w:eastAsia="黑体"/>
          <w:bCs w:val="0"/>
          <w:color w:val="000000"/>
          <w:sz w:val="28"/>
        </w:rPr>
        <w:t>2．发包人义务</w:t>
      </w:r>
      <w:bookmarkEnd w:id="1783"/>
      <w:bookmarkEnd w:id="1784"/>
      <w:bookmarkEnd w:id="1785"/>
    </w:p>
    <w:p>
      <w:pPr>
        <w:spacing w:line="490" w:lineRule="exact"/>
        <w:ind w:firstLine="562" w:firstLineChars="200"/>
        <w:outlineLvl w:val="3"/>
        <w:rPr>
          <w:rFonts w:eastAsia="楷体_GB2312"/>
          <w:b/>
          <w:bCs/>
          <w:color w:val="000000"/>
          <w:kern w:val="0"/>
          <w:sz w:val="28"/>
          <w:szCs w:val="32"/>
        </w:rPr>
      </w:pPr>
      <w:r>
        <w:rPr>
          <w:rFonts w:eastAsia="楷体_GB2312"/>
          <w:b/>
          <w:bCs/>
          <w:color w:val="000000"/>
          <w:kern w:val="0"/>
          <w:sz w:val="28"/>
          <w:szCs w:val="32"/>
        </w:rPr>
        <w:t>2.3提供施工场地</w:t>
      </w:r>
    </w:p>
    <w:p>
      <w:pPr>
        <w:spacing w:line="490" w:lineRule="exact"/>
        <w:ind w:firstLine="560" w:firstLineChars="200"/>
        <w:rPr>
          <w:rFonts w:eastAsia="仿宋_GB2312"/>
          <w:color w:val="000000"/>
          <w:sz w:val="28"/>
          <w:szCs w:val="32"/>
        </w:rPr>
      </w:pPr>
      <w:r>
        <w:rPr>
          <w:rFonts w:eastAsia="仿宋_GB2312"/>
          <w:color w:val="000000"/>
          <w:sz w:val="28"/>
          <w:szCs w:val="32"/>
        </w:rPr>
        <w:t>2.3.2 发包人提供的施工用地范围为：</w:t>
      </w:r>
      <w:r>
        <w:rPr>
          <w:rFonts w:eastAsia="仿宋_GB2312"/>
          <w:color w:val="000000"/>
          <w:sz w:val="28"/>
          <w:szCs w:val="32"/>
          <w:u w:val="single"/>
        </w:rPr>
        <w:t>在发出开工令之前发包人向承包人提供施工用地，提供的用地范围以施工图为准，提供的用地期限在合同计划完工日期前。承包人为完成本合同工程所需的其他施工场地由承包人自行解决，所需费用已包括在合同总价中，发包人不另行支付</w:t>
      </w:r>
      <w:r>
        <w:rPr>
          <w:rFonts w:eastAsia="仿宋_GB2312"/>
          <w:color w:val="000000"/>
          <w:sz w:val="28"/>
          <w:szCs w:val="32"/>
        </w:rPr>
        <w:t>。</w:t>
      </w:r>
    </w:p>
    <w:p>
      <w:pPr>
        <w:spacing w:line="490" w:lineRule="exact"/>
        <w:ind w:firstLine="560" w:firstLineChars="200"/>
        <w:rPr>
          <w:rFonts w:eastAsia="仿宋_GB2312"/>
          <w:color w:val="000000"/>
          <w:sz w:val="28"/>
          <w:szCs w:val="32"/>
        </w:rPr>
      </w:pPr>
      <w:r>
        <w:rPr>
          <w:rFonts w:eastAsia="仿宋_GB2312"/>
          <w:color w:val="000000"/>
          <w:sz w:val="28"/>
          <w:szCs w:val="32"/>
        </w:rPr>
        <w:t>2.3.3发包人应在开工前14天内，向承包人提供与施工现场相关的工程地质和地下管线资料，对资料的真实准确性负责。但发包人对承包人在使用上述资料时所作的分析、判断和推论不承担责任。发包人负责协调处理施工场地周围地下管线和邻近建筑物、构筑物的保护工作，并协助解决对承包人施工有干扰的外部条件。</w:t>
      </w:r>
    </w:p>
    <w:p>
      <w:pPr>
        <w:spacing w:line="490" w:lineRule="exact"/>
        <w:ind w:firstLine="562" w:firstLineChars="200"/>
        <w:outlineLvl w:val="3"/>
        <w:rPr>
          <w:rFonts w:eastAsia="楷体_GB2312"/>
          <w:b/>
          <w:bCs/>
          <w:color w:val="000000"/>
          <w:kern w:val="0"/>
          <w:sz w:val="28"/>
          <w:szCs w:val="32"/>
        </w:rPr>
      </w:pPr>
      <w:r>
        <w:rPr>
          <w:rFonts w:eastAsia="楷体_GB2312"/>
          <w:b/>
          <w:bCs/>
          <w:color w:val="000000"/>
          <w:kern w:val="0"/>
          <w:sz w:val="28"/>
          <w:szCs w:val="32"/>
        </w:rPr>
        <w:t>2.8其它义务</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（根据发包人的合同管理要求补充）</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2.8.1 施工场地应具备的施工条件及提供的时间：</w:t>
      </w:r>
      <w:r>
        <w:rPr>
          <w:rFonts w:eastAsia="仿宋_GB2312"/>
          <w:color w:val="000000"/>
          <w:kern w:val="0"/>
          <w:sz w:val="28"/>
          <w:szCs w:val="32"/>
          <w:u w:val="single"/>
        </w:rPr>
        <w:t xml:space="preserve">           </w:t>
      </w:r>
      <w:r>
        <w:rPr>
          <w:rFonts w:eastAsia="仿宋_GB2312"/>
          <w:color w:val="000000"/>
          <w:kern w:val="0"/>
          <w:sz w:val="28"/>
          <w:szCs w:val="32"/>
        </w:rPr>
        <w:t>。</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 xml:space="preserve">2.8.2 施工所需的水、电、电讯等管线接至施工场地的要求、接入地点和提供时间： </w:t>
      </w:r>
      <w:r>
        <w:rPr>
          <w:rFonts w:eastAsia="仿宋_GB2312"/>
          <w:color w:val="000000"/>
          <w:kern w:val="0"/>
          <w:sz w:val="28"/>
          <w:szCs w:val="32"/>
          <w:u w:val="single"/>
        </w:rPr>
        <w:t xml:space="preserve">       </w:t>
      </w:r>
      <w:r>
        <w:rPr>
          <w:rFonts w:eastAsia="仿宋_GB2312"/>
          <w:color w:val="000000"/>
          <w:kern w:val="0"/>
          <w:sz w:val="28"/>
          <w:szCs w:val="32"/>
        </w:rPr>
        <w:t>。</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2.8.3 施工</w:t>
      </w:r>
      <w:r>
        <w:rPr>
          <w:rFonts w:eastAsia="仿宋_GB2312"/>
          <w:color w:val="000000"/>
          <w:sz w:val="28"/>
          <w:szCs w:val="32"/>
        </w:rPr>
        <w:t>场地</w:t>
      </w:r>
      <w:r>
        <w:rPr>
          <w:rFonts w:eastAsia="仿宋_GB2312"/>
          <w:color w:val="000000"/>
          <w:kern w:val="0"/>
          <w:sz w:val="28"/>
          <w:szCs w:val="32"/>
        </w:rPr>
        <w:t>外部道路通行权提供时间和要求：</w:t>
      </w:r>
      <w:r>
        <w:rPr>
          <w:rFonts w:eastAsia="仿宋_GB2312"/>
          <w:color w:val="000000"/>
          <w:kern w:val="0"/>
          <w:sz w:val="28"/>
          <w:szCs w:val="32"/>
          <w:u w:val="single"/>
        </w:rPr>
        <w:t xml:space="preserve">           </w:t>
      </w:r>
      <w:r>
        <w:rPr>
          <w:rFonts w:eastAsia="仿宋_GB2312"/>
          <w:color w:val="000000"/>
          <w:kern w:val="0"/>
          <w:sz w:val="28"/>
          <w:szCs w:val="32"/>
        </w:rPr>
        <w:t xml:space="preserve">。 </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2.8.4 与施工场地周边环境关系的说明资料及相关协作关系合同的提交时间和要求：</w:t>
      </w:r>
      <w:r>
        <w:rPr>
          <w:rFonts w:eastAsia="仿宋_GB2312"/>
          <w:color w:val="000000"/>
          <w:kern w:val="0"/>
          <w:sz w:val="28"/>
          <w:szCs w:val="32"/>
          <w:u w:val="single"/>
        </w:rPr>
        <w:t xml:space="preserve">      </w:t>
      </w:r>
      <w:r>
        <w:rPr>
          <w:rFonts w:eastAsia="仿宋_GB2312"/>
          <w:color w:val="000000"/>
          <w:kern w:val="0"/>
          <w:sz w:val="28"/>
          <w:szCs w:val="32"/>
        </w:rPr>
        <w:t>。</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w:t>
      </w:r>
    </w:p>
    <w:p>
      <w:pPr>
        <w:pStyle w:val="6"/>
        <w:keepNext w:val="0"/>
        <w:keepLines w:val="0"/>
        <w:spacing w:before="0" w:after="0" w:line="490" w:lineRule="exact"/>
        <w:ind w:firstLine="562" w:firstLineChars="200"/>
        <w:rPr>
          <w:rFonts w:eastAsia="黑体"/>
          <w:bCs w:val="0"/>
          <w:color w:val="000000"/>
          <w:sz w:val="28"/>
        </w:rPr>
      </w:pPr>
      <w:bookmarkStart w:id="1786" w:name="_Toc51091905"/>
      <w:bookmarkStart w:id="1787" w:name="_Toc863"/>
      <w:bookmarkStart w:id="1788" w:name="_Toc13095"/>
      <w:r>
        <w:rPr>
          <w:rFonts w:eastAsia="黑体"/>
          <w:bCs w:val="0"/>
          <w:color w:val="000000"/>
          <w:sz w:val="28"/>
        </w:rPr>
        <w:t>3．监理人</w:t>
      </w:r>
      <w:bookmarkEnd w:id="1786"/>
      <w:bookmarkEnd w:id="1787"/>
      <w:bookmarkEnd w:id="1788"/>
    </w:p>
    <w:p>
      <w:pPr>
        <w:spacing w:line="490" w:lineRule="exact"/>
        <w:ind w:firstLine="562" w:firstLineChars="200"/>
        <w:outlineLvl w:val="3"/>
        <w:rPr>
          <w:rFonts w:hint="eastAsia" w:eastAsia="楷体_GB2312"/>
          <w:b/>
          <w:bCs/>
          <w:color w:val="000000"/>
          <w:kern w:val="0"/>
          <w:sz w:val="28"/>
          <w:szCs w:val="32"/>
        </w:rPr>
      </w:pPr>
      <w:r>
        <w:rPr>
          <w:rFonts w:eastAsia="楷体_GB2312"/>
          <w:b/>
          <w:bCs/>
          <w:color w:val="000000"/>
          <w:kern w:val="0"/>
          <w:sz w:val="28"/>
          <w:szCs w:val="32"/>
        </w:rPr>
        <w:t>3.1监理人的职责和</w:t>
      </w:r>
      <w:r>
        <w:rPr>
          <w:rFonts w:hint="eastAsia" w:eastAsia="楷体_GB2312"/>
          <w:b/>
          <w:bCs/>
          <w:color w:val="000000"/>
          <w:kern w:val="0"/>
          <w:sz w:val="28"/>
          <w:szCs w:val="32"/>
        </w:rPr>
        <w:t>权利</w:t>
      </w:r>
    </w:p>
    <w:p>
      <w:pPr>
        <w:spacing w:line="490" w:lineRule="exact"/>
        <w:ind w:firstLine="560" w:firstLineChars="200"/>
        <w:rPr>
          <w:rFonts w:eastAsia="仿宋_GB2312"/>
          <w:b/>
          <w:i/>
          <w:color w:val="000000"/>
          <w:sz w:val="28"/>
          <w:szCs w:val="32"/>
        </w:rPr>
      </w:pPr>
      <w:r>
        <w:rPr>
          <w:rFonts w:eastAsia="仿宋_GB2312"/>
          <w:color w:val="000000"/>
          <w:sz w:val="28"/>
          <w:szCs w:val="32"/>
        </w:rPr>
        <w:t>3.1.1  监理人须根据发包人事先批准的</w:t>
      </w:r>
      <w:r>
        <w:rPr>
          <w:rFonts w:hint="eastAsia" w:eastAsia="仿宋_GB2312"/>
          <w:color w:val="000000"/>
          <w:sz w:val="28"/>
          <w:szCs w:val="32"/>
        </w:rPr>
        <w:t>权利</w:t>
      </w:r>
      <w:r>
        <w:rPr>
          <w:rFonts w:eastAsia="仿宋_GB2312"/>
          <w:color w:val="000000"/>
          <w:sz w:val="28"/>
          <w:szCs w:val="32"/>
        </w:rPr>
        <w:t>范围行使</w:t>
      </w:r>
      <w:r>
        <w:rPr>
          <w:rFonts w:hint="eastAsia" w:eastAsia="仿宋_GB2312"/>
          <w:color w:val="000000"/>
          <w:sz w:val="28"/>
          <w:szCs w:val="32"/>
        </w:rPr>
        <w:t>权利</w:t>
      </w:r>
      <w:r>
        <w:rPr>
          <w:rFonts w:eastAsia="仿宋_GB2312"/>
          <w:color w:val="000000"/>
          <w:sz w:val="28"/>
          <w:szCs w:val="32"/>
        </w:rPr>
        <w:t>，发包人批准的</w:t>
      </w:r>
      <w:r>
        <w:rPr>
          <w:rFonts w:hint="eastAsia" w:eastAsia="仿宋_GB2312"/>
          <w:color w:val="000000"/>
          <w:sz w:val="28"/>
          <w:szCs w:val="32"/>
        </w:rPr>
        <w:t>权利</w:t>
      </w:r>
      <w:r>
        <w:rPr>
          <w:rFonts w:eastAsia="仿宋_GB2312"/>
          <w:color w:val="000000"/>
          <w:sz w:val="28"/>
          <w:szCs w:val="32"/>
        </w:rPr>
        <w:t>范围：</w:t>
      </w:r>
    </w:p>
    <w:p>
      <w:pPr>
        <w:spacing w:line="490" w:lineRule="exact"/>
        <w:ind w:firstLine="560" w:firstLineChars="200"/>
        <w:rPr>
          <w:rFonts w:eastAsia="仿宋_GB2312"/>
          <w:color w:val="000000"/>
          <w:sz w:val="28"/>
          <w:szCs w:val="32"/>
        </w:rPr>
      </w:pPr>
      <w:r>
        <w:rPr>
          <w:rFonts w:eastAsia="仿宋_GB2312"/>
          <w:color w:val="000000"/>
          <w:sz w:val="28"/>
          <w:szCs w:val="32"/>
        </w:rPr>
        <w:t>（1）按第4.3款约定，批准工程的分包；</w:t>
      </w:r>
    </w:p>
    <w:p>
      <w:pPr>
        <w:spacing w:line="490" w:lineRule="exact"/>
        <w:ind w:firstLine="560" w:firstLineChars="200"/>
        <w:rPr>
          <w:rFonts w:eastAsia="仿宋_GB2312"/>
          <w:color w:val="000000"/>
          <w:sz w:val="28"/>
          <w:szCs w:val="32"/>
        </w:rPr>
      </w:pPr>
      <w:r>
        <w:rPr>
          <w:rFonts w:eastAsia="仿宋_GB2312"/>
          <w:color w:val="000000"/>
          <w:sz w:val="28"/>
          <w:szCs w:val="32"/>
        </w:rPr>
        <w:t>（2）按第4.11款约定，确定产生的费用增加额；</w:t>
      </w:r>
    </w:p>
    <w:p>
      <w:pPr>
        <w:spacing w:line="490" w:lineRule="exact"/>
        <w:ind w:firstLine="560" w:firstLineChars="200"/>
        <w:rPr>
          <w:rFonts w:eastAsia="仿宋_GB2312"/>
          <w:color w:val="000000"/>
          <w:sz w:val="28"/>
          <w:szCs w:val="32"/>
        </w:rPr>
      </w:pPr>
      <w:r>
        <w:rPr>
          <w:rFonts w:eastAsia="仿宋_GB2312"/>
          <w:color w:val="000000"/>
          <w:sz w:val="28"/>
          <w:szCs w:val="32"/>
        </w:rPr>
        <w:t>（3）按第11.3款约定，确定延长完工期限；</w:t>
      </w:r>
    </w:p>
    <w:p>
      <w:pPr>
        <w:spacing w:line="490" w:lineRule="exact"/>
        <w:ind w:firstLine="560" w:firstLineChars="200"/>
        <w:rPr>
          <w:rFonts w:eastAsia="仿宋_GB2312"/>
          <w:color w:val="000000"/>
          <w:sz w:val="28"/>
          <w:szCs w:val="32"/>
        </w:rPr>
      </w:pPr>
      <w:r>
        <w:rPr>
          <w:rFonts w:eastAsia="仿宋_GB2312"/>
          <w:color w:val="000000"/>
          <w:sz w:val="28"/>
          <w:szCs w:val="32"/>
        </w:rPr>
        <w:t>（4）按第11.3款、12.3款、12.4款约定，发布开工通知、暂停施工指示或复工通知；</w:t>
      </w:r>
    </w:p>
    <w:p>
      <w:pPr>
        <w:spacing w:line="490" w:lineRule="exact"/>
        <w:ind w:firstLine="560" w:firstLineChars="200"/>
        <w:rPr>
          <w:rFonts w:eastAsia="仿宋_GB2312"/>
          <w:color w:val="000000"/>
          <w:sz w:val="28"/>
          <w:szCs w:val="32"/>
        </w:rPr>
      </w:pPr>
      <w:r>
        <w:rPr>
          <w:rFonts w:eastAsia="仿宋_GB2312"/>
          <w:color w:val="000000"/>
          <w:sz w:val="28"/>
          <w:szCs w:val="32"/>
        </w:rPr>
        <w:t>（5）按第11.3款、11.4款约定，确定工期延长；</w:t>
      </w:r>
    </w:p>
    <w:p>
      <w:pPr>
        <w:spacing w:line="490" w:lineRule="exact"/>
        <w:ind w:firstLine="560" w:firstLineChars="200"/>
        <w:rPr>
          <w:rFonts w:eastAsia="仿宋_GB2312"/>
          <w:color w:val="000000"/>
          <w:sz w:val="28"/>
          <w:szCs w:val="32"/>
        </w:rPr>
      </w:pPr>
      <w:r>
        <w:rPr>
          <w:rFonts w:eastAsia="仿宋_GB2312"/>
          <w:color w:val="000000"/>
          <w:sz w:val="28"/>
          <w:szCs w:val="32"/>
        </w:rPr>
        <w:t>（6）按第15.3款约定，发出变更指令，确定变更价格；</w:t>
      </w:r>
    </w:p>
    <w:p>
      <w:pPr>
        <w:spacing w:line="490" w:lineRule="exact"/>
        <w:ind w:firstLine="560" w:firstLineChars="200"/>
        <w:rPr>
          <w:rFonts w:eastAsia="仿宋_GB2312"/>
          <w:color w:val="000000"/>
          <w:sz w:val="28"/>
          <w:szCs w:val="32"/>
        </w:rPr>
      </w:pPr>
      <w:r>
        <w:rPr>
          <w:rFonts w:eastAsia="仿宋_GB2312"/>
          <w:color w:val="000000"/>
          <w:sz w:val="28"/>
          <w:szCs w:val="32"/>
        </w:rPr>
        <w:t>（7）按第15.4款约定，确定变更工作的单价；</w:t>
      </w:r>
    </w:p>
    <w:p>
      <w:pPr>
        <w:spacing w:line="490" w:lineRule="exact"/>
        <w:ind w:firstLine="560" w:firstLineChars="200"/>
        <w:rPr>
          <w:rFonts w:eastAsia="仿宋_GB2312"/>
          <w:color w:val="000000"/>
          <w:sz w:val="28"/>
          <w:szCs w:val="32"/>
        </w:rPr>
      </w:pPr>
      <w:r>
        <w:rPr>
          <w:rFonts w:eastAsia="仿宋_GB2312"/>
          <w:color w:val="000000"/>
          <w:sz w:val="28"/>
          <w:szCs w:val="32"/>
        </w:rPr>
        <w:t>（8）按第15.6款约定，批准暂列金额的使用；</w:t>
      </w:r>
    </w:p>
    <w:p>
      <w:pPr>
        <w:spacing w:line="490" w:lineRule="exact"/>
        <w:ind w:firstLine="560" w:firstLineChars="200"/>
        <w:rPr>
          <w:rFonts w:eastAsia="仿宋_GB2312"/>
          <w:color w:val="000000"/>
          <w:sz w:val="28"/>
          <w:szCs w:val="32"/>
        </w:rPr>
      </w:pPr>
      <w:r>
        <w:rPr>
          <w:rFonts w:eastAsia="仿宋_GB2312"/>
          <w:color w:val="000000"/>
          <w:sz w:val="28"/>
          <w:szCs w:val="32"/>
        </w:rPr>
        <w:t>（9）按第15.8款约定，确定暂估列金额；</w:t>
      </w:r>
    </w:p>
    <w:p>
      <w:pPr>
        <w:spacing w:line="490" w:lineRule="exact"/>
        <w:ind w:firstLine="560" w:firstLineChars="200"/>
        <w:rPr>
          <w:rFonts w:eastAsia="仿宋_GB2312"/>
          <w:color w:val="000000"/>
          <w:sz w:val="28"/>
          <w:szCs w:val="32"/>
        </w:rPr>
      </w:pPr>
      <w:r>
        <w:rPr>
          <w:rFonts w:eastAsia="仿宋_GB2312"/>
          <w:color w:val="000000"/>
          <w:sz w:val="28"/>
          <w:szCs w:val="32"/>
        </w:rPr>
        <w:t>（10）按第23.1款约定，确定索赔额。</w:t>
      </w:r>
    </w:p>
    <w:p>
      <w:pPr>
        <w:spacing w:line="490" w:lineRule="exact"/>
        <w:ind w:firstLine="560" w:firstLineChars="200"/>
        <w:rPr>
          <w:rFonts w:eastAsia="仿宋_GB2312"/>
          <w:color w:val="000000"/>
          <w:sz w:val="28"/>
          <w:szCs w:val="32"/>
        </w:rPr>
      </w:pPr>
      <w:r>
        <w:rPr>
          <w:rFonts w:eastAsia="仿宋_GB2312"/>
          <w:color w:val="000000"/>
          <w:sz w:val="28"/>
          <w:szCs w:val="32"/>
        </w:rPr>
        <w:t>（11）…………</w:t>
      </w:r>
    </w:p>
    <w:p>
      <w:pPr>
        <w:pStyle w:val="6"/>
        <w:keepNext w:val="0"/>
        <w:keepLines w:val="0"/>
        <w:spacing w:before="0" w:after="0" w:line="490" w:lineRule="exact"/>
        <w:ind w:firstLine="562" w:firstLineChars="200"/>
        <w:rPr>
          <w:rFonts w:eastAsia="黑体"/>
          <w:bCs w:val="0"/>
          <w:color w:val="000000"/>
          <w:sz w:val="28"/>
        </w:rPr>
      </w:pPr>
      <w:bookmarkStart w:id="1789" w:name="_Toc20022"/>
      <w:bookmarkStart w:id="1790" w:name="_Toc51091906"/>
      <w:bookmarkStart w:id="1791" w:name="_Toc27231"/>
      <w:r>
        <w:rPr>
          <w:rFonts w:eastAsia="黑体"/>
          <w:bCs w:val="0"/>
          <w:color w:val="000000"/>
          <w:sz w:val="28"/>
        </w:rPr>
        <w:t>4．承包人</w:t>
      </w:r>
      <w:bookmarkEnd w:id="1789"/>
      <w:bookmarkEnd w:id="1790"/>
      <w:bookmarkEnd w:id="1791"/>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4.1承包人的一般义务</w:t>
      </w:r>
    </w:p>
    <w:p>
      <w:pPr>
        <w:spacing w:line="490" w:lineRule="exact"/>
        <w:ind w:firstLine="562" w:firstLineChars="200"/>
        <w:rPr>
          <w:rFonts w:eastAsia="仿宋_GB2312"/>
          <w:b/>
          <w:color w:val="000000"/>
          <w:sz w:val="28"/>
          <w:szCs w:val="32"/>
        </w:rPr>
      </w:pPr>
      <w:r>
        <w:rPr>
          <w:rFonts w:eastAsia="仿宋_GB2312"/>
          <w:b/>
          <w:color w:val="000000"/>
          <w:sz w:val="28"/>
          <w:szCs w:val="32"/>
        </w:rPr>
        <w:t>4.1.10  其它义务</w:t>
      </w:r>
    </w:p>
    <w:p>
      <w:pPr>
        <w:spacing w:line="490" w:lineRule="exact"/>
        <w:ind w:firstLine="560" w:firstLineChars="200"/>
        <w:rPr>
          <w:rFonts w:eastAsia="仿宋_GB2312"/>
          <w:color w:val="000000"/>
          <w:sz w:val="28"/>
          <w:szCs w:val="32"/>
        </w:rPr>
      </w:pPr>
      <w:r>
        <w:rPr>
          <w:rFonts w:eastAsia="仿宋_GB2312"/>
          <w:color w:val="000000"/>
          <w:sz w:val="28"/>
          <w:szCs w:val="32"/>
        </w:rPr>
        <w:t>4.1.10.1  承包人应在合同约定的开工时间前的7天内确保合同工程所需的设备、人员、材料进场到位。</w:t>
      </w:r>
    </w:p>
    <w:p>
      <w:pPr>
        <w:spacing w:line="490" w:lineRule="exact"/>
        <w:ind w:firstLine="560" w:firstLineChars="200"/>
        <w:rPr>
          <w:rFonts w:eastAsia="仿宋_GB2312"/>
          <w:color w:val="000000"/>
          <w:sz w:val="28"/>
          <w:szCs w:val="32"/>
        </w:rPr>
      </w:pPr>
      <w:r>
        <w:rPr>
          <w:rFonts w:eastAsia="仿宋_GB2312"/>
          <w:color w:val="000000"/>
          <w:sz w:val="28"/>
          <w:szCs w:val="32"/>
        </w:rPr>
        <w:t>4.1.10.2  在合同工程施工期和缺陷责任期（保修期）内，承包人有义务采取措施防御洪水，保证工程安全，无条件服从抗洪抢险的命令和统一指挥调度。</w:t>
      </w:r>
    </w:p>
    <w:p>
      <w:pPr>
        <w:spacing w:line="490" w:lineRule="exact"/>
        <w:ind w:firstLine="560" w:firstLineChars="200"/>
        <w:rPr>
          <w:rFonts w:eastAsia="仿宋_GB2312"/>
          <w:color w:val="000000"/>
          <w:sz w:val="28"/>
          <w:szCs w:val="32"/>
        </w:rPr>
      </w:pPr>
      <w:r>
        <w:rPr>
          <w:rFonts w:eastAsia="仿宋_GB2312"/>
          <w:color w:val="000000"/>
          <w:sz w:val="28"/>
          <w:szCs w:val="32"/>
        </w:rPr>
        <w:t>4.1.10.3  承包人应支付为获得本合同工程所需的石料、砂、砾石、粘土或其他当地材料等所需的料场使用费及其他开支或补偿费等一切费用。承包人在发包人指定的料场范围内开采本工程所需的材料，办理除临时用地手续以外的开采和运输等手续所需的一切费用均已包括在合同总价中，发包人不另行支付。</w:t>
      </w:r>
    </w:p>
    <w:p>
      <w:pPr>
        <w:spacing w:line="490" w:lineRule="exact"/>
        <w:ind w:firstLine="560" w:firstLineChars="200"/>
        <w:rPr>
          <w:rFonts w:eastAsia="仿宋_GB2312"/>
          <w:color w:val="000000"/>
          <w:sz w:val="28"/>
          <w:szCs w:val="32"/>
        </w:rPr>
      </w:pPr>
      <w:r>
        <w:rPr>
          <w:rFonts w:eastAsia="仿宋_GB2312"/>
          <w:color w:val="000000"/>
          <w:sz w:val="28"/>
          <w:szCs w:val="32"/>
        </w:rPr>
        <w:t>4.1.10.4  承包人应根据工程施工情况及监理人的指令，按时向监理人提交技术标准和要求和/或法律法规要求的各种报告。承包人提交上述报告所需的一切费用均已包括在合同总价中，发包人不另行支付。</w:t>
      </w:r>
    </w:p>
    <w:p>
      <w:pPr>
        <w:spacing w:line="490" w:lineRule="exact"/>
        <w:ind w:firstLine="560" w:firstLineChars="200"/>
        <w:rPr>
          <w:rFonts w:eastAsia="仿宋_GB2312"/>
          <w:color w:val="000000"/>
          <w:sz w:val="28"/>
          <w:szCs w:val="32"/>
        </w:rPr>
      </w:pPr>
      <w:r>
        <w:rPr>
          <w:rFonts w:eastAsia="仿宋_GB2312"/>
          <w:color w:val="000000"/>
          <w:sz w:val="28"/>
          <w:szCs w:val="32"/>
        </w:rPr>
        <w:t>4.1.10.5  承包人必须配合发包人做好施工地质编录工作，在编制施工进度计划时，应充分考虑发包人的施工地质编录工作对合同工程的影响。承包人为消除这些影响而采取的所有措施所需的一切费用均已包括在合同总价中，发包人不另行支付。</w:t>
      </w:r>
    </w:p>
    <w:p>
      <w:pPr>
        <w:spacing w:line="490" w:lineRule="exact"/>
        <w:ind w:firstLine="560" w:firstLineChars="200"/>
        <w:rPr>
          <w:rFonts w:eastAsia="仿宋_GB2312"/>
          <w:color w:val="000000"/>
          <w:sz w:val="28"/>
          <w:szCs w:val="32"/>
        </w:rPr>
      </w:pPr>
      <w:r>
        <w:rPr>
          <w:rFonts w:eastAsia="仿宋_GB2312"/>
          <w:color w:val="000000"/>
          <w:sz w:val="28"/>
          <w:szCs w:val="32"/>
        </w:rPr>
        <w:t>4.1.10.6  承包人为办理合同工程施工所需的人员、设备、材料等所需的各种证件、批件和其他审批手续所需的一切费用均已包括在合同总价中，发包人不另行支付。</w:t>
      </w:r>
    </w:p>
    <w:p>
      <w:pPr>
        <w:spacing w:line="490" w:lineRule="exact"/>
        <w:ind w:firstLine="560" w:firstLineChars="200"/>
        <w:rPr>
          <w:rFonts w:eastAsia="仿宋_GB2312"/>
          <w:color w:val="000000"/>
          <w:sz w:val="28"/>
          <w:szCs w:val="32"/>
        </w:rPr>
      </w:pPr>
      <w:r>
        <w:rPr>
          <w:rFonts w:eastAsia="仿宋_GB2312"/>
          <w:color w:val="000000"/>
          <w:sz w:val="28"/>
          <w:szCs w:val="32"/>
        </w:rPr>
        <w:t>4.1.10.7  承包人应严格遵守国家有关解决拖欠工程款和农民工工资的法律、法规、规范性文件，及时支付工程中的材料、设备货款及农民工工资等费用。承包人不得以任何借口拖欠材料、设备货款及农民工工资等费用，如果出现此种现象，发包人有权代为支付其拖欠的材料、设备货款及民工工资，并从应付给承包人的工程款中扣除相应款项。对恶意拖欠和拒不按计划支付的，作为不良记录纳入</w:t>
      </w:r>
      <w:r>
        <w:rPr>
          <w:rFonts w:hint="eastAsia" w:eastAsia="仿宋_GB2312"/>
          <w:color w:val="000000"/>
          <w:sz w:val="28"/>
          <w:szCs w:val="32"/>
        </w:rPr>
        <w:t>湖南省农业农村厅官网公示黑名单、</w:t>
      </w:r>
      <w:r>
        <w:rPr>
          <w:rFonts w:eastAsia="仿宋_GB2312"/>
          <w:color w:val="000000"/>
          <w:sz w:val="28"/>
          <w:szCs w:val="32"/>
        </w:rPr>
        <w:t>水利行业市场信用信息管理系统。同时对拖欠农民工工资的，依据</w:t>
      </w:r>
      <w:r>
        <w:rPr>
          <w:rFonts w:eastAsia="仿宋_GB2312"/>
          <w:bCs/>
          <w:color w:val="000000"/>
          <w:sz w:val="28"/>
          <w:szCs w:val="32"/>
          <w:u w:val="single"/>
        </w:rPr>
        <w:t>《拖欠农民工工资“黑名单”管理暂行办法》（</w:t>
      </w:r>
      <w:r>
        <w:rPr>
          <w:rFonts w:eastAsia="仿宋_GB2312"/>
          <w:color w:val="000000"/>
          <w:sz w:val="28"/>
          <w:szCs w:val="32"/>
          <w:u w:val="single"/>
        </w:rPr>
        <w:t>人社部规〔2017〕16号</w:t>
      </w:r>
      <w:r>
        <w:rPr>
          <w:rFonts w:eastAsia="仿宋_GB2312"/>
          <w:bCs/>
          <w:color w:val="000000"/>
          <w:sz w:val="28"/>
          <w:szCs w:val="32"/>
          <w:u w:val="single"/>
        </w:rPr>
        <w:t>）</w:t>
      </w:r>
      <w:r>
        <w:rPr>
          <w:rFonts w:eastAsia="仿宋_GB2312"/>
          <w:bCs/>
          <w:color w:val="000000"/>
          <w:sz w:val="28"/>
          <w:szCs w:val="32"/>
        </w:rPr>
        <w:t>规定，由</w:t>
      </w:r>
      <w:r>
        <w:rPr>
          <w:rFonts w:eastAsia="仿宋_GB2312"/>
          <w:color w:val="000000"/>
          <w:sz w:val="28"/>
          <w:szCs w:val="32"/>
        </w:rPr>
        <w:t>人力资源和社会保障行政部门将承包人单位列入拖欠工资“黑名单”，依规将拖欠工资“黑名单”信息通过部门门户网站、“信用中国”网站、国家企业信用信息公示系统等予以公示。</w:t>
      </w:r>
    </w:p>
    <w:p>
      <w:pPr>
        <w:spacing w:line="490" w:lineRule="exact"/>
        <w:ind w:firstLine="560" w:firstLineChars="200"/>
        <w:rPr>
          <w:rFonts w:eastAsia="仿宋_GB2312"/>
          <w:color w:val="000000"/>
          <w:sz w:val="28"/>
          <w:szCs w:val="32"/>
        </w:rPr>
      </w:pPr>
      <w:r>
        <w:rPr>
          <w:rFonts w:eastAsia="仿宋_GB2312"/>
          <w:color w:val="000000"/>
          <w:sz w:val="28"/>
          <w:szCs w:val="32"/>
        </w:rPr>
        <w:t>4.1.10.8  承包人</w:t>
      </w:r>
      <w:r>
        <w:rPr>
          <w:rFonts w:hint="eastAsia" w:eastAsia="仿宋_GB2312"/>
          <w:color w:val="000000"/>
          <w:sz w:val="28"/>
          <w:szCs w:val="32"/>
        </w:rPr>
        <w:t>项目负责人</w:t>
      </w:r>
      <w:r>
        <w:rPr>
          <w:rFonts w:eastAsia="仿宋_GB2312"/>
          <w:color w:val="000000"/>
          <w:sz w:val="28"/>
          <w:szCs w:val="32"/>
        </w:rPr>
        <w:t>、技术负责人、专职安全员每月驻工地现场时间不得少于本月施工时间的</w:t>
      </w:r>
      <w:r>
        <w:rPr>
          <w:rFonts w:eastAsia="仿宋_GB2312"/>
          <w:color w:val="000000"/>
          <w:sz w:val="28"/>
          <w:szCs w:val="32"/>
          <w:u w:val="single"/>
        </w:rPr>
        <w:t xml:space="preserve">    </w:t>
      </w:r>
      <w:r>
        <w:rPr>
          <w:rFonts w:eastAsia="仿宋_GB2312"/>
          <w:color w:val="000000"/>
          <w:sz w:val="28"/>
          <w:szCs w:val="32"/>
        </w:rPr>
        <w:t>%（招标人自行填写，但不得低于70%），否则承包人应按本专用合同条款22.1.2违约的处理向发包人支付违约金。上述人员因其他事务需短期离开工地，应向发包人请假，经批准后方可离开，离开期间应委托项目相关负责人负责其外出时的日常工作。</w:t>
      </w:r>
    </w:p>
    <w:p>
      <w:pPr>
        <w:spacing w:line="490" w:lineRule="exact"/>
        <w:ind w:firstLine="560" w:firstLineChars="200"/>
        <w:rPr>
          <w:rFonts w:eastAsia="仿宋_GB2312"/>
          <w:color w:val="000000"/>
          <w:sz w:val="28"/>
          <w:szCs w:val="32"/>
        </w:rPr>
      </w:pPr>
      <w:r>
        <w:rPr>
          <w:rFonts w:eastAsia="仿宋_GB2312"/>
          <w:color w:val="000000"/>
          <w:sz w:val="28"/>
          <w:szCs w:val="32"/>
        </w:rPr>
        <w:t>4.1.10.9 工程质量终身责任</w:t>
      </w:r>
    </w:p>
    <w:p>
      <w:pPr>
        <w:spacing w:line="490" w:lineRule="exact"/>
        <w:ind w:firstLine="560" w:firstLineChars="200"/>
        <w:rPr>
          <w:rFonts w:eastAsia="仿宋_GB2312"/>
          <w:color w:val="000000"/>
          <w:kern w:val="0"/>
          <w:sz w:val="28"/>
          <w:szCs w:val="32"/>
        </w:rPr>
      </w:pPr>
      <w:r>
        <w:rPr>
          <w:rFonts w:eastAsia="仿宋_GB2312"/>
          <w:color w:val="000000"/>
          <w:sz w:val="28"/>
          <w:szCs w:val="32"/>
        </w:rPr>
        <w:t>承包人法定代表人应当及时签署授权书（见附件七《湖南省</w:t>
      </w:r>
      <w:r>
        <w:rPr>
          <w:rFonts w:hint="eastAsia" w:eastAsia="仿宋_GB2312"/>
          <w:color w:val="000000"/>
          <w:sz w:val="28"/>
          <w:szCs w:val="32"/>
        </w:rPr>
        <w:t>农田</w:t>
      </w:r>
      <w:r>
        <w:rPr>
          <w:rFonts w:eastAsia="仿宋_GB2312"/>
          <w:color w:val="000000"/>
          <w:sz w:val="28"/>
          <w:szCs w:val="32"/>
        </w:rPr>
        <w:t>建设项目</w:t>
      </w:r>
      <w:r>
        <w:rPr>
          <w:rFonts w:hint="eastAsia" w:eastAsia="仿宋_GB2312"/>
          <w:color w:val="000000"/>
          <w:sz w:val="28"/>
          <w:szCs w:val="32"/>
        </w:rPr>
        <w:t>工程</w:t>
      </w:r>
      <w:r>
        <w:rPr>
          <w:rFonts w:eastAsia="仿宋_GB2312"/>
          <w:color w:val="000000"/>
          <w:sz w:val="28"/>
          <w:szCs w:val="32"/>
        </w:rPr>
        <w:t>从业单位法定代表人授权书》），明确承包人在本工程的项目负责人，经授权的项目负责人应当在办理工程质量监督手续前签署工程质量终身责任承诺书（见附件八《湖南省</w:t>
      </w:r>
      <w:r>
        <w:rPr>
          <w:rFonts w:hint="eastAsia" w:eastAsia="仿宋_GB2312"/>
          <w:color w:val="000000"/>
          <w:sz w:val="28"/>
          <w:szCs w:val="32"/>
        </w:rPr>
        <w:t>农田</w:t>
      </w:r>
      <w:r>
        <w:rPr>
          <w:rFonts w:eastAsia="仿宋_GB2312"/>
          <w:color w:val="000000"/>
          <w:sz w:val="28"/>
          <w:szCs w:val="32"/>
        </w:rPr>
        <w:t>建设项目</w:t>
      </w:r>
      <w:r>
        <w:rPr>
          <w:rFonts w:hint="eastAsia" w:eastAsia="仿宋_GB2312"/>
          <w:color w:val="000000"/>
          <w:sz w:val="28"/>
          <w:szCs w:val="32"/>
        </w:rPr>
        <w:t>工程</w:t>
      </w:r>
      <w:r>
        <w:rPr>
          <w:rFonts w:eastAsia="仿宋_GB2312"/>
          <w:color w:val="000000"/>
          <w:sz w:val="28"/>
          <w:szCs w:val="32"/>
        </w:rPr>
        <w:t>负责人质量终身责任承诺书》），连同法定代表人授权书，由项目法人（建设单位）报工程质量监督机构备案，作为受理质量监督手续必需资料。</w:t>
      </w:r>
    </w:p>
    <w:p>
      <w:pPr>
        <w:tabs>
          <w:tab w:val="left" w:pos="6420"/>
        </w:tabs>
        <w:spacing w:line="490" w:lineRule="exact"/>
        <w:ind w:firstLine="560" w:firstLineChars="200"/>
        <w:rPr>
          <w:rFonts w:eastAsia="仿宋_GB2312"/>
          <w:color w:val="000000"/>
          <w:sz w:val="28"/>
          <w:szCs w:val="32"/>
        </w:rPr>
      </w:pPr>
      <w:r>
        <w:rPr>
          <w:rFonts w:eastAsia="仿宋_GB2312"/>
          <w:color w:val="000000"/>
          <w:sz w:val="28"/>
          <w:szCs w:val="32"/>
        </w:rPr>
        <w:t>…………</w:t>
      </w:r>
      <w:r>
        <w:rPr>
          <w:rFonts w:eastAsia="仿宋_GB2312"/>
          <w:color w:val="000000"/>
          <w:sz w:val="28"/>
          <w:szCs w:val="32"/>
        </w:rPr>
        <w:tab/>
      </w:r>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4.2履约担保（</w:t>
      </w:r>
      <w:r>
        <w:rPr>
          <w:rFonts w:hint="eastAsia" w:ascii="Times New Roman" w:hAnsi="Times New Roman" w:eastAsia="楷体_GB2312"/>
          <w:color w:val="000000"/>
          <w:szCs w:val="32"/>
          <w:lang w:eastAsia="zh-CN"/>
        </w:rPr>
        <w:t>可</w:t>
      </w:r>
      <w:r>
        <w:rPr>
          <w:rFonts w:ascii="Times New Roman" w:hAnsi="Times New Roman" w:eastAsia="楷体_GB2312"/>
          <w:color w:val="000000"/>
          <w:szCs w:val="32"/>
        </w:rPr>
        <w:t>修改）</w:t>
      </w:r>
    </w:p>
    <w:p>
      <w:pPr>
        <w:spacing w:line="490" w:lineRule="exact"/>
        <w:ind w:firstLine="562" w:firstLineChars="200"/>
        <w:rPr>
          <w:rFonts w:eastAsia="仿宋_GB2312"/>
          <w:color w:val="000000"/>
          <w:sz w:val="28"/>
          <w:szCs w:val="32"/>
        </w:rPr>
      </w:pPr>
      <w:r>
        <w:rPr>
          <w:rFonts w:eastAsia="仿宋_GB2312"/>
          <w:b/>
          <w:i/>
          <w:color w:val="000000"/>
          <w:sz w:val="28"/>
          <w:szCs w:val="32"/>
        </w:rPr>
        <w:t>（适用于不要求提交履约担保）：</w:t>
      </w:r>
      <w:r>
        <w:rPr>
          <w:rFonts w:eastAsia="仿宋_GB2312"/>
          <w:color w:val="000000"/>
          <w:sz w:val="28"/>
          <w:szCs w:val="32"/>
        </w:rPr>
        <w:t>删除通用合同条款第4.2条全文。并以下文代替：本合同工程不需要提交履约担保。</w:t>
      </w:r>
    </w:p>
    <w:p>
      <w:pPr>
        <w:spacing w:line="490" w:lineRule="exact"/>
        <w:ind w:firstLine="562" w:firstLineChars="200"/>
        <w:rPr>
          <w:rFonts w:eastAsia="仿宋_GB2312"/>
          <w:color w:val="000000"/>
          <w:sz w:val="28"/>
          <w:szCs w:val="32"/>
        </w:rPr>
      </w:pPr>
      <w:r>
        <w:rPr>
          <w:rFonts w:eastAsia="仿宋_GB2312"/>
          <w:b/>
          <w:i/>
          <w:color w:val="000000"/>
          <w:sz w:val="28"/>
          <w:szCs w:val="32"/>
        </w:rPr>
        <w:t>（适用于要求提交履约担保）：</w:t>
      </w:r>
      <w:r>
        <w:rPr>
          <w:rFonts w:eastAsia="仿宋_GB2312"/>
          <w:color w:val="000000"/>
          <w:sz w:val="28"/>
          <w:szCs w:val="32"/>
        </w:rPr>
        <w:t>本合同工程履约担保采用</w:t>
      </w:r>
      <w:r>
        <w:rPr>
          <w:rFonts w:eastAsia="仿宋_GB2312"/>
          <w:color w:val="000000"/>
          <w:sz w:val="28"/>
          <w:szCs w:val="32"/>
          <w:u w:val="single"/>
        </w:rPr>
        <w:t xml:space="preserve">       </w:t>
      </w:r>
      <w:r>
        <w:rPr>
          <w:rFonts w:eastAsia="仿宋_GB2312"/>
          <w:color w:val="000000"/>
          <w:sz w:val="28"/>
          <w:szCs w:val="32"/>
        </w:rPr>
        <w:t>形式递交，担保金额为合同总价（不含暂列金额和暂估价）的</w:t>
      </w:r>
      <w:r>
        <w:rPr>
          <w:rFonts w:eastAsia="仿宋_GB2312"/>
          <w:color w:val="000000"/>
          <w:sz w:val="28"/>
          <w:szCs w:val="32"/>
          <w:u w:val="single"/>
        </w:rPr>
        <w:t xml:space="preserve">      </w:t>
      </w:r>
      <w:r>
        <w:rPr>
          <w:rFonts w:eastAsia="仿宋_GB2312"/>
          <w:color w:val="000000"/>
          <w:sz w:val="28"/>
          <w:szCs w:val="32"/>
        </w:rPr>
        <w:t>％。承包人应保证其履约担保在发包人颁发工程接收证书前一直有效。发包人应在工程接收证书颁发后28天内把履约担保退还（无息）给承包人。</w:t>
      </w:r>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4.3分包</w:t>
      </w:r>
    </w:p>
    <w:p>
      <w:pPr>
        <w:spacing w:line="490" w:lineRule="exact"/>
        <w:ind w:firstLine="560" w:firstLineChars="200"/>
        <w:rPr>
          <w:rFonts w:eastAsia="仿宋_GB2312"/>
          <w:color w:val="000000"/>
          <w:sz w:val="28"/>
          <w:szCs w:val="32"/>
        </w:rPr>
      </w:pPr>
      <w:r>
        <w:rPr>
          <w:rFonts w:eastAsia="仿宋_GB2312"/>
          <w:color w:val="000000"/>
          <w:sz w:val="28"/>
          <w:szCs w:val="32"/>
        </w:rPr>
        <w:t>4.3.2  允许承包人分包的工程项目、工作内容与分包金额限额为：</w:t>
      </w:r>
    </w:p>
    <w:p>
      <w:pPr>
        <w:spacing w:line="490" w:lineRule="exact"/>
        <w:ind w:firstLine="560" w:firstLineChars="200"/>
        <w:rPr>
          <w:rFonts w:eastAsia="仿宋_GB2312"/>
          <w:color w:val="000000"/>
          <w:sz w:val="28"/>
          <w:szCs w:val="32"/>
        </w:rPr>
      </w:pPr>
      <w:r>
        <w:rPr>
          <w:rFonts w:eastAsia="仿宋_GB2312"/>
          <w:color w:val="000000"/>
          <w:sz w:val="28"/>
          <w:szCs w:val="32"/>
        </w:rPr>
        <w:t>（1）工程项目：</w:t>
      </w:r>
      <w:r>
        <w:rPr>
          <w:rFonts w:eastAsia="仿宋_GB2312"/>
          <w:color w:val="000000"/>
          <w:sz w:val="28"/>
          <w:szCs w:val="32"/>
          <w:u w:val="single"/>
        </w:rPr>
        <w:t xml:space="preserve">                  </w:t>
      </w:r>
      <w:r>
        <w:rPr>
          <w:rFonts w:eastAsia="仿宋_GB2312"/>
          <w:color w:val="000000"/>
          <w:sz w:val="28"/>
          <w:szCs w:val="32"/>
        </w:rPr>
        <w:t>。</w:t>
      </w:r>
    </w:p>
    <w:p>
      <w:pPr>
        <w:spacing w:line="490" w:lineRule="exact"/>
        <w:ind w:firstLine="560" w:firstLineChars="200"/>
        <w:rPr>
          <w:rFonts w:eastAsia="仿宋_GB2312"/>
          <w:color w:val="000000"/>
          <w:sz w:val="28"/>
          <w:szCs w:val="32"/>
        </w:rPr>
      </w:pPr>
      <w:r>
        <w:rPr>
          <w:rFonts w:eastAsia="仿宋_GB2312"/>
          <w:color w:val="000000"/>
          <w:sz w:val="28"/>
          <w:szCs w:val="32"/>
        </w:rPr>
        <w:t>（2）工作内容：</w:t>
      </w:r>
      <w:r>
        <w:rPr>
          <w:rFonts w:eastAsia="仿宋_GB2312"/>
          <w:color w:val="000000"/>
          <w:sz w:val="28"/>
          <w:szCs w:val="32"/>
          <w:u w:val="single"/>
        </w:rPr>
        <w:t xml:space="preserve">                    </w:t>
      </w:r>
      <w:r>
        <w:rPr>
          <w:rFonts w:eastAsia="仿宋_GB2312"/>
          <w:color w:val="000000"/>
          <w:sz w:val="28"/>
          <w:szCs w:val="32"/>
        </w:rPr>
        <w:t>。</w:t>
      </w:r>
    </w:p>
    <w:p>
      <w:pPr>
        <w:spacing w:line="490" w:lineRule="exact"/>
        <w:ind w:firstLine="560" w:firstLineChars="200"/>
        <w:rPr>
          <w:rFonts w:eastAsia="仿宋_GB2312"/>
          <w:color w:val="000000"/>
          <w:sz w:val="28"/>
          <w:szCs w:val="32"/>
        </w:rPr>
      </w:pPr>
      <w:r>
        <w:rPr>
          <w:rFonts w:eastAsia="仿宋_GB2312"/>
          <w:color w:val="000000"/>
          <w:sz w:val="28"/>
          <w:szCs w:val="32"/>
        </w:rPr>
        <w:t>（3）分包金额限额：</w:t>
      </w:r>
      <w:r>
        <w:rPr>
          <w:rFonts w:eastAsia="仿宋_GB2312"/>
          <w:color w:val="000000"/>
          <w:sz w:val="28"/>
          <w:szCs w:val="32"/>
          <w:u w:val="single"/>
        </w:rPr>
        <w:t xml:space="preserve">                    </w:t>
      </w:r>
      <w:r>
        <w:rPr>
          <w:rFonts w:eastAsia="仿宋_GB2312"/>
          <w:color w:val="000000"/>
          <w:sz w:val="28"/>
          <w:szCs w:val="32"/>
        </w:rPr>
        <w:t>。</w:t>
      </w:r>
    </w:p>
    <w:p>
      <w:pPr>
        <w:spacing w:line="490" w:lineRule="exact"/>
        <w:ind w:firstLine="560" w:firstLineChars="200"/>
        <w:jc w:val="left"/>
        <w:rPr>
          <w:rFonts w:eastAsia="仿宋_GB2312"/>
          <w:color w:val="000000"/>
          <w:sz w:val="28"/>
          <w:szCs w:val="32"/>
        </w:rPr>
      </w:pPr>
      <w:r>
        <w:rPr>
          <w:rFonts w:eastAsia="仿宋_GB2312"/>
          <w:color w:val="000000"/>
          <w:sz w:val="28"/>
          <w:szCs w:val="32"/>
        </w:rPr>
        <w:t>4.3.10  分包人项目管理机构的设立：</w:t>
      </w:r>
      <w:r>
        <w:rPr>
          <w:rFonts w:eastAsia="仿宋_GB2312"/>
          <w:color w:val="000000"/>
          <w:sz w:val="28"/>
          <w:szCs w:val="32"/>
          <w:u w:val="single"/>
        </w:rPr>
        <w:t xml:space="preserve">                  </w:t>
      </w:r>
      <w:r>
        <w:rPr>
          <w:rFonts w:eastAsia="仿宋_GB2312"/>
          <w:color w:val="000000"/>
          <w:sz w:val="28"/>
          <w:szCs w:val="32"/>
        </w:rPr>
        <w:t>。</w:t>
      </w:r>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4.4 联合体</w:t>
      </w:r>
    </w:p>
    <w:p>
      <w:pPr>
        <w:spacing w:line="490" w:lineRule="exact"/>
        <w:ind w:firstLine="560" w:firstLineChars="200"/>
        <w:rPr>
          <w:rFonts w:eastAsia="仿宋_GB2312"/>
          <w:color w:val="000000"/>
          <w:sz w:val="28"/>
          <w:szCs w:val="32"/>
        </w:rPr>
      </w:pPr>
      <w:r>
        <w:rPr>
          <w:rFonts w:eastAsia="仿宋_GB2312"/>
          <w:color w:val="000000"/>
          <w:sz w:val="28"/>
          <w:szCs w:val="32"/>
        </w:rPr>
        <w:t>本合同工程</w:t>
      </w:r>
      <w:r>
        <w:rPr>
          <w:rFonts w:eastAsia="仿宋_GB2312"/>
          <w:color w:val="000000"/>
          <w:sz w:val="28"/>
          <w:szCs w:val="32"/>
          <w:u w:val="single"/>
        </w:rPr>
        <w:t xml:space="preserve">       </w:t>
      </w:r>
      <w:r>
        <w:rPr>
          <w:rFonts w:eastAsia="仿宋_GB2312"/>
          <w:color w:val="000000"/>
          <w:sz w:val="28"/>
          <w:szCs w:val="32"/>
        </w:rPr>
        <w:t>（</w:t>
      </w:r>
      <w:r>
        <w:rPr>
          <w:rFonts w:eastAsia="仿宋_GB2312"/>
          <w:b/>
          <w:i/>
          <w:color w:val="000000"/>
          <w:sz w:val="28"/>
          <w:szCs w:val="32"/>
        </w:rPr>
        <w:t>允许或不允许</w:t>
      </w:r>
      <w:r>
        <w:rPr>
          <w:rFonts w:eastAsia="仿宋_GB2312"/>
          <w:color w:val="000000"/>
          <w:sz w:val="28"/>
          <w:szCs w:val="32"/>
        </w:rPr>
        <w:t>）联合体承包。</w:t>
      </w:r>
    </w:p>
    <w:p>
      <w:pPr>
        <w:spacing w:line="490" w:lineRule="exact"/>
        <w:ind w:firstLine="560" w:firstLineChars="200"/>
        <w:rPr>
          <w:rFonts w:eastAsia="仿宋_GB2312"/>
          <w:color w:val="000000"/>
          <w:sz w:val="28"/>
          <w:szCs w:val="32"/>
        </w:rPr>
      </w:pPr>
      <w:r>
        <w:rPr>
          <w:rFonts w:eastAsia="仿宋_GB2312"/>
          <w:color w:val="000000"/>
          <w:sz w:val="28"/>
          <w:szCs w:val="32"/>
        </w:rPr>
        <w:t>不允许，删除通用合同条款第4.4.1、4.4.2、4.4.3条全文。</w:t>
      </w:r>
    </w:p>
    <w:p>
      <w:pPr>
        <w:spacing w:line="490" w:lineRule="exact"/>
        <w:ind w:firstLine="560" w:firstLineChars="200"/>
        <w:rPr>
          <w:rFonts w:eastAsia="仿宋_GB2312"/>
          <w:color w:val="000000"/>
          <w:sz w:val="28"/>
          <w:szCs w:val="32"/>
        </w:rPr>
      </w:pPr>
      <w:r>
        <w:rPr>
          <w:rFonts w:eastAsia="仿宋_GB2312"/>
          <w:color w:val="000000"/>
          <w:sz w:val="28"/>
          <w:szCs w:val="32"/>
        </w:rPr>
        <w:t>允许，应满足下列要求：</w:t>
      </w:r>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4.5承包人项目负责人（补充）</w:t>
      </w:r>
    </w:p>
    <w:p>
      <w:pPr>
        <w:spacing w:line="490" w:lineRule="exact"/>
        <w:ind w:firstLine="560" w:firstLineChars="200"/>
        <w:rPr>
          <w:rFonts w:eastAsia="仿宋_GB2312"/>
          <w:color w:val="000000"/>
          <w:sz w:val="28"/>
          <w:szCs w:val="32"/>
        </w:rPr>
      </w:pPr>
      <w:r>
        <w:rPr>
          <w:rFonts w:eastAsia="仿宋_GB2312"/>
          <w:color w:val="000000"/>
          <w:sz w:val="28"/>
          <w:szCs w:val="32"/>
        </w:rPr>
        <w:t>4.5.5（1）同一施工项目负责人不能同时在两个及以上的工程项目上担任施工项目负责人。</w:t>
      </w:r>
    </w:p>
    <w:p>
      <w:pPr>
        <w:spacing w:line="490" w:lineRule="exact"/>
        <w:ind w:firstLine="560" w:firstLineChars="200"/>
        <w:rPr>
          <w:rFonts w:eastAsia="仿宋_GB2312"/>
          <w:color w:val="000000"/>
          <w:sz w:val="28"/>
          <w:szCs w:val="32"/>
        </w:rPr>
      </w:pPr>
      <w:r>
        <w:rPr>
          <w:rFonts w:eastAsia="仿宋_GB2312"/>
          <w:color w:val="000000"/>
          <w:sz w:val="28"/>
          <w:szCs w:val="32"/>
        </w:rPr>
        <w:t>（2）承包人应保证项目负责人每月在工地现场的时间不少于本月施工时间的</w:t>
      </w:r>
      <w:r>
        <w:rPr>
          <w:rFonts w:eastAsia="仿宋_GB2312"/>
          <w:color w:val="000000"/>
          <w:sz w:val="28"/>
          <w:szCs w:val="32"/>
          <w:u w:val="single"/>
        </w:rPr>
        <w:t xml:space="preserve">      </w:t>
      </w:r>
      <w:r>
        <w:rPr>
          <w:rFonts w:eastAsia="仿宋_GB2312"/>
          <w:color w:val="000000"/>
          <w:sz w:val="28"/>
          <w:szCs w:val="32"/>
        </w:rPr>
        <w:t>％（招标人自行填写），否则将按每人每天人民币</w:t>
      </w:r>
      <w:r>
        <w:rPr>
          <w:rFonts w:eastAsia="仿宋_GB2312"/>
          <w:color w:val="000000"/>
          <w:sz w:val="28"/>
          <w:szCs w:val="32"/>
          <w:u w:val="single"/>
        </w:rPr>
        <w:t xml:space="preserve">     </w:t>
      </w:r>
      <w:r>
        <w:rPr>
          <w:rFonts w:eastAsia="仿宋_GB2312"/>
          <w:color w:val="000000"/>
          <w:sz w:val="28"/>
          <w:szCs w:val="32"/>
        </w:rPr>
        <w:t xml:space="preserve">元的标准向发包人支付违约金。上述人员因其他事务需短期离开工地，应向发包人请假，经批准后方可离开，离开期间应委托项目相关负责人负责其外出时的日常工作。 </w:t>
      </w:r>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4.6承包人人员的管理（补充）</w:t>
      </w:r>
    </w:p>
    <w:p>
      <w:pPr>
        <w:spacing w:line="490" w:lineRule="exact"/>
        <w:ind w:firstLine="560" w:firstLineChars="200"/>
        <w:rPr>
          <w:rFonts w:eastAsia="仿宋_GB2312"/>
          <w:color w:val="000000"/>
          <w:sz w:val="28"/>
          <w:szCs w:val="32"/>
        </w:rPr>
      </w:pPr>
      <w:r>
        <w:rPr>
          <w:rFonts w:eastAsia="仿宋_GB2312"/>
          <w:color w:val="000000"/>
          <w:sz w:val="28"/>
          <w:szCs w:val="32"/>
        </w:rPr>
        <w:t>4.6.5承包人应保证项目总工（技术负责人）、专职安全员每月在工地现场的时间不少于本月施工时间的</w:t>
      </w:r>
      <w:r>
        <w:rPr>
          <w:rFonts w:eastAsia="仿宋_GB2312"/>
          <w:color w:val="000000"/>
          <w:sz w:val="28"/>
          <w:szCs w:val="32"/>
          <w:u w:val="single"/>
        </w:rPr>
        <w:t xml:space="preserve">      </w:t>
      </w:r>
      <w:r>
        <w:rPr>
          <w:rFonts w:eastAsia="仿宋_GB2312"/>
          <w:color w:val="000000"/>
          <w:sz w:val="28"/>
          <w:szCs w:val="32"/>
        </w:rPr>
        <w:t>％（招标人自行填写，但不得低于70），否则将按每人每天人民币</w:t>
      </w:r>
      <w:r>
        <w:rPr>
          <w:rFonts w:eastAsia="仿宋_GB2312"/>
          <w:color w:val="000000"/>
          <w:sz w:val="28"/>
          <w:szCs w:val="32"/>
          <w:u w:val="single"/>
        </w:rPr>
        <w:t xml:space="preserve">     </w:t>
      </w:r>
      <w:r>
        <w:rPr>
          <w:rFonts w:eastAsia="仿宋_GB2312"/>
          <w:color w:val="000000"/>
          <w:sz w:val="28"/>
          <w:szCs w:val="32"/>
        </w:rPr>
        <w:t xml:space="preserve">元的标准向发包人支付违约金。上述人员因其他事务需短期离开工地，应向发包人请假，经批准后方可离开，离开期间应委托项目相关负责人负责其外出时的日常工作。 </w:t>
      </w:r>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4.7撤换承包人项目负责人和其他人员（补充）</w:t>
      </w:r>
    </w:p>
    <w:p>
      <w:pPr>
        <w:spacing w:line="490" w:lineRule="exact"/>
        <w:ind w:firstLine="560" w:firstLineChars="200"/>
        <w:rPr>
          <w:rFonts w:eastAsia="仿宋_GB2312"/>
          <w:color w:val="000000"/>
          <w:sz w:val="28"/>
          <w:szCs w:val="32"/>
        </w:rPr>
      </w:pPr>
      <w:r>
        <w:rPr>
          <w:rFonts w:eastAsia="仿宋_GB2312"/>
          <w:color w:val="000000"/>
          <w:sz w:val="28"/>
          <w:szCs w:val="32"/>
        </w:rPr>
        <w:t xml:space="preserve">4.7.1  </w:t>
      </w:r>
      <w:r>
        <w:rPr>
          <w:rFonts w:eastAsia="仿宋_GB2312"/>
          <w:b/>
          <w:color w:val="000000"/>
          <w:sz w:val="28"/>
          <w:szCs w:val="32"/>
        </w:rPr>
        <w:t>补充</w:t>
      </w:r>
      <w:r>
        <w:rPr>
          <w:rFonts w:eastAsia="仿宋_GB2312"/>
          <w:color w:val="000000"/>
          <w:sz w:val="28"/>
          <w:szCs w:val="32"/>
        </w:rPr>
        <w:t>：除非发包人要求或者批准，承包人擅自更换</w:t>
      </w:r>
      <w:r>
        <w:rPr>
          <w:rFonts w:hint="eastAsia" w:eastAsia="仿宋_GB2312"/>
          <w:color w:val="000000"/>
          <w:sz w:val="28"/>
          <w:szCs w:val="32"/>
        </w:rPr>
        <w:t>项目负责人</w:t>
      </w:r>
      <w:r>
        <w:rPr>
          <w:rFonts w:eastAsia="仿宋_GB2312"/>
          <w:color w:val="000000"/>
          <w:sz w:val="28"/>
          <w:szCs w:val="32"/>
        </w:rPr>
        <w:t>、项目副经理、技术负责人、专职安全员的，应按照</w:t>
      </w:r>
      <w:r>
        <w:rPr>
          <w:rFonts w:eastAsia="仿宋_GB2312"/>
          <w:color w:val="000000"/>
          <w:sz w:val="28"/>
          <w:szCs w:val="32"/>
          <w:u w:val="single"/>
        </w:rPr>
        <w:t xml:space="preserve">    </w:t>
      </w:r>
      <w:r>
        <w:rPr>
          <w:rFonts w:eastAsia="仿宋_GB2312"/>
          <w:color w:val="000000"/>
          <w:sz w:val="28"/>
          <w:szCs w:val="32"/>
        </w:rPr>
        <w:t>万元人民币/次/人的标准向发包人支付违约金。</w:t>
      </w:r>
    </w:p>
    <w:p>
      <w:pPr>
        <w:spacing w:line="490" w:lineRule="exact"/>
        <w:ind w:firstLine="560" w:firstLineChars="200"/>
        <w:rPr>
          <w:rFonts w:eastAsia="仿宋_GB2312"/>
          <w:color w:val="000000"/>
          <w:sz w:val="28"/>
          <w:szCs w:val="32"/>
        </w:rPr>
      </w:pPr>
      <w:r>
        <w:rPr>
          <w:rFonts w:eastAsia="仿宋_GB2312"/>
          <w:color w:val="000000"/>
          <w:sz w:val="28"/>
          <w:szCs w:val="32"/>
        </w:rPr>
        <w:t xml:space="preserve">4.7.2  </w:t>
      </w:r>
      <w:r>
        <w:rPr>
          <w:rFonts w:eastAsia="仿宋_GB2312"/>
          <w:b/>
          <w:color w:val="000000"/>
          <w:sz w:val="28"/>
          <w:szCs w:val="32"/>
        </w:rPr>
        <w:t>补充</w:t>
      </w:r>
      <w:r>
        <w:rPr>
          <w:rFonts w:eastAsia="仿宋_GB2312"/>
          <w:color w:val="000000"/>
          <w:sz w:val="28"/>
          <w:szCs w:val="32"/>
        </w:rPr>
        <w:t>：尽管承包人已按第4.6.2款的规定派遣了各类人员，若这些人员仍然不能满足合同工程的进度计划或质量要求时，发包人有权要求承包人继续增派（</w:t>
      </w:r>
      <w:r>
        <w:rPr>
          <w:rFonts w:hint="eastAsia" w:eastAsia="仿宋_GB2312"/>
          <w:color w:val="000000"/>
          <w:sz w:val="28"/>
          <w:szCs w:val="32"/>
        </w:rPr>
        <w:t>和</w:t>
      </w:r>
      <w:r>
        <w:rPr>
          <w:rFonts w:eastAsia="仿宋_GB2312"/>
          <w:color w:val="000000"/>
          <w:sz w:val="28"/>
          <w:szCs w:val="32"/>
        </w:rPr>
        <w:t>/或更换）人员。承包人在接到通知14天内，增派（和/或更换）的人员应到岗，否则，承包人应按照</w:t>
      </w:r>
      <w:r>
        <w:rPr>
          <w:rFonts w:eastAsia="仿宋_GB2312"/>
          <w:color w:val="000000"/>
          <w:sz w:val="28"/>
          <w:szCs w:val="32"/>
          <w:u w:val="single"/>
        </w:rPr>
        <w:t xml:space="preserve">        </w:t>
      </w:r>
      <w:r>
        <w:rPr>
          <w:rFonts w:eastAsia="仿宋_GB2312"/>
          <w:color w:val="000000"/>
          <w:sz w:val="28"/>
          <w:szCs w:val="32"/>
        </w:rPr>
        <w:t>元人民币/人/天的标准向发包人支付违约金，直至按照发包人的要求增派（和/或更换）的人员到岗为</w:t>
      </w:r>
      <w:r>
        <w:rPr>
          <w:rFonts w:hint="eastAsia" w:eastAsia="仿宋_GB2312"/>
          <w:color w:val="000000"/>
          <w:sz w:val="28"/>
          <w:szCs w:val="32"/>
        </w:rPr>
        <w:t>止</w:t>
      </w:r>
      <w:r>
        <w:rPr>
          <w:rFonts w:eastAsia="仿宋_GB2312"/>
          <w:color w:val="000000"/>
          <w:sz w:val="28"/>
          <w:szCs w:val="32"/>
        </w:rPr>
        <w:t>。</w:t>
      </w:r>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4.8保障承包人人员的合法权益（补充）</w:t>
      </w:r>
    </w:p>
    <w:p>
      <w:pPr>
        <w:spacing w:line="490" w:lineRule="exact"/>
        <w:ind w:firstLine="562" w:firstLineChars="200"/>
        <w:rPr>
          <w:rFonts w:eastAsia="仿宋_GB2312"/>
          <w:b/>
          <w:color w:val="000000"/>
          <w:sz w:val="28"/>
          <w:szCs w:val="32"/>
        </w:rPr>
      </w:pPr>
      <w:r>
        <w:rPr>
          <w:rFonts w:eastAsia="仿宋_GB2312"/>
          <w:b/>
          <w:color w:val="000000"/>
          <w:sz w:val="28"/>
          <w:szCs w:val="32"/>
        </w:rPr>
        <w:t>4.8.7  保障农民工工资</w:t>
      </w:r>
    </w:p>
    <w:p>
      <w:pPr>
        <w:spacing w:line="490" w:lineRule="exact"/>
        <w:ind w:firstLine="560" w:firstLineChars="200"/>
        <w:rPr>
          <w:rFonts w:eastAsia="仿宋_GB2312"/>
          <w:color w:val="000000"/>
          <w:sz w:val="28"/>
          <w:szCs w:val="32"/>
        </w:rPr>
      </w:pPr>
      <w:r>
        <w:rPr>
          <w:rFonts w:eastAsia="仿宋_GB2312"/>
          <w:color w:val="000000"/>
          <w:sz w:val="28"/>
          <w:szCs w:val="32"/>
        </w:rPr>
        <w:t>（1）承包人应按照</w:t>
      </w:r>
      <w:r>
        <w:rPr>
          <w:rFonts w:eastAsia="仿宋_GB2312"/>
          <w:color w:val="000000"/>
          <w:sz w:val="28"/>
          <w:szCs w:val="32"/>
          <w:u w:val="single"/>
        </w:rPr>
        <w:t>《国务院办公厅关于全面治理拖欠农民工工资问题的意见》（国办发〔2016〕1号）、《</w:t>
      </w:r>
      <w:r>
        <w:rPr>
          <w:rFonts w:eastAsia="仿宋_GB2312"/>
          <w:bCs/>
          <w:color w:val="000000"/>
          <w:sz w:val="28"/>
          <w:szCs w:val="32"/>
          <w:u w:val="single"/>
        </w:rPr>
        <w:t>保障农民工工资支付条例</w:t>
      </w:r>
      <w:r>
        <w:rPr>
          <w:rFonts w:eastAsia="仿宋_GB2312"/>
          <w:color w:val="000000"/>
          <w:sz w:val="28"/>
          <w:szCs w:val="32"/>
          <w:u w:val="single"/>
        </w:rPr>
        <w:t>》（</w:t>
      </w:r>
      <w:r>
        <w:rPr>
          <w:rFonts w:eastAsia="仿宋_GB2312"/>
          <w:bCs/>
          <w:color w:val="000000"/>
          <w:sz w:val="28"/>
          <w:szCs w:val="32"/>
          <w:u w:val="single"/>
        </w:rPr>
        <w:t>中华人民共</w:t>
      </w:r>
      <w:r>
        <w:rPr>
          <w:rFonts w:eastAsia="仿宋_GB2312"/>
          <w:color w:val="000000"/>
          <w:sz w:val="28"/>
          <w:szCs w:val="32"/>
          <w:u w:val="single"/>
        </w:rPr>
        <w:t>和国国务院令第724号）</w:t>
      </w:r>
      <w:r>
        <w:rPr>
          <w:rFonts w:eastAsia="仿宋_GB2312"/>
          <w:color w:val="000000"/>
          <w:sz w:val="28"/>
          <w:szCs w:val="32"/>
        </w:rPr>
        <w:t>，承包人对本项目工程款中的农民工工资与其他工程款项实行分账管理，按照要求开设农民工工资支付专用账户，专项用于农民工工资相关款项存储和发放。发包人每月按承包人实际完成工程量提取一定比例，足额拨付至农民工工资专用账户。</w:t>
      </w:r>
    </w:p>
    <w:p>
      <w:pPr>
        <w:spacing w:line="490" w:lineRule="exact"/>
        <w:ind w:firstLine="560" w:firstLineChars="200"/>
        <w:rPr>
          <w:rFonts w:eastAsia="仿宋_GB2312"/>
          <w:color w:val="000000"/>
          <w:sz w:val="28"/>
          <w:szCs w:val="32"/>
        </w:rPr>
      </w:pPr>
      <w:r>
        <w:rPr>
          <w:rFonts w:eastAsia="仿宋_GB2312"/>
          <w:color w:val="000000"/>
          <w:sz w:val="28"/>
          <w:szCs w:val="32"/>
        </w:rPr>
        <w:t>（2）承包人（含分包单位）与招用的农民工依法签订劳动合同并进行用工实名登记，通过相应的信息平台对农民工实行实名制管理，确保按月足额支付工资。加强对分包单位劳动用工和工资发放的监督管理，分包人的农民工工资由施工总承包人直接代发；在施工现场醒目位置按照有关要求设立维权信息告示牌。</w:t>
      </w:r>
    </w:p>
    <w:p>
      <w:pPr>
        <w:spacing w:line="490" w:lineRule="exact"/>
        <w:ind w:firstLine="560" w:firstLineChars="200"/>
        <w:rPr>
          <w:rFonts w:eastAsia="仿宋_GB2312"/>
          <w:color w:val="000000"/>
          <w:sz w:val="28"/>
          <w:szCs w:val="32"/>
        </w:rPr>
      </w:pPr>
      <w:r>
        <w:rPr>
          <w:rFonts w:eastAsia="仿宋_GB2312"/>
          <w:color w:val="000000"/>
          <w:sz w:val="28"/>
          <w:szCs w:val="32"/>
        </w:rPr>
        <w:t>（3）根据</w:t>
      </w:r>
      <w:r>
        <w:rPr>
          <w:rFonts w:eastAsia="仿宋_GB2312"/>
          <w:color w:val="000000"/>
          <w:sz w:val="28"/>
          <w:szCs w:val="32"/>
          <w:u w:val="single"/>
        </w:rPr>
        <w:t>《国务院办公厅关于全面治理拖欠农民工工资问题的意见》（国办发〔2016〕1号）</w:t>
      </w:r>
      <w:r>
        <w:rPr>
          <w:rFonts w:eastAsia="仿宋_GB2312"/>
          <w:color w:val="000000"/>
          <w:sz w:val="28"/>
          <w:szCs w:val="32"/>
        </w:rPr>
        <w:t>和湖南省</w:t>
      </w:r>
      <w:r>
        <w:rPr>
          <w:rFonts w:eastAsia="仿宋_GB2312"/>
          <w:color w:val="000000"/>
          <w:sz w:val="28"/>
          <w:szCs w:val="32"/>
          <w:u w:val="single"/>
        </w:rPr>
        <w:t>《关于印发</w:t>
      </w:r>
      <w:r>
        <w:rPr>
          <w:rFonts w:hint="eastAsia" w:eastAsia="仿宋_GB2312"/>
          <w:color w:val="000000"/>
          <w:sz w:val="28"/>
          <w:szCs w:val="32"/>
          <w:u w:val="single"/>
        </w:rPr>
        <w:t>〈</w:t>
      </w:r>
      <w:r>
        <w:rPr>
          <w:rFonts w:eastAsia="仿宋_GB2312"/>
          <w:color w:val="000000"/>
          <w:sz w:val="28"/>
          <w:szCs w:val="32"/>
          <w:u w:val="single"/>
        </w:rPr>
        <w:t>湖南省工程建设领域农民工工资保证金管理办法</w:t>
      </w:r>
      <w:r>
        <w:rPr>
          <w:rFonts w:hint="eastAsia" w:eastAsia="仿宋_GB2312"/>
          <w:color w:val="000000"/>
          <w:sz w:val="28"/>
          <w:szCs w:val="32"/>
          <w:u w:val="single"/>
        </w:rPr>
        <w:t>〉</w:t>
      </w:r>
      <w:r>
        <w:rPr>
          <w:rFonts w:eastAsia="仿宋_GB2312"/>
          <w:color w:val="000000"/>
          <w:sz w:val="28"/>
          <w:szCs w:val="32"/>
          <w:u w:val="single"/>
        </w:rPr>
        <w:t>的通知》（湘人社发〔2019〕53号）</w:t>
      </w:r>
      <w:r>
        <w:rPr>
          <w:rFonts w:eastAsia="仿宋_GB2312"/>
          <w:color w:val="000000"/>
          <w:sz w:val="28"/>
          <w:szCs w:val="32"/>
        </w:rPr>
        <w:t>，承包人应向人力资源社会保障部门交存农民工工资保证金，农民工工资保证金交存、补存、返还、监督等要求按照</w:t>
      </w:r>
      <w:r>
        <w:rPr>
          <w:rFonts w:eastAsia="仿宋_GB2312"/>
          <w:color w:val="000000"/>
          <w:sz w:val="28"/>
          <w:szCs w:val="32"/>
          <w:u w:val="single"/>
        </w:rPr>
        <w:t>湘人社发〔2019〕53号</w:t>
      </w:r>
      <w:r>
        <w:rPr>
          <w:rFonts w:eastAsia="仿宋_GB2312"/>
          <w:color w:val="000000"/>
          <w:sz w:val="28"/>
          <w:szCs w:val="32"/>
        </w:rPr>
        <w:t>文件执行。</w:t>
      </w:r>
    </w:p>
    <w:p>
      <w:pPr>
        <w:spacing w:line="490" w:lineRule="exact"/>
        <w:ind w:firstLine="560" w:firstLineChars="200"/>
        <w:rPr>
          <w:rFonts w:eastAsia="仿宋_GB2312"/>
          <w:color w:val="000000"/>
          <w:sz w:val="28"/>
          <w:szCs w:val="32"/>
        </w:rPr>
      </w:pPr>
      <w:r>
        <w:rPr>
          <w:rFonts w:eastAsia="仿宋_GB2312"/>
          <w:color w:val="000000"/>
          <w:sz w:val="28"/>
          <w:szCs w:val="32"/>
        </w:rPr>
        <w:t>（4）依据</w:t>
      </w:r>
      <w:r>
        <w:rPr>
          <w:rFonts w:eastAsia="仿宋_GB2312"/>
          <w:bCs/>
          <w:color w:val="000000"/>
          <w:sz w:val="28"/>
          <w:szCs w:val="32"/>
          <w:u w:val="single"/>
        </w:rPr>
        <w:t>《拖欠农民工工资“黑名单”管理暂行办法》（</w:t>
      </w:r>
      <w:r>
        <w:rPr>
          <w:rFonts w:eastAsia="仿宋_GB2312"/>
          <w:color w:val="000000"/>
          <w:sz w:val="28"/>
          <w:szCs w:val="32"/>
          <w:u w:val="single"/>
        </w:rPr>
        <w:t>人社部规〔2017〕16号</w:t>
      </w:r>
      <w:r>
        <w:rPr>
          <w:rFonts w:eastAsia="仿宋_GB2312"/>
          <w:bCs/>
          <w:color w:val="000000"/>
          <w:sz w:val="28"/>
          <w:szCs w:val="32"/>
          <w:u w:val="single"/>
        </w:rPr>
        <w:t>）</w:t>
      </w:r>
      <w:r>
        <w:rPr>
          <w:rFonts w:eastAsia="仿宋_GB2312"/>
          <w:bCs/>
          <w:color w:val="000000"/>
          <w:sz w:val="28"/>
          <w:szCs w:val="32"/>
        </w:rPr>
        <w:t>规定，对克扣、无故拖欠农民工工资报酬，数额达到认定拒不支付劳动报酬罪数额标准，或因拖欠农民工工资违法行为引发群体性事件、极端事件造成严重不良社会影响的，由</w:t>
      </w:r>
      <w:r>
        <w:rPr>
          <w:rFonts w:eastAsia="仿宋_GB2312"/>
          <w:color w:val="000000"/>
          <w:sz w:val="28"/>
          <w:szCs w:val="32"/>
        </w:rPr>
        <w:t>人力资源和社会保障行政部门将承包人列入拖欠工资“黑名单”，并依规将拖欠工资“黑名单”信息通过部门门户网站、“信用中国”网站、国家企业信用信息公示系统等予以公示。</w:t>
      </w:r>
    </w:p>
    <w:p>
      <w:pPr>
        <w:spacing w:line="490" w:lineRule="exact"/>
        <w:ind w:firstLine="560" w:firstLineChars="200"/>
        <w:rPr>
          <w:rFonts w:eastAsia="仿宋_GB2312"/>
          <w:color w:val="000000"/>
          <w:sz w:val="28"/>
          <w:szCs w:val="32"/>
        </w:rPr>
      </w:pPr>
      <w:r>
        <w:rPr>
          <w:rFonts w:eastAsia="仿宋_GB2312"/>
          <w:bCs/>
          <w:color w:val="000000"/>
          <w:sz w:val="28"/>
          <w:szCs w:val="32"/>
        </w:rPr>
        <w:t>承包人将劳务违法分包、转包给不具备用工主体资格的组织和个人造成拖欠农民工工资且符合</w:t>
      </w:r>
      <w:r>
        <w:rPr>
          <w:rFonts w:eastAsia="仿宋_GB2312"/>
          <w:bCs/>
          <w:color w:val="000000"/>
          <w:sz w:val="28"/>
          <w:szCs w:val="32"/>
          <w:u w:val="single"/>
        </w:rPr>
        <w:t>人社部规〔2017〕16号</w:t>
      </w:r>
      <w:r>
        <w:rPr>
          <w:rFonts w:eastAsia="仿宋_GB2312"/>
          <w:bCs/>
          <w:color w:val="000000"/>
          <w:sz w:val="28"/>
          <w:szCs w:val="32"/>
        </w:rPr>
        <w:t>文规定相关情形的，将违法分包、转包单位及不具备用工主体资格的组织和个人一并列入拖欠工资“黑名单”。</w:t>
      </w:r>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4.11不利物质条件</w:t>
      </w:r>
    </w:p>
    <w:p>
      <w:pPr>
        <w:spacing w:line="490" w:lineRule="exact"/>
        <w:ind w:firstLine="560" w:firstLineChars="200"/>
        <w:rPr>
          <w:rFonts w:eastAsia="仿宋_GB2312"/>
          <w:color w:val="000000"/>
          <w:sz w:val="28"/>
          <w:szCs w:val="32"/>
        </w:rPr>
      </w:pPr>
      <w:r>
        <w:rPr>
          <w:rFonts w:eastAsia="仿宋_GB2312"/>
          <w:color w:val="000000"/>
          <w:sz w:val="28"/>
          <w:szCs w:val="32"/>
        </w:rPr>
        <w:t>4.11.1  不利物质条件的范围：</w:t>
      </w:r>
      <w:r>
        <w:rPr>
          <w:rFonts w:eastAsia="仿宋_GB2312"/>
          <w:color w:val="000000"/>
          <w:sz w:val="28"/>
          <w:szCs w:val="32"/>
          <w:u w:val="single"/>
        </w:rPr>
        <w:t xml:space="preserve">                </w:t>
      </w:r>
      <w:r>
        <w:rPr>
          <w:rFonts w:eastAsia="仿宋_GB2312"/>
          <w:color w:val="000000"/>
          <w:sz w:val="28"/>
          <w:szCs w:val="32"/>
        </w:rPr>
        <w:t>。</w:t>
      </w:r>
    </w:p>
    <w:p>
      <w:pPr>
        <w:tabs>
          <w:tab w:val="left" w:pos="720"/>
        </w:tabs>
        <w:spacing w:line="490" w:lineRule="exact"/>
        <w:ind w:firstLine="560" w:firstLineChars="200"/>
        <w:rPr>
          <w:rFonts w:eastAsia="仿宋_GB2312"/>
          <w:color w:val="000000"/>
          <w:sz w:val="28"/>
          <w:szCs w:val="32"/>
        </w:rPr>
      </w:pPr>
      <w:r>
        <w:rPr>
          <w:rFonts w:eastAsia="仿宋_GB2312"/>
          <w:color w:val="000000"/>
          <w:sz w:val="28"/>
          <w:szCs w:val="32"/>
        </w:rPr>
        <w:t xml:space="preserve">4.11.3  </w:t>
      </w:r>
      <w:r>
        <w:rPr>
          <w:rFonts w:eastAsia="仿宋_GB2312"/>
          <w:b/>
          <w:color w:val="000000"/>
          <w:sz w:val="28"/>
          <w:szCs w:val="32"/>
        </w:rPr>
        <w:t>补充：</w:t>
      </w:r>
      <w:r>
        <w:rPr>
          <w:rFonts w:eastAsia="仿宋_GB2312"/>
          <w:color w:val="000000"/>
          <w:sz w:val="28"/>
          <w:szCs w:val="32"/>
        </w:rPr>
        <w:t>对于一个有经验的承包人应该合理预见的所有不利物质条件，视为承包人已预见其影响。承包人处理这些影响而采取的所有措施需要的一切费用均已包含在合同总价中，发包人不另行支付。</w:t>
      </w:r>
    </w:p>
    <w:p>
      <w:pPr>
        <w:tabs>
          <w:tab w:val="left" w:pos="720"/>
        </w:tabs>
        <w:spacing w:line="490" w:lineRule="exact"/>
        <w:ind w:firstLine="560" w:firstLineChars="200"/>
        <w:rPr>
          <w:rFonts w:eastAsia="仿宋_GB2312"/>
          <w:color w:val="000000"/>
          <w:sz w:val="28"/>
          <w:szCs w:val="32"/>
        </w:rPr>
      </w:pPr>
      <w:r>
        <w:rPr>
          <w:rFonts w:eastAsia="仿宋_GB2312"/>
          <w:color w:val="000000"/>
          <w:sz w:val="28"/>
          <w:szCs w:val="32"/>
        </w:rPr>
        <w:t>虽然合同中未明确指出，但在不利物质条件发生之前，监理人已经指示承包人不利物质条件可能发生，而承包人未能及时采取有效措施导致的一切损失和由此引起的一切后果均由承包人承担，发包人将不另行支付任何费用。</w:t>
      </w:r>
    </w:p>
    <w:p>
      <w:pPr>
        <w:pStyle w:val="6"/>
        <w:keepNext w:val="0"/>
        <w:keepLines w:val="0"/>
        <w:spacing w:before="0" w:after="0" w:line="490" w:lineRule="exact"/>
        <w:ind w:firstLine="562" w:firstLineChars="200"/>
        <w:rPr>
          <w:rFonts w:eastAsia="黑体"/>
          <w:bCs w:val="0"/>
          <w:color w:val="000000"/>
          <w:sz w:val="28"/>
        </w:rPr>
      </w:pPr>
      <w:bookmarkStart w:id="1792" w:name="_Toc9216"/>
      <w:bookmarkStart w:id="1793" w:name="_Toc51091907"/>
      <w:bookmarkStart w:id="1794" w:name="_Toc18081"/>
      <w:r>
        <w:rPr>
          <w:rFonts w:eastAsia="黑体"/>
          <w:bCs w:val="0"/>
          <w:color w:val="000000"/>
          <w:sz w:val="28"/>
        </w:rPr>
        <w:t>5．材料和工程设备</w:t>
      </w:r>
      <w:bookmarkEnd w:id="1792"/>
      <w:bookmarkEnd w:id="1793"/>
      <w:bookmarkEnd w:id="1794"/>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5.1承包人提供的材料和工程设备</w:t>
      </w:r>
    </w:p>
    <w:p>
      <w:pPr>
        <w:spacing w:line="490" w:lineRule="exact"/>
        <w:ind w:firstLine="560" w:firstLineChars="200"/>
        <w:rPr>
          <w:rFonts w:eastAsia="仿宋_GB2312"/>
          <w:color w:val="000000"/>
          <w:sz w:val="28"/>
          <w:szCs w:val="32"/>
        </w:rPr>
      </w:pPr>
      <w:r>
        <w:rPr>
          <w:rFonts w:eastAsia="仿宋_GB2312"/>
          <w:color w:val="000000"/>
          <w:sz w:val="28"/>
          <w:szCs w:val="32"/>
        </w:rPr>
        <w:t>5.1.4本款补充以下内容：由承包人制作或采购的重要金属结构设备（如闸门、启闭机等）必须有厂家提供的产品合格证书，同时水工金属结构（如闸门）生产厂家应持有生产许可证，水利工程启闭机生产厂家应持有使用许可证。</w:t>
      </w:r>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5.2发包人提供的材料和工程设备</w:t>
      </w:r>
    </w:p>
    <w:p>
      <w:pPr>
        <w:spacing w:line="490" w:lineRule="exact"/>
        <w:ind w:firstLine="560" w:firstLineChars="200"/>
        <w:rPr>
          <w:rFonts w:eastAsia="仿宋_GB2312"/>
          <w:color w:val="000000"/>
          <w:sz w:val="28"/>
          <w:szCs w:val="32"/>
        </w:rPr>
      </w:pPr>
      <w:r>
        <w:rPr>
          <w:rFonts w:eastAsia="仿宋_GB2312"/>
          <w:color w:val="000000"/>
          <w:sz w:val="28"/>
          <w:szCs w:val="32"/>
        </w:rPr>
        <w:t>5.2.1  发包人提供的材料和工程设备见下表：</w:t>
      </w:r>
    </w:p>
    <w:p>
      <w:pPr>
        <w:spacing w:before="120" w:beforeLines="50" w:after="120" w:afterLines="50" w:line="490" w:lineRule="exact"/>
        <w:ind w:firstLine="560" w:firstLineChars="200"/>
        <w:jc w:val="center"/>
        <w:rPr>
          <w:rFonts w:eastAsia="黑体"/>
          <w:i/>
          <w:color w:val="000000"/>
          <w:sz w:val="28"/>
          <w:szCs w:val="32"/>
        </w:rPr>
      </w:pPr>
      <w:r>
        <w:rPr>
          <w:rFonts w:eastAsia="黑体"/>
          <w:color w:val="000000"/>
          <w:sz w:val="28"/>
          <w:szCs w:val="32"/>
        </w:rPr>
        <w:t>发包人提供的材料表（参考格式）</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137"/>
        <w:gridCol w:w="1134"/>
        <w:gridCol w:w="851"/>
        <w:gridCol w:w="1134"/>
        <w:gridCol w:w="1134"/>
        <w:gridCol w:w="1559"/>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dxa"/>
            <w:noWrap w:val="0"/>
            <w:vAlign w:val="center"/>
          </w:tcPr>
          <w:p>
            <w:pPr>
              <w:snapToGrid w:val="0"/>
              <w:jc w:val="center"/>
              <w:rPr>
                <w:color w:val="000000"/>
              </w:rPr>
            </w:pPr>
            <w:r>
              <w:rPr>
                <w:color w:val="000000"/>
              </w:rPr>
              <w:t>序号</w:t>
            </w:r>
          </w:p>
        </w:tc>
        <w:tc>
          <w:tcPr>
            <w:tcW w:w="1137" w:type="dxa"/>
            <w:noWrap w:val="0"/>
            <w:vAlign w:val="center"/>
          </w:tcPr>
          <w:p>
            <w:pPr>
              <w:snapToGrid w:val="0"/>
              <w:jc w:val="center"/>
              <w:rPr>
                <w:color w:val="000000"/>
              </w:rPr>
            </w:pPr>
            <w:r>
              <w:rPr>
                <w:color w:val="000000"/>
              </w:rPr>
              <w:t>材料名称</w:t>
            </w:r>
          </w:p>
        </w:tc>
        <w:tc>
          <w:tcPr>
            <w:tcW w:w="1134" w:type="dxa"/>
            <w:noWrap w:val="0"/>
            <w:vAlign w:val="center"/>
          </w:tcPr>
          <w:p>
            <w:pPr>
              <w:snapToGrid w:val="0"/>
              <w:jc w:val="center"/>
              <w:rPr>
                <w:color w:val="000000"/>
              </w:rPr>
            </w:pPr>
            <w:r>
              <w:rPr>
                <w:color w:val="000000"/>
              </w:rPr>
              <w:t>材料规格</w:t>
            </w:r>
          </w:p>
        </w:tc>
        <w:tc>
          <w:tcPr>
            <w:tcW w:w="851" w:type="dxa"/>
            <w:noWrap w:val="0"/>
            <w:vAlign w:val="center"/>
          </w:tcPr>
          <w:p>
            <w:pPr>
              <w:snapToGrid w:val="0"/>
              <w:jc w:val="center"/>
              <w:rPr>
                <w:color w:val="000000"/>
              </w:rPr>
            </w:pPr>
            <w:r>
              <w:rPr>
                <w:color w:val="000000"/>
              </w:rPr>
              <w:t>数量</w:t>
            </w:r>
          </w:p>
        </w:tc>
        <w:tc>
          <w:tcPr>
            <w:tcW w:w="1134" w:type="dxa"/>
            <w:noWrap w:val="0"/>
            <w:vAlign w:val="center"/>
          </w:tcPr>
          <w:p>
            <w:pPr>
              <w:snapToGrid w:val="0"/>
              <w:jc w:val="center"/>
              <w:rPr>
                <w:color w:val="000000"/>
              </w:rPr>
            </w:pPr>
            <w:r>
              <w:rPr>
                <w:color w:val="000000"/>
              </w:rPr>
              <w:t>交货地点</w:t>
            </w:r>
          </w:p>
        </w:tc>
        <w:tc>
          <w:tcPr>
            <w:tcW w:w="1134" w:type="dxa"/>
            <w:noWrap w:val="0"/>
            <w:vAlign w:val="center"/>
          </w:tcPr>
          <w:p>
            <w:pPr>
              <w:snapToGrid w:val="0"/>
              <w:jc w:val="center"/>
              <w:rPr>
                <w:color w:val="000000"/>
              </w:rPr>
            </w:pPr>
            <w:r>
              <w:rPr>
                <w:color w:val="000000"/>
              </w:rPr>
              <w:t>交货方式</w:t>
            </w:r>
          </w:p>
        </w:tc>
        <w:tc>
          <w:tcPr>
            <w:tcW w:w="1559" w:type="dxa"/>
            <w:noWrap w:val="0"/>
            <w:vAlign w:val="center"/>
          </w:tcPr>
          <w:p>
            <w:pPr>
              <w:snapToGrid w:val="0"/>
              <w:jc w:val="center"/>
              <w:rPr>
                <w:color w:val="000000"/>
              </w:rPr>
            </w:pPr>
            <w:r>
              <w:rPr>
                <w:color w:val="000000"/>
              </w:rPr>
              <w:t>计划交货日期</w:t>
            </w:r>
          </w:p>
        </w:tc>
        <w:tc>
          <w:tcPr>
            <w:tcW w:w="850" w:type="dxa"/>
            <w:noWrap w:val="0"/>
            <w:vAlign w:val="center"/>
          </w:tcPr>
          <w:p>
            <w:pPr>
              <w:snapToGrid w:val="0"/>
              <w:jc w:val="center"/>
              <w:rPr>
                <w:color w:val="000000"/>
              </w:rPr>
            </w:pPr>
            <w:r>
              <w:rPr>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dxa"/>
            <w:noWrap w:val="0"/>
            <w:vAlign w:val="center"/>
          </w:tcPr>
          <w:p>
            <w:pPr>
              <w:snapToGrid w:val="0"/>
              <w:ind w:firstLine="420"/>
              <w:jc w:val="center"/>
              <w:rPr>
                <w:color w:val="000000"/>
              </w:rPr>
            </w:pPr>
          </w:p>
        </w:tc>
        <w:tc>
          <w:tcPr>
            <w:tcW w:w="1137" w:type="dxa"/>
            <w:noWrap w:val="0"/>
            <w:vAlign w:val="center"/>
          </w:tcPr>
          <w:p>
            <w:pPr>
              <w:snapToGrid w:val="0"/>
              <w:ind w:firstLine="420"/>
              <w:jc w:val="center"/>
              <w:rPr>
                <w:color w:val="000000"/>
              </w:rPr>
            </w:pPr>
          </w:p>
        </w:tc>
        <w:tc>
          <w:tcPr>
            <w:tcW w:w="1134" w:type="dxa"/>
            <w:noWrap w:val="0"/>
            <w:vAlign w:val="center"/>
          </w:tcPr>
          <w:p>
            <w:pPr>
              <w:snapToGrid w:val="0"/>
              <w:ind w:firstLine="420"/>
              <w:jc w:val="center"/>
              <w:rPr>
                <w:color w:val="000000"/>
              </w:rPr>
            </w:pPr>
          </w:p>
        </w:tc>
        <w:tc>
          <w:tcPr>
            <w:tcW w:w="851" w:type="dxa"/>
            <w:noWrap w:val="0"/>
            <w:vAlign w:val="center"/>
          </w:tcPr>
          <w:p>
            <w:pPr>
              <w:snapToGrid w:val="0"/>
              <w:ind w:firstLine="420"/>
              <w:jc w:val="center"/>
              <w:rPr>
                <w:color w:val="000000"/>
              </w:rPr>
            </w:pPr>
          </w:p>
        </w:tc>
        <w:tc>
          <w:tcPr>
            <w:tcW w:w="1134" w:type="dxa"/>
            <w:noWrap w:val="0"/>
            <w:vAlign w:val="center"/>
          </w:tcPr>
          <w:p>
            <w:pPr>
              <w:snapToGrid w:val="0"/>
              <w:ind w:firstLine="420"/>
              <w:jc w:val="center"/>
              <w:rPr>
                <w:color w:val="000000"/>
              </w:rPr>
            </w:pPr>
          </w:p>
        </w:tc>
        <w:tc>
          <w:tcPr>
            <w:tcW w:w="1134" w:type="dxa"/>
            <w:noWrap w:val="0"/>
            <w:vAlign w:val="center"/>
          </w:tcPr>
          <w:p>
            <w:pPr>
              <w:snapToGrid w:val="0"/>
              <w:ind w:firstLine="420"/>
              <w:jc w:val="center"/>
              <w:rPr>
                <w:color w:val="000000"/>
              </w:rPr>
            </w:pPr>
          </w:p>
        </w:tc>
        <w:tc>
          <w:tcPr>
            <w:tcW w:w="1559" w:type="dxa"/>
            <w:noWrap w:val="0"/>
            <w:vAlign w:val="center"/>
          </w:tcPr>
          <w:p>
            <w:pPr>
              <w:snapToGrid w:val="0"/>
              <w:ind w:firstLine="420"/>
              <w:jc w:val="center"/>
              <w:rPr>
                <w:color w:val="000000"/>
              </w:rPr>
            </w:pPr>
          </w:p>
        </w:tc>
        <w:tc>
          <w:tcPr>
            <w:tcW w:w="850" w:type="dxa"/>
            <w:noWrap w:val="0"/>
            <w:vAlign w:val="center"/>
          </w:tcPr>
          <w:p>
            <w:pPr>
              <w:snapToGrid w:val="0"/>
              <w:ind w:firstLine="420"/>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6" w:type="dxa"/>
            <w:noWrap w:val="0"/>
            <w:vAlign w:val="center"/>
          </w:tcPr>
          <w:p>
            <w:pPr>
              <w:snapToGrid w:val="0"/>
              <w:ind w:firstLine="420"/>
              <w:jc w:val="center"/>
              <w:rPr>
                <w:color w:val="000000"/>
              </w:rPr>
            </w:pPr>
          </w:p>
        </w:tc>
        <w:tc>
          <w:tcPr>
            <w:tcW w:w="1137" w:type="dxa"/>
            <w:noWrap w:val="0"/>
            <w:vAlign w:val="center"/>
          </w:tcPr>
          <w:p>
            <w:pPr>
              <w:snapToGrid w:val="0"/>
              <w:ind w:firstLine="420"/>
              <w:jc w:val="center"/>
              <w:rPr>
                <w:color w:val="000000"/>
              </w:rPr>
            </w:pPr>
          </w:p>
        </w:tc>
        <w:tc>
          <w:tcPr>
            <w:tcW w:w="1134" w:type="dxa"/>
            <w:noWrap w:val="0"/>
            <w:vAlign w:val="center"/>
          </w:tcPr>
          <w:p>
            <w:pPr>
              <w:snapToGrid w:val="0"/>
              <w:ind w:firstLine="420"/>
              <w:jc w:val="center"/>
              <w:rPr>
                <w:color w:val="000000"/>
              </w:rPr>
            </w:pPr>
          </w:p>
        </w:tc>
        <w:tc>
          <w:tcPr>
            <w:tcW w:w="851" w:type="dxa"/>
            <w:noWrap w:val="0"/>
            <w:vAlign w:val="center"/>
          </w:tcPr>
          <w:p>
            <w:pPr>
              <w:snapToGrid w:val="0"/>
              <w:ind w:firstLine="420"/>
              <w:jc w:val="center"/>
              <w:rPr>
                <w:color w:val="000000"/>
              </w:rPr>
            </w:pPr>
          </w:p>
        </w:tc>
        <w:tc>
          <w:tcPr>
            <w:tcW w:w="1134" w:type="dxa"/>
            <w:noWrap w:val="0"/>
            <w:vAlign w:val="center"/>
          </w:tcPr>
          <w:p>
            <w:pPr>
              <w:snapToGrid w:val="0"/>
              <w:ind w:firstLine="420"/>
              <w:jc w:val="center"/>
              <w:rPr>
                <w:color w:val="000000"/>
              </w:rPr>
            </w:pPr>
          </w:p>
        </w:tc>
        <w:tc>
          <w:tcPr>
            <w:tcW w:w="1134" w:type="dxa"/>
            <w:noWrap w:val="0"/>
            <w:vAlign w:val="center"/>
          </w:tcPr>
          <w:p>
            <w:pPr>
              <w:snapToGrid w:val="0"/>
              <w:ind w:firstLine="420"/>
              <w:jc w:val="center"/>
              <w:rPr>
                <w:color w:val="000000"/>
              </w:rPr>
            </w:pPr>
          </w:p>
        </w:tc>
        <w:tc>
          <w:tcPr>
            <w:tcW w:w="1559" w:type="dxa"/>
            <w:noWrap w:val="0"/>
            <w:vAlign w:val="center"/>
          </w:tcPr>
          <w:p>
            <w:pPr>
              <w:snapToGrid w:val="0"/>
              <w:ind w:firstLine="420"/>
              <w:jc w:val="center"/>
              <w:rPr>
                <w:color w:val="000000"/>
              </w:rPr>
            </w:pPr>
          </w:p>
        </w:tc>
        <w:tc>
          <w:tcPr>
            <w:tcW w:w="850" w:type="dxa"/>
            <w:noWrap w:val="0"/>
            <w:vAlign w:val="center"/>
          </w:tcPr>
          <w:p>
            <w:pPr>
              <w:snapToGrid w:val="0"/>
              <w:ind w:firstLine="420"/>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dxa"/>
            <w:noWrap w:val="0"/>
            <w:vAlign w:val="center"/>
          </w:tcPr>
          <w:p>
            <w:pPr>
              <w:snapToGrid w:val="0"/>
              <w:ind w:firstLine="420"/>
              <w:jc w:val="center"/>
              <w:rPr>
                <w:color w:val="000000"/>
              </w:rPr>
            </w:pPr>
          </w:p>
        </w:tc>
        <w:tc>
          <w:tcPr>
            <w:tcW w:w="1137" w:type="dxa"/>
            <w:noWrap w:val="0"/>
            <w:vAlign w:val="center"/>
          </w:tcPr>
          <w:p>
            <w:pPr>
              <w:snapToGrid w:val="0"/>
              <w:ind w:firstLine="420"/>
              <w:jc w:val="center"/>
              <w:rPr>
                <w:color w:val="000000"/>
              </w:rPr>
            </w:pPr>
          </w:p>
        </w:tc>
        <w:tc>
          <w:tcPr>
            <w:tcW w:w="1134" w:type="dxa"/>
            <w:noWrap w:val="0"/>
            <w:vAlign w:val="center"/>
          </w:tcPr>
          <w:p>
            <w:pPr>
              <w:snapToGrid w:val="0"/>
              <w:ind w:firstLine="420"/>
              <w:jc w:val="center"/>
              <w:rPr>
                <w:color w:val="000000"/>
              </w:rPr>
            </w:pPr>
          </w:p>
        </w:tc>
        <w:tc>
          <w:tcPr>
            <w:tcW w:w="851" w:type="dxa"/>
            <w:noWrap w:val="0"/>
            <w:vAlign w:val="center"/>
          </w:tcPr>
          <w:p>
            <w:pPr>
              <w:snapToGrid w:val="0"/>
              <w:ind w:firstLine="420"/>
              <w:jc w:val="center"/>
              <w:rPr>
                <w:color w:val="000000"/>
              </w:rPr>
            </w:pPr>
          </w:p>
        </w:tc>
        <w:tc>
          <w:tcPr>
            <w:tcW w:w="1134" w:type="dxa"/>
            <w:noWrap w:val="0"/>
            <w:vAlign w:val="center"/>
          </w:tcPr>
          <w:p>
            <w:pPr>
              <w:snapToGrid w:val="0"/>
              <w:ind w:firstLine="420"/>
              <w:jc w:val="center"/>
              <w:rPr>
                <w:color w:val="000000"/>
              </w:rPr>
            </w:pPr>
          </w:p>
        </w:tc>
        <w:tc>
          <w:tcPr>
            <w:tcW w:w="1134" w:type="dxa"/>
            <w:noWrap w:val="0"/>
            <w:vAlign w:val="center"/>
          </w:tcPr>
          <w:p>
            <w:pPr>
              <w:snapToGrid w:val="0"/>
              <w:ind w:firstLine="420"/>
              <w:jc w:val="center"/>
              <w:rPr>
                <w:color w:val="000000"/>
              </w:rPr>
            </w:pPr>
          </w:p>
        </w:tc>
        <w:tc>
          <w:tcPr>
            <w:tcW w:w="1559" w:type="dxa"/>
            <w:noWrap w:val="0"/>
            <w:vAlign w:val="center"/>
          </w:tcPr>
          <w:p>
            <w:pPr>
              <w:snapToGrid w:val="0"/>
              <w:ind w:firstLine="420"/>
              <w:jc w:val="center"/>
              <w:rPr>
                <w:color w:val="000000"/>
              </w:rPr>
            </w:pPr>
          </w:p>
        </w:tc>
        <w:tc>
          <w:tcPr>
            <w:tcW w:w="850" w:type="dxa"/>
            <w:noWrap w:val="0"/>
            <w:vAlign w:val="center"/>
          </w:tcPr>
          <w:p>
            <w:pPr>
              <w:snapToGrid w:val="0"/>
              <w:ind w:firstLine="420"/>
              <w:jc w:val="center"/>
              <w:rPr>
                <w:color w:val="000000"/>
              </w:rPr>
            </w:pPr>
          </w:p>
        </w:tc>
      </w:tr>
    </w:tbl>
    <w:p>
      <w:pPr>
        <w:spacing w:before="120" w:beforeLines="50" w:after="120" w:afterLines="50" w:line="490" w:lineRule="exact"/>
        <w:ind w:firstLine="560" w:firstLineChars="200"/>
        <w:jc w:val="center"/>
        <w:rPr>
          <w:rFonts w:eastAsia="黑体"/>
          <w:color w:val="000000"/>
          <w:sz w:val="28"/>
          <w:szCs w:val="32"/>
        </w:rPr>
      </w:pPr>
    </w:p>
    <w:p>
      <w:pPr>
        <w:spacing w:before="120" w:beforeLines="50" w:after="120" w:afterLines="50" w:line="490" w:lineRule="exact"/>
        <w:ind w:firstLine="560" w:firstLineChars="200"/>
        <w:jc w:val="center"/>
        <w:rPr>
          <w:rFonts w:eastAsia="黑体"/>
          <w:color w:val="000000"/>
          <w:sz w:val="28"/>
          <w:szCs w:val="32"/>
        </w:rPr>
      </w:pPr>
      <w:r>
        <w:rPr>
          <w:rFonts w:eastAsia="黑体"/>
          <w:color w:val="000000"/>
          <w:sz w:val="28"/>
          <w:szCs w:val="32"/>
        </w:rPr>
        <w:t>发包人提供的工程设备表（参考格式）</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641"/>
        <w:gridCol w:w="1052"/>
        <w:gridCol w:w="851"/>
        <w:gridCol w:w="1134"/>
        <w:gridCol w:w="1134"/>
        <w:gridCol w:w="99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noWrap w:val="0"/>
            <w:vAlign w:val="center"/>
          </w:tcPr>
          <w:p>
            <w:pPr>
              <w:snapToGrid w:val="0"/>
              <w:jc w:val="center"/>
              <w:rPr>
                <w:color w:val="000000"/>
              </w:rPr>
            </w:pPr>
            <w:r>
              <w:rPr>
                <w:color w:val="000000"/>
              </w:rPr>
              <w:t>序号</w:t>
            </w:r>
          </w:p>
        </w:tc>
        <w:tc>
          <w:tcPr>
            <w:tcW w:w="1641" w:type="dxa"/>
            <w:noWrap w:val="0"/>
            <w:vAlign w:val="center"/>
          </w:tcPr>
          <w:p>
            <w:pPr>
              <w:snapToGrid w:val="0"/>
              <w:jc w:val="center"/>
              <w:rPr>
                <w:color w:val="000000"/>
              </w:rPr>
            </w:pPr>
            <w:r>
              <w:rPr>
                <w:color w:val="000000"/>
              </w:rPr>
              <w:t>工程设备名称</w:t>
            </w:r>
          </w:p>
        </w:tc>
        <w:tc>
          <w:tcPr>
            <w:tcW w:w="1052" w:type="dxa"/>
            <w:noWrap w:val="0"/>
            <w:vAlign w:val="center"/>
          </w:tcPr>
          <w:p>
            <w:pPr>
              <w:snapToGrid w:val="0"/>
              <w:jc w:val="center"/>
              <w:rPr>
                <w:color w:val="000000"/>
              </w:rPr>
            </w:pPr>
            <w:r>
              <w:rPr>
                <w:color w:val="000000"/>
              </w:rPr>
              <w:t>型号及规格</w:t>
            </w:r>
          </w:p>
        </w:tc>
        <w:tc>
          <w:tcPr>
            <w:tcW w:w="851" w:type="dxa"/>
            <w:noWrap w:val="0"/>
            <w:vAlign w:val="center"/>
          </w:tcPr>
          <w:p>
            <w:pPr>
              <w:snapToGrid w:val="0"/>
              <w:jc w:val="center"/>
              <w:rPr>
                <w:color w:val="000000"/>
              </w:rPr>
            </w:pPr>
            <w:r>
              <w:rPr>
                <w:color w:val="000000"/>
              </w:rPr>
              <w:t>数量</w:t>
            </w:r>
          </w:p>
        </w:tc>
        <w:tc>
          <w:tcPr>
            <w:tcW w:w="1134" w:type="dxa"/>
            <w:noWrap w:val="0"/>
            <w:vAlign w:val="center"/>
          </w:tcPr>
          <w:p>
            <w:pPr>
              <w:snapToGrid w:val="0"/>
              <w:jc w:val="center"/>
              <w:rPr>
                <w:color w:val="000000"/>
              </w:rPr>
            </w:pPr>
            <w:r>
              <w:rPr>
                <w:color w:val="000000"/>
              </w:rPr>
              <w:t>交货地点</w:t>
            </w:r>
          </w:p>
        </w:tc>
        <w:tc>
          <w:tcPr>
            <w:tcW w:w="1134" w:type="dxa"/>
            <w:noWrap w:val="0"/>
            <w:vAlign w:val="center"/>
          </w:tcPr>
          <w:p>
            <w:pPr>
              <w:snapToGrid w:val="0"/>
              <w:jc w:val="center"/>
              <w:rPr>
                <w:color w:val="000000"/>
              </w:rPr>
            </w:pPr>
            <w:r>
              <w:rPr>
                <w:color w:val="000000"/>
              </w:rPr>
              <w:t>交货方式</w:t>
            </w:r>
          </w:p>
        </w:tc>
        <w:tc>
          <w:tcPr>
            <w:tcW w:w="992" w:type="dxa"/>
            <w:noWrap w:val="0"/>
            <w:vAlign w:val="center"/>
          </w:tcPr>
          <w:p>
            <w:pPr>
              <w:snapToGrid w:val="0"/>
              <w:jc w:val="center"/>
              <w:rPr>
                <w:color w:val="000000"/>
              </w:rPr>
            </w:pPr>
            <w:r>
              <w:rPr>
                <w:color w:val="000000"/>
              </w:rPr>
              <w:t>计划交货日期</w:t>
            </w:r>
          </w:p>
        </w:tc>
        <w:tc>
          <w:tcPr>
            <w:tcW w:w="992" w:type="dxa"/>
            <w:noWrap w:val="0"/>
            <w:vAlign w:val="center"/>
          </w:tcPr>
          <w:p>
            <w:pPr>
              <w:snapToGrid w:val="0"/>
              <w:jc w:val="center"/>
              <w:rPr>
                <w:color w:val="000000"/>
              </w:rPr>
            </w:pPr>
            <w:r>
              <w:rPr>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noWrap w:val="0"/>
            <w:vAlign w:val="center"/>
          </w:tcPr>
          <w:p>
            <w:pPr>
              <w:snapToGrid w:val="0"/>
              <w:ind w:firstLine="420"/>
              <w:jc w:val="center"/>
              <w:rPr>
                <w:color w:val="000000"/>
              </w:rPr>
            </w:pPr>
          </w:p>
        </w:tc>
        <w:tc>
          <w:tcPr>
            <w:tcW w:w="1641" w:type="dxa"/>
            <w:noWrap w:val="0"/>
            <w:vAlign w:val="center"/>
          </w:tcPr>
          <w:p>
            <w:pPr>
              <w:snapToGrid w:val="0"/>
              <w:ind w:firstLine="420"/>
              <w:jc w:val="center"/>
              <w:rPr>
                <w:color w:val="000000"/>
              </w:rPr>
            </w:pPr>
          </w:p>
        </w:tc>
        <w:tc>
          <w:tcPr>
            <w:tcW w:w="1052" w:type="dxa"/>
            <w:noWrap w:val="0"/>
            <w:vAlign w:val="center"/>
          </w:tcPr>
          <w:p>
            <w:pPr>
              <w:snapToGrid w:val="0"/>
              <w:ind w:firstLine="420"/>
              <w:jc w:val="center"/>
              <w:rPr>
                <w:color w:val="000000"/>
              </w:rPr>
            </w:pPr>
          </w:p>
        </w:tc>
        <w:tc>
          <w:tcPr>
            <w:tcW w:w="851" w:type="dxa"/>
            <w:noWrap w:val="0"/>
            <w:vAlign w:val="center"/>
          </w:tcPr>
          <w:p>
            <w:pPr>
              <w:snapToGrid w:val="0"/>
              <w:ind w:firstLine="420"/>
              <w:jc w:val="center"/>
              <w:rPr>
                <w:color w:val="000000"/>
              </w:rPr>
            </w:pPr>
          </w:p>
        </w:tc>
        <w:tc>
          <w:tcPr>
            <w:tcW w:w="1134" w:type="dxa"/>
            <w:noWrap w:val="0"/>
            <w:vAlign w:val="center"/>
          </w:tcPr>
          <w:p>
            <w:pPr>
              <w:snapToGrid w:val="0"/>
              <w:ind w:firstLine="420"/>
              <w:jc w:val="center"/>
              <w:rPr>
                <w:color w:val="000000"/>
              </w:rPr>
            </w:pPr>
          </w:p>
        </w:tc>
        <w:tc>
          <w:tcPr>
            <w:tcW w:w="1134" w:type="dxa"/>
            <w:noWrap w:val="0"/>
            <w:vAlign w:val="center"/>
          </w:tcPr>
          <w:p>
            <w:pPr>
              <w:snapToGrid w:val="0"/>
              <w:ind w:firstLine="420"/>
              <w:jc w:val="center"/>
              <w:rPr>
                <w:color w:val="000000"/>
              </w:rPr>
            </w:pPr>
          </w:p>
        </w:tc>
        <w:tc>
          <w:tcPr>
            <w:tcW w:w="992" w:type="dxa"/>
            <w:noWrap w:val="0"/>
            <w:vAlign w:val="center"/>
          </w:tcPr>
          <w:p>
            <w:pPr>
              <w:snapToGrid w:val="0"/>
              <w:ind w:firstLine="420"/>
              <w:jc w:val="center"/>
              <w:rPr>
                <w:color w:val="000000"/>
              </w:rPr>
            </w:pPr>
          </w:p>
        </w:tc>
        <w:tc>
          <w:tcPr>
            <w:tcW w:w="992" w:type="dxa"/>
            <w:noWrap w:val="0"/>
            <w:vAlign w:val="center"/>
          </w:tcPr>
          <w:p>
            <w:pPr>
              <w:snapToGrid w:val="0"/>
              <w:ind w:firstLine="420"/>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noWrap w:val="0"/>
            <w:vAlign w:val="center"/>
          </w:tcPr>
          <w:p>
            <w:pPr>
              <w:snapToGrid w:val="0"/>
              <w:ind w:firstLine="420"/>
              <w:jc w:val="center"/>
              <w:rPr>
                <w:color w:val="000000"/>
              </w:rPr>
            </w:pPr>
          </w:p>
        </w:tc>
        <w:tc>
          <w:tcPr>
            <w:tcW w:w="1641" w:type="dxa"/>
            <w:noWrap w:val="0"/>
            <w:vAlign w:val="center"/>
          </w:tcPr>
          <w:p>
            <w:pPr>
              <w:snapToGrid w:val="0"/>
              <w:ind w:firstLine="420"/>
              <w:jc w:val="center"/>
              <w:rPr>
                <w:color w:val="000000"/>
              </w:rPr>
            </w:pPr>
          </w:p>
        </w:tc>
        <w:tc>
          <w:tcPr>
            <w:tcW w:w="1052" w:type="dxa"/>
            <w:noWrap w:val="0"/>
            <w:vAlign w:val="center"/>
          </w:tcPr>
          <w:p>
            <w:pPr>
              <w:snapToGrid w:val="0"/>
              <w:ind w:firstLine="420"/>
              <w:jc w:val="center"/>
              <w:rPr>
                <w:color w:val="000000"/>
              </w:rPr>
            </w:pPr>
          </w:p>
        </w:tc>
        <w:tc>
          <w:tcPr>
            <w:tcW w:w="851" w:type="dxa"/>
            <w:noWrap w:val="0"/>
            <w:vAlign w:val="center"/>
          </w:tcPr>
          <w:p>
            <w:pPr>
              <w:snapToGrid w:val="0"/>
              <w:ind w:firstLine="420"/>
              <w:jc w:val="center"/>
              <w:rPr>
                <w:color w:val="000000"/>
              </w:rPr>
            </w:pPr>
          </w:p>
        </w:tc>
        <w:tc>
          <w:tcPr>
            <w:tcW w:w="1134" w:type="dxa"/>
            <w:noWrap w:val="0"/>
            <w:vAlign w:val="center"/>
          </w:tcPr>
          <w:p>
            <w:pPr>
              <w:snapToGrid w:val="0"/>
              <w:ind w:firstLine="420"/>
              <w:jc w:val="center"/>
              <w:rPr>
                <w:color w:val="000000"/>
              </w:rPr>
            </w:pPr>
          </w:p>
        </w:tc>
        <w:tc>
          <w:tcPr>
            <w:tcW w:w="1134" w:type="dxa"/>
            <w:noWrap w:val="0"/>
            <w:vAlign w:val="center"/>
          </w:tcPr>
          <w:p>
            <w:pPr>
              <w:snapToGrid w:val="0"/>
              <w:ind w:firstLine="420"/>
              <w:jc w:val="center"/>
              <w:rPr>
                <w:color w:val="000000"/>
              </w:rPr>
            </w:pPr>
          </w:p>
        </w:tc>
        <w:tc>
          <w:tcPr>
            <w:tcW w:w="992" w:type="dxa"/>
            <w:noWrap w:val="0"/>
            <w:vAlign w:val="center"/>
          </w:tcPr>
          <w:p>
            <w:pPr>
              <w:snapToGrid w:val="0"/>
              <w:ind w:firstLine="420"/>
              <w:jc w:val="center"/>
              <w:rPr>
                <w:color w:val="000000"/>
              </w:rPr>
            </w:pPr>
          </w:p>
        </w:tc>
        <w:tc>
          <w:tcPr>
            <w:tcW w:w="992" w:type="dxa"/>
            <w:noWrap w:val="0"/>
            <w:vAlign w:val="center"/>
          </w:tcPr>
          <w:p>
            <w:pPr>
              <w:snapToGrid w:val="0"/>
              <w:ind w:firstLine="420"/>
              <w:jc w:val="center"/>
              <w:rPr>
                <w:color w:val="000000"/>
              </w:rPr>
            </w:pPr>
          </w:p>
        </w:tc>
      </w:tr>
    </w:tbl>
    <w:p>
      <w:pPr>
        <w:pStyle w:val="6"/>
        <w:keepNext w:val="0"/>
        <w:keepLines w:val="0"/>
        <w:spacing w:before="0" w:after="0" w:line="490" w:lineRule="exact"/>
        <w:ind w:firstLine="562" w:firstLineChars="200"/>
        <w:rPr>
          <w:rFonts w:eastAsia="黑体"/>
          <w:bCs w:val="0"/>
          <w:color w:val="000000"/>
          <w:sz w:val="28"/>
        </w:rPr>
      </w:pPr>
      <w:bookmarkStart w:id="1795" w:name="_Toc17711"/>
      <w:bookmarkStart w:id="1796" w:name="_Toc4092"/>
      <w:bookmarkStart w:id="1797" w:name="_Toc51091908"/>
      <w:r>
        <w:rPr>
          <w:rFonts w:eastAsia="黑体"/>
          <w:bCs w:val="0"/>
          <w:color w:val="000000"/>
          <w:sz w:val="28"/>
        </w:rPr>
        <w:t>6．施工设备和临时设施</w:t>
      </w:r>
      <w:bookmarkEnd w:id="1795"/>
      <w:bookmarkEnd w:id="1796"/>
      <w:bookmarkEnd w:id="1797"/>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6.2  发包人提供的施工设备和临时设施</w:t>
      </w:r>
    </w:p>
    <w:p>
      <w:pPr>
        <w:spacing w:line="490" w:lineRule="exact"/>
        <w:ind w:firstLine="560" w:firstLineChars="200"/>
        <w:rPr>
          <w:rFonts w:eastAsia="仿宋_GB2312"/>
          <w:color w:val="000000"/>
          <w:sz w:val="28"/>
          <w:szCs w:val="32"/>
        </w:rPr>
      </w:pPr>
      <w:r>
        <w:rPr>
          <w:rFonts w:eastAsia="仿宋_GB2312"/>
          <w:color w:val="000000"/>
          <w:sz w:val="28"/>
          <w:szCs w:val="32"/>
        </w:rPr>
        <w:t>（1）发包人提供的施工设备见下表：</w:t>
      </w:r>
    </w:p>
    <w:p>
      <w:pPr>
        <w:spacing w:before="120" w:beforeLines="50" w:after="120" w:afterLines="50" w:line="490" w:lineRule="exact"/>
        <w:ind w:firstLine="560" w:firstLineChars="200"/>
        <w:jc w:val="center"/>
        <w:rPr>
          <w:rFonts w:eastAsia="黑体"/>
          <w:color w:val="000000"/>
          <w:sz w:val="28"/>
          <w:szCs w:val="32"/>
        </w:rPr>
      </w:pPr>
      <w:r>
        <w:rPr>
          <w:rFonts w:eastAsia="黑体"/>
          <w:color w:val="000000"/>
          <w:sz w:val="28"/>
          <w:szCs w:val="32"/>
        </w:rPr>
        <w:t>发包人提供的施工设备表（参考格式）</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476"/>
        <w:gridCol w:w="1282"/>
        <w:gridCol w:w="1080"/>
        <w:gridCol w:w="709"/>
        <w:gridCol w:w="1134"/>
        <w:gridCol w:w="155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8" w:type="dxa"/>
            <w:noWrap w:val="0"/>
            <w:vAlign w:val="center"/>
          </w:tcPr>
          <w:p>
            <w:pPr>
              <w:jc w:val="center"/>
              <w:rPr>
                <w:color w:val="000000"/>
              </w:rPr>
            </w:pPr>
            <w:r>
              <w:rPr>
                <w:color w:val="000000"/>
              </w:rPr>
              <w:t>序号</w:t>
            </w:r>
          </w:p>
        </w:tc>
        <w:tc>
          <w:tcPr>
            <w:tcW w:w="1476" w:type="dxa"/>
            <w:noWrap w:val="0"/>
            <w:vAlign w:val="center"/>
          </w:tcPr>
          <w:p>
            <w:pPr>
              <w:jc w:val="center"/>
              <w:rPr>
                <w:color w:val="000000"/>
              </w:rPr>
            </w:pPr>
            <w:r>
              <w:rPr>
                <w:color w:val="000000"/>
              </w:rPr>
              <w:t>施工设备名称</w:t>
            </w:r>
          </w:p>
        </w:tc>
        <w:tc>
          <w:tcPr>
            <w:tcW w:w="1282" w:type="dxa"/>
            <w:noWrap w:val="0"/>
            <w:vAlign w:val="center"/>
          </w:tcPr>
          <w:p>
            <w:pPr>
              <w:jc w:val="center"/>
              <w:rPr>
                <w:color w:val="000000"/>
              </w:rPr>
            </w:pPr>
            <w:r>
              <w:rPr>
                <w:color w:val="000000"/>
              </w:rPr>
              <w:t>型号及规格</w:t>
            </w:r>
          </w:p>
        </w:tc>
        <w:tc>
          <w:tcPr>
            <w:tcW w:w="1080" w:type="dxa"/>
            <w:noWrap w:val="0"/>
            <w:vAlign w:val="center"/>
          </w:tcPr>
          <w:p>
            <w:pPr>
              <w:jc w:val="center"/>
              <w:rPr>
                <w:color w:val="000000"/>
              </w:rPr>
            </w:pPr>
            <w:r>
              <w:rPr>
                <w:color w:val="000000"/>
              </w:rPr>
              <w:t>设备状况</w:t>
            </w:r>
          </w:p>
        </w:tc>
        <w:tc>
          <w:tcPr>
            <w:tcW w:w="709" w:type="dxa"/>
            <w:noWrap w:val="0"/>
            <w:vAlign w:val="center"/>
          </w:tcPr>
          <w:p>
            <w:pPr>
              <w:jc w:val="center"/>
              <w:rPr>
                <w:color w:val="000000"/>
              </w:rPr>
            </w:pPr>
            <w:r>
              <w:rPr>
                <w:color w:val="000000"/>
              </w:rPr>
              <w:t>数量</w:t>
            </w:r>
          </w:p>
        </w:tc>
        <w:tc>
          <w:tcPr>
            <w:tcW w:w="1134" w:type="dxa"/>
            <w:noWrap w:val="0"/>
            <w:vAlign w:val="center"/>
          </w:tcPr>
          <w:p>
            <w:pPr>
              <w:jc w:val="center"/>
              <w:rPr>
                <w:color w:val="000000"/>
              </w:rPr>
            </w:pPr>
            <w:r>
              <w:rPr>
                <w:color w:val="000000"/>
              </w:rPr>
              <w:t>移交地点</w:t>
            </w:r>
          </w:p>
        </w:tc>
        <w:tc>
          <w:tcPr>
            <w:tcW w:w="1559" w:type="dxa"/>
            <w:noWrap w:val="0"/>
            <w:vAlign w:val="center"/>
          </w:tcPr>
          <w:p>
            <w:pPr>
              <w:jc w:val="center"/>
              <w:rPr>
                <w:color w:val="000000"/>
              </w:rPr>
            </w:pPr>
            <w:r>
              <w:rPr>
                <w:color w:val="000000"/>
              </w:rPr>
              <w:t>计划移交日期</w:t>
            </w:r>
          </w:p>
        </w:tc>
        <w:tc>
          <w:tcPr>
            <w:tcW w:w="709" w:type="dxa"/>
            <w:noWrap w:val="0"/>
            <w:vAlign w:val="center"/>
          </w:tcPr>
          <w:p>
            <w:pPr>
              <w:jc w:val="center"/>
              <w:rPr>
                <w:color w:val="000000"/>
              </w:rPr>
            </w:pPr>
            <w:r>
              <w:rPr>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8" w:type="dxa"/>
            <w:noWrap w:val="0"/>
            <w:vAlign w:val="center"/>
          </w:tcPr>
          <w:p>
            <w:pPr>
              <w:ind w:firstLine="420"/>
              <w:jc w:val="center"/>
              <w:rPr>
                <w:color w:val="000000"/>
              </w:rPr>
            </w:pPr>
          </w:p>
        </w:tc>
        <w:tc>
          <w:tcPr>
            <w:tcW w:w="1476" w:type="dxa"/>
            <w:noWrap w:val="0"/>
            <w:vAlign w:val="center"/>
          </w:tcPr>
          <w:p>
            <w:pPr>
              <w:ind w:firstLine="420"/>
              <w:jc w:val="center"/>
              <w:rPr>
                <w:color w:val="000000"/>
              </w:rPr>
            </w:pPr>
          </w:p>
        </w:tc>
        <w:tc>
          <w:tcPr>
            <w:tcW w:w="1282" w:type="dxa"/>
            <w:noWrap w:val="0"/>
            <w:vAlign w:val="center"/>
          </w:tcPr>
          <w:p>
            <w:pPr>
              <w:ind w:firstLine="420"/>
              <w:jc w:val="center"/>
              <w:rPr>
                <w:color w:val="000000"/>
              </w:rPr>
            </w:pPr>
          </w:p>
        </w:tc>
        <w:tc>
          <w:tcPr>
            <w:tcW w:w="1080" w:type="dxa"/>
            <w:noWrap w:val="0"/>
            <w:vAlign w:val="center"/>
          </w:tcPr>
          <w:p>
            <w:pPr>
              <w:ind w:firstLine="420"/>
              <w:jc w:val="center"/>
              <w:rPr>
                <w:color w:val="000000"/>
              </w:rPr>
            </w:pPr>
          </w:p>
        </w:tc>
        <w:tc>
          <w:tcPr>
            <w:tcW w:w="709" w:type="dxa"/>
            <w:noWrap w:val="0"/>
            <w:vAlign w:val="center"/>
          </w:tcPr>
          <w:p>
            <w:pPr>
              <w:ind w:firstLine="420"/>
              <w:jc w:val="center"/>
              <w:rPr>
                <w:color w:val="000000"/>
              </w:rPr>
            </w:pPr>
          </w:p>
        </w:tc>
        <w:tc>
          <w:tcPr>
            <w:tcW w:w="1134" w:type="dxa"/>
            <w:noWrap w:val="0"/>
            <w:vAlign w:val="center"/>
          </w:tcPr>
          <w:p>
            <w:pPr>
              <w:ind w:firstLine="420"/>
              <w:jc w:val="center"/>
              <w:rPr>
                <w:color w:val="000000"/>
              </w:rPr>
            </w:pPr>
          </w:p>
        </w:tc>
        <w:tc>
          <w:tcPr>
            <w:tcW w:w="1559" w:type="dxa"/>
            <w:noWrap w:val="0"/>
            <w:vAlign w:val="center"/>
          </w:tcPr>
          <w:p>
            <w:pPr>
              <w:ind w:firstLine="420"/>
              <w:jc w:val="center"/>
              <w:rPr>
                <w:color w:val="000000"/>
              </w:rPr>
            </w:pPr>
          </w:p>
        </w:tc>
        <w:tc>
          <w:tcPr>
            <w:tcW w:w="709" w:type="dxa"/>
            <w:noWrap w:val="0"/>
            <w:vAlign w:val="center"/>
          </w:tcPr>
          <w:p>
            <w:pPr>
              <w:ind w:firstLine="420"/>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8" w:type="dxa"/>
            <w:noWrap w:val="0"/>
            <w:vAlign w:val="center"/>
          </w:tcPr>
          <w:p>
            <w:pPr>
              <w:ind w:firstLine="420"/>
              <w:jc w:val="center"/>
              <w:rPr>
                <w:color w:val="000000"/>
              </w:rPr>
            </w:pPr>
          </w:p>
        </w:tc>
        <w:tc>
          <w:tcPr>
            <w:tcW w:w="1476" w:type="dxa"/>
            <w:noWrap w:val="0"/>
            <w:vAlign w:val="center"/>
          </w:tcPr>
          <w:p>
            <w:pPr>
              <w:ind w:firstLine="420"/>
              <w:jc w:val="center"/>
              <w:rPr>
                <w:color w:val="000000"/>
              </w:rPr>
            </w:pPr>
          </w:p>
        </w:tc>
        <w:tc>
          <w:tcPr>
            <w:tcW w:w="1282" w:type="dxa"/>
            <w:noWrap w:val="0"/>
            <w:vAlign w:val="center"/>
          </w:tcPr>
          <w:p>
            <w:pPr>
              <w:ind w:firstLine="420"/>
              <w:jc w:val="center"/>
              <w:rPr>
                <w:color w:val="000000"/>
              </w:rPr>
            </w:pPr>
          </w:p>
        </w:tc>
        <w:tc>
          <w:tcPr>
            <w:tcW w:w="1080" w:type="dxa"/>
            <w:noWrap w:val="0"/>
            <w:vAlign w:val="center"/>
          </w:tcPr>
          <w:p>
            <w:pPr>
              <w:ind w:firstLine="420"/>
              <w:jc w:val="center"/>
              <w:rPr>
                <w:color w:val="000000"/>
              </w:rPr>
            </w:pPr>
          </w:p>
        </w:tc>
        <w:tc>
          <w:tcPr>
            <w:tcW w:w="709" w:type="dxa"/>
            <w:noWrap w:val="0"/>
            <w:vAlign w:val="center"/>
          </w:tcPr>
          <w:p>
            <w:pPr>
              <w:ind w:firstLine="420"/>
              <w:jc w:val="center"/>
              <w:rPr>
                <w:color w:val="000000"/>
              </w:rPr>
            </w:pPr>
          </w:p>
        </w:tc>
        <w:tc>
          <w:tcPr>
            <w:tcW w:w="1134" w:type="dxa"/>
            <w:noWrap w:val="0"/>
            <w:vAlign w:val="center"/>
          </w:tcPr>
          <w:p>
            <w:pPr>
              <w:ind w:firstLine="420"/>
              <w:jc w:val="center"/>
              <w:rPr>
                <w:color w:val="000000"/>
              </w:rPr>
            </w:pPr>
          </w:p>
        </w:tc>
        <w:tc>
          <w:tcPr>
            <w:tcW w:w="1559" w:type="dxa"/>
            <w:noWrap w:val="0"/>
            <w:vAlign w:val="center"/>
          </w:tcPr>
          <w:p>
            <w:pPr>
              <w:ind w:firstLine="420"/>
              <w:jc w:val="center"/>
              <w:rPr>
                <w:color w:val="000000"/>
              </w:rPr>
            </w:pPr>
          </w:p>
        </w:tc>
        <w:tc>
          <w:tcPr>
            <w:tcW w:w="709" w:type="dxa"/>
            <w:noWrap w:val="0"/>
            <w:vAlign w:val="center"/>
          </w:tcPr>
          <w:p>
            <w:pPr>
              <w:ind w:firstLine="420"/>
              <w:jc w:val="center"/>
              <w:rPr>
                <w:color w:val="000000"/>
              </w:rPr>
            </w:pPr>
          </w:p>
        </w:tc>
      </w:tr>
    </w:tbl>
    <w:p>
      <w:pPr>
        <w:ind w:firstLine="420"/>
        <w:rPr>
          <w:color w:val="000000"/>
          <w:sz w:val="18"/>
          <w:szCs w:val="18"/>
        </w:rPr>
      </w:pPr>
      <w:r>
        <w:rPr>
          <w:color w:val="000000"/>
          <w:sz w:val="18"/>
          <w:szCs w:val="18"/>
        </w:rPr>
        <w:t>注：设备状况栏内填写该设备的新旧程度、购进时间、已使用小时数和最近一次的大修时间。</w:t>
      </w:r>
    </w:p>
    <w:p>
      <w:pPr>
        <w:spacing w:line="490" w:lineRule="exact"/>
        <w:ind w:firstLine="536" w:firstLineChars="200"/>
        <w:rPr>
          <w:rFonts w:eastAsia="仿宋_GB2312"/>
          <w:color w:val="000000"/>
          <w:spacing w:val="-6"/>
          <w:sz w:val="28"/>
          <w:szCs w:val="32"/>
        </w:rPr>
      </w:pPr>
      <w:r>
        <w:rPr>
          <w:rFonts w:eastAsia="仿宋_GB2312"/>
          <w:color w:val="000000"/>
          <w:spacing w:val="-6"/>
          <w:sz w:val="28"/>
          <w:szCs w:val="32"/>
        </w:rPr>
        <w:t>（2）发包人提供的临时设施：发包人不提供用于本合同工程的临时设施。</w:t>
      </w:r>
    </w:p>
    <w:p>
      <w:pPr>
        <w:pStyle w:val="6"/>
        <w:keepNext w:val="0"/>
        <w:keepLines w:val="0"/>
        <w:spacing w:before="0" w:after="0" w:line="490" w:lineRule="exact"/>
        <w:ind w:firstLine="562" w:firstLineChars="200"/>
        <w:rPr>
          <w:rFonts w:eastAsia="黑体"/>
          <w:bCs w:val="0"/>
          <w:color w:val="000000"/>
          <w:sz w:val="28"/>
        </w:rPr>
      </w:pPr>
      <w:bookmarkStart w:id="1798" w:name="_Toc51091909"/>
      <w:bookmarkStart w:id="1799" w:name="_Toc9154"/>
      <w:bookmarkStart w:id="1800" w:name="_Toc29599"/>
      <w:r>
        <w:rPr>
          <w:rFonts w:eastAsia="黑体"/>
          <w:bCs w:val="0"/>
          <w:color w:val="000000"/>
          <w:sz w:val="28"/>
        </w:rPr>
        <w:t>7．交通运输</w:t>
      </w:r>
      <w:bookmarkEnd w:id="1798"/>
      <w:bookmarkEnd w:id="1799"/>
      <w:bookmarkEnd w:id="1800"/>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7.1道路通行权和场外设施</w:t>
      </w:r>
    </w:p>
    <w:p>
      <w:pPr>
        <w:spacing w:line="490" w:lineRule="exact"/>
        <w:ind w:firstLine="560" w:firstLineChars="200"/>
        <w:rPr>
          <w:rFonts w:eastAsia="仿宋_GB2312"/>
          <w:color w:val="000000"/>
          <w:sz w:val="28"/>
          <w:szCs w:val="32"/>
        </w:rPr>
      </w:pPr>
      <w:r>
        <w:rPr>
          <w:rFonts w:eastAsia="仿宋_GB2312"/>
          <w:color w:val="000000"/>
          <w:sz w:val="28"/>
          <w:szCs w:val="32"/>
        </w:rPr>
        <w:t>道路通行权和场外设施的约定：</w:t>
      </w:r>
      <w:r>
        <w:rPr>
          <w:rFonts w:eastAsia="仿宋_GB2312"/>
          <w:color w:val="000000"/>
          <w:sz w:val="28"/>
          <w:szCs w:val="32"/>
          <w:u w:val="single"/>
        </w:rPr>
        <w:t xml:space="preserve">             </w:t>
      </w:r>
      <w:r>
        <w:rPr>
          <w:rFonts w:eastAsia="仿宋_GB2312"/>
          <w:color w:val="000000"/>
          <w:sz w:val="28"/>
          <w:szCs w:val="32"/>
        </w:rPr>
        <w:t>。</w:t>
      </w:r>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7.3 场外交通（补充）</w:t>
      </w:r>
    </w:p>
    <w:p>
      <w:pPr>
        <w:spacing w:line="490" w:lineRule="exact"/>
        <w:ind w:firstLine="560" w:firstLineChars="200"/>
        <w:rPr>
          <w:rFonts w:eastAsia="仿宋_GB2312"/>
          <w:color w:val="000000"/>
          <w:sz w:val="28"/>
          <w:szCs w:val="32"/>
        </w:rPr>
      </w:pPr>
      <w:r>
        <w:rPr>
          <w:rFonts w:eastAsia="仿宋_GB2312"/>
          <w:color w:val="000000"/>
          <w:sz w:val="28"/>
          <w:szCs w:val="32"/>
        </w:rPr>
        <w:t>7.3.3本合同工程场外交通道路的通行情况、通行能力、标准、距离等均由承包人自行考察确定，并对此负责，施工过程中不得阻碍水陆交通。同时承包人应负责与当地交通管理、城管、环保及卫生等部门的协调工作，并应承担由此发生的一切费用。</w:t>
      </w:r>
    </w:p>
    <w:p>
      <w:pPr>
        <w:pStyle w:val="6"/>
        <w:keepNext w:val="0"/>
        <w:keepLines w:val="0"/>
        <w:spacing w:before="0" w:after="0" w:line="490" w:lineRule="exact"/>
        <w:ind w:firstLine="562" w:firstLineChars="200"/>
        <w:rPr>
          <w:rFonts w:eastAsia="黑体"/>
          <w:bCs w:val="0"/>
          <w:color w:val="000000"/>
          <w:sz w:val="28"/>
        </w:rPr>
      </w:pPr>
      <w:bookmarkStart w:id="1801" w:name="_Toc32203"/>
      <w:bookmarkStart w:id="1802" w:name="_Toc16864"/>
      <w:bookmarkStart w:id="1803" w:name="_Toc51091910"/>
      <w:r>
        <w:rPr>
          <w:rFonts w:eastAsia="黑体"/>
          <w:bCs w:val="0"/>
          <w:color w:val="000000"/>
          <w:sz w:val="28"/>
        </w:rPr>
        <w:t>8．测量放线</w:t>
      </w:r>
      <w:bookmarkEnd w:id="1801"/>
      <w:bookmarkEnd w:id="1802"/>
      <w:bookmarkEnd w:id="1803"/>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8.1施工控制网</w:t>
      </w:r>
    </w:p>
    <w:p>
      <w:pPr>
        <w:spacing w:line="490" w:lineRule="exact"/>
        <w:ind w:firstLine="560" w:firstLineChars="200"/>
        <w:rPr>
          <w:rFonts w:eastAsia="仿宋_GB2312"/>
          <w:color w:val="000000"/>
          <w:sz w:val="28"/>
          <w:szCs w:val="32"/>
        </w:rPr>
      </w:pPr>
      <w:r>
        <w:rPr>
          <w:rFonts w:eastAsia="仿宋_GB2312"/>
          <w:color w:val="000000"/>
          <w:sz w:val="28"/>
          <w:szCs w:val="32"/>
        </w:rPr>
        <w:t>8.1.1施工控制网的约定：施工控制网由承包人负责测设。发包人应在合同签订后14天内，组织设计人将本工程设计采用的水准点、坐标控制点及相关资料以书面形式提供给承包人，并由监理人主持现场交验。交验后即由承包人负责保护，任何因破坏或失准带来的站点修复、重新测量、放点费用及由此造成的其他一切后果均由承包人承担，发包人不为此另行支付费用。承包人应在收到上述资料后的14天内，将施测的施工控制网资料提交监理人审批。监理人应在收到报批件后的7天内批复承包人。</w:t>
      </w:r>
    </w:p>
    <w:p>
      <w:pPr>
        <w:pStyle w:val="6"/>
        <w:keepNext w:val="0"/>
        <w:keepLines w:val="0"/>
        <w:spacing w:before="0" w:after="0" w:line="490" w:lineRule="exact"/>
        <w:ind w:firstLine="562" w:firstLineChars="200"/>
        <w:rPr>
          <w:rFonts w:eastAsia="黑体"/>
          <w:bCs w:val="0"/>
          <w:color w:val="000000"/>
          <w:sz w:val="28"/>
        </w:rPr>
      </w:pPr>
      <w:bookmarkStart w:id="1804" w:name="_Toc8294"/>
      <w:bookmarkStart w:id="1805" w:name="_Toc31876"/>
      <w:bookmarkStart w:id="1806" w:name="_Toc51091911"/>
      <w:r>
        <w:rPr>
          <w:rFonts w:eastAsia="黑体"/>
          <w:bCs w:val="0"/>
          <w:color w:val="000000"/>
          <w:sz w:val="28"/>
        </w:rPr>
        <w:t>9．施工安全、治安保卫和环境保护</w:t>
      </w:r>
      <w:bookmarkEnd w:id="1804"/>
      <w:bookmarkEnd w:id="1805"/>
      <w:bookmarkEnd w:id="1806"/>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9.1发包人的施工安全责任</w:t>
      </w:r>
    </w:p>
    <w:p>
      <w:pPr>
        <w:spacing w:line="490" w:lineRule="exact"/>
        <w:ind w:firstLine="560" w:firstLineChars="200"/>
        <w:rPr>
          <w:rFonts w:eastAsia="仿宋_GB2312"/>
          <w:color w:val="000000"/>
          <w:sz w:val="28"/>
          <w:szCs w:val="32"/>
        </w:rPr>
      </w:pPr>
      <w:r>
        <w:rPr>
          <w:rFonts w:eastAsia="仿宋_GB2312"/>
          <w:color w:val="000000"/>
          <w:sz w:val="28"/>
          <w:szCs w:val="32"/>
        </w:rPr>
        <w:t>9.1.4  本合同工程发包人不提供任何与安全有关的资料，所有资料均由承包人负责收集。</w:t>
      </w:r>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9.2承包人的施工安全责任</w:t>
      </w:r>
    </w:p>
    <w:p>
      <w:pPr>
        <w:spacing w:line="490" w:lineRule="exact"/>
        <w:ind w:firstLine="560" w:firstLineChars="200"/>
        <w:rPr>
          <w:rFonts w:eastAsia="仿宋_GB2312"/>
          <w:color w:val="000000"/>
          <w:sz w:val="28"/>
          <w:szCs w:val="32"/>
        </w:rPr>
      </w:pPr>
      <w:r>
        <w:rPr>
          <w:rFonts w:eastAsia="仿宋_GB2312"/>
          <w:color w:val="000000"/>
          <w:sz w:val="28"/>
          <w:szCs w:val="32"/>
        </w:rPr>
        <w:t>9.2.12  下列工程应编制专项施工方案：</w:t>
      </w:r>
      <w:r>
        <w:rPr>
          <w:rFonts w:eastAsia="仿宋_GB2312"/>
          <w:color w:val="000000"/>
          <w:sz w:val="28"/>
          <w:szCs w:val="32"/>
          <w:u w:val="single"/>
        </w:rPr>
        <w:t xml:space="preserve">         </w:t>
      </w:r>
      <w:r>
        <w:rPr>
          <w:rFonts w:eastAsia="仿宋_GB2312"/>
          <w:color w:val="000000"/>
          <w:sz w:val="28"/>
          <w:szCs w:val="32"/>
        </w:rPr>
        <w:t>。其中</w:t>
      </w:r>
      <w:r>
        <w:rPr>
          <w:rFonts w:eastAsia="仿宋_GB2312"/>
          <w:color w:val="000000"/>
          <w:sz w:val="28"/>
          <w:szCs w:val="32"/>
          <w:u w:val="single"/>
        </w:rPr>
        <w:t xml:space="preserve">        </w:t>
      </w:r>
      <w:r>
        <w:rPr>
          <w:rFonts w:eastAsia="仿宋_GB2312"/>
          <w:color w:val="000000"/>
          <w:sz w:val="28"/>
          <w:szCs w:val="32"/>
        </w:rPr>
        <w:t>应组织专家论证和审查。</w:t>
      </w:r>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9.7文明工地</w:t>
      </w:r>
    </w:p>
    <w:p>
      <w:pPr>
        <w:tabs>
          <w:tab w:val="left" w:pos="720"/>
        </w:tabs>
        <w:spacing w:line="490" w:lineRule="exact"/>
        <w:ind w:firstLine="560" w:firstLineChars="200"/>
        <w:rPr>
          <w:rFonts w:eastAsia="仿宋_GB2312"/>
          <w:color w:val="000000"/>
          <w:sz w:val="28"/>
          <w:szCs w:val="32"/>
        </w:rPr>
      </w:pPr>
      <w:r>
        <w:rPr>
          <w:rFonts w:eastAsia="仿宋_GB2312"/>
          <w:color w:val="000000"/>
          <w:sz w:val="28"/>
          <w:szCs w:val="32"/>
        </w:rPr>
        <w:t>9.7.1  本合同文明工地的约定：</w:t>
      </w:r>
    </w:p>
    <w:p>
      <w:pPr>
        <w:tabs>
          <w:tab w:val="left" w:pos="720"/>
        </w:tabs>
        <w:spacing w:line="490" w:lineRule="exact"/>
        <w:ind w:firstLine="560" w:firstLineChars="200"/>
        <w:rPr>
          <w:rFonts w:eastAsia="仿宋_GB2312"/>
          <w:color w:val="000000"/>
          <w:sz w:val="28"/>
          <w:szCs w:val="32"/>
        </w:rPr>
      </w:pPr>
      <w:r>
        <w:rPr>
          <w:rFonts w:eastAsia="仿宋_GB2312"/>
          <w:color w:val="000000"/>
          <w:sz w:val="28"/>
          <w:szCs w:val="32"/>
        </w:rPr>
        <w:t>（1）承包人项目管理机构驻地区域内应清洁卫生，各类规章制度、工作规程及工程情况、进度报表等清晰美观并张贴。</w:t>
      </w:r>
    </w:p>
    <w:p>
      <w:pPr>
        <w:tabs>
          <w:tab w:val="left" w:pos="720"/>
        </w:tabs>
        <w:spacing w:line="490" w:lineRule="exact"/>
        <w:ind w:firstLine="560" w:firstLineChars="200"/>
        <w:rPr>
          <w:rFonts w:eastAsia="仿宋_GB2312"/>
          <w:color w:val="000000"/>
          <w:sz w:val="28"/>
          <w:szCs w:val="32"/>
        </w:rPr>
      </w:pPr>
      <w:r>
        <w:rPr>
          <w:rFonts w:eastAsia="仿宋_GB2312"/>
          <w:color w:val="000000"/>
          <w:sz w:val="28"/>
          <w:szCs w:val="32"/>
        </w:rPr>
        <w:t>（2）施工现场设置合同工程标志牌，在混凝土拌合、预制、现浇和防渗墙、灌浆工程制浆、施工等各施工现场设置施工标识牌，载明有关配合比、强度、尺寸等技术参数。</w:t>
      </w:r>
    </w:p>
    <w:p>
      <w:pPr>
        <w:tabs>
          <w:tab w:val="left" w:pos="720"/>
        </w:tabs>
        <w:spacing w:line="490" w:lineRule="exact"/>
        <w:ind w:firstLine="560" w:firstLineChars="200"/>
        <w:rPr>
          <w:rFonts w:eastAsia="仿宋_GB2312"/>
          <w:color w:val="000000"/>
          <w:sz w:val="28"/>
          <w:szCs w:val="32"/>
        </w:rPr>
      </w:pPr>
      <w:r>
        <w:rPr>
          <w:rFonts w:eastAsia="仿宋_GB2312"/>
          <w:color w:val="000000"/>
          <w:sz w:val="28"/>
          <w:szCs w:val="32"/>
        </w:rPr>
        <w:t>（3）施工组织符合有关技术标准，岗位责任明确，各作业面人员、施工设备各行其是、有条不紊，工序流畅。</w:t>
      </w:r>
    </w:p>
    <w:p>
      <w:pPr>
        <w:tabs>
          <w:tab w:val="left" w:pos="720"/>
        </w:tabs>
        <w:spacing w:line="490" w:lineRule="exact"/>
        <w:ind w:firstLine="560" w:firstLineChars="200"/>
        <w:rPr>
          <w:rFonts w:eastAsia="仿宋_GB2312"/>
          <w:color w:val="000000"/>
          <w:sz w:val="28"/>
          <w:szCs w:val="32"/>
        </w:rPr>
      </w:pPr>
      <w:r>
        <w:rPr>
          <w:rFonts w:eastAsia="仿宋_GB2312"/>
          <w:color w:val="000000"/>
          <w:sz w:val="28"/>
          <w:szCs w:val="32"/>
        </w:rPr>
        <w:t>（4）施工现场清洁整齐、规范有序，各种材料分仓堆放有序、标识清晰，施工设备合理定置，无乱堆乱弃、乱停乱放现象。</w:t>
      </w:r>
    </w:p>
    <w:p>
      <w:pPr>
        <w:tabs>
          <w:tab w:val="left" w:pos="720"/>
        </w:tabs>
        <w:spacing w:line="490" w:lineRule="exact"/>
        <w:ind w:firstLine="560" w:firstLineChars="200"/>
        <w:rPr>
          <w:rFonts w:eastAsia="仿宋_GB2312"/>
          <w:color w:val="000000"/>
          <w:sz w:val="28"/>
          <w:szCs w:val="32"/>
        </w:rPr>
      </w:pPr>
      <w:r>
        <w:rPr>
          <w:rFonts w:eastAsia="仿宋_GB2312"/>
          <w:color w:val="000000"/>
          <w:sz w:val="28"/>
          <w:szCs w:val="32"/>
        </w:rPr>
        <w:t>（5）质量、安全、水保、环保等措施到位。</w:t>
      </w:r>
    </w:p>
    <w:p>
      <w:pPr>
        <w:tabs>
          <w:tab w:val="left" w:pos="720"/>
        </w:tabs>
        <w:spacing w:line="490" w:lineRule="exact"/>
        <w:ind w:firstLine="560" w:firstLineChars="200"/>
        <w:rPr>
          <w:rFonts w:eastAsia="仿宋_GB2312"/>
          <w:color w:val="000000"/>
          <w:sz w:val="28"/>
          <w:szCs w:val="32"/>
        </w:rPr>
      </w:pPr>
      <w:r>
        <w:rPr>
          <w:rFonts w:eastAsia="仿宋_GB2312"/>
          <w:color w:val="000000"/>
          <w:sz w:val="28"/>
          <w:szCs w:val="32"/>
        </w:rPr>
        <w:t>（6）施工现场张贴有关工程建设目标、施工管理的标语、横幅，体现施工企业经营理念、文化氛围。</w:t>
      </w:r>
    </w:p>
    <w:p>
      <w:pPr>
        <w:tabs>
          <w:tab w:val="left" w:pos="720"/>
        </w:tabs>
        <w:spacing w:line="490" w:lineRule="exact"/>
        <w:ind w:firstLine="560" w:firstLineChars="200"/>
        <w:rPr>
          <w:rFonts w:eastAsia="仿宋_GB2312"/>
          <w:color w:val="000000"/>
          <w:sz w:val="28"/>
          <w:szCs w:val="32"/>
        </w:rPr>
      </w:pPr>
      <w:r>
        <w:rPr>
          <w:rFonts w:eastAsia="仿宋_GB2312"/>
          <w:color w:val="000000"/>
          <w:sz w:val="28"/>
          <w:szCs w:val="32"/>
        </w:rPr>
        <w:t>（7）施工人员现场施工着装整齐、统一，标志牌佩带规范、标识醒目，安全防护设施佩戴齐全，作业操作规范、熟练。</w:t>
      </w:r>
    </w:p>
    <w:p>
      <w:pPr>
        <w:tabs>
          <w:tab w:val="left" w:pos="720"/>
        </w:tabs>
        <w:spacing w:line="490" w:lineRule="exact"/>
        <w:ind w:firstLine="560" w:firstLineChars="200"/>
        <w:rPr>
          <w:rFonts w:eastAsia="仿宋_GB2312"/>
          <w:color w:val="000000"/>
          <w:sz w:val="28"/>
          <w:szCs w:val="32"/>
        </w:rPr>
      </w:pPr>
      <w:r>
        <w:rPr>
          <w:rFonts w:eastAsia="仿宋_GB2312"/>
          <w:color w:val="000000"/>
          <w:sz w:val="28"/>
          <w:szCs w:val="32"/>
        </w:rPr>
        <w:t>（8）协调好施工工作与当地政府及村民的关系，尽量避免发生冲突，做到与地方和谐相容，睦邻友好。</w:t>
      </w:r>
    </w:p>
    <w:p>
      <w:pPr>
        <w:tabs>
          <w:tab w:val="left" w:pos="720"/>
        </w:tabs>
        <w:spacing w:line="490" w:lineRule="exact"/>
        <w:ind w:firstLine="560" w:firstLineChars="200"/>
        <w:rPr>
          <w:rFonts w:eastAsia="仿宋_GB2312"/>
          <w:color w:val="000000"/>
          <w:sz w:val="28"/>
          <w:szCs w:val="32"/>
        </w:rPr>
      </w:pPr>
      <w:r>
        <w:rPr>
          <w:rFonts w:eastAsia="仿宋_GB2312"/>
          <w:color w:val="000000"/>
          <w:sz w:val="28"/>
          <w:szCs w:val="32"/>
        </w:rPr>
        <w:t>承包人为达到上述要求而需支出的一切费用均已包含在合同价中，发包人不另行支付。监理人将不定期对此进行检查，每发现不符合上述要求的，将给予</w:t>
      </w:r>
      <w:r>
        <w:rPr>
          <w:rFonts w:eastAsia="仿宋_GB2312"/>
          <w:color w:val="000000"/>
          <w:sz w:val="28"/>
          <w:szCs w:val="32"/>
          <w:u w:val="single"/>
        </w:rPr>
        <w:t xml:space="preserve">      </w:t>
      </w:r>
      <w:r>
        <w:rPr>
          <w:rFonts w:eastAsia="仿宋_GB2312"/>
          <w:color w:val="000000"/>
          <w:sz w:val="28"/>
          <w:szCs w:val="32"/>
        </w:rPr>
        <w:t>元/处的罚款。</w:t>
      </w:r>
    </w:p>
    <w:p>
      <w:pPr>
        <w:pStyle w:val="6"/>
        <w:keepNext w:val="0"/>
        <w:keepLines w:val="0"/>
        <w:snapToGrid w:val="0"/>
        <w:spacing w:before="0" w:after="0" w:line="490" w:lineRule="exact"/>
        <w:ind w:firstLine="562" w:firstLineChars="200"/>
        <w:rPr>
          <w:rFonts w:eastAsia="黑体"/>
          <w:bCs w:val="0"/>
          <w:color w:val="000000"/>
          <w:sz w:val="28"/>
        </w:rPr>
      </w:pPr>
      <w:r>
        <w:rPr>
          <w:rFonts w:eastAsia="黑体"/>
          <w:bCs w:val="0"/>
          <w:color w:val="000000"/>
          <w:sz w:val="28"/>
        </w:rPr>
        <w:t>1</w:t>
      </w:r>
      <w:r>
        <w:rPr>
          <w:rFonts w:hint="eastAsia" w:eastAsia="黑体"/>
          <w:bCs w:val="0"/>
          <w:color w:val="000000"/>
          <w:sz w:val="28"/>
          <w:lang w:val="en-US" w:eastAsia="zh-CN"/>
        </w:rPr>
        <w:t>0</w:t>
      </w:r>
      <w:r>
        <w:rPr>
          <w:rFonts w:eastAsia="黑体"/>
          <w:bCs w:val="0"/>
          <w:color w:val="000000"/>
          <w:sz w:val="28"/>
        </w:rPr>
        <w:t>．</w:t>
      </w:r>
      <w:r>
        <w:rPr>
          <w:rFonts w:hint="eastAsia" w:eastAsia="黑体"/>
          <w:bCs w:val="0"/>
          <w:color w:val="000000"/>
          <w:sz w:val="28"/>
          <w:lang w:eastAsia="zh-CN"/>
        </w:rPr>
        <w:t>进度计划</w:t>
      </w:r>
      <w:r>
        <w:rPr>
          <w:rFonts w:eastAsia="黑体"/>
          <w:bCs w:val="0"/>
          <w:color w:val="000000"/>
          <w:sz w:val="28"/>
        </w:rPr>
        <w:t>（</w:t>
      </w:r>
      <w:r>
        <w:rPr>
          <w:rFonts w:hint="eastAsia" w:eastAsia="黑体"/>
          <w:bCs w:val="0"/>
          <w:color w:val="000000"/>
          <w:sz w:val="28"/>
          <w:lang w:eastAsia="zh-CN"/>
        </w:rPr>
        <w:t>详见投标文件</w:t>
      </w:r>
      <w:r>
        <w:rPr>
          <w:rFonts w:eastAsia="黑体"/>
          <w:bCs w:val="0"/>
          <w:color w:val="000000"/>
          <w:sz w:val="28"/>
        </w:rPr>
        <w:t>）</w:t>
      </w:r>
    </w:p>
    <w:p>
      <w:pPr>
        <w:pStyle w:val="6"/>
        <w:keepNext w:val="0"/>
        <w:keepLines w:val="0"/>
        <w:snapToGrid w:val="0"/>
        <w:spacing w:before="0" w:after="0" w:line="490" w:lineRule="exact"/>
        <w:ind w:firstLine="562" w:firstLineChars="200"/>
        <w:rPr>
          <w:rFonts w:eastAsia="黑体"/>
          <w:bCs w:val="0"/>
          <w:color w:val="000000"/>
          <w:sz w:val="28"/>
        </w:rPr>
      </w:pPr>
      <w:bookmarkStart w:id="1807" w:name="_Toc19106"/>
      <w:bookmarkStart w:id="1808" w:name="_Toc51091912"/>
      <w:bookmarkStart w:id="1809" w:name="_Toc20369"/>
      <w:r>
        <w:rPr>
          <w:rFonts w:eastAsia="黑体"/>
          <w:bCs w:val="0"/>
          <w:color w:val="000000"/>
          <w:sz w:val="28"/>
        </w:rPr>
        <w:t>11．开工和竣工（完工）</w:t>
      </w:r>
      <w:bookmarkEnd w:id="1807"/>
      <w:bookmarkEnd w:id="1808"/>
      <w:bookmarkEnd w:id="1809"/>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11.4异常恶劣的气候条件</w:t>
      </w:r>
    </w:p>
    <w:p>
      <w:pPr>
        <w:spacing w:line="490" w:lineRule="exact"/>
        <w:ind w:firstLine="560" w:firstLineChars="200"/>
        <w:rPr>
          <w:rFonts w:eastAsia="仿宋_GB2312"/>
          <w:color w:val="000000"/>
          <w:sz w:val="28"/>
          <w:szCs w:val="32"/>
        </w:rPr>
      </w:pPr>
      <w:r>
        <w:rPr>
          <w:rFonts w:eastAsia="仿宋_GB2312"/>
          <w:color w:val="000000"/>
          <w:sz w:val="28"/>
          <w:szCs w:val="32"/>
        </w:rPr>
        <w:t xml:space="preserve"> 11.4.</w:t>
      </w:r>
      <w:r>
        <w:rPr>
          <w:rFonts w:hint="eastAsia" w:eastAsia="仿宋_GB2312"/>
          <w:color w:val="000000"/>
          <w:sz w:val="28"/>
          <w:szCs w:val="32"/>
        </w:rPr>
        <w:t xml:space="preserve">4  </w:t>
      </w:r>
      <w:r>
        <w:rPr>
          <w:rFonts w:eastAsia="仿宋_GB2312"/>
          <w:color w:val="000000"/>
          <w:sz w:val="28"/>
          <w:szCs w:val="32"/>
        </w:rPr>
        <w:t>本合同工程界定异常恶劣气候条件的范围为：</w:t>
      </w:r>
    </w:p>
    <w:p>
      <w:pPr>
        <w:spacing w:line="490" w:lineRule="exact"/>
        <w:ind w:firstLine="560" w:firstLineChars="200"/>
        <w:rPr>
          <w:rFonts w:eastAsia="仿宋_GB2312"/>
          <w:color w:val="000000"/>
          <w:sz w:val="28"/>
          <w:szCs w:val="32"/>
        </w:rPr>
      </w:pPr>
      <w:r>
        <w:rPr>
          <w:rFonts w:eastAsia="仿宋_GB2312"/>
          <w:color w:val="000000"/>
          <w:sz w:val="28"/>
          <w:szCs w:val="32"/>
        </w:rPr>
        <w:t>（1）日降雨量大于</w:t>
      </w:r>
      <w:r>
        <w:rPr>
          <w:rFonts w:eastAsia="仿宋_GB2312"/>
          <w:color w:val="000000"/>
          <w:sz w:val="28"/>
          <w:szCs w:val="32"/>
          <w:u w:val="single"/>
        </w:rPr>
        <w:t xml:space="preserve">    </w:t>
      </w:r>
      <w:r>
        <w:rPr>
          <w:rFonts w:eastAsia="仿宋_GB2312"/>
          <w:color w:val="000000"/>
          <w:sz w:val="28"/>
          <w:szCs w:val="32"/>
        </w:rPr>
        <w:t>ｍｍ的雨日超过</w:t>
      </w:r>
      <w:r>
        <w:rPr>
          <w:rFonts w:eastAsia="仿宋_GB2312"/>
          <w:color w:val="000000"/>
          <w:sz w:val="28"/>
          <w:szCs w:val="32"/>
          <w:u w:val="single"/>
        </w:rPr>
        <w:t xml:space="preserve">   </w:t>
      </w:r>
      <w:r>
        <w:rPr>
          <w:rFonts w:eastAsia="仿宋_GB2312"/>
          <w:color w:val="000000"/>
          <w:sz w:val="28"/>
          <w:szCs w:val="32"/>
        </w:rPr>
        <w:t xml:space="preserve">天； </w:t>
      </w:r>
    </w:p>
    <w:p>
      <w:pPr>
        <w:spacing w:line="490" w:lineRule="exact"/>
        <w:ind w:firstLine="560" w:firstLineChars="200"/>
        <w:rPr>
          <w:rFonts w:eastAsia="仿宋_GB2312"/>
          <w:color w:val="000000"/>
          <w:sz w:val="28"/>
          <w:szCs w:val="32"/>
        </w:rPr>
      </w:pPr>
      <w:r>
        <w:rPr>
          <w:rFonts w:eastAsia="仿宋_GB2312"/>
          <w:color w:val="000000"/>
          <w:sz w:val="28"/>
          <w:szCs w:val="32"/>
        </w:rPr>
        <w:t>（2）风速大于</w:t>
      </w:r>
      <w:r>
        <w:rPr>
          <w:rFonts w:eastAsia="仿宋_GB2312"/>
          <w:color w:val="000000"/>
          <w:sz w:val="28"/>
          <w:szCs w:val="32"/>
          <w:u w:val="single"/>
        </w:rPr>
        <w:t xml:space="preserve">    </w:t>
      </w:r>
      <w:r>
        <w:rPr>
          <w:rFonts w:eastAsia="仿宋_GB2312"/>
          <w:color w:val="000000"/>
          <w:sz w:val="28"/>
          <w:szCs w:val="32"/>
        </w:rPr>
        <w:t>ｍ／s的</w:t>
      </w:r>
      <w:r>
        <w:rPr>
          <w:rFonts w:eastAsia="仿宋_GB2312"/>
          <w:color w:val="000000"/>
          <w:sz w:val="28"/>
          <w:szCs w:val="32"/>
          <w:u w:val="single"/>
        </w:rPr>
        <w:t xml:space="preserve">   </w:t>
      </w:r>
      <w:r>
        <w:rPr>
          <w:rFonts w:eastAsia="仿宋_GB2312"/>
          <w:color w:val="000000"/>
          <w:sz w:val="28"/>
          <w:szCs w:val="32"/>
        </w:rPr>
        <w:t>级以上台风灾害；</w:t>
      </w:r>
    </w:p>
    <w:p>
      <w:pPr>
        <w:spacing w:line="490" w:lineRule="exact"/>
        <w:ind w:firstLine="560" w:firstLineChars="200"/>
        <w:rPr>
          <w:rFonts w:eastAsia="仿宋_GB2312"/>
          <w:color w:val="000000"/>
          <w:sz w:val="28"/>
          <w:szCs w:val="32"/>
        </w:rPr>
      </w:pPr>
      <w:r>
        <w:rPr>
          <w:rFonts w:eastAsia="仿宋_GB2312"/>
          <w:color w:val="000000"/>
          <w:sz w:val="28"/>
          <w:szCs w:val="32"/>
        </w:rPr>
        <w:t>（3）日气温超过</w:t>
      </w:r>
      <w:r>
        <w:rPr>
          <w:rFonts w:eastAsia="仿宋_GB2312"/>
          <w:color w:val="000000"/>
          <w:sz w:val="28"/>
          <w:szCs w:val="32"/>
          <w:u w:val="single"/>
        </w:rPr>
        <w:t xml:space="preserve">    </w:t>
      </w:r>
      <w:r>
        <w:rPr>
          <w:rFonts w:hint="eastAsia" w:ascii="宋体" w:hAnsi="宋体" w:cs="宋体"/>
          <w:color w:val="000000"/>
          <w:sz w:val="28"/>
          <w:szCs w:val="32"/>
        </w:rPr>
        <w:t>℃</w:t>
      </w:r>
      <w:r>
        <w:rPr>
          <w:rFonts w:eastAsia="仿宋_GB2312"/>
          <w:color w:val="000000"/>
          <w:sz w:val="28"/>
          <w:szCs w:val="32"/>
        </w:rPr>
        <w:t>的高温连续超过</w:t>
      </w:r>
      <w:r>
        <w:rPr>
          <w:rFonts w:eastAsia="仿宋_GB2312"/>
          <w:color w:val="000000"/>
          <w:sz w:val="28"/>
          <w:szCs w:val="32"/>
          <w:u w:val="single"/>
        </w:rPr>
        <w:t xml:space="preserve">    </w:t>
      </w:r>
      <w:r>
        <w:rPr>
          <w:rFonts w:eastAsia="仿宋_GB2312"/>
          <w:color w:val="000000"/>
          <w:sz w:val="28"/>
          <w:szCs w:val="32"/>
        </w:rPr>
        <w:t>天；</w:t>
      </w:r>
    </w:p>
    <w:p>
      <w:pPr>
        <w:spacing w:line="490" w:lineRule="exact"/>
        <w:ind w:firstLine="560" w:firstLineChars="200"/>
        <w:rPr>
          <w:rFonts w:eastAsia="仿宋_GB2312"/>
          <w:color w:val="000000"/>
          <w:sz w:val="28"/>
          <w:szCs w:val="32"/>
        </w:rPr>
      </w:pPr>
      <w:r>
        <w:rPr>
          <w:rFonts w:eastAsia="仿宋_GB2312"/>
          <w:color w:val="000000"/>
          <w:sz w:val="28"/>
          <w:szCs w:val="32"/>
        </w:rPr>
        <w:t>（4）日气温低于</w:t>
      </w:r>
      <w:r>
        <w:rPr>
          <w:rFonts w:eastAsia="仿宋_GB2312"/>
          <w:color w:val="000000"/>
          <w:sz w:val="28"/>
          <w:szCs w:val="32"/>
          <w:u w:val="single"/>
        </w:rPr>
        <w:t xml:space="preserve">    </w:t>
      </w:r>
      <w:r>
        <w:rPr>
          <w:rFonts w:hint="eastAsia" w:ascii="宋体" w:hAnsi="宋体" w:cs="宋体"/>
          <w:color w:val="000000"/>
          <w:sz w:val="28"/>
          <w:szCs w:val="32"/>
        </w:rPr>
        <w:t>℃</w:t>
      </w:r>
      <w:r>
        <w:rPr>
          <w:rFonts w:eastAsia="仿宋_GB2312"/>
          <w:color w:val="000000"/>
          <w:sz w:val="28"/>
          <w:szCs w:val="32"/>
        </w:rPr>
        <w:t>的严寒连续超过</w:t>
      </w:r>
      <w:r>
        <w:rPr>
          <w:rFonts w:eastAsia="仿宋_GB2312"/>
          <w:color w:val="000000"/>
          <w:sz w:val="28"/>
          <w:szCs w:val="32"/>
          <w:u w:val="single"/>
        </w:rPr>
        <w:t xml:space="preserve">   </w:t>
      </w:r>
      <w:r>
        <w:rPr>
          <w:rFonts w:eastAsia="仿宋_GB2312"/>
          <w:color w:val="000000"/>
          <w:sz w:val="28"/>
          <w:szCs w:val="32"/>
        </w:rPr>
        <w:t>天；</w:t>
      </w:r>
    </w:p>
    <w:p>
      <w:pPr>
        <w:spacing w:line="490" w:lineRule="exact"/>
        <w:ind w:firstLine="560" w:firstLineChars="200"/>
        <w:rPr>
          <w:rFonts w:eastAsia="仿宋_GB2312"/>
          <w:color w:val="000000"/>
          <w:sz w:val="28"/>
          <w:szCs w:val="32"/>
        </w:rPr>
      </w:pPr>
      <w:r>
        <w:rPr>
          <w:rFonts w:eastAsia="仿宋_GB2312"/>
          <w:color w:val="000000"/>
          <w:sz w:val="28"/>
          <w:szCs w:val="32"/>
        </w:rPr>
        <w:t>（5）造成工程损坏的冰雹和大雪灾害：</w:t>
      </w:r>
      <w:r>
        <w:rPr>
          <w:rFonts w:eastAsia="仿宋_GB2312"/>
          <w:color w:val="000000"/>
          <w:sz w:val="28"/>
          <w:szCs w:val="32"/>
          <w:u w:val="single"/>
        </w:rPr>
        <w:t xml:space="preserve">                    </w:t>
      </w:r>
      <w:r>
        <w:rPr>
          <w:rFonts w:eastAsia="仿宋_GB2312"/>
          <w:color w:val="000000"/>
          <w:sz w:val="28"/>
          <w:szCs w:val="32"/>
        </w:rPr>
        <w:t>；</w:t>
      </w:r>
    </w:p>
    <w:p>
      <w:pPr>
        <w:spacing w:line="490" w:lineRule="exact"/>
        <w:ind w:firstLine="560" w:firstLineChars="200"/>
        <w:rPr>
          <w:rFonts w:eastAsia="仿宋_GB2312"/>
          <w:color w:val="000000"/>
          <w:sz w:val="28"/>
          <w:szCs w:val="32"/>
        </w:rPr>
      </w:pPr>
      <w:r>
        <w:rPr>
          <w:rFonts w:eastAsia="仿宋_GB2312"/>
          <w:color w:val="000000"/>
          <w:sz w:val="28"/>
          <w:szCs w:val="32"/>
        </w:rPr>
        <w:t>（6）其它异常恶劣气候灾害：</w:t>
      </w:r>
      <w:r>
        <w:rPr>
          <w:rFonts w:eastAsia="仿宋_GB2312"/>
          <w:color w:val="000000"/>
          <w:sz w:val="28"/>
          <w:szCs w:val="32"/>
          <w:u w:val="single"/>
        </w:rPr>
        <w:t xml:space="preserve">                   </w:t>
      </w:r>
      <w:r>
        <w:rPr>
          <w:rFonts w:eastAsia="仿宋_GB2312"/>
          <w:color w:val="000000"/>
          <w:sz w:val="28"/>
          <w:szCs w:val="32"/>
        </w:rPr>
        <w:t>。</w:t>
      </w:r>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11.5承包人工期延误</w:t>
      </w:r>
    </w:p>
    <w:p>
      <w:pPr>
        <w:snapToGrid w:val="0"/>
        <w:spacing w:line="490" w:lineRule="exact"/>
        <w:ind w:firstLine="560" w:firstLineChars="200"/>
        <w:rPr>
          <w:rFonts w:eastAsia="仿宋_GB2312"/>
          <w:color w:val="000000"/>
          <w:sz w:val="28"/>
          <w:szCs w:val="32"/>
        </w:rPr>
      </w:pPr>
      <w:r>
        <w:rPr>
          <w:rFonts w:eastAsia="仿宋_GB2312"/>
          <w:color w:val="000000"/>
          <w:sz w:val="28"/>
          <w:szCs w:val="32"/>
        </w:rPr>
        <w:t>承包人逾期完工，比合同工期每推迟一天的违约金为</w:t>
      </w:r>
      <w:r>
        <w:rPr>
          <w:rFonts w:eastAsia="仿宋_GB2312"/>
          <w:color w:val="000000"/>
          <w:sz w:val="28"/>
          <w:szCs w:val="32"/>
          <w:u w:val="single"/>
        </w:rPr>
        <w:t xml:space="preserve">     </w:t>
      </w:r>
      <w:r>
        <w:rPr>
          <w:rFonts w:eastAsia="仿宋_GB2312"/>
          <w:color w:val="000000"/>
          <w:sz w:val="28"/>
          <w:szCs w:val="32"/>
        </w:rPr>
        <w:t>元，但其最终的累计总额不应超过合同价格的</w:t>
      </w:r>
      <w:r>
        <w:rPr>
          <w:rFonts w:eastAsia="仿宋_GB2312"/>
          <w:color w:val="000000"/>
          <w:sz w:val="28"/>
          <w:szCs w:val="32"/>
          <w:u w:val="single"/>
        </w:rPr>
        <w:t xml:space="preserve">     </w:t>
      </w:r>
      <w:r>
        <w:rPr>
          <w:rFonts w:eastAsia="仿宋_GB2312"/>
          <w:color w:val="000000"/>
          <w:sz w:val="28"/>
          <w:szCs w:val="32"/>
        </w:rPr>
        <w:t>％（</w:t>
      </w:r>
      <w:r>
        <w:rPr>
          <w:rFonts w:eastAsia="仿宋_GB2312"/>
          <w:b/>
          <w:i/>
          <w:color w:val="000000"/>
          <w:sz w:val="28"/>
          <w:szCs w:val="32"/>
        </w:rPr>
        <w:t>建议不超过5％</w:t>
      </w:r>
      <w:r>
        <w:rPr>
          <w:rFonts w:eastAsia="仿宋_GB2312"/>
          <w:color w:val="000000"/>
          <w:sz w:val="28"/>
          <w:szCs w:val="32"/>
        </w:rPr>
        <w:t>）。</w:t>
      </w:r>
    </w:p>
    <w:p>
      <w:pPr>
        <w:snapToGrid w:val="0"/>
        <w:spacing w:line="490" w:lineRule="exact"/>
        <w:ind w:firstLine="560" w:firstLineChars="200"/>
        <w:rPr>
          <w:rFonts w:eastAsia="仿宋_GB2312"/>
          <w:color w:val="000000"/>
          <w:sz w:val="28"/>
          <w:szCs w:val="32"/>
        </w:rPr>
      </w:pPr>
      <w:r>
        <w:rPr>
          <w:rFonts w:eastAsia="仿宋_GB2312"/>
          <w:color w:val="000000"/>
          <w:sz w:val="28"/>
          <w:szCs w:val="32"/>
        </w:rPr>
        <w:t>（1）逾期完工违约金表（参考格式）。</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642"/>
        <w:gridCol w:w="2409"/>
        <w:gridCol w:w="1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noWrap w:val="0"/>
            <w:vAlign w:val="center"/>
          </w:tcPr>
          <w:p>
            <w:pPr>
              <w:snapToGrid w:val="0"/>
              <w:jc w:val="center"/>
              <w:rPr>
                <w:color w:val="000000"/>
              </w:rPr>
            </w:pPr>
            <w:r>
              <w:rPr>
                <w:color w:val="000000"/>
              </w:rPr>
              <w:t>序号</w:t>
            </w:r>
          </w:p>
        </w:tc>
        <w:tc>
          <w:tcPr>
            <w:tcW w:w="2642" w:type="dxa"/>
            <w:noWrap w:val="0"/>
            <w:vAlign w:val="center"/>
          </w:tcPr>
          <w:p>
            <w:pPr>
              <w:snapToGrid w:val="0"/>
              <w:jc w:val="center"/>
              <w:rPr>
                <w:color w:val="000000"/>
              </w:rPr>
            </w:pPr>
            <w:r>
              <w:rPr>
                <w:color w:val="000000"/>
              </w:rPr>
              <w:t>项目及其说明</w:t>
            </w:r>
          </w:p>
        </w:tc>
        <w:tc>
          <w:tcPr>
            <w:tcW w:w="2409" w:type="dxa"/>
            <w:noWrap w:val="0"/>
            <w:vAlign w:val="center"/>
          </w:tcPr>
          <w:p>
            <w:pPr>
              <w:snapToGrid w:val="0"/>
              <w:jc w:val="center"/>
              <w:rPr>
                <w:color w:val="000000"/>
              </w:rPr>
            </w:pPr>
            <w:r>
              <w:rPr>
                <w:color w:val="000000"/>
              </w:rPr>
              <w:t>要求完工日期</w:t>
            </w:r>
          </w:p>
        </w:tc>
        <w:tc>
          <w:tcPr>
            <w:tcW w:w="1715" w:type="dxa"/>
            <w:noWrap w:val="0"/>
            <w:vAlign w:val="center"/>
          </w:tcPr>
          <w:p>
            <w:pPr>
              <w:snapToGrid w:val="0"/>
              <w:jc w:val="center"/>
              <w:rPr>
                <w:color w:val="000000"/>
              </w:rPr>
            </w:pPr>
            <w:r>
              <w:rPr>
                <w:color w:val="000000"/>
              </w:rPr>
              <w:t>违约金（元／天）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noWrap w:val="0"/>
            <w:vAlign w:val="center"/>
          </w:tcPr>
          <w:p>
            <w:pPr>
              <w:snapToGrid w:val="0"/>
              <w:ind w:firstLine="420"/>
              <w:jc w:val="center"/>
              <w:rPr>
                <w:color w:val="000000"/>
              </w:rPr>
            </w:pPr>
          </w:p>
        </w:tc>
        <w:tc>
          <w:tcPr>
            <w:tcW w:w="2642" w:type="dxa"/>
            <w:noWrap w:val="0"/>
            <w:vAlign w:val="center"/>
          </w:tcPr>
          <w:p>
            <w:pPr>
              <w:snapToGrid w:val="0"/>
              <w:ind w:firstLine="420"/>
              <w:jc w:val="center"/>
              <w:rPr>
                <w:color w:val="000000"/>
              </w:rPr>
            </w:pPr>
          </w:p>
        </w:tc>
        <w:tc>
          <w:tcPr>
            <w:tcW w:w="2409" w:type="dxa"/>
            <w:noWrap w:val="0"/>
            <w:vAlign w:val="center"/>
          </w:tcPr>
          <w:p>
            <w:pPr>
              <w:snapToGrid w:val="0"/>
              <w:ind w:firstLine="420"/>
              <w:jc w:val="center"/>
              <w:rPr>
                <w:bCs/>
                <w:color w:val="000000"/>
              </w:rPr>
            </w:pPr>
          </w:p>
        </w:tc>
        <w:tc>
          <w:tcPr>
            <w:tcW w:w="1715" w:type="dxa"/>
            <w:noWrap w:val="0"/>
            <w:vAlign w:val="center"/>
          </w:tcPr>
          <w:p>
            <w:pPr>
              <w:snapToGrid w:val="0"/>
              <w:ind w:firstLine="420"/>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noWrap w:val="0"/>
            <w:vAlign w:val="center"/>
          </w:tcPr>
          <w:p>
            <w:pPr>
              <w:snapToGrid w:val="0"/>
              <w:ind w:firstLine="420"/>
              <w:jc w:val="center"/>
              <w:rPr>
                <w:color w:val="000000"/>
              </w:rPr>
            </w:pPr>
          </w:p>
        </w:tc>
        <w:tc>
          <w:tcPr>
            <w:tcW w:w="2642" w:type="dxa"/>
            <w:noWrap w:val="0"/>
            <w:vAlign w:val="center"/>
          </w:tcPr>
          <w:p>
            <w:pPr>
              <w:snapToGrid w:val="0"/>
              <w:ind w:firstLine="420"/>
              <w:jc w:val="center"/>
              <w:rPr>
                <w:color w:val="000000"/>
              </w:rPr>
            </w:pPr>
          </w:p>
        </w:tc>
        <w:tc>
          <w:tcPr>
            <w:tcW w:w="2409" w:type="dxa"/>
            <w:noWrap w:val="0"/>
            <w:vAlign w:val="center"/>
          </w:tcPr>
          <w:p>
            <w:pPr>
              <w:snapToGrid w:val="0"/>
              <w:ind w:firstLine="420"/>
              <w:jc w:val="center"/>
              <w:rPr>
                <w:color w:val="000000"/>
              </w:rPr>
            </w:pPr>
          </w:p>
        </w:tc>
        <w:tc>
          <w:tcPr>
            <w:tcW w:w="1715" w:type="dxa"/>
            <w:noWrap w:val="0"/>
            <w:vAlign w:val="center"/>
          </w:tcPr>
          <w:p>
            <w:pPr>
              <w:snapToGrid w:val="0"/>
              <w:ind w:firstLine="420"/>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noWrap w:val="0"/>
            <w:vAlign w:val="center"/>
          </w:tcPr>
          <w:p>
            <w:pPr>
              <w:snapToGrid w:val="0"/>
              <w:ind w:firstLine="420"/>
              <w:jc w:val="center"/>
              <w:rPr>
                <w:color w:val="000000"/>
              </w:rPr>
            </w:pPr>
          </w:p>
        </w:tc>
        <w:tc>
          <w:tcPr>
            <w:tcW w:w="2642" w:type="dxa"/>
            <w:noWrap w:val="0"/>
            <w:vAlign w:val="center"/>
          </w:tcPr>
          <w:p>
            <w:pPr>
              <w:snapToGrid w:val="0"/>
              <w:ind w:firstLine="420"/>
              <w:jc w:val="center"/>
              <w:rPr>
                <w:color w:val="000000"/>
              </w:rPr>
            </w:pPr>
          </w:p>
        </w:tc>
        <w:tc>
          <w:tcPr>
            <w:tcW w:w="2409" w:type="dxa"/>
            <w:noWrap w:val="0"/>
            <w:vAlign w:val="center"/>
          </w:tcPr>
          <w:p>
            <w:pPr>
              <w:snapToGrid w:val="0"/>
              <w:ind w:firstLine="420"/>
              <w:jc w:val="center"/>
              <w:rPr>
                <w:color w:val="000000"/>
              </w:rPr>
            </w:pPr>
          </w:p>
        </w:tc>
        <w:tc>
          <w:tcPr>
            <w:tcW w:w="1715" w:type="dxa"/>
            <w:noWrap w:val="0"/>
            <w:vAlign w:val="center"/>
          </w:tcPr>
          <w:p>
            <w:pPr>
              <w:snapToGrid w:val="0"/>
              <w:ind w:firstLine="420"/>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noWrap w:val="0"/>
            <w:vAlign w:val="center"/>
          </w:tcPr>
          <w:p>
            <w:pPr>
              <w:snapToGrid w:val="0"/>
              <w:ind w:firstLine="420"/>
              <w:jc w:val="center"/>
              <w:rPr>
                <w:color w:val="000000"/>
              </w:rPr>
            </w:pPr>
          </w:p>
        </w:tc>
        <w:tc>
          <w:tcPr>
            <w:tcW w:w="2642" w:type="dxa"/>
            <w:noWrap w:val="0"/>
            <w:vAlign w:val="center"/>
          </w:tcPr>
          <w:p>
            <w:pPr>
              <w:snapToGrid w:val="0"/>
              <w:ind w:firstLine="420"/>
              <w:jc w:val="center"/>
              <w:rPr>
                <w:color w:val="000000"/>
              </w:rPr>
            </w:pPr>
          </w:p>
        </w:tc>
        <w:tc>
          <w:tcPr>
            <w:tcW w:w="2409" w:type="dxa"/>
            <w:noWrap w:val="0"/>
            <w:vAlign w:val="center"/>
          </w:tcPr>
          <w:p>
            <w:pPr>
              <w:snapToGrid w:val="0"/>
              <w:ind w:firstLine="420"/>
              <w:jc w:val="center"/>
              <w:rPr>
                <w:color w:val="000000"/>
              </w:rPr>
            </w:pPr>
          </w:p>
        </w:tc>
        <w:tc>
          <w:tcPr>
            <w:tcW w:w="1715" w:type="dxa"/>
            <w:noWrap w:val="0"/>
            <w:vAlign w:val="center"/>
          </w:tcPr>
          <w:p>
            <w:pPr>
              <w:snapToGrid w:val="0"/>
              <w:ind w:firstLine="420"/>
              <w:jc w:val="center"/>
              <w:rPr>
                <w:color w:val="000000"/>
              </w:rPr>
            </w:pPr>
          </w:p>
        </w:tc>
      </w:tr>
    </w:tbl>
    <w:p>
      <w:pPr>
        <w:spacing w:line="490" w:lineRule="exact"/>
        <w:ind w:firstLine="560" w:firstLineChars="200"/>
        <w:rPr>
          <w:rFonts w:eastAsia="仿宋_GB2312"/>
          <w:color w:val="000000"/>
          <w:sz w:val="28"/>
          <w:szCs w:val="32"/>
        </w:rPr>
      </w:pPr>
      <w:r>
        <w:rPr>
          <w:rFonts w:eastAsia="仿宋_GB2312"/>
          <w:color w:val="000000"/>
          <w:sz w:val="28"/>
          <w:szCs w:val="32"/>
        </w:rPr>
        <w:t>（2）全部逾期完工违约金的总限额为</w:t>
      </w:r>
      <w:r>
        <w:rPr>
          <w:rFonts w:eastAsia="仿宋_GB2312"/>
          <w:color w:val="000000"/>
          <w:sz w:val="28"/>
          <w:szCs w:val="32"/>
          <w:u w:val="single"/>
        </w:rPr>
        <w:t>（不超过签约合同价的    ％）</w:t>
      </w:r>
      <w:r>
        <w:rPr>
          <w:rFonts w:eastAsia="仿宋_GB2312"/>
          <w:color w:val="000000"/>
          <w:sz w:val="28"/>
          <w:szCs w:val="32"/>
        </w:rPr>
        <w:t>。</w:t>
      </w:r>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11.6工期提前</w:t>
      </w:r>
    </w:p>
    <w:p>
      <w:pPr>
        <w:spacing w:line="490" w:lineRule="exact"/>
        <w:ind w:firstLine="560" w:firstLineChars="200"/>
        <w:rPr>
          <w:rFonts w:eastAsia="仿宋_GB2312"/>
          <w:color w:val="000000"/>
          <w:sz w:val="28"/>
          <w:szCs w:val="32"/>
        </w:rPr>
      </w:pPr>
      <w:r>
        <w:rPr>
          <w:rFonts w:eastAsia="仿宋_GB2312"/>
          <w:color w:val="000000"/>
          <w:sz w:val="28"/>
          <w:szCs w:val="32"/>
        </w:rPr>
        <w:t>工期提前的奖金约定：</w:t>
      </w:r>
      <w:r>
        <w:rPr>
          <w:rFonts w:eastAsia="仿宋_GB2312"/>
          <w:color w:val="000000"/>
          <w:sz w:val="28"/>
          <w:szCs w:val="32"/>
          <w:u w:val="single"/>
        </w:rPr>
        <w:t xml:space="preserve">                        </w:t>
      </w:r>
      <w:r>
        <w:rPr>
          <w:rFonts w:eastAsia="仿宋_GB2312"/>
          <w:color w:val="000000"/>
          <w:sz w:val="28"/>
          <w:szCs w:val="32"/>
        </w:rPr>
        <w:t>。</w:t>
      </w:r>
    </w:p>
    <w:p>
      <w:pPr>
        <w:pStyle w:val="6"/>
        <w:keepNext w:val="0"/>
        <w:keepLines w:val="0"/>
        <w:snapToGrid w:val="0"/>
        <w:spacing w:before="0" w:after="0" w:line="490" w:lineRule="exact"/>
        <w:ind w:firstLine="560" w:firstLineChars="200"/>
        <w:rPr>
          <w:rFonts w:eastAsia="黑体"/>
          <w:b w:val="0"/>
          <w:bCs w:val="0"/>
          <w:color w:val="000000"/>
          <w:sz w:val="28"/>
        </w:rPr>
      </w:pPr>
      <w:bookmarkStart w:id="1810" w:name="_Toc13296"/>
      <w:bookmarkStart w:id="1811" w:name="_Toc51091913"/>
      <w:bookmarkStart w:id="1812" w:name="_Toc26938"/>
      <w:r>
        <w:rPr>
          <w:rFonts w:eastAsia="黑体"/>
          <w:b w:val="0"/>
          <w:bCs w:val="0"/>
          <w:color w:val="000000"/>
          <w:sz w:val="28"/>
        </w:rPr>
        <w:t>12．暂停施工</w:t>
      </w:r>
      <w:bookmarkEnd w:id="1810"/>
      <w:bookmarkEnd w:id="1811"/>
      <w:bookmarkEnd w:id="1812"/>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12.1承包人暂停施工的责任</w:t>
      </w:r>
    </w:p>
    <w:p>
      <w:pPr>
        <w:spacing w:line="490" w:lineRule="exact"/>
        <w:ind w:firstLine="560" w:firstLineChars="200"/>
        <w:rPr>
          <w:rFonts w:eastAsia="仿宋_GB2312"/>
          <w:color w:val="000000"/>
          <w:sz w:val="28"/>
          <w:szCs w:val="32"/>
        </w:rPr>
      </w:pPr>
      <w:r>
        <w:rPr>
          <w:rFonts w:eastAsia="仿宋_GB2312"/>
          <w:color w:val="000000"/>
          <w:sz w:val="28"/>
          <w:szCs w:val="32"/>
        </w:rPr>
        <w:t>（5）承包人承担暂停施工责任的其它情形：</w:t>
      </w:r>
      <w:r>
        <w:rPr>
          <w:rFonts w:eastAsia="仿宋_GB2312"/>
          <w:color w:val="000000"/>
          <w:sz w:val="28"/>
          <w:szCs w:val="32"/>
          <w:u w:val="single"/>
        </w:rPr>
        <w:t xml:space="preserve">            </w:t>
      </w:r>
      <w:r>
        <w:rPr>
          <w:rFonts w:eastAsia="仿宋_GB2312"/>
          <w:color w:val="000000"/>
          <w:sz w:val="28"/>
          <w:szCs w:val="32"/>
        </w:rPr>
        <w:t>。</w:t>
      </w:r>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12.2发包人暂停施工的责任</w:t>
      </w:r>
    </w:p>
    <w:p>
      <w:pPr>
        <w:spacing w:line="490" w:lineRule="exact"/>
        <w:ind w:firstLine="560" w:firstLineChars="200"/>
        <w:rPr>
          <w:rFonts w:eastAsia="仿宋_GB2312"/>
          <w:color w:val="000000"/>
          <w:sz w:val="28"/>
          <w:szCs w:val="32"/>
        </w:rPr>
      </w:pPr>
      <w:r>
        <w:rPr>
          <w:rFonts w:eastAsia="仿宋_GB2312"/>
          <w:color w:val="000000"/>
          <w:sz w:val="28"/>
          <w:szCs w:val="32"/>
        </w:rPr>
        <w:t>（3）发包人承担暂停施工责任的其它情形：</w:t>
      </w:r>
      <w:r>
        <w:rPr>
          <w:rFonts w:eastAsia="仿宋_GB2312"/>
          <w:color w:val="000000"/>
          <w:sz w:val="28"/>
          <w:szCs w:val="32"/>
          <w:u w:val="single"/>
        </w:rPr>
        <w:t xml:space="preserve">           </w:t>
      </w:r>
      <w:r>
        <w:rPr>
          <w:rFonts w:eastAsia="仿宋_GB2312"/>
          <w:color w:val="000000"/>
          <w:sz w:val="28"/>
          <w:szCs w:val="32"/>
        </w:rPr>
        <w:t>。</w:t>
      </w:r>
    </w:p>
    <w:p>
      <w:pPr>
        <w:pStyle w:val="6"/>
        <w:keepNext w:val="0"/>
        <w:keepLines w:val="0"/>
        <w:snapToGrid w:val="0"/>
        <w:spacing w:before="0" w:after="0" w:line="490" w:lineRule="exact"/>
        <w:ind w:firstLine="562" w:firstLineChars="200"/>
        <w:rPr>
          <w:rFonts w:eastAsia="黑体"/>
          <w:bCs w:val="0"/>
          <w:color w:val="000000"/>
          <w:sz w:val="28"/>
        </w:rPr>
      </w:pPr>
      <w:bookmarkStart w:id="1813" w:name="_Toc19635"/>
      <w:bookmarkStart w:id="1814" w:name="_Toc51091914"/>
      <w:bookmarkStart w:id="1815" w:name="_Toc10621"/>
      <w:r>
        <w:rPr>
          <w:rFonts w:eastAsia="黑体"/>
          <w:bCs w:val="0"/>
          <w:color w:val="000000"/>
          <w:sz w:val="28"/>
        </w:rPr>
        <w:t>13．工程质量</w:t>
      </w:r>
      <w:bookmarkEnd w:id="1813"/>
      <w:bookmarkEnd w:id="1814"/>
      <w:bookmarkEnd w:id="1815"/>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13.7质量评定</w:t>
      </w:r>
    </w:p>
    <w:p>
      <w:pPr>
        <w:spacing w:line="490" w:lineRule="exact"/>
        <w:ind w:firstLine="560" w:firstLineChars="200"/>
        <w:rPr>
          <w:rFonts w:eastAsia="仿宋_GB2312"/>
          <w:color w:val="000000"/>
          <w:sz w:val="28"/>
          <w:szCs w:val="32"/>
        </w:rPr>
      </w:pPr>
      <w:r>
        <w:rPr>
          <w:rFonts w:eastAsia="仿宋_GB2312"/>
          <w:color w:val="000000"/>
          <w:sz w:val="28"/>
          <w:szCs w:val="32"/>
        </w:rPr>
        <w:t>13.7.4  重要隐蔽单元工程和关键部位单元工程质量评定的约定：</w:t>
      </w:r>
      <w:r>
        <w:rPr>
          <w:rFonts w:eastAsia="仿宋_GB2312"/>
          <w:color w:val="000000"/>
          <w:sz w:val="28"/>
          <w:szCs w:val="32"/>
          <w:u w:val="single"/>
        </w:rPr>
        <w:t xml:space="preserve">    </w:t>
      </w:r>
      <w:r>
        <w:rPr>
          <w:rFonts w:eastAsia="仿宋_GB2312"/>
          <w:color w:val="000000"/>
          <w:sz w:val="28"/>
          <w:szCs w:val="32"/>
        </w:rPr>
        <w:t>。</w:t>
      </w:r>
    </w:p>
    <w:p>
      <w:pPr>
        <w:spacing w:line="490" w:lineRule="exact"/>
        <w:ind w:firstLine="560" w:firstLineChars="200"/>
        <w:rPr>
          <w:rFonts w:eastAsia="仿宋_GB2312"/>
          <w:color w:val="000000"/>
          <w:sz w:val="28"/>
          <w:szCs w:val="32"/>
        </w:rPr>
      </w:pPr>
      <w:r>
        <w:rPr>
          <w:rFonts w:eastAsia="仿宋_GB2312"/>
          <w:color w:val="000000"/>
          <w:sz w:val="28"/>
          <w:szCs w:val="32"/>
        </w:rPr>
        <w:t>13.7.7工程合格标准为：</w:t>
      </w:r>
      <w:r>
        <w:rPr>
          <w:rFonts w:eastAsia="仿宋_GB2312"/>
          <w:color w:val="000000"/>
          <w:sz w:val="28"/>
          <w:szCs w:val="32"/>
          <w:u w:val="single"/>
        </w:rPr>
        <w:t xml:space="preserve">       </w:t>
      </w:r>
      <w:r>
        <w:rPr>
          <w:rFonts w:eastAsia="仿宋_GB2312"/>
          <w:color w:val="000000"/>
          <w:sz w:val="28"/>
          <w:szCs w:val="32"/>
        </w:rPr>
        <w:t>。</w:t>
      </w:r>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13.8质量事故处理</w:t>
      </w:r>
    </w:p>
    <w:p>
      <w:pPr>
        <w:spacing w:line="490" w:lineRule="exact"/>
        <w:ind w:firstLine="560" w:firstLineChars="200"/>
        <w:rPr>
          <w:rFonts w:eastAsia="仿宋_GB2312"/>
          <w:color w:val="000000"/>
          <w:sz w:val="28"/>
          <w:szCs w:val="32"/>
        </w:rPr>
      </w:pPr>
      <w:r>
        <w:rPr>
          <w:rFonts w:eastAsia="仿宋_GB2312"/>
          <w:color w:val="000000"/>
          <w:sz w:val="28"/>
          <w:szCs w:val="32"/>
        </w:rPr>
        <w:t>13.8.4  工程竣工验收时，</w:t>
      </w:r>
      <w:r>
        <w:rPr>
          <w:rFonts w:eastAsia="仿宋_GB2312"/>
          <w:color w:val="000000"/>
          <w:sz w:val="28"/>
          <w:szCs w:val="32"/>
          <w:u w:val="single"/>
        </w:rPr>
        <w:t xml:space="preserve">          </w:t>
      </w:r>
      <w:r>
        <w:rPr>
          <w:rFonts w:eastAsia="仿宋_GB2312"/>
          <w:color w:val="000000"/>
          <w:sz w:val="28"/>
          <w:szCs w:val="32"/>
        </w:rPr>
        <w:t>向竣工验收委员会汇报并提交历次质量缺陷处理的备案资料。</w:t>
      </w:r>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13.9 发包人的质量管理（补充）</w:t>
      </w:r>
    </w:p>
    <w:p>
      <w:pPr>
        <w:spacing w:line="490" w:lineRule="exact"/>
        <w:ind w:firstLine="560" w:firstLineChars="200"/>
        <w:rPr>
          <w:rFonts w:eastAsia="仿宋_GB2312"/>
          <w:color w:val="000000"/>
          <w:sz w:val="28"/>
          <w:szCs w:val="32"/>
        </w:rPr>
      </w:pPr>
      <w:r>
        <w:rPr>
          <w:rFonts w:eastAsia="仿宋_GB2312"/>
          <w:color w:val="000000"/>
          <w:sz w:val="28"/>
          <w:szCs w:val="32"/>
        </w:rPr>
        <w:t>13.9.1  发包人（或项目法人）有权对工程的所有部位及其施工工艺、材料和工程设备进行抽样检查和检验，承包人应充分理解可能对施工作业的影响并提供方便。发包人（或项目法人）的检查和检验，不免除承包人按合同约定应负的责任。</w:t>
      </w:r>
    </w:p>
    <w:p>
      <w:pPr>
        <w:spacing w:line="490" w:lineRule="exact"/>
        <w:ind w:firstLine="560" w:firstLineChars="200"/>
        <w:rPr>
          <w:rFonts w:eastAsia="仿宋_GB2312"/>
          <w:color w:val="000000"/>
          <w:sz w:val="28"/>
          <w:szCs w:val="32"/>
        </w:rPr>
      </w:pPr>
      <w:r>
        <w:rPr>
          <w:rFonts w:eastAsia="仿宋_GB2312"/>
          <w:color w:val="000000"/>
          <w:sz w:val="28"/>
          <w:szCs w:val="32"/>
        </w:rPr>
        <w:t>13.9.2  发包人（或项目法人）委托第三方检测机构检测工程质量、材料和设备不合格的，检测检验费用由承包人承担。</w:t>
      </w:r>
    </w:p>
    <w:p>
      <w:pPr>
        <w:pStyle w:val="6"/>
        <w:keepNext w:val="0"/>
        <w:keepLines w:val="0"/>
        <w:snapToGrid w:val="0"/>
        <w:spacing w:before="0" w:after="0" w:line="490" w:lineRule="exact"/>
        <w:ind w:firstLine="562" w:firstLineChars="200"/>
        <w:rPr>
          <w:rFonts w:eastAsia="黑体"/>
          <w:bCs w:val="0"/>
          <w:color w:val="000000"/>
          <w:sz w:val="28"/>
        </w:rPr>
      </w:pPr>
      <w:bookmarkStart w:id="1816" w:name="_Toc51091915"/>
      <w:bookmarkStart w:id="1817" w:name="_Toc21877"/>
      <w:bookmarkStart w:id="1818" w:name="_Toc30914"/>
      <w:r>
        <w:rPr>
          <w:rFonts w:eastAsia="黑体"/>
          <w:bCs w:val="0"/>
          <w:color w:val="000000"/>
          <w:sz w:val="28"/>
        </w:rPr>
        <w:t>14．试验和检验</w:t>
      </w:r>
      <w:bookmarkEnd w:id="1816"/>
      <w:bookmarkEnd w:id="1817"/>
      <w:bookmarkEnd w:id="1818"/>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14.1材料、工程设备和工程的试验和检验</w:t>
      </w:r>
    </w:p>
    <w:p>
      <w:pPr>
        <w:spacing w:line="490" w:lineRule="exact"/>
        <w:ind w:firstLine="560" w:firstLineChars="200"/>
        <w:rPr>
          <w:rFonts w:eastAsia="仿宋_GB2312"/>
          <w:color w:val="000000"/>
          <w:sz w:val="28"/>
          <w:szCs w:val="32"/>
        </w:rPr>
      </w:pPr>
      <w:r>
        <w:rPr>
          <w:rFonts w:eastAsia="仿宋_GB2312"/>
          <w:color w:val="000000"/>
          <w:sz w:val="28"/>
          <w:szCs w:val="32"/>
        </w:rPr>
        <w:t>14.1.5  水工金属结构、启闭机及机电产品进场后的交货检查和验收中，承包人负责</w:t>
      </w:r>
      <w:r>
        <w:rPr>
          <w:rFonts w:eastAsia="仿宋_GB2312"/>
          <w:color w:val="000000"/>
          <w:sz w:val="28"/>
          <w:szCs w:val="32"/>
          <w:u w:val="single"/>
        </w:rPr>
        <w:t xml:space="preserve">                    </w:t>
      </w:r>
      <w:r>
        <w:rPr>
          <w:rFonts w:eastAsia="仿宋_GB2312"/>
          <w:color w:val="000000"/>
          <w:sz w:val="28"/>
          <w:szCs w:val="32"/>
        </w:rPr>
        <w:t>。</w:t>
      </w:r>
    </w:p>
    <w:p>
      <w:pPr>
        <w:spacing w:line="490" w:lineRule="exact"/>
        <w:ind w:firstLine="560" w:firstLineChars="200"/>
        <w:rPr>
          <w:rFonts w:eastAsia="仿宋_GB2312"/>
          <w:color w:val="000000"/>
          <w:sz w:val="28"/>
          <w:szCs w:val="32"/>
        </w:rPr>
      </w:pPr>
      <w:r>
        <w:rPr>
          <w:rFonts w:eastAsia="仿宋_GB2312"/>
          <w:color w:val="000000"/>
          <w:sz w:val="28"/>
          <w:szCs w:val="32"/>
        </w:rPr>
        <w:t>14.1.6  本工程实行见证取样的试块、试件及有关材料：</w:t>
      </w:r>
      <w:r>
        <w:rPr>
          <w:rFonts w:eastAsia="仿宋_GB2312"/>
          <w:color w:val="000000"/>
          <w:sz w:val="28"/>
          <w:szCs w:val="32"/>
          <w:u w:val="single"/>
        </w:rPr>
        <w:t xml:space="preserve">           </w:t>
      </w:r>
      <w:r>
        <w:rPr>
          <w:rFonts w:eastAsia="仿宋_GB2312"/>
          <w:color w:val="000000"/>
          <w:sz w:val="28"/>
          <w:szCs w:val="32"/>
        </w:rPr>
        <w:t>。</w:t>
      </w:r>
    </w:p>
    <w:p>
      <w:pPr>
        <w:pStyle w:val="6"/>
        <w:keepNext w:val="0"/>
        <w:keepLines w:val="0"/>
        <w:spacing w:before="0" w:after="0" w:line="490" w:lineRule="exact"/>
        <w:ind w:firstLine="562" w:firstLineChars="200"/>
        <w:rPr>
          <w:rFonts w:eastAsia="黑体"/>
          <w:bCs w:val="0"/>
          <w:color w:val="000000"/>
          <w:sz w:val="28"/>
        </w:rPr>
      </w:pPr>
      <w:bookmarkStart w:id="1819" w:name="_Toc51091916"/>
      <w:bookmarkStart w:id="1820" w:name="_Toc5117"/>
      <w:bookmarkStart w:id="1821" w:name="_Toc28217"/>
      <w:r>
        <w:rPr>
          <w:rFonts w:eastAsia="黑体"/>
          <w:bCs w:val="0"/>
          <w:color w:val="000000"/>
          <w:sz w:val="28"/>
        </w:rPr>
        <w:t>15．变更</w:t>
      </w:r>
      <w:bookmarkEnd w:id="1819"/>
      <w:bookmarkEnd w:id="1820"/>
      <w:bookmarkEnd w:id="1821"/>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15.1变更的范围和内容</w:t>
      </w:r>
    </w:p>
    <w:p>
      <w:pPr>
        <w:spacing w:line="490" w:lineRule="exact"/>
        <w:ind w:firstLine="560" w:firstLineChars="200"/>
        <w:jc w:val="left"/>
        <w:rPr>
          <w:rFonts w:eastAsia="仿宋_GB2312"/>
          <w:color w:val="000000"/>
          <w:sz w:val="28"/>
          <w:szCs w:val="32"/>
        </w:rPr>
      </w:pPr>
      <w:r>
        <w:rPr>
          <w:rFonts w:eastAsia="仿宋_GB2312"/>
          <w:color w:val="000000"/>
          <w:sz w:val="28"/>
          <w:szCs w:val="32"/>
        </w:rPr>
        <w:t>（6）增加或减少合同中关键项目的工程量超过其工程总量的</w:t>
      </w:r>
      <w:r>
        <w:rPr>
          <w:rFonts w:eastAsia="仿宋_GB2312"/>
          <w:color w:val="000000"/>
          <w:sz w:val="28"/>
          <w:szCs w:val="32"/>
          <w:u w:val="single"/>
        </w:rPr>
        <w:t xml:space="preserve">     </w:t>
      </w:r>
      <w:r>
        <w:rPr>
          <w:rFonts w:eastAsia="仿宋_GB2312"/>
          <w:color w:val="000000"/>
          <w:sz w:val="28"/>
          <w:szCs w:val="32"/>
        </w:rPr>
        <w:t>％，关键项目：</w:t>
      </w:r>
      <w:r>
        <w:rPr>
          <w:rFonts w:eastAsia="仿宋_GB2312"/>
          <w:color w:val="000000"/>
          <w:sz w:val="28"/>
          <w:szCs w:val="32"/>
          <w:u w:val="single"/>
        </w:rPr>
        <w:t xml:space="preserve">         </w:t>
      </w:r>
      <w:r>
        <w:rPr>
          <w:rFonts w:eastAsia="仿宋_GB2312"/>
          <w:color w:val="000000"/>
          <w:sz w:val="28"/>
          <w:szCs w:val="32"/>
        </w:rPr>
        <w:t>，单价调整方式：</w:t>
      </w:r>
      <w:r>
        <w:rPr>
          <w:rFonts w:eastAsia="仿宋_GB2312"/>
          <w:color w:val="000000"/>
          <w:sz w:val="28"/>
          <w:szCs w:val="32"/>
          <w:u w:val="single"/>
        </w:rPr>
        <w:t xml:space="preserve">           </w:t>
      </w:r>
      <w:r>
        <w:rPr>
          <w:rFonts w:eastAsia="仿宋_GB2312"/>
          <w:color w:val="000000"/>
          <w:sz w:val="28"/>
          <w:szCs w:val="32"/>
        </w:rPr>
        <w:t>。</w:t>
      </w:r>
    </w:p>
    <w:p>
      <w:pPr>
        <w:spacing w:line="490" w:lineRule="exact"/>
        <w:ind w:firstLine="560" w:firstLineChars="200"/>
        <w:rPr>
          <w:rFonts w:eastAsia="仿宋_GB2312"/>
          <w:color w:val="000000"/>
          <w:sz w:val="28"/>
          <w:szCs w:val="32"/>
        </w:rPr>
      </w:pPr>
      <w:r>
        <w:rPr>
          <w:rFonts w:eastAsia="仿宋_GB2312"/>
          <w:color w:val="000000"/>
          <w:sz w:val="28"/>
          <w:szCs w:val="32"/>
        </w:rPr>
        <w:t>或者：（6）本合同工程不因增加或减少合同工程量而调整合同单价。</w:t>
      </w:r>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15.4 变更的估价原则</w:t>
      </w:r>
    </w:p>
    <w:p>
      <w:pPr>
        <w:spacing w:line="490" w:lineRule="exact"/>
        <w:ind w:firstLine="560" w:firstLineChars="200"/>
        <w:rPr>
          <w:rFonts w:eastAsia="仿宋_GB2312"/>
          <w:color w:val="000000"/>
          <w:sz w:val="28"/>
          <w:szCs w:val="32"/>
        </w:rPr>
      </w:pPr>
      <w:r>
        <w:rPr>
          <w:rFonts w:eastAsia="仿宋_GB2312"/>
          <w:color w:val="000000"/>
          <w:sz w:val="28"/>
          <w:szCs w:val="32"/>
        </w:rPr>
        <w:t>本款第15.4.3项修改为“已标价工程量清单中无适用或类似子目的单价可供参考时，则按下述方法确定变更工作的单价：</w:t>
      </w:r>
    </w:p>
    <w:p>
      <w:pPr>
        <w:spacing w:line="490" w:lineRule="exact"/>
        <w:ind w:firstLine="560" w:firstLineChars="200"/>
        <w:rPr>
          <w:rFonts w:eastAsia="仿宋_GB2312"/>
          <w:color w:val="000000"/>
          <w:sz w:val="28"/>
          <w:szCs w:val="32"/>
        </w:rPr>
      </w:pPr>
      <w:r>
        <w:rPr>
          <w:rFonts w:eastAsia="仿宋_GB2312"/>
          <w:color w:val="000000"/>
          <w:sz w:val="28"/>
          <w:szCs w:val="32"/>
        </w:rPr>
        <w:t>材料、风、水、电、人工工资的价格以承包人在投标文件中最终所报数字为依据，如投标文件中没有此种材料价格，则以发包人认可的实际采购价为准；有关费率采用承包人投标文件中最终单价分析表中相关类别项目费率；</w:t>
      </w:r>
    </w:p>
    <w:p>
      <w:pPr>
        <w:spacing w:line="490" w:lineRule="exact"/>
        <w:ind w:firstLine="560" w:firstLineChars="200"/>
        <w:rPr>
          <w:rFonts w:eastAsia="仿宋_GB2312"/>
          <w:color w:val="000000"/>
          <w:sz w:val="28"/>
          <w:szCs w:val="32"/>
        </w:rPr>
      </w:pPr>
      <w:r>
        <w:rPr>
          <w:rFonts w:eastAsia="仿宋_GB2312"/>
          <w:color w:val="000000"/>
          <w:sz w:val="28"/>
          <w:szCs w:val="32"/>
        </w:rPr>
        <w:t>人工、材料、机械台班的用量以</w:t>
      </w:r>
      <w:r>
        <w:rPr>
          <w:rFonts w:eastAsia="仿宋_GB2312"/>
          <w:color w:val="000000"/>
          <w:sz w:val="28"/>
          <w:szCs w:val="32"/>
          <w:u w:val="single"/>
        </w:rPr>
        <w:t xml:space="preserve">                   </w:t>
      </w:r>
      <w:r>
        <w:rPr>
          <w:rFonts w:eastAsia="仿宋_GB2312"/>
          <w:color w:val="000000"/>
          <w:sz w:val="28"/>
          <w:szCs w:val="32"/>
        </w:rPr>
        <w:t>；变更单价按以上原则计算后整体下浮</w:t>
      </w:r>
      <w:r>
        <w:rPr>
          <w:rFonts w:eastAsia="仿宋_GB2312"/>
          <w:color w:val="000000"/>
          <w:sz w:val="28"/>
          <w:szCs w:val="32"/>
          <w:u w:val="single"/>
        </w:rPr>
        <w:t xml:space="preserve">   </w:t>
      </w:r>
      <w:r>
        <w:rPr>
          <w:rFonts w:eastAsia="仿宋_GB2312"/>
          <w:color w:val="000000"/>
          <w:sz w:val="28"/>
          <w:szCs w:val="32"/>
        </w:rPr>
        <w:t>％；若以上定额没有可供参考的，可参照其他行业有关预算定额和机械台时、台班费定额确定计算变更单价后整体下浮</w:t>
      </w:r>
      <w:r>
        <w:rPr>
          <w:rFonts w:eastAsia="仿宋_GB2312"/>
          <w:color w:val="000000"/>
          <w:sz w:val="28"/>
          <w:szCs w:val="32"/>
          <w:u w:val="single"/>
        </w:rPr>
        <w:t xml:space="preserve">   </w:t>
      </w:r>
      <w:r>
        <w:rPr>
          <w:rFonts w:eastAsia="仿宋_GB2312"/>
          <w:color w:val="000000"/>
          <w:sz w:val="28"/>
          <w:szCs w:val="32"/>
        </w:rPr>
        <w:t>％。”</w:t>
      </w:r>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15.5承包人的合理化建议</w:t>
      </w:r>
    </w:p>
    <w:p>
      <w:pPr>
        <w:spacing w:line="490" w:lineRule="exact"/>
        <w:ind w:firstLine="560" w:firstLineChars="200"/>
        <w:rPr>
          <w:rFonts w:eastAsia="仿宋_GB2312"/>
          <w:color w:val="000000"/>
          <w:sz w:val="28"/>
          <w:szCs w:val="32"/>
        </w:rPr>
      </w:pPr>
      <w:r>
        <w:rPr>
          <w:rFonts w:eastAsia="仿宋_GB2312"/>
          <w:color w:val="000000"/>
          <w:sz w:val="28"/>
          <w:szCs w:val="32"/>
        </w:rPr>
        <w:t>15.5.2  承包人实现合理化建议的奖励金额为：</w:t>
      </w:r>
      <w:r>
        <w:rPr>
          <w:rFonts w:eastAsia="仿宋_GB2312"/>
          <w:color w:val="000000"/>
          <w:sz w:val="28"/>
          <w:szCs w:val="32"/>
          <w:u w:val="single"/>
        </w:rPr>
        <w:t xml:space="preserve">         </w:t>
      </w:r>
      <w:r>
        <w:rPr>
          <w:rFonts w:eastAsia="仿宋_GB2312"/>
          <w:color w:val="000000"/>
          <w:sz w:val="28"/>
          <w:szCs w:val="32"/>
        </w:rPr>
        <w:t>。</w:t>
      </w:r>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15.6 暂列金额</w:t>
      </w:r>
    </w:p>
    <w:p>
      <w:pPr>
        <w:spacing w:line="490" w:lineRule="exact"/>
        <w:ind w:firstLine="560" w:firstLineChars="200"/>
        <w:rPr>
          <w:rFonts w:eastAsia="仿宋_GB2312"/>
          <w:color w:val="000000"/>
          <w:sz w:val="28"/>
          <w:szCs w:val="32"/>
        </w:rPr>
      </w:pPr>
      <w:r>
        <w:rPr>
          <w:rFonts w:eastAsia="仿宋_GB2312"/>
          <w:color w:val="000000"/>
          <w:sz w:val="28"/>
          <w:szCs w:val="32"/>
        </w:rPr>
        <w:t>补充：本合同工程暂列金金额按工程量清单的规定。暂列金额的使用需通过发包人批准。</w:t>
      </w:r>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15.8暂估价</w:t>
      </w:r>
    </w:p>
    <w:p>
      <w:pPr>
        <w:spacing w:line="490" w:lineRule="exact"/>
        <w:ind w:firstLine="560" w:firstLineChars="200"/>
        <w:rPr>
          <w:rFonts w:eastAsia="仿宋_GB2312"/>
          <w:color w:val="000000"/>
          <w:sz w:val="28"/>
          <w:szCs w:val="32"/>
        </w:rPr>
      </w:pPr>
      <w:r>
        <w:rPr>
          <w:rFonts w:eastAsia="仿宋_GB2312"/>
          <w:color w:val="000000"/>
          <w:sz w:val="28"/>
          <w:szCs w:val="32"/>
        </w:rPr>
        <w:t xml:space="preserve">15.8.1  （1）发包人和承包人组织招标的暂估价项目： </w:t>
      </w:r>
      <w:r>
        <w:rPr>
          <w:rFonts w:eastAsia="仿宋_GB2312"/>
          <w:color w:val="000000"/>
          <w:sz w:val="28"/>
          <w:szCs w:val="32"/>
          <w:u w:val="single"/>
        </w:rPr>
        <w:t xml:space="preserve">（签约后填入） </w:t>
      </w:r>
      <w:r>
        <w:rPr>
          <w:rFonts w:eastAsia="仿宋_GB2312"/>
          <w:color w:val="000000"/>
          <w:sz w:val="28"/>
          <w:szCs w:val="32"/>
        </w:rPr>
        <w:t>；发包人组织招标的暂估价项目：</w:t>
      </w:r>
      <w:r>
        <w:rPr>
          <w:rFonts w:eastAsia="仿宋_GB2312"/>
          <w:color w:val="000000"/>
          <w:sz w:val="28"/>
          <w:szCs w:val="32"/>
          <w:u w:val="single"/>
        </w:rPr>
        <w:t xml:space="preserve"> （签约后填入） </w:t>
      </w:r>
      <w:r>
        <w:rPr>
          <w:rFonts w:eastAsia="仿宋_GB2312"/>
          <w:color w:val="000000"/>
          <w:sz w:val="28"/>
          <w:szCs w:val="32"/>
        </w:rPr>
        <w:t>。</w:t>
      </w:r>
    </w:p>
    <w:p>
      <w:pPr>
        <w:spacing w:line="490" w:lineRule="exact"/>
        <w:ind w:firstLine="560" w:firstLineChars="200"/>
        <w:rPr>
          <w:rFonts w:eastAsia="仿宋_GB2312"/>
          <w:color w:val="000000"/>
          <w:sz w:val="28"/>
          <w:szCs w:val="32"/>
        </w:rPr>
      </w:pPr>
      <w:r>
        <w:rPr>
          <w:rFonts w:eastAsia="仿宋_GB2312"/>
          <w:color w:val="000000"/>
          <w:sz w:val="28"/>
          <w:szCs w:val="32"/>
        </w:rPr>
        <w:t>（2）发包人和承包人以招标方式选择暂估价项目供应商或分包人时，双方的权利义务关系：</w:t>
      </w:r>
      <w:r>
        <w:rPr>
          <w:rFonts w:eastAsia="仿宋_GB2312"/>
          <w:color w:val="000000"/>
          <w:sz w:val="28"/>
          <w:szCs w:val="32"/>
          <w:u w:val="single"/>
        </w:rPr>
        <w:t xml:space="preserve">          </w:t>
      </w:r>
      <w:r>
        <w:rPr>
          <w:rFonts w:eastAsia="仿宋_GB2312"/>
          <w:color w:val="000000"/>
          <w:sz w:val="28"/>
          <w:szCs w:val="32"/>
        </w:rPr>
        <w:t>。</w:t>
      </w:r>
    </w:p>
    <w:p>
      <w:pPr>
        <w:pStyle w:val="6"/>
        <w:keepNext w:val="0"/>
        <w:keepLines w:val="0"/>
        <w:snapToGrid w:val="0"/>
        <w:spacing w:before="0" w:after="0" w:line="490" w:lineRule="exact"/>
        <w:ind w:firstLine="562" w:firstLineChars="200"/>
        <w:rPr>
          <w:rFonts w:eastAsia="黑体"/>
          <w:bCs w:val="0"/>
          <w:color w:val="000000"/>
          <w:sz w:val="28"/>
        </w:rPr>
      </w:pPr>
      <w:bookmarkStart w:id="1822" w:name="_Toc51091917"/>
      <w:bookmarkStart w:id="1823" w:name="_Toc6189"/>
      <w:bookmarkStart w:id="1824" w:name="_Toc27059"/>
      <w:r>
        <w:rPr>
          <w:rFonts w:eastAsia="黑体"/>
          <w:bCs w:val="0"/>
          <w:color w:val="000000"/>
          <w:sz w:val="28"/>
        </w:rPr>
        <w:t>16．价格调整</w:t>
      </w:r>
      <w:bookmarkEnd w:id="1822"/>
      <w:bookmarkEnd w:id="1823"/>
      <w:bookmarkEnd w:id="1824"/>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16.1物价波动引起的价格调整</w:t>
      </w:r>
    </w:p>
    <w:p>
      <w:pPr>
        <w:spacing w:line="490" w:lineRule="exact"/>
        <w:ind w:firstLine="420" w:firstLineChars="200"/>
        <w:rPr>
          <w:rFonts w:eastAsia="仿宋_GB2312"/>
          <w:color w:val="000000"/>
          <w:szCs w:val="32"/>
        </w:rPr>
      </w:pPr>
      <w:r>
        <w:rPr>
          <w:rFonts w:eastAsia="楷体_GB2312"/>
          <w:color w:val="000000"/>
          <w:szCs w:val="32"/>
          <w:u w:val="single"/>
        </w:rPr>
        <w:t xml:space="preserve">                                    </w:t>
      </w:r>
      <w:r>
        <w:rPr>
          <w:rFonts w:eastAsia="仿宋_GB2312"/>
          <w:color w:val="000000"/>
          <w:szCs w:val="32"/>
        </w:rPr>
        <w:t>。</w:t>
      </w:r>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16.2法律变化引起的价格调整</w:t>
      </w:r>
    </w:p>
    <w:p>
      <w:pPr>
        <w:spacing w:line="490" w:lineRule="exact"/>
        <w:ind w:firstLine="560" w:firstLineChars="200"/>
        <w:rPr>
          <w:rFonts w:eastAsia="仿宋_GB2312"/>
          <w:color w:val="000000"/>
          <w:sz w:val="28"/>
          <w:szCs w:val="32"/>
        </w:rPr>
      </w:pPr>
      <w:r>
        <w:rPr>
          <w:rFonts w:eastAsia="仿宋_GB2312"/>
          <w:color w:val="000000"/>
          <w:sz w:val="28"/>
          <w:szCs w:val="32"/>
        </w:rPr>
        <w:t>删除通用合同条款第16.2条，以下列条文代替：</w:t>
      </w:r>
    </w:p>
    <w:p>
      <w:pPr>
        <w:spacing w:line="490" w:lineRule="exact"/>
        <w:ind w:firstLine="560" w:firstLineChars="200"/>
        <w:rPr>
          <w:rFonts w:eastAsia="仿宋_GB2312"/>
          <w:color w:val="000000"/>
          <w:sz w:val="28"/>
          <w:szCs w:val="32"/>
        </w:rPr>
      </w:pPr>
      <w:r>
        <w:rPr>
          <w:rFonts w:eastAsia="仿宋_GB2312"/>
          <w:color w:val="000000"/>
          <w:sz w:val="28"/>
          <w:szCs w:val="32"/>
        </w:rPr>
        <w:t>在本合同实施期间，只有在国家发布对企业允许列入工程造价的税率进行调整时，才允许调整本合同的税金。</w:t>
      </w:r>
    </w:p>
    <w:p>
      <w:pPr>
        <w:pStyle w:val="6"/>
        <w:keepNext w:val="0"/>
        <w:keepLines w:val="0"/>
        <w:snapToGrid w:val="0"/>
        <w:spacing w:before="0" w:after="0" w:line="490" w:lineRule="exact"/>
        <w:ind w:firstLine="562" w:firstLineChars="200"/>
        <w:rPr>
          <w:rFonts w:eastAsia="黑体"/>
          <w:bCs w:val="0"/>
          <w:color w:val="000000"/>
          <w:sz w:val="28"/>
        </w:rPr>
      </w:pPr>
      <w:bookmarkStart w:id="1825" w:name="_Toc4760"/>
      <w:bookmarkStart w:id="1826" w:name="_Toc11698"/>
      <w:bookmarkStart w:id="1827" w:name="_Toc51091918"/>
      <w:r>
        <w:rPr>
          <w:rFonts w:eastAsia="黑体"/>
          <w:bCs w:val="0"/>
          <w:color w:val="000000"/>
          <w:sz w:val="28"/>
        </w:rPr>
        <w:t>17．计量与支付</w:t>
      </w:r>
      <w:bookmarkEnd w:id="1825"/>
      <w:bookmarkEnd w:id="1826"/>
      <w:bookmarkEnd w:id="1827"/>
    </w:p>
    <w:p>
      <w:pPr>
        <w:spacing w:line="490" w:lineRule="exact"/>
        <w:ind w:firstLine="562" w:firstLineChars="200"/>
        <w:rPr>
          <w:rFonts w:eastAsia="楷体_GB2312"/>
          <w:b/>
          <w:bCs/>
          <w:color w:val="000000"/>
          <w:sz w:val="28"/>
          <w:szCs w:val="32"/>
        </w:rPr>
      </w:pPr>
      <w:bookmarkStart w:id="1828" w:name="_Toc511318201"/>
      <w:r>
        <w:rPr>
          <w:rFonts w:eastAsia="楷体_GB2312"/>
          <w:b/>
          <w:bCs/>
          <w:color w:val="000000"/>
          <w:sz w:val="28"/>
          <w:szCs w:val="32"/>
        </w:rPr>
        <w:t>17.1 计量</w:t>
      </w:r>
      <w:bookmarkEnd w:id="1828"/>
    </w:p>
    <w:p>
      <w:pPr>
        <w:spacing w:line="490" w:lineRule="exact"/>
        <w:ind w:firstLine="562" w:firstLineChars="200"/>
        <w:rPr>
          <w:rFonts w:eastAsia="仿宋_GB2312"/>
          <w:color w:val="000000"/>
          <w:sz w:val="28"/>
          <w:szCs w:val="32"/>
        </w:rPr>
      </w:pPr>
      <w:r>
        <w:rPr>
          <w:rFonts w:eastAsia="仿宋_GB2312"/>
          <w:b/>
          <w:color w:val="000000"/>
          <w:sz w:val="28"/>
          <w:szCs w:val="32"/>
        </w:rPr>
        <w:t>17.1.6</w:t>
      </w:r>
      <w:r>
        <w:rPr>
          <w:rFonts w:eastAsia="仿宋_GB2312"/>
          <w:color w:val="000000"/>
          <w:sz w:val="28"/>
          <w:szCs w:val="32"/>
        </w:rPr>
        <w:t xml:space="preserve">  工程的计量应以净值为准。工程量清单中各个子目的具体计量方法按本合同文件技术规范中的规定执行。工程量清单中任何错误和遗漏，不应免除承包人完成本合同工程的责任和义务。由于承包人在自身原因造成工程量清单中任何错误和遗漏，均不予纠正。并执行</w:t>
      </w:r>
      <w:r>
        <w:rPr>
          <w:rFonts w:eastAsia="仿宋_GB2312"/>
          <w:color w:val="000000"/>
          <w:sz w:val="28"/>
          <w:szCs w:val="32"/>
          <w:u w:val="single"/>
        </w:rPr>
        <w:t>《</w:t>
      </w:r>
      <w:r>
        <w:rPr>
          <w:color w:val="000000"/>
          <w:u w:val="single"/>
        </w:rPr>
        <w:fldChar w:fldCharType="begin" w:fldLock="1"/>
      </w:r>
      <w:r>
        <w:rPr>
          <w:color w:val="000000"/>
          <w:u w:val="single"/>
        </w:rPr>
        <w:instrText xml:space="preserve"> HYPERLINK "http://www.doc88.com/p-33575564722.html" \t "_blank" </w:instrText>
      </w:r>
      <w:r>
        <w:rPr>
          <w:color w:val="000000"/>
          <w:u w:val="single"/>
        </w:rPr>
        <w:fldChar w:fldCharType="separate"/>
      </w:r>
      <w:r>
        <w:rPr>
          <w:rFonts w:eastAsia="仿宋_GB2312"/>
          <w:color w:val="000000"/>
          <w:sz w:val="28"/>
          <w:szCs w:val="32"/>
          <w:u w:val="single"/>
        </w:rPr>
        <w:t>水利工程工程量清单计价规范</w:t>
      </w:r>
      <w:r>
        <w:rPr>
          <w:rFonts w:eastAsia="仿宋_GB2312"/>
          <w:color w:val="000000"/>
          <w:sz w:val="28"/>
          <w:szCs w:val="32"/>
          <w:u w:val="single"/>
        </w:rPr>
        <w:fldChar w:fldCharType="end"/>
      </w:r>
      <w:r>
        <w:rPr>
          <w:rFonts w:eastAsia="仿宋_GB2312"/>
          <w:color w:val="000000"/>
          <w:sz w:val="28"/>
          <w:szCs w:val="32"/>
          <w:u w:val="single"/>
        </w:rPr>
        <w:t>》（GB50501-2007）</w:t>
      </w:r>
      <w:r>
        <w:rPr>
          <w:rFonts w:eastAsia="仿宋_GB2312"/>
          <w:color w:val="000000"/>
          <w:sz w:val="28"/>
          <w:szCs w:val="32"/>
        </w:rPr>
        <w:t>的规定。</w:t>
      </w:r>
    </w:p>
    <w:p>
      <w:pPr>
        <w:spacing w:line="490" w:lineRule="exact"/>
        <w:ind w:firstLine="562" w:firstLineChars="200"/>
        <w:rPr>
          <w:rFonts w:eastAsia="仿宋_GB2312"/>
          <w:color w:val="000000"/>
          <w:sz w:val="28"/>
          <w:szCs w:val="32"/>
        </w:rPr>
      </w:pPr>
      <w:r>
        <w:rPr>
          <w:rFonts w:eastAsia="仿宋_GB2312"/>
          <w:b/>
          <w:color w:val="000000"/>
          <w:sz w:val="28"/>
          <w:szCs w:val="32"/>
        </w:rPr>
        <w:t>17.1.7</w:t>
      </w:r>
      <w:r>
        <w:rPr>
          <w:rFonts w:eastAsia="仿宋_GB2312"/>
          <w:color w:val="000000"/>
          <w:sz w:val="28"/>
          <w:szCs w:val="32"/>
        </w:rPr>
        <w:t xml:space="preserve">  监理在计量时发现有申请完成的工程项目中技术规范规定的相关工程未完成，则该项目暂不予计量并通知承包人继续完成相关工程。待该项目及所有相关工程均已完成并符合技术要求后再给予计量。承包人必须如实申报工程数量，若发现虚报工程数量，发包人有权对虚报的工程量进行扣除，承包人不得提出异议。发包人在必要时有权对承包人已取得的任何签证进一步核实和调查（包括已计量支付的内容）。在发包人的要求下承包人必须积极配合调查、核实，为调查核实提供一切方便。如经核实有虚假</w:t>
      </w:r>
      <w:r>
        <w:rPr>
          <w:rFonts w:hint="eastAsia" w:eastAsia="仿宋_GB2312"/>
          <w:color w:val="000000"/>
          <w:sz w:val="28"/>
          <w:szCs w:val="32"/>
        </w:rPr>
        <w:t>成分</w:t>
      </w:r>
      <w:r>
        <w:rPr>
          <w:rFonts w:eastAsia="仿宋_GB2312"/>
          <w:color w:val="000000"/>
          <w:sz w:val="28"/>
          <w:szCs w:val="32"/>
        </w:rPr>
        <w:t>，则涉及计量方面的虚假按本款上述规定对承包人进行处罚，尽管签证书中有发包人人员的签证，承包人也不能免除此类处罚。且调查、核实工作所耗的一切费用均由承包人承担。如果核实结果不存在虚假</w:t>
      </w:r>
      <w:r>
        <w:rPr>
          <w:rFonts w:hint="eastAsia" w:eastAsia="仿宋_GB2312"/>
          <w:color w:val="000000"/>
          <w:sz w:val="28"/>
          <w:szCs w:val="32"/>
        </w:rPr>
        <w:t>成分</w:t>
      </w:r>
      <w:r>
        <w:rPr>
          <w:rFonts w:eastAsia="仿宋_GB2312"/>
          <w:color w:val="000000"/>
          <w:sz w:val="28"/>
          <w:szCs w:val="32"/>
        </w:rPr>
        <w:t>，则此次调查、核实工作所产生的费用由发包人承担。</w:t>
      </w:r>
    </w:p>
    <w:p>
      <w:pPr>
        <w:spacing w:line="490" w:lineRule="exact"/>
        <w:ind w:firstLine="562" w:firstLineChars="200"/>
        <w:rPr>
          <w:rFonts w:eastAsia="楷体_GB2312"/>
          <w:b/>
          <w:bCs/>
          <w:color w:val="000000"/>
          <w:sz w:val="28"/>
          <w:szCs w:val="32"/>
        </w:rPr>
      </w:pPr>
      <w:r>
        <w:rPr>
          <w:rFonts w:eastAsia="楷体_GB2312"/>
          <w:b/>
          <w:bCs/>
          <w:color w:val="000000"/>
          <w:sz w:val="28"/>
          <w:szCs w:val="32"/>
        </w:rPr>
        <w:t>17.2预付款</w:t>
      </w:r>
    </w:p>
    <w:p>
      <w:pPr>
        <w:spacing w:line="490" w:lineRule="exact"/>
        <w:ind w:firstLine="562" w:firstLineChars="200"/>
        <w:rPr>
          <w:rFonts w:eastAsia="仿宋_GB2312"/>
          <w:b/>
          <w:color w:val="000000"/>
          <w:sz w:val="28"/>
          <w:szCs w:val="32"/>
        </w:rPr>
      </w:pPr>
      <w:r>
        <w:rPr>
          <w:rFonts w:eastAsia="仿宋_GB2312"/>
          <w:b/>
          <w:color w:val="000000"/>
          <w:sz w:val="28"/>
          <w:szCs w:val="32"/>
        </w:rPr>
        <w:t>17.2.1  预付款：</w:t>
      </w:r>
    </w:p>
    <w:p>
      <w:pPr>
        <w:spacing w:line="490" w:lineRule="exact"/>
        <w:ind w:firstLine="562" w:firstLineChars="200"/>
        <w:rPr>
          <w:rFonts w:eastAsia="仿宋_GB2312"/>
          <w:color w:val="000000"/>
          <w:sz w:val="28"/>
          <w:szCs w:val="32"/>
        </w:rPr>
      </w:pPr>
      <w:r>
        <w:rPr>
          <w:rFonts w:eastAsia="仿宋_GB2312"/>
          <w:b/>
          <w:i/>
          <w:color w:val="000000"/>
          <w:sz w:val="28"/>
          <w:szCs w:val="32"/>
        </w:rPr>
        <w:t>（适用于无预付款）：</w:t>
      </w:r>
      <w:r>
        <w:rPr>
          <w:rFonts w:eastAsia="仿宋_GB2312"/>
          <w:color w:val="000000"/>
          <w:sz w:val="28"/>
          <w:szCs w:val="32"/>
        </w:rPr>
        <w:t>删除通用合同条款第17.2.1全文。并以下文代替：本合同工程无预付款。</w:t>
      </w:r>
    </w:p>
    <w:p>
      <w:pPr>
        <w:spacing w:line="490" w:lineRule="exact"/>
        <w:ind w:firstLine="562" w:firstLineChars="200"/>
        <w:rPr>
          <w:rFonts w:eastAsia="仿宋_GB2312"/>
          <w:color w:val="000000"/>
          <w:sz w:val="28"/>
          <w:szCs w:val="32"/>
        </w:rPr>
      </w:pPr>
      <w:r>
        <w:rPr>
          <w:rFonts w:eastAsia="仿宋_GB2312"/>
          <w:b/>
          <w:i/>
          <w:color w:val="000000"/>
          <w:sz w:val="28"/>
          <w:szCs w:val="32"/>
        </w:rPr>
        <w:t>（适用于有预付款）：</w:t>
      </w:r>
    </w:p>
    <w:p>
      <w:pPr>
        <w:spacing w:line="490" w:lineRule="exact"/>
        <w:ind w:firstLine="560" w:firstLineChars="200"/>
        <w:jc w:val="left"/>
        <w:rPr>
          <w:rFonts w:eastAsia="仿宋_GB2312"/>
          <w:color w:val="000000"/>
          <w:sz w:val="28"/>
          <w:szCs w:val="32"/>
        </w:rPr>
      </w:pPr>
      <w:r>
        <w:rPr>
          <w:rFonts w:eastAsia="仿宋_GB2312"/>
          <w:color w:val="000000"/>
          <w:sz w:val="28"/>
          <w:szCs w:val="32"/>
        </w:rPr>
        <w:t>（1）工程预付款的总金额为签约合同价的</w:t>
      </w:r>
      <w:r>
        <w:rPr>
          <w:rFonts w:eastAsia="仿宋_GB2312"/>
          <w:color w:val="000000"/>
          <w:sz w:val="28"/>
          <w:szCs w:val="32"/>
          <w:u w:val="single"/>
        </w:rPr>
        <w:t xml:space="preserve">     </w:t>
      </w:r>
      <w:r>
        <w:rPr>
          <w:rFonts w:eastAsia="仿宋_GB2312"/>
          <w:color w:val="000000"/>
          <w:sz w:val="28"/>
          <w:szCs w:val="32"/>
        </w:rPr>
        <w:t>％，分</w:t>
      </w:r>
      <w:r>
        <w:rPr>
          <w:rFonts w:eastAsia="仿宋_GB2312"/>
          <w:color w:val="000000"/>
          <w:sz w:val="28"/>
          <w:szCs w:val="32"/>
          <w:u w:val="single"/>
        </w:rPr>
        <w:t xml:space="preserve">     </w:t>
      </w:r>
      <w:r>
        <w:rPr>
          <w:rFonts w:eastAsia="仿宋_GB2312"/>
          <w:color w:val="000000"/>
          <w:sz w:val="28"/>
          <w:szCs w:val="32"/>
        </w:rPr>
        <w:t>次支付给承包人。</w:t>
      </w:r>
    </w:p>
    <w:p>
      <w:pPr>
        <w:spacing w:line="490" w:lineRule="exact"/>
        <w:ind w:firstLine="560" w:firstLineChars="200"/>
        <w:rPr>
          <w:rFonts w:eastAsia="仿宋_GB2312"/>
          <w:color w:val="000000"/>
          <w:sz w:val="28"/>
          <w:szCs w:val="32"/>
        </w:rPr>
      </w:pPr>
      <w:r>
        <w:rPr>
          <w:rFonts w:eastAsia="仿宋_GB2312"/>
          <w:color w:val="000000"/>
          <w:sz w:val="28"/>
          <w:szCs w:val="32"/>
        </w:rPr>
        <w:t>各次预付款的支付额度和付款时间为：</w:t>
      </w:r>
    </w:p>
    <w:p>
      <w:pPr>
        <w:spacing w:line="490" w:lineRule="exact"/>
        <w:ind w:firstLine="560" w:firstLineChars="200"/>
        <w:rPr>
          <w:rFonts w:eastAsia="仿宋_GB2312"/>
          <w:color w:val="000000"/>
          <w:sz w:val="28"/>
          <w:szCs w:val="32"/>
        </w:rPr>
      </w:pPr>
      <w:r>
        <w:rPr>
          <w:rFonts w:eastAsia="仿宋_GB2312"/>
          <w:color w:val="000000"/>
          <w:sz w:val="28"/>
          <w:szCs w:val="32"/>
        </w:rPr>
        <w:t>1）第一次预付款金额为工程预付款总金额的</w:t>
      </w:r>
      <w:r>
        <w:rPr>
          <w:rFonts w:eastAsia="仿宋_GB2312"/>
          <w:color w:val="000000"/>
          <w:sz w:val="28"/>
          <w:szCs w:val="32"/>
          <w:u w:val="single"/>
        </w:rPr>
        <w:t xml:space="preserve">        </w:t>
      </w:r>
      <w:r>
        <w:rPr>
          <w:rFonts w:eastAsia="仿宋_GB2312"/>
          <w:color w:val="000000"/>
          <w:sz w:val="28"/>
          <w:szCs w:val="32"/>
        </w:rPr>
        <w:t>％，付款时间应在合同协议书签订后，由承包人向发包人提交了发包人认可的工程预付款担保，并经监理人出具付款证书报送发包人批准后14天内予以支付。</w:t>
      </w:r>
    </w:p>
    <w:p>
      <w:pPr>
        <w:spacing w:line="490" w:lineRule="exact"/>
        <w:ind w:firstLine="560" w:firstLineChars="200"/>
        <w:rPr>
          <w:rFonts w:eastAsia="仿宋_GB2312"/>
          <w:color w:val="000000"/>
          <w:sz w:val="28"/>
          <w:szCs w:val="32"/>
        </w:rPr>
      </w:pPr>
      <w:r>
        <w:rPr>
          <w:rFonts w:eastAsia="仿宋_GB2312"/>
          <w:color w:val="000000"/>
          <w:sz w:val="28"/>
          <w:szCs w:val="32"/>
        </w:rPr>
        <w:t>2）第二次预付款金额为工程预付款总金额的</w:t>
      </w:r>
      <w:r>
        <w:rPr>
          <w:rFonts w:eastAsia="仿宋_GB2312"/>
          <w:color w:val="000000"/>
          <w:sz w:val="28"/>
          <w:szCs w:val="32"/>
          <w:u w:val="single"/>
        </w:rPr>
        <w:t xml:space="preserve">       </w:t>
      </w:r>
      <w:r>
        <w:rPr>
          <w:rFonts w:eastAsia="仿宋_GB2312"/>
          <w:color w:val="000000"/>
          <w:sz w:val="28"/>
          <w:szCs w:val="32"/>
        </w:rPr>
        <w:t>％。付款时间需待承包人主要设备进入工地后，其估算价值已达到本次预付款金额时，由承包人提出书面申请，经监理人核实后出具付款证书报送发包人批准后14天内予以支付。</w:t>
      </w:r>
    </w:p>
    <w:p>
      <w:pPr>
        <w:spacing w:line="490" w:lineRule="exact"/>
        <w:ind w:firstLine="560" w:firstLineChars="200"/>
        <w:rPr>
          <w:rFonts w:eastAsia="仿宋_GB2312"/>
          <w:color w:val="000000"/>
          <w:sz w:val="28"/>
          <w:szCs w:val="32"/>
        </w:rPr>
      </w:pPr>
      <w:r>
        <w:rPr>
          <w:rFonts w:eastAsia="仿宋_GB2312"/>
          <w:color w:val="000000"/>
          <w:sz w:val="28"/>
          <w:szCs w:val="32"/>
        </w:rPr>
        <w:t>3）第三次预付款……。</w:t>
      </w:r>
    </w:p>
    <w:p>
      <w:pPr>
        <w:spacing w:line="490" w:lineRule="exact"/>
        <w:ind w:firstLine="560" w:firstLineChars="200"/>
        <w:rPr>
          <w:rFonts w:eastAsia="仿宋_GB2312"/>
          <w:color w:val="000000"/>
          <w:sz w:val="28"/>
          <w:szCs w:val="32"/>
        </w:rPr>
      </w:pPr>
      <w:r>
        <w:rPr>
          <w:rFonts w:eastAsia="仿宋_GB2312"/>
          <w:color w:val="000000"/>
          <w:sz w:val="28"/>
          <w:szCs w:val="32"/>
        </w:rPr>
        <w:t>……</w:t>
      </w:r>
    </w:p>
    <w:p>
      <w:pPr>
        <w:spacing w:line="490" w:lineRule="exact"/>
        <w:ind w:firstLine="560" w:firstLineChars="200"/>
        <w:rPr>
          <w:rFonts w:eastAsia="仿宋_GB2312"/>
          <w:color w:val="000000"/>
          <w:sz w:val="28"/>
          <w:szCs w:val="32"/>
        </w:rPr>
      </w:pPr>
      <w:r>
        <w:rPr>
          <w:rFonts w:eastAsia="仿宋_GB2312"/>
          <w:color w:val="000000"/>
          <w:sz w:val="28"/>
          <w:szCs w:val="32"/>
        </w:rPr>
        <w:t>（2）工程材料预付款的额度和预付办法约定为：</w:t>
      </w:r>
      <w:r>
        <w:rPr>
          <w:rFonts w:eastAsia="仿宋_GB2312"/>
          <w:color w:val="000000"/>
          <w:sz w:val="28"/>
          <w:szCs w:val="32"/>
          <w:u w:val="single"/>
        </w:rPr>
        <w:t xml:space="preserve">             </w:t>
      </w:r>
      <w:r>
        <w:rPr>
          <w:rFonts w:eastAsia="仿宋_GB2312"/>
          <w:color w:val="000000"/>
          <w:sz w:val="28"/>
          <w:szCs w:val="32"/>
        </w:rPr>
        <w:t>。</w:t>
      </w:r>
    </w:p>
    <w:p>
      <w:pPr>
        <w:spacing w:line="490" w:lineRule="exact"/>
        <w:ind w:firstLine="562" w:firstLineChars="200"/>
        <w:rPr>
          <w:rFonts w:eastAsia="仿宋_GB2312"/>
          <w:b/>
          <w:color w:val="000000"/>
          <w:sz w:val="28"/>
          <w:szCs w:val="32"/>
        </w:rPr>
      </w:pPr>
      <w:r>
        <w:rPr>
          <w:rFonts w:eastAsia="仿宋_GB2312"/>
          <w:b/>
          <w:color w:val="000000"/>
          <w:sz w:val="28"/>
          <w:szCs w:val="32"/>
        </w:rPr>
        <w:t>17.2.2  预付款保函（担保）</w:t>
      </w:r>
    </w:p>
    <w:p>
      <w:pPr>
        <w:spacing w:line="490" w:lineRule="exact"/>
        <w:ind w:firstLine="560" w:firstLineChars="200"/>
        <w:rPr>
          <w:rFonts w:eastAsia="仿宋_GB2312"/>
          <w:color w:val="000000"/>
          <w:sz w:val="28"/>
          <w:szCs w:val="32"/>
        </w:rPr>
      </w:pPr>
      <w:r>
        <w:rPr>
          <w:rFonts w:eastAsia="仿宋_GB2312"/>
          <w:color w:val="000000"/>
          <w:sz w:val="28"/>
          <w:szCs w:val="32"/>
        </w:rPr>
        <w:t>（2）工程材料预付款的担保约定为：</w:t>
      </w:r>
      <w:r>
        <w:rPr>
          <w:rFonts w:eastAsia="仿宋_GB2312"/>
          <w:color w:val="000000"/>
          <w:sz w:val="28"/>
          <w:szCs w:val="32"/>
          <w:u w:val="single"/>
        </w:rPr>
        <w:t xml:space="preserve">          </w:t>
      </w:r>
      <w:r>
        <w:rPr>
          <w:rFonts w:eastAsia="仿宋_GB2312"/>
          <w:color w:val="000000"/>
          <w:sz w:val="28"/>
          <w:szCs w:val="32"/>
        </w:rPr>
        <w:t>。</w:t>
      </w:r>
    </w:p>
    <w:p>
      <w:pPr>
        <w:spacing w:line="490" w:lineRule="exact"/>
        <w:ind w:firstLine="562" w:firstLineChars="200"/>
        <w:rPr>
          <w:rFonts w:eastAsia="仿宋_GB2312"/>
          <w:b/>
          <w:color w:val="000000"/>
          <w:sz w:val="28"/>
          <w:szCs w:val="32"/>
        </w:rPr>
      </w:pPr>
      <w:r>
        <w:rPr>
          <w:rFonts w:eastAsia="仿宋_GB2312"/>
          <w:b/>
          <w:color w:val="000000"/>
          <w:sz w:val="28"/>
          <w:szCs w:val="32"/>
        </w:rPr>
        <w:t>17.2.3  预付款的扣回与还清</w:t>
      </w:r>
    </w:p>
    <w:p>
      <w:pPr>
        <w:spacing w:line="490" w:lineRule="exact"/>
        <w:ind w:firstLine="560" w:firstLineChars="200"/>
        <w:rPr>
          <w:rFonts w:eastAsia="仿宋_GB2312"/>
          <w:color w:val="000000"/>
          <w:sz w:val="28"/>
          <w:szCs w:val="32"/>
        </w:rPr>
      </w:pPr>
      <w:r>
        <w:rPr>
          <w:rFonts w:eastAsia="仿宋_GB2312"/>
          <w:color w:val="000000"/>
          <w:sz w:val="28"/>
          <w:szCs w:val="32"/>
        </w:rPr>
        <w:t>（1）工程预付款在合同累计完成金额达到签约合同价的</w:t>
      </w:r>
      <w:r>
        <w:rPr>
          <w:rFonts w:eastAsia="仿宋_GB2312"/>
          <w:color w:val="000000"/>
          <w:sz w:val="28"/>
          <w:szCs w:val="32"/>
          <w:u w:val="single"/>
        </w:rPr>
        <w:t xml:space="preserve">     </w:t>
      </w:r>
      <w:r>
        <w:rPr>
          <w:rFonts w:eastAsia="仿宋_GB2312"/>
          <w:color w:val="000000"/>
          <w:sz w:val="28"/>
          <w:szCs w:val="32"/>
        </w:rPr>
        <w:t>％时开始扣款，直至合同累计完成金额达到签约合同价的</w:t>
      </w:r>
      <w:r>
        <w:rPr>
          <w:rFonts w:eastAsia="仿宋_GB2312"/>
          <w:color w:val="000000"/>
          <w:sz w:val="28"/>
          <w:szCs w:val="32"/>
          <w:u w:val="single"/>
        </w:rPr>
        <w:t xml:space="preserve">     </w:t>
      </w:r>
      <w:r>
        <w:rPr>
          <w:rFonts w:eastAsia="仿宋_GB2312"/>
          <w:color w:val="000000"/>
          <w:sz w:val="28"/>
          <w:szCs w:val="32"/>
        </w:rPr>
        <w:t>％时全部扣清。</w:t>
      </w:r>
    </w:p>
    <w:p>
      <w:pPr>
        <w:ind w:firstLine="560" w:firstLineChars="200"/>
        <w:rPr>
          <w:rFonts w:eastAsia="仿宋_GB2312"/>
          <w:color w:val="000000"/>
          <w:kern w:val="0"/>
          <w:sz w:val="28"/>
          <w:szCs w:val="32"/>
        </w:rPr>
      </w:pPr>
      <w:r>
        <w:rPr>
          <w:rFonts w:eastAsia="仿宋_GB2312"/>
          <w:color w:val="000000"/>
          <w:kern w:val="0"/>
          <w:sz w:val="28"/>
          <w:szCs w:val="32"/>
        </w:rPr>
        <w:drawing>
          <wp:inline distT="0" distB="0" distL="114300" distR="114300">
            <wp:extent cx="2228215" cy="419100"/>
            <wp:effectExtent l="0" t="0" r="12065" b="7620"/>
            <wp:docPr id="2" name="图片 17" descr="说明: @H]9B]7BAKWC(ST~BN6Y)[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 descr="说明: @H]9B]7BAKWC(ST~BN6Y)[7"/>
                    <pic:cNvPicPr>
                      <a:picLocks noChangeAspect="1"/>
                    </pic:cNvPicPr>
                  </pic:nvPicPr>
                  <pic:blipFill>
                    <a:blip r:embed="rId32"/>
                    <a:stretch>
                      <a:fillRect/>
                    </a:stretch>
                  </pic:blipFill>
                  <pic:spPr>
                    <a:xfrm>
                      <a:off x="0" y="0"/>
                      <a:ext cx="2228215" cy="419100"/>
                    </a:xfrm>
                    <a:prstGeom prst="rect">
                      <a:avLst/>
                    </a:prstGeom>
                    <a:noFill/>
                    <a:ln>
                      <a:noFill/>
                    </a:ln>
                  </pic:spPr>
                </pic:pic>
              </a:graphicData>
            </a:graphic>
          </wp:inline>
        </w:drawing>
      </w:r>
    </w:p>
    <w:p>
      <w:pPr>
        <w:spacing w:line="490" w:lineRule="exact"/>
        <w:ind w:firstLine="560" w:firstLineChars="200"/>
        <w:rPr>
          <w:rFonts w:eastAsia="仿宋_GB2312"/>
          <w:color w:val="000000"/>
          <w:sz w:val="28"/>
          <w:szCs w:val="32"/>
        </w:rPr>
      </w:pPr>
      <w:r>
        <w:rPr>
          <w:rFonts w:eastAsia="仿宋_GB2312"/>
          <w:color w:val="000000"/>
          <w:sz w:val="28"/>
          <w:szCs w:val="32"/>
        </w:rPr>
        <w:t>式中  R——每次进度付款中累计扣回的金额；</w:t>
      </w:r>
    </w:p>
    <w:p>
      <w:pPr>
        <w:spacing w:line="490" w:lineRule="exact"/>
        <w:ind w:firstLine="560" w:firstLineChars="200"/>
        <w:rPr>
          <w:rFonts w:eastAsia="仿宋_GB2312"/>
          <w:color w:val="000000"/>
          <w:sz w:val="28"/>
          <w:szCs w:val="32"/>
        </w:rPr>
      </w:pPr>
      <w:r>
        <w:rPr>
          <w:rFonts w:eastAsia="仿宋_GB2312"/>
          <w:color w:val="000000"/>
          <w:sz w:val="28"/>
          <w:szCs w:val="32"/>
        </w:rPr>
        <w:t xml:space="preserve">      A——工程预付款总金额；</w:t>
      </w:r>
    </w:p>
    <w:p>
      <w:pPr>
        <w:spacing w:line="490" w:lineRule="exact"/>
        <w:ind w:firstLine="560" w:firstLineChars="200"/>
        <w:rPr>
          <w:rFonts w:eastAsia="仿宋_GB2312"/>
          <w:color w:val="000000"/>
          <w:sz w:val="28"/>
          <w:szCs w:val="32"/>
        </w:rPr>
      </w:pPr>
      <w:r>
        <w:rPr>
          <w:rFonts w:eastAsia="仿宋_GB2312"/>
          <w:color w:val="000000"/>
          <w:sz w:val="28"/>
          <w:szCs w:val="32"/>
        </w:rPr>
        <w:t xml:space="preserve">      S——签约合同价；</w:t>
      </w:r>
    </w:p>
    <w:p>
      <w:pPr>
        <w:spacing w:line="490" w:lineRule="exact"/>
        <w:ind w:firstLine="560" w:firstLineChars="200"/>
        <w:rPr>
          <w:rFonts w:eastAsia="仿宋_GB2312"/>
          <w:color w:val="000000"/>
          <w:sz w:val="28"/>
          <w:szCs w:val="32"/>
        </w:rPr>
      </w:pPr>
      <w:r>
        <w:rPr>
          <w:rFonts w:eastAsia="仿宋_GB2312"/>
          <w:color w:val="000000"/>
          <w:sz w:val="28"/>
          <w:szCs w:val="32"/>
        </w:rPr>
        <w:t xml:space="preserve">      C——合同累计完成金额；</w:t>
      </w:r>
    </w:p>
    <w:p>
      <w:pPr>
        <w:spacing w:line="490" w:lineRule="exact"/>
        <w:ind w:firstLine="560" w:firstLineChars="200"/>
        <w:rPr>
          <w:rFonts w:eastAsia="仿宋_GB2312"/>
          <w:color w:val="000000"/>
          <w:sz w:val="28"/>
          <w:szCs w:val="32"/>
        </w:rPr>
      </w:pPr>
      <w:r>
        <w:rPr>
          <w:rFonts w:eastAsia="仿宋_GB2312"/>
          <w:color w:val="000000"/>
          <w:sz w:val="28"/>
          <w:szCs w:val="32"/>
        </w:rPr>
        <w:t xml:space="preserve">      F1——开始扣款时合同累计完成金额达到签约合同价的比例；</w:t>
      </w:r>
    </w:p>
    <w:p>
      <w:pPr>
        <w:spacing w:line="490" w:lineRule="exact"/>
        <w:ind w:firstLine="560" w:firstLineChars="200"/>
        <w:rPr>
          <w:rFonts w:eastAsia="仿宋_GB2312"/>
          <w:color w:val="000000"/>
          <w:sz w:val="28"/>
          <w:szCs w:val="32"/>
        </w:rPr>
      </w:pPr>
      <w:r>
        <w:rPr>
          <w:rFonts w:eastAsia="仿宋_GB2312"/>
          <w:color w:val="000000"/>
          <w:sz w:val="28"/>
          <w:szCs w:val="32"/>
        </w:rPr>
        <w:t xml:space="preserve">      F2——全部扣清时合同累计完成金额达到签约合同价的比例。</w:t>
      </w:r>
    </w:p>
    <w:p>
      <w:pPr>
        <w:spacing w:line="490" w:lineRule="exact"/>
        <w:ind w:firstLine="560" w:firstLineChars="200"/>
        <w:rPr>
          <w:rFonts w:eastAsia="仿宋_GB2312"/>
          <w:color w:val="000000"/>
          <w:sz w:val="28"/>
          <w:szCs w:val="32"/>
        </w:rPr>
      </w:pPr>
      <w:r>
        <w:rPr>
          <w:rFonts w:eastAsia="仿宋_GB2312"/>
          <w:color w:val="000000"/>
          <w:sz w:val="28"/>
          <w:szCs w:val="32"/>
        </w:rPr>
        <w:t xml:space="preserve">    上述合同累计完成金额均指价格调整前未扣质量保证金的金额。</w:t>
      </w:r>
    </w:p>
    <w:p>
      <w:pPr>
        <w:spacing w:line="490" w:lineRule="exact"/>
        <w:ind w:firstLine="560" w:firstLineChars="200"/>
        <w:rPr>
          <w:rFonts w:eastAsia="仿宋_GB2312"/>
          <w:color w:val="000000"/>
          <w:sz w:val="28"/>
          <w:szCs w:val="32"/>
        </w:rPr>
      </w:pPr>
      <w:r>
        <w:rPr>
          <w:rFonts w:eastAsia="仿宋_GB2312"/>
          <w:color w:val="000000"/>
          <w:sz w:val="28"/>
          <w:szCs w:val="32"/>
        </w:rPr>
        <w:t>（2）工程材料预付款的扣回与还清约定为：</w:t>
      </w:r>
      <w:r>
        <w:rPr>
          <w:rFonts w:eastAsia="仿宋_GB2312"/>
          <w:color w:val="000000"/>
          <w:sz w:val="28"/>
          <w:szCs w:val="32"/>
          <w:u w:val="single"/>
        </w:rPr>
        <w:t xml:space="preserve">         </w:t>
      </w:r>
      <w:r>
        <w:rPr>
          <w:rFonts w:eastAsia="仿宋_GB2312"/>
          <w:color w:val="000000"/>
          <w:sz w:val="28"/>
          <w:szCs w:val="32"/>
        </w:rPr>
        <w:t>。</w:t>
      </w:r>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17.3工程进度付款</w:t>
      </w:r>
    </w:p>
    <w:p>
      <w:pPr>
        <w:spacing w:line="490" w:lineRule="exact"/>
        <w:ind w:firstLine="560" w:firstLineChars="200"/>
        <w:rPr>
          <w:rFonts w:eastAsia="仿宋_GB2312"/>
          <w:color w:val="000000"/>
          <w:sz w:val="28"/>
          <w:szCs w:val="32"/>
        </w:rPr>
      </w:pPr>
      <w:r>
        <w:rPr>
          <w:rFonts w:eastAsia="仿宋_GB2312"/>
          <w:color w:val="000000"/>
          <w:sz w:val="28"/>
          <w:szCs w:val="32"/>
        </w:rPr>
        <w:t>17.3.2进度付款申请单（补充）</w:t>
      </w:r>
    </w:p>
    <w:p>
      <w:pPr>
        <w:pStyle w:val="106"/>
        <w:autoSpaceDE/>
        <w:autoSpaceDN/>
        <w:adjustRightInd/>
        <w:spacing w:line="490" w:lineRule="exact"/>
        <w:ind w:firstLine="560" w:firstLineChars="200"/>
        <w:jc w:val="both"/>
        <w:rPr>
          <w:rFonts w:ascii="Times New Roman" w:eastAsia="仿宋_GB2312" w:cs="Times New Roman"/>
          <w:kern w:val="2"/>
          <w:sz w:val="28"/>
          <w:szCs w:val="32"/>
        </w:rPr>
      </w:pPr>
      <w:r>
        <w:rPr>
          <w:rFonts w:ascii="Times New Roman" w:eastAsia="仿宋_GB2312" w:cs="Times New Roman"/>
          <w:sz w:val="28"/>
          <w:szCs w:val="32"/>
        </w:rPr>
        <w:t>承包人提交月进度付款申请单的数量：</w:t>
      </w:r>
      <w:r>
        <w:rPr>
          <w:rFonts w:ascii="Times New Roman" w:eastAsia="仿宋_GB2312" w:cs="Times New Roman"/>
          <w:sz w:val="28"/>
          <w:szCs w:val="32"/>
          <w:u w:val="single"/>
        </w:rPr>
        <w:t xml:space="preserve">   </w:t>
      </w:r>
      <w:r>
        <w:rPr>
          <w:rFonts w:ascii="Times New Roman" w:eastAsia="仿宋_GB2312" w:cs="Times New Roman"/>
          <w:kern w:val="2"/>
          <w:sz w:val="28"/>
          <w:szCs w:val="32"/>
        </w:rPr>
        <w:t>份。承包人必须将企业基本账户作为工程结算款支付账户，发包人拒绝将工程款（工程款中的农民工工资与其他工程款项实行分账管理，每月足额拨付至农民工工资专用账户）支付到企业基本账户以外的任何账户。</w:t>
      </w:r>
    </w:p>
    <w:p>
      <w:pPr>
        <w:spacing w:line="490" w:lineRule="exact"/>
        <w:ind w:firstLine="560" w:firstLineChars="200"/>
        <w:rPr>
          <w:rFonts w:eastAsia="仿宋_GB2312"/>
          <w:color w:val="000000"/>
          <w:sz w:val="28"/>
          <w:szCs w:val="32"/>
        </w:rPr>
      </w:pPr>
      <w:r>
        <w:rPr>
          <w:rFonts w:eastAsia="仿宋_GB2312"/>
          <w:color w:val="000000"/>
          <w:sz w:val="28"/>
          <w:szCs w:val="32"/>
        </w:rPr>
        <w:t>17.3.3 进度付款证书和支付时间</w:t>
      </w:r>
    </w:p>
    <w:p>
      <w:pPr>
        <w:spacing w:line="490" w:lineRule="exact"/>
        <w:ind w:firstLine="560" w:firstLineChars="200"/>
        <w:rPr>
          <w:rFonts w:eastAsia="仿宋_GB2312"/>
          <w:color w:val="000000"/>
          <w:sz w:val="28"/>
          <w:szCs w:val="32"/>
        </w:rPr>
      </w:pPr>
      <w:r>
        <w:rPr>
          <w:rFonts w:eastAsia="仿宋_GB2312"/>
          <w:color w:val="000000"/>
          <w:sz w:val="28"/>
          <w:szCs w:val="32"/>
        </w:rPr>
        <w:t>（2）本款补充：</w:t>
      </w:r>
      <w:r>
        <w:rPr>
          <w:rFonts w:eastAsia="仿宋_GB2312"/>
          <w:bCs/>
          <w:color w:val="000000"/>
          <w:sz w:val="28"/>
          <w:szCs w:val="32"/>
        </w:rPr>
        <w:t>发包人在收到监理人签证的月进度付款证书并审批后支付给承包人，支付时间</w:t>
      </w:r>
      <w:r>
        <w:rPr>
          <w:rFonts w:eastAsia="仿宋_GB2312"/>
          <w:color w:val="000000"/>
          <w:sz w:val="28"/>
          <w:szCs w:val="32"/>
        </w:rPr>
        <w:t>不应超过监理人</w:t>
      </w:r>
      <w:r>
        <w:rPr>
          <w:rFonts w:eastAsia="仿宋_GB2312"/>
          <w:bCs/>
          <w:color w:val="000000"/>
          <w:sz w:val="28"/>
          <w:szCs w:val="32"/>
        </w:rPr>
        <w:t>收到月进度付款申请单后</w:t>
      </w:r>
      <w:r>
        <w:rPr>
          <w:rFonts w:eastAsia="仿宋_GB2312"/>
          <w:bCs/>
          <w:color w:val="000000"/>
          <w:sz w:val="28"/>
          <w:szCs w:val="32"/>
          <w:u w:val="single"/>
        </w:rPr>
        <w:t xml:space="preserve">   </w:t>
      </w:r>
      <w:r>
        <w:rPr>
          <w:rFonts w:eastAsia="仿宋_GB2312"/>
          <w:bCs/>
          <w:color w:val="000000"/>
          <w:sz w:val="28"/>
          <w:szCs w:val="32"/>
        </w:rPr>
        <w:t>天内。</w:t>
      </w:r>
    </w:p>
    <w:p>
      <w:pPr>
        <w:spacing w:line="490" w:lineRule="exact"/>
        <w:ind w:firstLine="562" w:firstLineChars="200"/>
        <w:rPr>
          <w:rFonts w:eastAsia="楷体_GB2312"/>
          <w:b/>
          <w:bCs/>
          <w:color w:val="000000"/>
          <w:sz w:val="28"/>
          <w:szCs w:val="32"/>
        </w:rPr>
      </w:pPr>
      <w:r>
        <w:rPr>
          <w:rFonts w:eastAsia="楷体_GB2312"/>
          <w:b/>
          <w:bCs/>
          <w:color w:val="000000"/>
          <w:sz w:val="28"/>
          <w:szCs w:val="32"/>
        </w:rPr>
        <w:t>17.4质量保证金</w:t>
      </w:r>
    </w:p>
    <w:p>
      <w:pPr>
        <w:spacing w:line="490" w:lineRule="exact"/>
        <w:ind w:firstLine="560" w:firstLineChars="200"/>
        <w:rPr>
          <w:rFonts w:eastAsia="仿宋_GB2312"/>
          <w:b/>
          <w:color w:val="000000"/>
          <w:sz w:val="28"/>
          <w:szCs w:val="32"/>
        </w:rPr>
      </w:pPr>
      <w:r>
        <w:rPr>
          <w:rFonts w:eastAsia="仿宋_GB2312"/>
          <w:color w:val="000000"/>
          <w:sz w:val="28"/>
          <w:szCs w:val="32"/>
        </w:rPr>
        <w:t>17.4.1  每个付款周期扣留的质量保证金为工程进度付款的</w:t>
      </w:r>
      <w:r>
        <w:rPr>
          <w:rFonts w:eastAsia="仿宋_GB2312"/>
          <w:color w:val="000000"/>
          <w:sz w:val="28"/>
          <w:szCs w:val="32"/>
          <w:u w:val="single"/>
        </w:rPr>
        <w:t xml:space="preserve">    </w:t>
      </w:r>
      <w:r>
        <w:rPr>
          <w:rFonts w:eastAsia="仿宋_GB2312"/>
          <w:color w:val="000000"/>
          <w:sz w:val="28"/>
          <w:szCs w:val="32"/>
        </w:rPr>
        <w:t>％，扣留的质量保证金总额为签约合同价的</w:t>
      </w:r>
      <w:r>
        <w:rPr>
          <w:rFonts w:eastAsia="仿宋_GB2312"/>
          <w:color w:val="000000"/>
          <w:sz w:val="28"/>
          <w:szCs w:val="32"/>
          <w:u w:val="single"/>
        </w:rPr>
        <w:t xml:space="preserve">   </w:t>
      </w:r>
      <w:r>
        <w:rPr>
          <w:rFonts w:eastAsia="仿宋_GB2312"/>
          <w:color w:val="000000"/>
          <w:sz w:val="28"/>
          <w:szCs w:val="32"/>
        </w:rPr>
        <w:t>％。质量保证金扣取和返还按国家和湖南省相关规定执行。</w:t>
      </w:r>
      <w:r>
        <w:rPr>
          <w:rFonts w:eastAsia="仿宋_GB2312"/>
          <w:b/>
          <w:color w:val="000000"/>
          <w:sz w:val="28"/>
          <w:szCs w:val="32"/>
        </w:rPr>
        <w:t>建设单位不得在收取履约担保的同时，预留工程质量保证金。</w:t>
      </w:r>
    </w:p>
    <w:p>
      <w:pPr>
        <w:spacing w:line="490" w:lineRule="exact"/>
        <w:ind w:firstLine="562" w:firstLineChars="200"/>
        <w:rPr>
          <w:rFonts w:eastAsia="楷体_GB2312"/>
          <w:b/>
          <w:bCs/>
          <w:color w:val="000000"/>
          <w:sz w:val="28"/>
          <w:szCs w:val="32"/>
        </w:rPr>
      </w:pPr>
      <w:r>
        <w:rPr>
          <w:rFonts w:eastAsia="楷体_GB2312"/>
          <w:b/>
          <w:bCs/>
          <w:color w:val="000000"/>
          <w:sz w:val="28"/>
          <w:szCs w:val="32"/>
        </w:rPr>
        <w:t>17.5竣工（完工）结算</w:t>
      </w:r>
    </w:p>
    <w:p>
      <w:pPr>
        <w:spacing w:line="490" w:lineRule="exact"/>
        <w:ind w:firstLine="560" w:firstLineChars="200"/>
        <w:rPr>
          <w:rFonts w:eastAsia="仿宋_GB2312"/>
          <w:color w:val="000000"/>
          <w:sz w:val="28"/>
          <w:szCs w:val="32"/>
        </w:rPr>
      </w:pPr>
      <w:r>
        <w:rPr>
          <w:rFonts w:eastAsia="仿宋_GB2312"/>
          <w:color w:val="000000"/>
          <w:sz w:val="28"/>
          <w:szCs w:val="32"/>
        </w:rPr>
        <w:t>17.5.1  竣工（完工）付款申请单</w:t>
      </w:r>
    </w:p>
    <w:p>
      <w:pPr>
        <w:spacing w:line="490" w:lineRule="exact"/>
        <w:ind w:firstLine="560" w:firstLineChars="200"/>
        <w:rPr>
          <w:rFonts w:eastAsia="仿宋_GB2312"/>
          <w:color w:val="000000"/>
          <w:sz w:val="28"/>
          <w:szCs w:val="32"/>
        </w:rPr>
      </w:pPr>
      <w:r>
        <w:rPr>
          <w:rFonts w:eastAsia="仿宋_GB2312"/>
          <w:color w:val="000000"/>
          <w:sz w:val="28"/>
          <w:szCs w:val="32"/>
        </w:rPr>
        <w:t>（1）承包人应提交完工付款申请单一式</w:t>
      </w:r>
      <w:r>
        <w:rPr>
          <w:rFonts w:eastAsia="仿宋_GB2312"/>
          <w:color w:val="000000"/>
          <w:sz w:val="28"/>
          <w:szCs w:val="32"/>
          <w:u w:val="single"/>
        </w:rPr>
        <w:t xml:space="preserve">   </w:t>
      </w:r>
      <w:r>
        <w:rPr>
          <w:rFonts w:eastAsia="仿宋_GB2312"/>
          <w:color w:val="000000"/>
          <w:sz w:val="28"/>
          <w:szCs w:val="32"/>
        </w:rPr>
        <w:t>份。</w:t>
      </w:r>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17.6最终结清</w:t>
      </w:r>
    </w:p>
    <w:p>
      <w:pPr>
        <w:spacing w:line="490" w:lineRule="exact"/>
        <w:ind w:firstLine="560" w:firstLineChars="200"/>
        <w:rPr>
          <w:rFonts w:eastAsia="仿宋_GB2312"/>
          <w:color w:val="000000"/>
          <w:sz w:val="28"/>
          <w:szCs w:val="32"/>
        </w:rPr>
      </w:pPr>
      <w:r>
        <w:rPr>
          <w:rFonts w:eastAsia="仿宋_GB2312"/>
          <w:color w:val="000000"/>
          <w:sz w:val="28"/>
          <w:szCs w:val="32"/>
        </w:rPr>
        <w:t>17.6.1  最终结清申请单</w:t>
      </w:r>
    </w:p>
    <w:p>
      <w:pPr>
        <w:spacing w:line="490" w:lineRule="exact"/>
        <w:ind w:firstLine="560" w:firstLineChars="200"/>
        <w:rPr>
          <w:rFonts w:eastAsia="仿宋_GB2312"/>
          <w:color w:val="000000"/>
          <w:sz w:val="28"/>
          <w:szCs w:val="32"/>
        </w:rPr>
      </w:pPr>
      <w:r>
        <w:rPr>
          <w:rFonts w:eastAsia="仿宋_GB2312"/>
          <w:color w:val="000000"/>
          <w:sz w:val="28"/>
          <w:szCs w:val="32"/>
        </w:rPr>
        <w:t>（1）承包人应提交最终结清申请单一式</w:t>
      </w:r>
      <w:r>
        <w:rPr>
          <w:rFonts w:eastAsia="仿宋_GB2312"/>
          <w:color w:val="000000"/>
          <w:sz w:val="28"/>
          <w:szCs w:val="32"/>
          <w:u w:val="single"/>
        </w:rPr>
        <w:t xml:space="preserve">    </w:t>
      </w:r>
      <w:r>
        <w:rPr>
          <w:rFonts w:eastAsia="仿宋_GB2312"/>
          <w:color w:val="000000"/>
          <w:sz w:val="28"/>
          <w:szCs w:val="32"/>
        </w:rPr>
        <w:t>份。</w:t>
      </w:r>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17.7竣工财务决算</w:t>
      </w:r>
    </w:p>
    <w:p>
      <w:pPr>
        <w:spacing w:line="490" w:lineRule="exact"/>
        <w:ind w:firstLine="560" w:firstLineChars="200"/>
        <w:rPr>
          <w:rFonts w:eastAsia="仿宋_GB2312"/>
          <w:color w:val="000000"/>
          <w:sz w:val="28"/>
          <w:szCs w:val="32"/>
          <w:u w:val="single"/>
        </w:rPr>
      </w:pPr>
      <w:r>
        <w:rPr>
          <w:rFonts w:eastAsia="仿宋_GB2312"/>
          <w:color w:val="000000"/>
          <w:sz w:val="28"/>
          <w:szCs w:val="32"/>
        </w:rPr>
        <w:t>承包人应为竣工财务决算编制提供的资料：</w:t>
      </w:r>
      <w:r>
        <w:rPr>
          <w:rFonts w:eastAsia="仿宋_GB2312"/>
          <w:color w:val="000000"/>
          <w:sz w:val="28"/>
          <w:szCs w:val="32"/>
          <w:u w:val="single"/>
        </w:rPr>
        <w:t xml:space="preserve">                </w:t>
      </w:r>
    </w:p>
    <w:p>
      <w:pPr>
        <w:pStyle w:val="6"/>
        <w:keepNext w:val="0"/>
        <w:keepLines w:val="0"/>
        <w:snapToGrid w:val="0"/>
        <w:spacing w:before="0" w:after="0" w:line="490" w:lineRule="exact"/>
        <w:ind w:firstLine="562" w:firstLineChars="200"/>
        <w:rPr>
          <w:rFonts w:hint="eastAsia" w:eastAsia="黑体"/>
          <w:bCs w:val="0"/>
          <w:color w:val="000000"/>
          <w:sz w:val="28"/>
          <w:lang w:eastAsia="zh-CN"/>
        </w:rPr>
      </w:pPr>
      <w:bookmarkStart w:id="1829" w:name="_Toc31006"/>
      <w:bookmarkStart w:id="1830" w:name="_Toc8856"/>
      <w:bookmarkStart w:id="1831" w:name="_Toc51091919"/>
      <w:r>
        <w:rPr>
          <w:rFonts w:eastAsia="黑体"/>
          <w:bCs w:val="0"/>
          <w:color w:val="000000"/>
          <w:sz w:val="28"/>
        </w:rPr>
        <w:t>18．竣工验收（验收）</w:t>
      </w:r>
      <w:bookmarkEnd w:id="1829"/>
      <w:bookmarkEnd w:id="1830"/>
      <w:bookmarkEnd w:id="1831"/>
    </w:p>
    <w:p>
      <w:pPr>
        <w:pStyle w:val="7"/>
        <w:keepNext w:val="0"/>
        <w:keepLines w:val="0"/>
        <w:spacing w:before="0" w:after="0" w:line="490" w:lineRule="exac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18.1验收工作分类</w:t>
      </w:r>
    </w:p>
    <w:p>
      <w:pPr>
        <w:spacing w:line="490" w:lineRule="exact"/>
        <w:ind w:firstLine="560" w:firstLineChars="200"/>
        <w:rPr>
          <w:rFonts w:eastAsia="仿宋_GB2312"/>
          <w:color w:val="000000"/>
          <w:sz w:val="28"/>
          <w:szCs w:val="32"/>
        </w:rPr>
      </w:pPr>
      <w:r>
        <w:rPr>
          <w:rFonts w:eastAsia="仿宋_GB2312"/>
          <w:color w:val="000000"/>
          <w:sz w:val="28"/>
          <w:szCs w:val="32"/>
        </w:rPr>
        <w:t>本工程法人验收包括：</w:t>
      </w:r>
      <w:r>
        <w:rPr>
          <w:rFonts w:eastAsia="仿宋_GB2312"/>
          <w:color w:val="000000"/>
          <w:sz w:val="28"/>
          <w:szCs w:val="32"/>
          <w:u w:val="single"/>
        </w:rPr>
        <w:t xml:space="preserve">           </w:t>
      </w:r>
      <w:r>
        <w:rPr>
          <w:rFonts w:eastAsia="仿宋_GB2312"/>
          <w:color w:val="000000"/>
          <w:sz w:val="28"/>
          <w:szCs w:val="32"/>
        </w:rPr>
        <w:t>；政府验收包括：</w:t>
      </w:r>
      <w:r>
        <w:rPr>
          <w:rFonts w:eastAsia="仿宋_GB2312"/>
          <w:color w:val="000000"/>
          <w:sz w:val="28"/>
          <w:szCs w:val="32"/>
          <w:u w:val="single"/>
        </w:rPr>
        <w:t xml:space="preserve">         </w:t>
      </w:r>
      <w:r>
        <w:rPr>
          <w:rFonts w:eastAsia="仿宋_GB2312"/>
          <w:color w:val="000000"/>
          <w:sz w:val="28"/>
          <w:szCs w:val="32"/>
        </w:rPr>
        <w:t>。验收条件为：</w:t>
      </w:r>
      <w:r>
        <w:rPr>
          <w:rFonts w:eastAsia="仿宋_GB2312"/>
          <w:color w:val="000000"/>
          <w:sz w:val="28"/>
          <w:szCs w:val="32"/>
          <w:u w:val="single"/>
        </w:rPr>
        <w:t xml:space="preserve">            </w:t>
      </w:r>
      <w:r>
        <w:rPr>
          <w:rFonts w:eastAsia="仿宋_GB2312"/>
          <w:color w:val="000000"/>
          <w:sz w:val="28"/>
          <w:szCs w:val="32"/>
        </w:rPr>
        <w:t>，验收程序为：</w:t>
      </w:r>
      <w:r>
        <w:rPr>
          <w:rFonts w:eastAsia="仿宋_GB2312"/>
          <w:color w:val="000000"/>
          <w:sz w:val="28"/>
          <w:szCs w:val="32"/>
          <w:u w:val="single"/>
        </w:rPr>
        <w:t xml:space="preserve">             </w:t>
      </w:r>
      <w:r>
        <w:rPr>
          <w:rFonts w:eastAsia="仿宋_GB2312"/>
          <w:color w:val="000000"/>
          <w:sz w:val="28"/>
          <w:szCs w:val="32"/>
        </w:rPr>
        <w:t>。</w:t>
      </w:r>
    </w:p>
    <w:p>
      <w:pPr>
        <w:spacing w:line="490" w:lineRule="exact"/>
        <w:ind w:firstLine="562" w:firstLineChars="200"/>
        <w:rPr>
          <w:rFonts w:eastAsia="楷体_GB2312"/>
          <w:b/>
          <w:bCs/>
          <w:color w:val="000000"/>
          <w:sz w:val="28"/>
          <w:szCs w:val="32"/>
        </w:rPr>
      </w:pPr>
      <w:r>
        <w:rPr>
          <w:rFonts w:eastAsia="楷体_GB2312"/>
          <w:b/>
          <w:bCs/>
          <w:color w:val="000000"/>
          <w:sz w:val="28"/>
          <w:szCs w:val="32"/>
        </w:rPr>
        <w:t>18.2分部工程验收</w:t>
      </w:r>
    </w:p>
    <w:p>
      <w:pPr>
        <w:spacing w:line="490" w:lineRule="exact"/>
        <w:ind w:firstLine="560" w:firstLineChars="200"/>
        <w:rPr>
          <w:rFonts w:eastAsia="仿宋_GB2312"/>
          <w:color w:val="000000"/>
          <w:sz w:val="28"/>
          <w:szCs w:val="32"/>
        </w:rPr>
      </w:pPr>
      <w:r>
        <w:rPr>
          <w:rFonts w:eastAsia="仿宋_GB2312"/>
          <w:color w:val="000000"/>
          <w:sz w:val="28"/>
          <w:szCs w:val="32"/>
        </w:rPr>
        <w:t>18.2.2  本工程由发包人主持的分部工程验收为</w:t>
      </w:r>
      <w:r>
        <w:rPr>
          <w:rFonts w:eastAsia="仿宋_GB2312"/>
          <w:color w:val="000000"/>
          <w:sz w:val="28"/>
          <w:szCs w:val="32"/>
          <w:u w:val="single"/>
        </w:rPr>
        <w:t xml:space="preserve">           </w:t>
      </w:r>
      <w:r>
        <w:rPr>
          <w:rFonts w:eastAsia="仿宋_GB2312"/>
          <w:color w:val="000000"/>
          <w:sz w:val="28"/>
          <w:szCs w:val="32"/>
        </w:rPr>
        <w:t>，其余由监理人主持。</w:t>
      </w:r>
    </w:p>
    <w:p>
      <w:pPr>
        <w:spacing w:line="490" w:lineRule="exact"/>
        <w:ind w:firstLine="562" w:firstLineChars="200"/>
        <w:rPr>
          <w:rFonts w:eastAsia="楷体_GB2312"/>
          <w:b/>
          <w:bCs/>
          <w:color w:val="000000"/>
          <w:sz w:val="28"/>
          <w:szCs w:val="32"/>
        </w:rPr>
      </w:pPr>
      <w:r>
        <w:rPr>
          <w:rFonts w:eastAsia="楷体_GB2312"/>
          <w:b/>
          <w:bCs/>
          <w:color w:val="000000"/>
          <w:sz w:val="28"/>
          <w:szCs w:val="32"/>
        </w:rPr>
        <w:t>18.3单位工程验收</w:t>
      </w:r>
    </w:p>
    <w:p>
      <w:pPr>
        <w:spacing w:line="490" w:lineRule="exact"/>
        <w:ind w:firstLine="560" w:firstLineChars="200"/>
        <w:rPr>
          <w:rFonts w:eastAsia="仿宋_GB2312"/>
          <w:color w:val="000000"/>
          <w:sz w:val="28"/>
          <w:szCs w:val="32"/>
        </w:rPr>
      </w:pPr>
      <w:r>
        <w:rPr>
          <w:rFonts w:eastAsia="仿宋_GB2312"/>
          <w:color w:val="000000"/>
          <w:sz w:val="28"/>
          <w:szCs w:val="32"/>
        </w:rPr>
        <w:t>18.3.4  提前投入使用的单位工程包括：</w:t>
      </w:r>
      <w:r>
        <w:rPr>
          <w:rFonts w:eastAsia="仿宋_GB2312"/>
          <w:color w:val="000000"/>
          <w:sz w:val="28"/>
          <w:szCs w:val="32"/>
          <w:u w:val="single"/>
        </w:rPr>
        <w:t xml:space="preserve">       </w:t>
      </w:r>
      <w:r>
        <w:rPr>
          <w:rFonts w:eastAsia="仿宋_GB2312"/>
          <w:color w:val="000000"/>
          <w:sz w:val="28"/>
          <w:szCs w:val="32"/>
        </w:rPr>
        <w:t>、</w:t>
      </w:r>
      <w:r>
        <w:rPr>
          <w:rFonts w:eastAsia="仿宋_GB2312"/>
          <w:color w:val="000000"/>
          <w:sz w:val="28"/>
          <w:szCs w:val="32"/>
          <w:u w:val="single"/>
        </w:rPr>
        <w:t xml:space="preserve">        </w:t>
      </w:r>
      <w:r>
        <w:rPr>
          <w:rFonts w:eastAsia="仿宋_GB2312"/>
          <w:color w:val="000000"/>
          <w:sz w:val="28"/>
          <w:szCs w:val="32"/>
        </w:rPr>
        <w:t>、</w:t>
      </w:r>
      <w:r>
        <w:rPr>
          <w:rFonts w:eastAsia="仿宋_GB2312"/>
          <w:color w:val="000000"/>
          <w:sz w:val="28"/>
          <w:szCs w:val="32"/>
          <w:u w:val="single"/>
        </w:rPr>
        <w:t xml:space="preserve">        </w:t>
      </w:r>
      <w:r>
        <w:rPr>
          <w:rFonts w:eastAsia="仿宋_GB2312"/>
          <w:color w:val="000000"/>
          <w:sz w:val="28"/>
          <w:szCs w:val="32"/>
        </w:rPr>
        <w:t>。</w:t>
      </w:r>
    </w:p>
    <w:p>
      <w:pPr>
        <w:spacing w:line="490" w:lineRule="exact"/>
        <w:ind w:firstLine="562" w:firstLineChars="200"/>
        <w:rPr>
          <w:rFonts w:eastAsia="楷体_GB2312"/>
          <w:b/>
          <w:bCs/>
          <w:color w:val="000000"/>
          <w:sz w:val="28"/>
          <w:szCs w:val="32"/>
        </w:rPr>
      </w:pPr>
      <w:r>
        <w:rPr>
          <w:rFonts w:eastAsia="楷体_GB2312"/>
          <w:b/>
          <w:bCs/>
          <w:color w:val="000000"/>
          <w:sz w:val="28"/>
          <w:szCs w:val="32"/>
        </w:rPr>
        <w:t>18.5阶段验收</w:t>
      </w:r>
    </w:p>
    <w:p>
      <w:pPr>
        <w:spacing w:line="490" w:lineRule="exact"/>
        <w:ind w:firstLine="560" w:firstLineChars="200"/>
        <w:rPr>
          <w:rFonts w:eastAsia="仿宋_GB2312"/>
          <w:color w:val="000000"/>
          <w:sz w:val="28"/>
          <w:szCs w:val="32"/>
        </w:rPr>
      </w:pPr>
      <w:r>
        <w:rPr>
          <w:rFonts w:eastAsia="仿宋_GB2312"/>
          <w:color w:val="000000"/>
          <w:sz w:val="28"/>
          <w:szCs w:val="32"/>
        </w:rPr>
        <w:t>18.5.1  本合同工程阶段验收类别包括：</w:t>
      </w:r>
      <w:r>
        <w:rPr>
          <w:rFonts w:eastAsia="仿宋_GB2312"/>
          <w:color w:val="000000"/>
          <w:sz w:val="28"/>
          <w:szCs w:val="32"/>
          <w:u w:val="single"/>
        </w:rPr>
        <w:t xml:space="preserve">       </w:t>
      </w:r>
      <w:r>
        <w:rPr>
          <w:rFonts w:eastAsia="仿宋_GB2312"/>
          <w:color w:val="000000"/>
          <w:sz w:val="28"/>
          <w:szCs w:val="32"/>
        </w:rPr>
        <w:t>、</w:t>
      </w:r>
      <w:r>
        <w:rPr>
          <w:rFonts w:eastAsia="仿宋_GB2312"/>
          <w:color w:val="000000"/>
          <w:sz w:val="28"/>
          <w:szCs w:val="32"/>
          <w:u w:val="single"/>
        </w:rPr>
        <w:t xml:space="preserve">        </w:t>
      </w:r>
      <w:r>
        <w:rPr>
          <w:rFonts w:eastAsia="仿宋_GB2312"/>
          <w:color w:val="000000"/>
          <w:sz w:val="28"/>
          <w:szCs w:val="32"/>
        </w:rPr>
        <w:t>、</w:t>
      </w:r>
      <w:r>
        <w:rPr>
          <w:rFonts w:eastAsia="仿宋_GB2312"/>
          <w:color w:val="000000"/>
          <w:sz w:val="28"/>
          <w:szCs w:val="32"/>
          <w:u w:val="single"/>
        </w:rPr>
        <w:t xml:space="preserve">        </w:t>
      </w:r>
      <w:r>
        <w:rPr>
          <w:rFonts w:eastAsia="仿宋_GB2312"/>
          <w:color w:val="000000"/>
          <w:sz w:val="28"/>
          <w:szCs w:val="32"/>
        </w:rPr>
        <w:t>。</w:t>
      </w:r>
    </w:p>
    <w:p>
      <w:pPr>
        <w:spacing w:line="490" w:lineRule="exact"/>
        <w:ind w:firstLine="562" w:firstLineChars="200"/>
        <w:rPr>
          <w:rFonts w:eastAsia="楷体_GB2312"/>
          <w:b/>
          <w:bCs/>
          <w:color w:val="000000"/>
          <w:sz w:val="28"/>
          <w:szCs w:val="32"/>
        </w:rPr>
      </w:pPr>
      <w:r>
        <w:rPr>
          <w:rFonts w:eastAsia="楷体_GB2312"/>
          <w:b/>
          <w:bCs/>
          <w:color w:val="000000"/>
          <w:sz w:val="28"/>
          <w:szCs w:val="32"/>
        </w:rPr>
        <w:t>18.6专项验收</w:t>
      </w:r>
    </w:p>
    <w:p>
      <w:pPr>
        <w:spacing w:line="490" w:lineRule="exact"/>
        <w:ind w:firstLine="560" w:firstLineChars="200"/>
        <w:rPr>
          <w:rFonts w:eastAsia="仿宋_GB2312"/>
          <w:color w:val="000000"/>
          <w:sz w:val="28"/>
          <w:szCs w:val="32"/>
        </w:rPr>
      </w:pPr>
      <w:r>
        <w:rPr>
          <w:rFonts w:eastAsia="仿宋_GB2312"/>
          <w:color w:val="000000"/>
          <w:sz w:val="28"/>
          <w:szCs w:val="32"/>
        </w:rPr>
        <w:t>18.6.2  本合同工程专项验收类别包括：</w:t>
      </w:r>
      <w:r>
        <w:rPr>
          <w:rFonts w:eastAsia="仿宋_GB2312"/>
          <w:color w:val="000000"/>
          <w:sz w:val="28"/>
          <w:szCs w:val="32"/>
          <w:u w:val="single"/>
        </w:rPr>
        <w:t xml:space="preserve">       </w:t>
      </w:r>
      <w:r>
        <w:rPr>
          <w:rFonts w:eastAsia="仿宋_GB2312"/>
          <w:color w:val="000000"/>
          <w:sz w:val="28"/>
          <w:szCs w:val="32"/>
        </w:rPr>
        <w:t>、</w:t>
      </w:r>
      <w:r>
        <w:rPr>
          <w:rFonts w:eastAsia="仿宋_GB2312"/>
          <w:color w:val="000000"/>
          <w:sz w:val="28"/>
          <w:szCs w:val="32"/>
          <w:u w:val="single"/>
        </w:rPr>
        <w:t xml:space="preserve">        </w:t>
      </w:r>
      <w:r>
        <w:rPr>
          <w:rFonts w:eastAsia="仿宋_GB2312"/>
          <w:color w:val="000000"/>
          <w:sz w:val="28"/>
          <w:szCs w:val="32"/>
        </w:rPr>
        <w:t>、</w:t>
      </w:r>
      <w:r>
        <w:rPr>
          <w:rFonts w:eastAsia="仿宋_GB2312"/>
          <w:color w:val="000000"/>
          <w:sz w:val="28"/>
          <w:szCs w:val="32"/>
          <w:u w:val="single"/>
        </w:rPr>
        <w:t xml:space="preserve">        </w:t>
      </w:r>
      <w:r>
        <w:rPr>
          <w:rFonts w:eastAsia="仿宋_GB2312"/>
          <w:color w:val="000000"/>
          <w:sz w:val="28"/>
          <w:szCs w:val="32"/>
        </w:rPr>
        <w:t>。</w:t>
      </w:r>
    </w:p>
    <w:p>
      <w:pPr>
        <w:pStyle w:val="7"/>
        <w:keepNext w:val="0"/>
        <w:keepLines w:val="0"/>
        <w:spacing w:before="0" w:after="0" w:line="490" w:lineRule="exact"/>
        <w:ind w:firstLine="562" w:firstLineChars="200"/>
        <w:rPr>
          <w:rFonts w:ascii="Times New Roman" w:hAnsi="Times New Roman" w:eastAsia="仿宋_GB2312"/>
          <w:color w:val="000000"/>
          <w:szCs w:val="32"/>
        </w:rPr>
      </w:pPr>
      <w:r>
        <w:rPr>
          <w:rFonts w:ascii="Times New Roman" w:hAnsi="Times New Roman" w:eastAsia="仿宋_GB2312"/>
          <w:color w:val="000000"/>
          <w:szCs w:val="32"/>
        </w:rPr>
        <w:t>18.7竣工验收</w:t>
      </w:r>
    </w:p>
    <w:p>
      <w:pPr>
        <w:spacing w:line="490" w:lineRule="exact"/>
        <w:ind w:firstLine="560" w:firstLineChars="200"/>
        <w:rPr>
          <w:rFonts w:eastAsia="仿宋_GB2312"/>
          <w:color w:val="000000"/>
          <w:sz w:val="28"/>
          <w:szCs w:val="32"/>
        </w:rPr>
      </w:pPr>
      <w:r>
        <w:rPr>
          <w:rFonts w:eastAsia="仿宋_GB2312"/>
          <w:color w:val="000000"/>
          <w:sz w:val="28"/>
          <w:szCs w:val="32"/>
        </w:rPr>
        <w:t>18.7.3  本工程</w:t>
      </w:r>
      <w:r>
        <w:rPr>
          <w:rFonts w:eastAsia="仿宋_GB2312"/>
          <w:color w:val="000000"/>
          <w:sz w:val="28"/>
          <w:szCs w:val="32"/>
          <w:u w:val="single"/>
        </w:rPr>
        <w:t xml:space="preserve">         </w:t>
      </w:r>
      <w:r>
        <w:rPr>
          <w:rFonts w:eastAsia="仿宋_GB2312"/>
          <w:color w:val="000000"/>
          <w:sz w:val="28"/>
          <w:szCs w:val="32"/>
        </w:rPr>
        <w:t>竣工验收技术鉴定（蓄水安全鉴定）。</w:t>
      </w:r>
    </w:p>
    <w:p>
      <w:pPr>
        <w:spacing w:line="490" w:lineRule="exact"/>
        <w:ind w:firstLine="562" w:firstLineChars="200"/>
        <w:rPr>
          <w:rFonts w:eastAsia="楷体_GB2312"/>
          <w:b/>
          <w:bCs/>
          <w:color w:val="000000"/>
          <w:sz w:val="28"/>
          <w:szCs w:val="32"/>
        </w:rPr>
      </w:pPr>
      <w:r>
        <w:rPr>
          <w:rFonts w:eastAsia="楷体_GB2312"/>
          <w:b/>
          <w:bCs/>
          <w:color w:val="000000"/>
          <w:sz w:val="28"/>
          <w:szCs w:val="32"/>
        </w:rPr>
        <w:t>18.8施工期运行</w:t>
      </w:r>
    </w:p>
    <w:p>
      <w:pPr>
        <w:spacing w:line="490" w:lineRule="exact"/>
        <w:ind w:firstLine="560" w:firstLineChars="200"/>
        <w:jc w:val="left"/>
        <w:rPr>
          <w:rFonts w:eastAsia="仿宋_GB2312"/>
          <w:color w:val="000000"/>
          <w:sz w:val="28"/>
          <w:szCs w:val="32"/>
        </w:rPr>
      </w:pPr>
      <w:r>
        <w:rPr>
          <w:rFonts w:eastAsia="仿宋_GB2312"/>
          <w:color w:val="000000"/>
          <w:sz w:val="28"/>
          <w:szCs w:val="32"/>
        </w:rPr>
        <w:t>18.8.1  需要在施工期运行的单位工程或工程设备为：</w:t>
      </w:r>
      <w:r>
        <w:rPr>
          <w:rFonts w:eastAsia="仿宋_GB2312"/>
          <w:color w:val="000000"/>
          <w:sz w:val="28"/>
          <w:szCs w:val="32"/>
          <w:u w:val="single"/>
        </w:rPr>
        <w:t xml:space="preserve">      </w:t>
      </w:r>
      <w:r>
        <w:rPr>
          <w:rFonts w:eastAsia="仿宋_GB2312"/>
          <w:color w:val="000000"/>
          <w:sz w:val="28"/>
          <w:szCs w:val="32"/>
        </w:rPr>
        <w:t>、</w:t>
      </w:r>
      <w:r>
        <w:rPr>
          <w:rFonts w:eastAsia="仿宋_GB2312"/>
          <w:color w:val="000000"/>
          <w:sz w:val="28"/>
          <w:szCs w:val="32"/>
          <w:u w:val="single"/>
        </w:rPr>
        <w:t xml:space="preserve">      </w:t>
      </w:r>
      <w:r>
        <w:rPr>
          <w:rFonts w:eastAsia="仿宋_GB2312"/>
          <w:color w:val="000000"/>
          <w:sz w:val="28"/>
          <w:szCs w:val="32"/>
        </w:rPr>
        <w:t>、</w:t>
      </w:r>
      <w:r>
        <w:rPr>
          <w:rFonts w:eastAsia="仿宋_GB2312"/>
          <w:color w:val="000000"/>
          <w:sz w:val="28"/>
          <w:szCs w:val="32"/>
          <w:u w:val="single"/>
        </w:rPr>
        <w:t xml:space="preserve">      </w:t>
      </w:r>
      <w:r>
        <w:rPr>
          <w:rFonts w:eastAsia="仿宋_GB2312"/>
          <w:color w:val="000000"/>
          <w:sz w:val="28"/>
          <w:szCs w:val="32"/>
        </w:rPr>
        <w:t>。</w:t>
      </w:r>
    </w:p>
    <w:p>
      <w:pPr>
        <w:spacing w:line="490" w:lineRule="exact"/>
        <w:ind w:firstLine="562" w:firstLineChars="200"/>
        <w:rPr>
          <w:rFonts w:eastAsia="楷体_GB2312"/>
          <w:b/>
          <w:bCs/>
          <w:color w:val="000000"/>
          <w:sz w:val="28"/>
          <w:szCs w:val="32"/>
        </w:rPr>
      </w:pPr>
      <w:r>
        <w:rPr>
          <w:rFonts w:eastAsia="楷体_GB2312"/>
          <w:b/>
          <w:bCs/>
          <w:color w:val="000000"/>
          <w:sz w:val="28"/>
          <w:szCs w:val="32"/>
        </w:rPr>
        <w:t>18.9试运行</w:t>
      </w:r>
    </w:p>
    <w:p>
      <w:pPr>
        <w:spacing w:line="490" w:lineRule="exact"/>
        <w:ind w:firstLine="560" w:firstLineChars="200"/>
        <w:rPr>
          <w:rFonts w:eastAsia="仿宋_GB2312"/>
          <w:color w:val="000000"/>
          <w:sz w:val="28"/>
          <w:szCs w:val="32"/>
        </w:rPr>
      </w:pPr>
      <w:r>
        <w:rPr>
          <w:rFonts w:eastAsia="仿宋_GB2312"/>
          <w:color w:val="000000"/>
          <w:sz w:val="28"/>
          <w:szCs w:val="32"/>
        </w:rPr>
        <w:t>18.9.1  试运行的组织：</w:t>
      </w:r>
      <w:r>
        <w:rPr>
          <w:rFonts w:eastAsia="仿宋_GB2312"/>
          <w:color w:val="000000"/>
          <w:sz w:val="28"/>
          <w:szCs w:val="32"/>
          <w:u w:val="single"/>
        </w:rPr>
        <w:t xml:space="preserve">        </w:t>
      </w:r>
      <w:r>
        <w:rPr>
          <w:rFonts w:eastAsia="仿宋_GB2312"/>
          <w:color w:val="000000"/>
          <w:sz w:val="28"/>
          <w:szCs w:val="32"/>
        </w:rPr>
        <w:t>；费用承担：</w:t>
      </w:r>
      <w:r>
        <w:rPr>
          <w:rFonts w:eastAsia="仿宋_GB2312"/>
          <w:color w:val="000000"/>
          <w:sz w:val="28"/>
          <w:szCs w:val="32"/>
          <w:u w:val="single"/>
        </w:rPr>
        <w:t xml:space="preserve">      </w:t>
      </w:r>
      <w:r>
        <w:rPr>
          <w:rFonts w:eastAsia="仿宋_GB2312"/>
          <w:color w:val="000000"/>
          <w:sz w:val="28"/>
          <w:szCs w:val="32"/>
        </w:rPr>
        <w:t>。</w:t>
      </w:r>
    </w:p>
    <w:p>
      <w:pPr>
        <w:pStyle w:val="6"/>
        <w:keepNext w:val="0"/>
        <w:keepLines w:val="0"/>
        <w:snapToGrid w:val="0"/>
        <w:spacing w:before="0" w:after="0" w:line="490" w:lineRule="exact"/>
        <w:ind w:firstLine="562" w:firstLineChars="200"/>
        <w:rPr>
          <w:rFonts w:eastAsia="黑体"/>
          <w:bCs w:val="0"/>
          <w:color w:val="000000"/>
          <w:sz w:val="28"/>
        </w:rPr>
      </w:pPr>
      <w:bookmarkStart w:id="1832" w:name="_Toc51091920"/>
      <w:bookmarkStart w:id="1833" w:name="_Toc18521"/>
      <w:bookmarkStart w:id="1834" w:name="_Toc4211"/>
      <w:r>
        <w:rPr>
          <w:rFonts w:eastAsia="黑体"/>
          <w:bCs w:val="0"/>
          <w:color w:val="000000"/>
          <w:sz w:val="28"/>
        </w:rPr>
        <w:t>19．缺陷责任与保修责任</w:t>
      </w:r>
      <w:bookmarkEnd w:id="1832"/>
      <w:bookmarkEnd w:id="1833"/>
      <w:bookmarkEnd w:id="1834"/>
    </w:p>
    <w:p>
      <w:pPr>
        <w:spacing w:line="490" w:lineRule="exact"/>
        <w:ind w:firstLine="562" w:firstLineChars="200"/>
        <w:rPr>
          <w:rFonts w:eastAsia="楷体_GB2312"/>
          <w:b/>
          <w:bCs/>
          <w:color w:val="000000"/>
          <w:sz w:val="28"/>
          <w:szCs w:val="32"/>
        </w:rPr>
      </w:pPr>
      <w:r>
        <w:rPr>
          <w:rFonts w:eastAsia="楷体_GB2312"/>
          <w:b/>
          <w:bCs/>
          <w:color w:val="000000"/>
          <w:sz w:val="28"/>
          <w:szCs w:val="32"/>
        </w:rPr>
        <w:t>19.1缺陷责任期（工程质量保修期）的起算时间</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本工程缺陷责任期（工程质量保修期）如下：</w:t>
      </w:r>
      <w:r>
        <w:rPr>
          <w:rFonts w:eastAsia="仿宋_GB2312"/>
          <w:color w:val="000000"/>
          <w:sz w:val="28"/>
          <w:szCs w:val="32"/>
          <w:u w:val="single"/>
        </w:rPr>
        <w:t xml:space="preserve">          </w:t>
      </w:r>
      <w:r>
        <w:rPr>
          <w:rFonts w:eastAsia="仿宋_GB2312"/>
          <w:color w:val="000000"/>
          <w:kern w:val="0"/>
          <w:sz w:val="28"/>
          <w:szCs w:val="32"/>
        </w:rPr>
        <w:t>。</w:t>
      </w:r>
    </w:p>
    <w:p>
      <w:pPr>
        <w:pStyle w:val="7"/>
        <w:keepNext w:val="0"/>
        <w:keepLines w:val="0"/>
        <w:spacing w:before="0" w:after="0" w:line="490" w:lineRule="exact"/>
        <w:ind w:firstLine="562" w:firstLineChars="200"/>
        <w:rPr>
          <w:rFonts w:ascii="Times New Roman" w:hAnsi="Times New Roman" w:eastAsia="仿宋_GB2312"/>
          <w:color w:val="000000"/>
          <w:szCs w:val="32"/>
        </w:rPr>
      </w:pPr>
      <w:r>
        <w:rPr>
          <w:rFonts w:ascii="Times New Roman" w:hAnsi="Times New Roman" w:eastAsia="仿宋_GB2312"/>
          <w:color w:val="000000"/>
          <w:szCs w:val="32"/>
        </w:rPr>
        <w:t>19.7保修责任</w:t>
      </w:r>
    </w:p>
    <w:p>
      <w:pPr>
        <w:spacing w:line="490" w:lineRule="exact"/>
        <w:ind w:firstLine="560" w:firstLineChars="200"/>
        <w:rPr>
          <w:rFonts w:eastAsia="仿宋_GB2312"/>
          <w:color w:val="000000"/>
          <w:sz w:val="28"/>
          <w:szCs w:val="32"/>
        </w:rPr>
      </w:pPr>
      <w:r>
        <w:rPr>
          <w:rFonts w:eastAsia="仿宋_GB2312"/>
          <w:color w:val="000000"/>
          <w:sz w:val="28"/>
          <w:szCs w:val="32"/>
        </w:rPr>
        <w:t>本合同工程的保修期为：</w:t>
      </w:r>
      <w:r>
        <w:rPr>
          <w:rFonts w:eastAsia="仿宋_GB2312"/>
          <w:color w:val="000000"/>
          <w:sz w:val="28"/>
          <w:szCs w:val="32"/>
          <w:u w:val="single"/>
        </w:rPr>
        <w:t xml:space="preserve">          </w:t>
      </w:r>
      <w:r>
        <w:rPr>
          <w:rFonts w:eastAsia="仿宋_GB2312"/>
          <w:color w:val="000000"/>
          <w:sz w:val="28"/>
          <w:szCs w:val="32"/>
        </w:rPr>
        <w:t>。</w:t>
      </w:r>
    </w:p>
    <w:p>
      <w:pPr>
        <w:spacing w:line="490" w:lineRule="exact"/>
        <w:ind w:firstLine="560" w:firstLineChars="200"/>
        <w:rPr>
          <w:rFonts w:eastAsia="仿宋_GB2312"/>
          <w:color w:val="000000"/>
          <w:sz w:val="28"/>
          <w:szCs w:val="32"/>
        </w:rPr>
      </w:pPr>
      <w:r>
        <w:rPr>
          <w:rFonts w:eastAsia="仿宋_GB2312"/>
          <w:color w:val="000000"/>
          <w:sz w:val="28"/>
          <w:szCs w:val="32"/>
        </w:rPr>
        <w:t>保修范围：</w:t>
      </w:r>
      <w:r>
        <w:rPr>
          <w:rFonts w:eastAsia="仿宋_GB2312"/>
          <w:color w:val="000000"/>
          <w:sz w:val="28"/>
          <w:szCs w:val="32"/>
          <w:u w:val="single"/>
        </w:rPr>
        <w:t xml:space="preserve">             </w:t>
      </w:r>
      <w:r>
        <w:rPr>
          <w:rFonts w:eastAsia="仿宋_GB2312"/>
          <w:color w:val="000000"/>
          <w:sz w:val="28"/>
          <w:szCs w:val="32"/>
        </w:rPr>
        <w:t>。</w:t>
      </w:r>
    </w:p>
    <w:p>
      <w:pPr>
        <w:spacing w:line="490" w:lineRule="exact"/>
        <w:ind w:firstLine="560" w:firstLineChars="200"/>
        <w:rPr>
          <w:rFonts w:eastAsia="仿宋_GB2312"/>
          <w:color w:val="000000"/>
          <w:sz w:val="28"/>
          <w:szCs w:val="32"/>
        </w:rPr>
      </w:pPr>
      <w:r>
        <w:rPr>
          <w:rFonts w:eastAsia="仿宋_GB2312"/>
          <w:color w:val="000000"/>
          <w:sz w:val="28"/>
          <w:szCs w:val="32"/>
        </w:rPr>
        <w:t>保修责任：由承包人负责并承担相关的一切费用。</w:t>
      </w:r>
    </w:p>
    <w:p>
      <w:pPr>
        <w:pStyle w:val="6"/>
        <w:keepNext w:val="0"/>
        <w:keepLines w:val="0"/>
        <w:snapToGrid w:val="0"/>
        <w:spacing w:before="0" w:after="0" w:line="490" w:lineRule="exact"/>
        <w:ind w:firstLine="560" w:firstLineChars="200"/>
        <w:rPr>
          <w:rFonts w:eastAsia="黑体"/>
          <w:b w:val="0"/>
          <w:bCs w:val="0"/>
          <w:color w:val="000000"/>
          <w:sz w:val="28"/>
        </w:rPr>
      </w:pPr>
      <w:bookmarkStart w:id="1835" w:name="_Toc51091921"/>
      <w:bookmarkStart w:id="1836" w:name="_Toc23148"/>
      <w:bookmarkStart w:id="1837" w:name="_Toc7926"/>
      <w:r>
        <w:rPr>
          <w:rFonts w:eastAsia="黑体"/>
          <w:b w:val="0"/>
          <w:bCs w:val="0"/>
          <w:color w:val="000000"/>
          <w:sz w:val="28"/>
        </w:rPr>
        <w:t>20．保险</w:t>
      </w:r>
      <w:bookmarkEnd w:id="1835"/>
      <w:bookmarkEnd w:id="1836"/>
      <w:bookmarkEnd w:id="1837"/>
    </w:p>
    <w:p>
      <w:pPr>
        <w:spacing w:line="490" w:lineRule="exact"/>
        <w:ind w:firstLine="562" w:firstLineChars="200"/>
        <w:rPr>
          <w:rFonts w:eastAsia="楷体_GB2312"/>
          <w:b/>
          <w:bCs/>
          <w:color w:val="000000"/>
          <w:sz w:val="28"/>
          <w:szCs w:val="32"/>
        </w:rPr>
      </w:pPr>
      <w:r>
        <w:rPr>
          <w:rFonts w:eastAsia="楷体_GB2312"/>
          <w:b/>
          <w:bCs/>
          <w:color w:val="000000"/>
          <w:sz w:val="28"/>
          <w:szCs w:val="32"/>
        </w:rPr>
        <w:t>20.1工程保险</w:t>
      </w:r>
    </w:p>
    <w:p>
      <w:pPr>
        <w:spacing w:line="490" w:lineRule="exact"/>
        <w:ind w:firstLine="562" w:firstLineChars="200"/>
        <w:rPr>
          <w:rFonts w:eastAsia="仿宋_GB2312"/>
          <w:color w:val="000000"/>
          <w:sz w:val="28"/>
          <w:szCs w:val="32"/>
        </w:rPr>
      </w:pPr>
      <w:r>
        <w:rPr>
          <w:rFonts w:eastAsia="仿宋_GB2312"/>
          <w:b/>
          <w:i/>
          <w:color w:val="000000"/>
          <w:sz w:val="28"/>
          <w:szCs w:val="32"/>
        </w:rPr>
        <w:t>（适用于要求购买工程保险）：</w:t>
      </w:r>
    </w:p>
    <w:p>
      <w:pPr>
        <w:spacing w:line="490" w:lineRule="exact"/>
        <w:ind w:firstLine="560" w:firstLineChars="200"/>
        <w:rPr>
          <w:rFonts w:eastAsia="仿宋_GB2312"/>
          <w:color w:val="000000"/>
          <w:sz w:val="28"/>
          <w:szCs w:val="32"/>
        </w:rPr>
      </w:pPr>
      <w:r>
        <w:rPr>
          <w:rFonts w:eastAsia="仿宋_GB2312"/>
          <w:color w:val="000000"/>
          <w:sz w:val="28"/>
          <w:szCs w:val="32"/>
        </w:rPr>
        <w:t>建筑工程一切险和（或）安装工程一切险投保人：</w:t>
      </w:r>
      <w:r>
        <w:rPr>
          <w:rFonts w:eastAsia="仿宋_GB2312"/>
          <w:color w:val="000000"/>
          <w:sz w:val="28"/>
          <w:szCs w:val="32"/>
          <w:u w:val="single"/>
        </w:rPr>
        <w:t xml:space="preserve">            </w:t>
      </w:r>
      <w:r>
        <w:rPr>
          <w:rFonts w:eastAsia="仿宋_GB2312"/>
          <w:color w:val="000000"/>
          <w:sz w:val="28"/>
          <w:szCs w:val="32"/>
        </w:rPr>
        <w:t>；</w:t>
      </w:r>
    </w:p>
    <w:p>
      <w:pPr>
        <w:spacing w:line="490" w:lineRule="exact"/>
        <w:ind w:firstLine="560" w:firstLineChars="200"/>
        <w:rPr>
          <w:rFonts w:eastAsia="仿宋_GB2312"/>
          <w:color w:val="000000"/>
          <w:sz w:val="28"/>
          <w:szCs w:val="32"/>
        </w:rPr>
      </w:pPr>
      <w:r>
        <w:rPr>
          <w:rFonts w:eastAsia="仿宋_GB2312"/>
          <w:color w:val="000000"/>
          <w:sz w:val="28"/>
          <w:szCs w:val="32"/>
        </w:rPr>
        <w:t>投保内容：</w:t>
      </w:r>
      <w:r>
        <w:rPr>
          <w:rFonts w:eastAsia="仿宋_GB2312"/>
          <w:color w:val="000000"/>
          <w:sz w:val="28"/>
          <w:szCs w:val="32"/>
          <w:u w:val="single"/>
        </w:rPr>
        <w:t xml:space="preserve">              </w:t>
      </w:r>
      <w:r>
        <w:rPr>
          <w:rFonts w:eastAsia="仿宋_GB2312"/>
          <w:color w:val="000000"/>
          <w:sz w:val="28"/>
          <w:szCs w:val="32"/>
        </w:rPr>
        <w:t>；</w:t>
      </w:r>
    </w:p>
    <w:p>
      <w:pPr>
        <w:spacing w:line="490" w:lineRule="exact"/>
        <w:ind w:firstLine="560" w:firstLineChars="200"/>
        <w:rPr>
          <w:rFonts w:eastAsia="仿宋_GB2312"/>
          <w:color w:val="000000"/>
          <w:sz w:val="28"/>
          <w:szCs w:val="32"/>
        </w:rPr>
      </w:pPr>
      <w:r>
        <w:rPr>
          <w:rFonts w:eastAsia="仿宋_GB2312"/>
          <w:color w:val="000000"/>
          <w:sz w:val="28"/>
          <w:szCs w:val="32"/>
        </w:rPr>
        <w:t>保险金额、保险费率和保险期限：</w:t>
      </w:r>
      <w:r>
        <w:rPr>
          <w:rFonts w:eastAsia="仿宋_GB2312"/>
          <w:color w:val="000000"/>
          <w:sz w:val="28"/>
          <w:szCs w:val="32"/>
          <w:u w:val="single"/>
        </w:rPr>
        <w:t xml:space="preserve">              </w:t>
      </w:r>
      <w:r>
        <w:rPr>
          <w:rFonts w:eastAsia="仿宋_GB2312"/>
          <w:color w:val="000000"/>
          <w:sz w:val="28"/>
          <w:szCs w:val="32"/>
        </w:rPr>
        <w:t>。</w:t>
      </w:r>
    </w:p>
    <w:p>
      <w:pPr>
        <w:spacing w:line="490" w:lineRule="exact"/>
        <w:ind w:firstLine="560" w:firstLineChars="200"/>
        <w:rPr>
          <w:rFonts w:eastAsia="仿宋_GB2312"/>
          <w:color w:val="000000"/>
          <w:sz w:val="28"/>
          <w:szCs w:val="32"/>
        </w:rPr>
      </w:pPr>
      <w:r>
        <w:rPr>
          <w:rFonts w:eastAsia="仿宋_GB2312"/>
          <w:color w:val="000000"/>
          <w:sz w:val="28"/>
          <w:szCs w:val="32"/>
        </w:rPr>
        <w:t>本条增加如下内容：承包人负责在出现保险事故时积极采取有效措施，尽可能减少损失，并于24小时内向发包人和保险公司报案，并向发包人和保险公司提交所需资料，同时负责向保险公司索赔。由于承包人索赔不力，造成保险赔偿差额，则差额部分除免赔额外均由承包人承担。</w:t>
      </w:r>
    </w:p>
    <w:p>
      <w:pPr>
        <w:spacing w:line="490" w:lineRule="exact"/>
        <w:ind w:firstLine="562" w:firstLineChars="200"/>
        <w:rPr>
          <w:rFonts w:eastAsia="仿宋_GB2312"/>
          <w:color w:val="000000"/>
          <w:sz w:val="28"/>
          <w:szCs w:val="32"/>
        </w:rPr>
      </w:pPr>
      <w:r>
        <w:rPr>
          <w:rFonts w:eastAsia="仿宋_GB2312"/>
          <w:b/>
          <w:i/>
          <w:color w:val="000000"/>
          <w:sz w:val="28"/>
          <w:szCs w:val="32"/>
        </w:rPr>
        <w:t>（适用于不要求购买工程保险）：</w:t>
      </w:r>
    </w:p>
    <w:p>
      <w:pPr>
        <w:spacing w:line="490" w:lineRule="exact"/>
        <w:ind w:firstLine="560" w:firstLineChars="200"/>
        <w:rPr>
          <w:rFonts w:eastAsia="仿宋_GB2312"/>
          <w:color w:val="000000"/>
          <w:sz w:val="28"/>
          <w:szCs w:val="32"/>
        </w:rPr>
      </w:pPr>
      <w:r>
        <w:rPr>
          <w:rFonts w:eastAsia="仿宋_GB2312"/>
          <w:color w:val="000000"/>
          <w:sz w:val="28"/>
          <w:szCs w:val="32"/>
        </w:rPr>
        <w:t>删除通用合同条款第20.1款全文。并以下文代替：本合同工程不需要购买工程保险。</w:t>
      </w:r>
    </w:p>
    <w:p>
      <w:pPr>
        <w:spacing w:line="490" w:lineRule="exact"/>
        <w:ind w:firstLine="562" w:firstLineChars="200"/>
        <w:rPr>
          <w:rFonts w:eastAsia="楷体_GB2312"/>
          <w:b/>
          <w:bCs/>
          <w:color w:val="000000"/>
          <w:sz w:val="28"/>
          <w:szCs w:val="32"/>
        </w:rPr>
      </w:pPr>
      <w:r>
        <w:rPr>
          <w:rFonts w:eastAsia="楷体_GB2312"/>
          <w:b/>
          <w:bCs/>
          <w:color w:val="000000"/>
          <w:sz w:val="28"/>
          <w:szCs w:val="32"/>
        </w:rPr>
        <w:t>20.2人员工伤事故的保险</w:t>
      </w:r>
    </w:p>
    <w:p>
      <w:pPr>
        <w:spacing w:line="490" w:lineRule="exact"/>
        <w:ind w:firstLine="562" w:firstLineChars="200"/>
        <w:rPr>
          <w:rFonts w:eastAsia="仿宋_GB2312"/>
          <w:color w:val="000000"/>
          <w:sz w:val="28"/>
          <w:szCs w:val="32"/>
        </w:rPr>
      </w:pPr>
      <w:r>
        <w:rPr>
          <w:rFonts w:eastAsia="仿宋_GB2312"/>
          <w:b/>
          <w:color w:val="000000"/>
          <w:sz w:val="28"/>
          <w:szCs w:val="32"/>
        </w:rPr>
        <w:t xml:space="preserve">20.2.1  </w:t>
      </w:r>
      <w:r>
        <w:rPr>
          <w:rFonts w:eastAsia="仿宋_GB2312"/>
          <w:color w:val="000000"/>
          <w:sz w:val="28"/>
          <w:szCs w:val="32"/>
        </w:rPr>
        <w:t>本条增加如下内容：</w:t>
      </w:r>
      <w:r>
        <w:rPr>
          <w:rFonts w:eastAsia="仿宋_GB2312"/>
          <w:color w:val="000000"/>
          <w:sz w:val="28"/>
          <w:szCs w:val="32"/>
          <w:u w:val="single"/>
        </w:rPr>
        <w:t xml:space="preserve">        </w:t>
      </w:r>
      <w:r>
        <w:rPr>
          <w:rFonts w:eastAsia="仿宋_GB2312"/>
          <w:color w:val="000000"/>
          <w:sz w:val="28"/>
          <w:szCs w:val="32"/>
        </w:rPr>
        <w:t>。保险金额、保险费率：</w:t>
      </w:r>
      <w:r>
        <w:rPr>
          <w:rFonts w:eastAsia="仿宋_GB2312"/>
          <w:color w:val="000000"/>
          <w:sz w:val="28"/>
          <w:szCs w:val="32"/>
          <w:u w:val="single"/>
        </w:rPr>
        <w:t xml:space="preserve">      </w:t>
      </w:r>
      <w:r>
        <w:rPr>
          <w:rFonts w:eastAsia="仿宋_GB2312"/>
          <w:color w:val="000000"/>
          <w:sz w:val="28"/>
          <w:szCs w:val="32"/>
        </w:rPr>
        <w:t>。保险期限：自工程项目购买保险之日至工程项目竣工后责任保修期结束为止。</w:t>
      </w:r>
    </w:p>
    <w:p>
      <w:pPr>
        <w:spacing w:line="490" w:lineRule="exact"/>
        <w:ind w:firstLine="562" w:firstLineChars="200"/>
        <w:rPr>
          <w:rFonts w:eastAsia="楷体_GB2312"/>
          <w:b/>
          <w:bCs/>
          <w:color w:val="000000"/>
          <w:sz w:val="28"/>
          <w:szCs w:val="32"/>
        </w:rPr>
      </w:pPr>
      <w:r>
        <w:rPr>
          <w:rFonts w:eastAsia="楷体_GB2312"/>
          <w:b/>
          <w:bCs/>
          <w:color w:val="000000"/>
          <w:sz w:val="28"/>
          <w:szCs w:val="32"/>
        </w:rPr>
        <w:t>20.3人身意外伤害险</w:t>
      </w:r>
    </w:p>
    <w:p>
      <w:pPr>
        <w:spacing w:line="490" w:lineRule="exact"/>
        <w:ind w:firstLine="562" w:firstLineChars="200"/>
        <w:rPr>
          <w:rFonts w:eastAsia="仿宋_GB2312"/>
          <w:color w:val="000000"/>
          <w:sz w:val="28"/>
          <w:szCs w:val="32"/>
        </w:rPr>
      </w:pPr>
      <w:r>
        <w:rPr>
          <w:rFonts w:eastAsia="仿宋_GB2312"/>
          <w:b/>
          <w:color w:val="000000"/>
          <w:sz w:val="28"/>
          <w:szCs w:val="32"/>
        </w:rPr>
        <w:t xml:space="preserve">20.3.2 </w:t>
      </w:r>
      <w:r>
        <w:rPr>
          <w:rFonts w:eastAsia="仿宋_GB2312"/>
          <w:color w:val="000000"/>
          <w:sz w:val="28"/>
          <w:szCs w:val="32"/>
        </w:rPr>
        <w:t>本条增加如下内容：</w:t>
      </w:r>
      <w:r>
        <w:rPr>
          <w:rFonts w:eastAsia="仿宋_GB2312"/>
          <w:color w:val="000000"/>
          <w:sz w:val="28"/>
          <w:szCs w:val="32"/>
          <w:u w:val="single"/>
        </w:rPr>
        <w:t xml:space="preserve">          </w:t>
      </w:r>
      <w:r>
        <w:rPr>
          <w:rFonts w:eastAsia="仿宋_GB2312"/>
          <w:color w:val="000000"/>
          <w:sz w:val="28"/>
          <w:szCs w:val="32"/>
        </w:rPr>
        <w:t>。保险金额、保险费率：</w:t>
      </w:r>
      <w:r>
        <w:rPr>
          <w:rFonts w:eastAsia="仿宋_GB2312"/>
          <w:color w:val="000000"/>
          <w:sz w:val="28"/>
          <w:szCs w:val="32"/>
          <w:u w:val="single"/>
        </w:rPr>
        <w:t xml:space="preserve">       </w:t>
      </w:r>
      <w:r>
        <w:rPr>
          <w:rFonts w:eastAsia="仿宋_GB2312"/>
          <w:color w:val="000000"/>
          <w:sz w:val="28"/>
          <w:szCs w:val="32"/>
        </w:rPr>
        <w:t>。保险期限：自工程项目购买保险之日至工程项目竣工后责任保修期结束为止。</w:t>
      </w:r>
    </w:p>
    <w:p>
      <w:pPr>
        <w:spacing w:line="490" w:lineRule="exact"/>
        <w:ind w:firstLine="562" w:firstLineChars="200"/>
        <w:rPr>
          <w:rFonts w:eastAsia="楷体_GB2312"/>
          <w:b/>
          <w:bCs/>
          <w:color w:val="000000"/>
          <w:sz w:val="28"/>
          <w:szCs w:val="32"/>
        </w:rPr>
      </w:pPr>
      <w:r>
        <w:rPr>
          <w:rFonts w:eastAsia="楷体_GB2312"/>
          <w:b/>
          <w:bCs/>
          <w:color w:val="000000"/>
          <w:sz w:val="28"/>
          <w:szCs w:val="32"/>
        </w:rPr>
        <w:t>20.4第三者责任险</w:t>
      </w:r>
    </w:p>
    <w:p>
      <w:pPr>
        <w:spacing w:line="490" w:lineRule="exact"/>
        <w:ind w:firstLine="562" w:firstLineChars="200"/>
        <w:rPr>
          <w:rFonts w:eastAsia="仿宋_GB2312"/>
          <w:b/>
          <w:i/>
          <w:color w:val="000000"/>
          <w:sz w:val="28"/>
          <w:szCs w:val="32"/>
        </w:rPr>
      </w:pPr>
      <w:r>
        <w:rPr>
          <w:rFonts w:eastAsia="仿宋_GB2312"/>
          <w:b/>
          <w:i/>
          <w:color w:val="000000"/>
          <w:sz w:val="28"/>
          <w:szCs w:val="32"/>
        </w:rPr>
        <w:t>（适用于要求购买第三者责任险）：</w:t>
      </w:r>
    </w:p>
    <w:p>
      <w:pPr>
        <w:spacing w:line="490" w:lineRule="exact"/>
        <w:ind w:firstLine="560" w:firstLineChars="200"/>
        <w:rPr>
          <w:rFonts w:eastAsia="仿宋_GB2312"/>
          <w:color w:val="000000"/>
          <w:sz w:val="28"/>
          <w:szCs w:val="32"/>
        </w:rPr>
      </w:pPr>
      <w:r>
        <w:rPr>
          <w:rFonts w:eastAsia="仿宋_GB2312"/>
          <w:color w:val="000000"/>
          <w:sz w:val="28"/>
          <w:szCs w:val="32"/>
        </w:rPr>
        <w:t>20.4.2第三者责任险投保人：本合同工程由</w:t>
      </w:r>
      <w:r>
        <w:rPr>
          <w:rFonts w:eastAsia="仿宋_GB2312"/>
          <w:color w:val="000000"/>
          <w:sz w:val="28"/>
          <w:szCs w:val="32"/>
          <w:u w:val="single"/>
        </w:rPr>
        <w:t xml:space="preserve"> （</w:t>
      </w:r>
      <w:r>
        <w:rPr>
          <w:rFonts w:eastAsia="仿宋_GB2312"/>
          <w:b/>
          <w:i/>
          <w:color w:val="000000"/>
          <w:sz w:val="28"/>
          <w:szCs w:val="32"/>
          <w:u w:val="single"/>
        </w:rPr>
        <w:t>发包人或承包人</w:t>
      </w:r>
      <w:r>
        <w:rPr>
          <w:rFonts w:eastAsia="仿宋_GB2312"/>
          <w:color w:val="000000"/>
          <w:sz w:val="28"/>
          <w:szCs w:val="32"/>
          <w:u w:val="single"/>
        </w:rPr>
        <w:t xml:space="preserve">） </w:t>
      </w:r>
      <w:r>
        <w:rPr>
          <w:rFonts w:eastAsia="仿宋_GB2312"/>
          <w:color w:val="000000"/>
          <w:sz w:val="28"/>
          <w:szCs w:val="32"/>
        </w:rPr>
        <w:t>负责以发包人和承包人的共同名义负责投保第三者责任险。</w:t>
      </w:r>
    </w:p>
    <w:p>
      <w:pPr>
        <w:spacing w:line="490" w:lineRule="exact"/>
        <w:ind w:firstLine="560" w:firstLineChars="200"/>
        <w:rPr>
          <w:rFonts w:eastAsia="仿宋_GB2312"/>
          <w:color w:val="000000"/>
          <w:sz w:val="28"/>
          <w:szCs w:val="32"/>
        </w:rPr>
      </w:pPr>
      <w:r>
        <w:rPr>
          <w:rFonts w:eastAsia="仿宋_GB2312"/>
          <w:color w:val="000000"/>
          <w:sz w:val="28"/>
          <w:szCs w:val="32"/>
        </w:rPr>
        <w:t>第三者责任险保险费率：</w:t>
      </w:r>
      <w:r>
        <w:rPr>
          <w:rFonts w:eastAsia="仿宋_GB2312"/>
          <w:color w:val="000000"/>
          <w:sz w:val="28"/>
          <w:szCs w:val="32"/>
          <w:u w:val="single"/>
        </w:rPr>
        <w:t xml:space="preserve">         </w:t>
      </w:r>
      <w:r>
        <w:rPr>
          <w:rFonts w:eastAsia="仿宋_GB2312"/>
          <w:color w:val="000000"/>
          <w:sz w:val="28"/>
          <w:szCs w:val="32"/>
        </w:rPr>
        <w:t>；第三者责任险保险金额：</w:t>
      </w:r>
      <w:r>
        <w:rPr>
          <w:rFonts w:eastAsia="仿宋_GB2312"/>
          <w:color w:val="000000"/>
          <w:sz w:val="28"/>
          <w:szCs w:val="32"/>
          <w:u w:val="single"/>
        </w:rPr>
        <w:t xml:space="preserve">      </w:t>
      </w:r>
      <w:r>
        <w:rPr>
          <w:rFonts w:eastAsia="仿宋_GB2312"/>
          <w:color w:val="000000"/>
          <w:sz w:val="28"/>
          <w:szCs w:val="32"/>
        </w:rPr>
        <w:t>；保险期限：自工程项目购买保险之日至工程项目竣工后责任保修期结束为止。</w:t>
      </w:r>
    </w:p>
    <w:p>
      <w:pPr>
        <w:spacing w:line="490" w:lineRule="exact"/>
        <w:ind w:firstLine="560" w:firstLineChars="200"/>
        <w:rPr>
          <w:rFonts w:eastAsia="仿宋_GB2312"/>
          <w:color w:val="000000"/>
          <w:sz w:val="28"/>
          <w:szCs w:val="32"/>
        </w:rPr>
      </w:pPr>
      <w:r>
        <w:rPr>
          <w:rFonts w:eastAsia="仿宋_GB2312"/>
          <w:color w:val="000000"/>
          <w:sz w:val="28"/>
          <w:szCs w:val="32"/>
        </w:rPr>
        <w:t>本条增加如下内容：本合同工程由承包人负责以发包人和承包人的共同名义投保第三者责任险，承包人负责在出现保险事故时积极采取有效措施，尽可能减少损失，并于24小时内向发包人和保险公司报案，并向发包人和保险公司提交所需资料，同时负责向保险公司索赔。由于承包人索赔不力，造成保险赔偿差额，则差额部分除免赔额外均由承包人承担。</w:t>
      </w:r>
    </w:p>
    <w:p>
      <w:pPr>
        <w:spacing w:line="490" w:lineRule="exact"/>
        <w:ind w:firstLine="562" w:firstLineChars="200"/>
        <w:rPr>
          <w:rFonts w:eastAsia="楷体_GB2312"/>
          <w:b/>
          <w:bCs/>
          <w:color w:val="000000"/>
          <w:sz w:val="28"/>
          <w:szCs w:val="32"/>
        </w:rPr>
      </w:pPr>
      <w:r>
        <w:rPr>
          <w:rFonts w:eastAsia="楷体_GB2312"/>
          <w:b/>
          <w:bCs/>
          <w:color w:val="000000"/>
          <w:sz w:val="28"/>
          <w:szCs w:val="32"/>
        </w:rPr>
        <w:t>20.5其它保险</w:t>
      </w:r>
    </w:p>
    <w:p>
      <w:pPr>
        <w:spacing w:line="490" w:lineRule="exact"/>
        <w:ind w:firstLine="562" w:firstLineChars="200"/>
        <w:rPr>
          <w:rFonts w:eastAsia="仿宋_GB2312"/>
          <w:b/>
          <w:i/>
          <w:color w:val="000000"/>
          <w:sz w:val="28"/>
          <w:szCs w:val="32"/>
        </w:rPr>
      </w:pPr>
      <w:r>
        <w:rPr>
          <w:rFonts w:eastAsia="仿宋_GB2312"/>
          <w:b/>
          <w:i/>
          <w:color w:val="000000"/>
          <w:sz w:val="28"/>
          <w:szCs w:val="32"/>
        </w:rPr>
        <w:t>（适用于要求购买其他保险）：</w:t>
      </w:r>
    </w:p>
    <w:p>
      <w:pPr>
        <w:spacing w:line="490" w:lineRule="exact"/>
        <w:ind w:firstLine="560" w:firstLineChars="200"/>
        <w:rPr>
          <w:rFonts w:eastAsia="仿宋_GB2312"/>
          <w:color w:val="000000"/>
          <w:sz w:val="28"/>
          <w:szCs w:val="32"/>
        </w:rPr>
      </w:pPr>
      <w:r>
        <w:rPr>
          <w:rFonts w:eastAsia="仿宋_GB2312"/>
          <w:color w:val="000000"/>
          <w:sz w:val="28"/>
          <w:szCs w:val="32"/>
        </w:rPr>
        <w:t>需要投保的其它内容：</w:t>
      </w:r>
      <w:r>
        <w:rPr>
          <w:rFonts w:eastAsia="仿宋_GB2312"/>
          <w:color w:val="000000"/>
          <w:sz w:val="28"/>
          <w:szCs w:val="32"/>
          <w:u w:val="single"/>
        </w:rPr>
        <w:t xml:space="preserve">           </w:t>
      </w:r>
      <w:r>
        <w:rPr>
          <w:rFonts w:eastAsia="仿宋_GB2312"/>
          <w:color w:val="000000"/>
          <w:sz w:val="28"/>
          <w:szCs w:val="32"/>
        </w:rPr>
        <w:t>；</w:t>
      </w:r>
    </w:p>
    <w:p>
      <w:pPr>
        <w:spacing w:line="490" w:lineRule="exact"/>
        <w:ind w:firstLine="560" w:firstLineChars="200"/>
        <w:rPr>
          <w:rFonts w:eastAsia="仿宋_GB2312"/>
          <w:color w:val="000000"/>
          <w:sz w:val="28"/>
          <w:szCs w:val="32"/>
        </w:rPr>
      </w:pPr>
      <w:r>
        <w:rPr>
          <w:rFonts w:eastAsia="仿宋_GB2312"/>
          <w:color w:val="000000"/>
          <w:sz w:val="28"/>
          <w:szCs w:val="32"/>
        </w:rPr>
        <w:t>保险金额、保险费率：</w:t>
      </w:r>
      <w:r>
        <w:rPr>
          <w:rFonts w:eastAsia="仿宋_GB2312"/>
          <w:color w:val="000000"/>
          <w:sz w:val="28"/>
          <w:szCs w:val="32"/>
          <w:u w:val="single"/>
        </w:rPr>
        <w:t xml:space="preserve">         </w:t>
      </w:r>
      <w:r>
        <w:rPr>
          <w:rFonts w:eastAsia="仿宋_GB2312"/>
          <w:color w:val="000000"/>
          <w:sz w:val="28"/>
          <w:szCs w:val="32"/>
        </w:rPr>
        <w:t>。保险期限：</w:t>
      </w:r>
      <w:r>
        <w:rPr>
          <w:rFonts w:eastAsia="仿宋_GB2312"/>
          <w:color w:val="000000"/>
          <w:sz w:val="28"/>
          <w:szCs w:val="32"/>
          <w:u w:val="single"/>
        </w:rPr>
        <w:t xml:space="preserve">          </w:t>
      </w:r>
      <w:r>
        <w:rPr>
          <w:rFonts w:eastAsia="仿宋_GB2312"/>
          <w:color w:val="000000"/>
          <w:sz w:val="28"/>
          <w:szCs w:val="32"/>
        </w:rPr>
        <w:t>。</w:t>
      </w:r>
    </w:p>
    <w:p>
      <w:pPr>
        <w:spacing w:line="490" w:lineRule="exact"/>
        <w:ind w:firstLine="562" w:firstLineChars="200"/>
        <w:rPr>
          <w:rFonts w:eastAsia="仿宋_GB2312"/>
          <w:b/>
          <w:i/>
          <w:color w:val="000000"/>
          <w:sz w:val="28"/>
          <w:szCs w:val="32"/>
        </w:rPr>
      </w:pPr>
      <w:r>
        <w:rPr>
          <w:rFonts w:eastAsia="仿宋_GB2312"/>
          <w:b/>
          <w:i/>
          <w:color w:val="000000"/>
          <w:sz w:val="28"/>
          <w:szCs w:val="32"/>
        </w:rPr>
        <w:t>（适用于不要求购买其他保险）：</w:t>
      </w:r>
    </w:p>
    <w:p>
      <w:pPr>
        <w:spacing w:line="490" w:lineRule="exact"/>
        <w:ind w:firstLine="560" w:firstLineChars="200"/>
        <w:rPr>
          <w:rFonts w:eastAsia="仿宋_GB2312"/>
          <w:color w:val="000000"/>
          <w:sz w:val="28"/>
          <w:szCs w:val="32"/>
        </w:rPr>
      </w:pPr>
      <w:r>
        <w:rPr>
          <w:rFonts w:eastAsia="仿宋_GB2312"/>
          <w:color w:val="000000"/>
          <w:sz w:val="28"/>
          <w:szCs w:val="32"/>
        </w:rPr>
        <w:t>删除通用合同条款第20.5款全文。并以下文代替：本合同工程不需要购买其他保险。</w:t>
      </w:r>
    </w:p>
    <w:p>
      <w:pPr>
        <w:spacing w:line="490" w:lineRule="exact"/>
        <w:ind w:firstLine="562" w:firstLineChars="200"/>
        <w:rPr>
          <w:rFonts w:eastAsia="楷体_GB2312"/>
          <w:b/>
          <w:bCs/>
          <w:color w:val="000000"/>
          <w:sz w:val="28"/>
          <w:szCs w:val="32"/>
        </w:rPr>
      </w:pPr>
      <w:r>
        <w:rPr>
          <w:rFonts w:eastAsia="楷体_GB2312"/>
          <w:b/>
          <w:bCs/>
          <w:color w:val="000000"/>
          <w:sz w:val="28"/>
          <w:szCs w:val="32"/>
        </w:rPr>
        <w:t>20.6对各项保险的一般要求</w:t>
      </w:r>
    </w:p>
    <w:p>
      <w:pPr>
        <w:spacing w:line="490" w:lineRule="exact"/>
        <w:ind w:firstLine="562" w:firstLineChars="200"/>
        <w:rPr>
          <w:rFonts w:eastAsia="仿宋_GB2312"/>
          <w:b/>
          <w:i/>
          <w:color w:val="000000"/>
          <w:sz w:val="28"/>
          <w:szCs w:val="32"/>
        </w:rPr>
      </w:pPr>
      <w:r>
        <w:rPr>
          <w:rFonts w:eastAsia="仿宋_GB2312"/>
          <w:b/>
          <w:i/>
          <w:color w:val="000000"/>
          <w:sz w:val="28"/>
          <w:szCs w:val="32"/>
        </w:rPr>
        <w:t>（适用于要求购买各类保险）：</w:t>
      </w:r>
    </w:p>
    <w:p>
      <w:pPr>
        <w:spacing w:line="490" w:lineRule="exact"/>
        <w:ind w:firstLine="560" w:firstLineChars="200"/>
        <w:rPr>
          <w:rFonts w:eastAsia="仿宋_GB2312"/>
          <w:color w:val="000000"/>
          <w:sz w:val="28"/>
          <w:szCs w:val="32"/>
        </w:rPr>
      </w:pPr>
      <w:bookmarkStart w:id="1838" w:name="_Toc511318205"/>
      <w:r>
        <w:rPr>
          <w:rFonts w:eastAsia="仿宋_GB2312"/>
          <w:color w:val="000000"/>
          <w:sz w:val="28"/>
          <w:szCs w:val="32"/>
        </w:rPr>
        <w:t>20.6.1  保险凭证</w:t>
      </w:r>
      <w:bookmarkEnd w:id="1838"/>
    </w:p>
    <w:p>
      <w:pPr>
        <w:spacing w:line="490" w:lineRule="exact"/>
        <w:ind w:firstLine="560" w:firstLineChars="200"/>
        <w:rPr>
          <w:rFonts w:eastAsia="仿宋_GB2312"/>
          <w:color w:val="000000"/>
          <w:sz w:val="28"/>
          <w:szCs w:val="32"/>
        </w:rPr>
      </w:pPr>
      <w:r>
        <w:rPr>
          <w:rFonts w:eastAsia="仿宋_GB2312"/>
          <w:color w:val="000000"/>
          <w:sz w:val="28"/>
          <w:szCs w:val="32"/>
        </w:rPr>
        <w:t>承包人提交保险凭证的期限：</w:t>
      </w:r>
      <w:r>
        <w:rPr>
          <w:rFonts w:eastAsia="仿宋_GB2312"/>
          <w:color w:val="000000"/>
          <w:sz w:val="28"/>
          <w:szCs w:val="32"/>
          <w:u w:val="single"/>
        </w:rPr>
        <w:t xml:space="preserve">             </w:t>
      </w:r>
      <w:r>
        <w:rPr>
          <w:rFonts w:eastAsia="仿宋_GB2312"/>
          <w:color w:val="000000"/>
          <w:sz w:val="28"/>
          <w:szCs w:val="32"/>
        </w:rPr>
        <w:t>。</w:t>
      </w:r>
    </w:p>
    <w:p>
      <w:pPr>
        <w:spacing w:line="490" w:lineRule="exact"/>
        <w:ind w:firstLine="560" w:firstLineChars="200"/>
        <w:rPr>
          <w:rFonts w:eastAsia="仿宋_GB2312"/>
          <w:color w:val="000000"/>
          <w:sz w:val="28"/>
          <w:szCs w:val="32"/>
        </w:rPr>
      </w:pPr>
      <w:r>
        <w:rPr>
          <w:rFonts w:eastAsia="仿宋_GB2312"/>
          <w:color w:val="000000"/>
          <w:sz w:val="28"/>
          <w:szCs w:val="32"/>
        </w:rPr>
        <w:t>保险条件：</w:t>
      </w:r>
      <w:r>
        <w:rPr>
          <w:rFonts w:eastAsia="仿宋_GB2312"/>
          <w:color w:val="000000"/>
          <w:sz w:val="28"/>
          <w:szCs w:val="32"/>
          <w:u w:val="single"/>
        </w:rPr>
        <w:t xml:space="preserve">           </w:t>
      </w:r>
      <w:r>
        <w:rPr>
          <w:rFonts w:eastAsia="仿宋_GB2312"/>
          <w:color w:val="000000"/>
          <w:sz w:val="28"/>
          <w:szCs w:val="32"/>
        </w:rPr>
        <w:t>；</w:t>
      </w:r>
    </w:p>
    <w:p>
      <w:pPr>
        <w:spacing w:line="490" w:lineRule="exact"/>
        <w:ind w:firstLine="560" w:firstLineChars="200"/>
        <w:rPr>
          <w:rFonts w:eastAsia="仿宋_GB2312"/>
          <w:color w:val="000000"/>
          <w:sz w:val="28"/>
          <w:szCs w:val="32"/>
        </w:rPr>
      </w:pPr>
      <w:r>
        <w:rPr>
          <w:rFonts w:eastAsia="仿宋_GB2312"/>
          <w:color w:val="000000"/>
          <w:sz w:val="28"/>
          <w:szCs w:val="32"/>
        </w:rPr>
        <w:t>20.6.4  保险金不足的补偿</w:t>
      </w:r>
    </w:p>
    <w:p>
      <w:pPr>
        <w:spacing w:line="490" w:lineRule="exact"/>
        <w:ind w:firstLine="560" w:firstLineChars="200"/>
        <w:rPr>
          <w:rFonts w:eastAsia="仿宋_GB2312"/>
          <w:color w:val="000000"/>
          <w:sz w:val="28"/>
          <w:szCs w:val="32"/>
        </w:rPr>
      </w:pPr>
      <w:r>
        <w:rPr>
          <w:rFonts w:eastAsia="仿宋_GB2312"/>
          <w:color w:val="000000"/>
          <w:sz w:val="28"/>
          <w:szCs w:val="32"/>
        </w:rPr>
        <w:t>承包人负责补偿的范围与金额：</w:t>
      </w:r>
      <w:r>
        <w:rPr>
          <w:rFonts w:eastAsia="仿宋_GB2312"/>
          <w:color w:val="000000"/>
          <w:sz w:val="28"/>
          <w:szCs w:val="32"/>
          <w:u w:val="single"/>
        </w:rPr>
        <w:t xml:space="preserve">              </w:t>
      </w:r>
      <w:r>
        <w:rPr>
          <w:rFonts w:eastAsia="仿宋_GB2312"/>
          <w:color w:val="000000"/>
          <w:sz w:val="28"/>
          <w:szCs w:val="32"/>
        </w:rPr>
        <w:t>；</w:t>
      </w:r>
    </w:p>
    <w:p>
      <w:pPr>
        <w:spacing w:line="490" w:lineRule="exact"/>
        <w:ind w:firstLine="560" w:firstLineChars="200"/>
        <w:rPr>
          <w:rFonts w:eastAsia="仿宋_GB2312"/>
          <w:color w:val="000000"/>
          <w:sz w:val="28"/>
          <w:szCs w:val="32"/>
        </w:rPr>
      </w:pPr>
      <w:r>
        <w:rPr>
          <w:rFonts w:eastAsia="仿宋_GB2312"/>
          <w:color w:val="000000"/>
          <w:sz w:val="28"/>
          <w:szCs w:val="32"/>
        </w:rPr>
        <w:t>发包人负责补偿的范围与金额：</w:t>
      </w:r>
      <w:r>
        <w:rPr>
          <w:rFonts w:eastAsia="仿宋_GB2312"/>
          <w:color w:val="000000"/>
          <w:sz w:val="28"/>
          <w:szCs w:val="32"/>
          <w:u w:val="single"/>
        </w:rPr>
        <w:t xml:space="preserve">              </w:t>
      </w:r>
      <w:r>
        <w:rPr>
          <w:rFonts w:eastAsia="仿宋_GB2312"/>
          <w:color w:val="000000"/>
          <w:sz w:val="28"/>
          <w:szCs w:val="32"/>
        </w:rPr>
        <w:t>。</w:t>
      </w:r>
    </w:p>
    <w:p>
      <w:pPr>
        <w:pStyle w:val="6"/>
        <w:keepNext w:val="0"/>
        <w:keepLines w:val="0"/>
        <w:snapToGrid w:val="0"/>
        <w:spacing w:before="0" w:after="0" w:line="490" w:lineRule="exact"/>
        <w:ind w:firstLine="562" w:firstLineChars="200"/>
        <w:rPr>
          <w:rFonts w:eastAsia="黑体"/>
          <w:bCs w:val="0"/>
          <w:color w:val="000000"/>
          <w:sz w:val="28"/>
        </w:rPr>
      </w:pPr>
      <w:bookmarkStart w:id="1839" w:name="_Toc6067"/>
      <w:bookmarkStart w:id="1840" w:name="_Toc5715"/>
      <w:bookmarkStart w:id="1841" w:name="_Toc51091922"/>
      <w:r>
        <w:rPr>
          <w:rFonts w:eastAsia="黑体"/>
          <w:bCs w:val="0"/>
          <w:color w:val="000000"/>
          <w:sz w:val="28"/>
        </w:rPr>
        <w:t>22．违约</w:t>
      </w:r>
      <w:bookmarkEnd w:id="1839"/>
      <w:bookmarkEnd w:id="1840"/>
      <w:bookmarkEnd w:id="1841"/>
    </w:p>
    <w:p>
      <w:pPr>
        <w:spacing w:line="490" w:lineRule="exact"/>
        <w:ind w:firstLine="562" w:firstLineChars="200"/>
        <w:rPr>
          <w:rFonts w:eastAsia="楷体_GB2312"/>
          <w:b/>
          <w:bCs/>
          <w:color w:val="000000"/>
          <w:sz w:val="28"/>
          <w:szCs w:val="32"/>
        </w:rPr>
      </w:pPr>
      <w:r>
        <w:rPr>
          <w:rFonts w:eastAsia="楷体_GB2312"/>
          <w:b/>
          <w:bCs/>
          <w:color w:val="000000"/>
          <w:sz w:val="28"/>
          <w:szCs w:val="32"/>
        </w:rPr>
        <w:t>22.1承包人违约</w:t>
      </w:r>
    </w:p>
    <w:p>
      <w:pPr>
        <w:pStyle w:val="154"/>
        <w:autoSpaceDE/>
        <w:autoSpaceDN/>
        <w:adjustRightInd/>
        <w:spacing w:line="490" w:lineRule="exact"/>
        <w:ind w:firstLine="560" w:firstLineChars="200"/>
        <w:jc w:val="both"/>
        <w:rPr>
          <w:rFonts w:ascii="Times New Roman" w:eastAsia="仿宋_GB2312" w:cs="Times New Roman"/>
          <w:color w:val="000000"/>
          <w:sz w:val="28"/>
          <w:szCs w:val="32"/>
        </w:rPr>
      </w:pPr>
      <w:r>
        <w:rPr>
          <w:rFonts w:ascii="Times New Roman" w:eastAsia="仿宋_GB2312" w:cs="Times New Roman"/>
          <w:color w:val="000000"/>
          <w:sz w:val="28"/>
          <w:szCs w:val="32"/>
        </w:rPr>
        <w:t>22.1.1 承包人违约的情形</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补充：</w:t>
      </w: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（4）承包人按</w:t>
      </w:r>
      <w:r>
        <w:rPr>
          <w:rFonts w:eastAsia="仿宋_GB2312"/>
          <w:color w:val="000000"/>
          <w:sz w:val="28"/>
          <w:szCs w:val="32"/>
        </w:rPr>
        <w:t>合同承诺的主要施工机械设备未按时进场或未按时破土动工。</w:t>
      </w:r>
    </w:p>
    <w:p>
      <w:pPr>
        <w:spacing w:line="490" w:lineRule="exact"/>
        <w:ind w:firstLine="548" w:firstLineChars="196"/>
        <w:rPr>
          <w:rFonts w:eastAsia="仿宋_GB2312"/>
          <w:color w:val="000000"/>
          <w:kern w:val="0"/>
          <w:sz w:val="28"/>
          <w:szCs w:val="32"/>
        </w:rPr>
      </w:pPr>
      <w:r>
        <w:rPr>
          <w:rFonts w:eastAsia="仿宋_GB2312"/>
          <w:color w:val="000000"/>
          <w:kern w:val="0"/>
          <w:sz w:val="28"/>
          <w:szCs w:val="32"/>
        </w:rPr>
        <w:t>（5）承包人的工程施工进度滞后招标文件《技术标准和要求》1.2.2项中的控制性进度15天（</w:t>
      </w:r>
      <w:r>
        <w:rPr>
          <w:rFonts w:hint="eastAsia" w:eastAsia="仿宋_GB2312"/>
          <w:color w:val="000000"/>
          <w:kern w:val="0"/>
          <w:sz w:val="28"/>
          <w:szCs w:val="32"/>
        </w:rPr>
        <w:t>天</w:t>
      </w:r>
      <w:r>
        <w:rPr>
          <w:rFonts w:eastAsia="仿宋_GB2312"/>
          <w:color w:val="000000"/>
          <w:kern w:val="0"/>
          <w:sz w:val="28"/>
          <w:szCs w:val="32"/>
        </w:rPr>
        <w:t>）以上。</w:t>
      </w:r>
    </w:p>
    <w:p>
      <w:pPr>
        <w:spacing w:line="490" w:lineRule="exact"/>
        <w:ind w:firstLine="548" w:firstLineChars="196"/>
        <w:rPr>
          <w:rFonts w:eastAsia="仿宋_GB2312"/>
          <w:color w:val="000000"/>
          <w:sz w:val="28"/>
          <w:szCs w:val="32"/>
        </w:rPr>
      </w:pPr>
      <w:r>
        <w:rPr>
          <w:rFonts w:eastAsia="仿宋_GB2312"/>
          <w:color w:val="000000"/>
          <w:kern w:val="0"/>
          <w:sz w:val="28"/>
          <w:szCs w:val="32"/>
        </w:rPr>
        <w:t>（6）除不可抗力因素外，承包人工地停工10天（</w:t>
      </w:r>
      <w:r>
        <w:rPr>
          <w:rFonts w:hint="eastAsia" w:eastAsia="仿宋_GB2312"/>
          <w:color w:val="000000"/>
          <w:kern w:val="0"/>
          <w:sz w:val="28"/>
          <w:szCs w:val="32"/>
        </w:rPr>
        <w:t>天</w:t>
      </w:r>
      <w:r>
        <w:rPr>
          <w:rFonts w:eastAsia="仿宋_GB2312"/>
          <w:color w:val="000000"/>
          <w:kern w:val="0"/>
          <w:sz w:val="28"/>
          <w:szCs w:val="32"/>
        </w:rPr>
        <w:t>）以上</w:t>
      </w:r>
      <w:r>
        <w:rPr>
          <w:rFonts w:eastAsia="仿宋_GB2312"/>
          <w:color w:val="000000"/>
          <w:sz w:val="28"/>
          <w:szCs w:val="32"/>
        </w:rPr>
        <w:t>。</w:t>
      </w:r>
    </w:p>
    <w:p>
      <w:pPr>
        <w:spacing w:line="490" w:lineRule="exact"/>
        <w:ind w:firstLine="560" w:firstLineChars="200"/>
        <w:rPr>
          <w:rFonts w:eastAsia="仿宋_GB2312"/>
          <w:color w:val="000000"/>
          <w:kern w:val="0"/>
          <w:sz w:val="28"/>
          <w:szCs w:val="32"/>
        </w:rPr>
      </w:pPr>
      <w:r>
        <w:rPr>
          <w:rFonts w:eastAsia="仿宋_GB2312"/>
          <w:color w:val="000000"/>
          <w:sz w:val="28"/>
          <w:szCs w:val="32"/>
        </w:rPr>
        <w:t>（7）在合同实施期间发现承包人提供了虚假资料（含招投标阶段）。</w:t>
      </w:r>
    </w:p>
    <w:p>
      <w:pPr>
        <w:spacing w:line="490" w:lineRule="exact"/>
        <w:ind w:firstLine="560" w:firstLineChars="200"/>
        <w:rPr>
          <w:rFonts w:eastAsia="仿宋_GB2312"/>
          <w:color w:val="000000"/>
          <w:kern w:val="0"/>
          <w:sz w:val="28"/>
          <w:szCs w:val="32"/>
        </w:rPr>
      </w:pPr>
      <w:bookmarkStart w:id="1842" w:name="_Toc511318207"/>
      <w:r>
        <w:rPr>
          <w:rFonts w:eastAsia="仿宋_GB2312"/>
          <w:color w:val="000000"/>
          <w:kern w:val="0"/>
          <w:sz w:val="28"/>
          <w:szCs w:val="32"/>
        </w:rPr>
        <w:t>22.1.2 对承包人违约的处理</w:t>
      </w:r>
      <w:bookmarkEnd w:id="1842"/>
    </w:p>
    <w:p>
      <w:pPr>
        <w:spacing w:line="490" w:lineRule="exact"/>
        <w:ind w:firstLine="562" w:firstLineChars="200"/>
        <w:rPr>
          <w:rFonts w:eastAsia="仿宋_GB2312"/>
          <w:color w:val="000000"/>
          <w:sz w:val="28"/>
          <w:szCs w:val="32"/>
        </w:rPr>
      </w:pPr>
      <w:r>
        <w:rPr>
          <w:rFonts w:eastAsia="仿宋_GB2312"/>
          <w:b/>
          <w:color w:val="000000"/>
          <w:kern w:val="0"/>
          <w:sz w:val="28"/>
          <w:szCs w:val="32"/>
        </w:rPr>
        <w:t>补充：</w:t>
      </w:r>
      <w:r>
        <w:rPr>
          <w:rFonts w:eastAsia="仿宋_GB2312"/>
          <w:color w:val="000000"/>
          <w:sz w:val="28"/>
          <w:szCs w:val="32"/>
        </w:rPr>
        <w:t>（7）承包人在签署了合同协议书之后，必须保证合同承诺的主要施工机械设备应在发包人指定的日期到场，以保证工程顺利开工。若合同承诺的主要施工机械设备不能按时进场或未按发包人指定时间成功破土，发包人将视为承包人自动放弃本合同工程。</w:t>
      </w:r>
    </w:p>
    <w:p>
      <w:pPr>
        <w:spacing w:line="490" w:lineRule="exact"/>
        <w:ind w:firstLine="560" w:firstLineChars="200"/>
        <w:rPr>
          <w:rFonts w:eastAsia="仿宋_GB2312"/>
          <w:color w:val="000000"/>
          <w:kern w:val="0"/>
          <w:sz w:val="28"/>
          <w:szCs w:val="32"/>
        </w:rPr>
      </w:pPr>
      <w:r>
        <w:rPr>
          <w:rFonts w:eastAsia="仿宋_GB2312"/>
          <w:color w:val="000000"/>
          <w:sz w:val="28"/>
          <w:szCs w:val="32"/>
        </w:rPr>
        <w:t>（8）工程实施期间，</w:t>
      </w:r>
      <w:r>
        <w:rPr>
          <w:rFonts w:eastAsia="仿宋_GB2312"/>
          <w:color w:val="000000"/>
          <w:kern w:val="0"/>
          <w:sz w:val="28"/>
          <w:szCs w:val="32"/>
        </w:rPr>
        <w:t>承包人的工程施工进度滞后招标文件《技术标准和要求》1.2.2项本合同施工控制性进度</w:t>
      </w:r>
      <w:r>
        <w:rPr>
          <w:rFonts w:eastAsia="仿宋_GB2312"/>
          <w:color w:val="000000"/>
          <w:kern w:val="0"/>
          <w:sz w:val="28"/>
          <w:szCs w:val="32"/>
          <w:u w:val="single"/>
        </w:rPr>
        <w:t xml:space="preserve">     </w:t>
      </w:r>
      <w:r>
        <w:rPr>
          <w:rFonts w:eastAsia="仿宋_GB2312"/>
          <w:color w:val="000000"/>
          <w:kern w:val="0"/>
          <w:sz w:val="28"/>
          <w:szCs w:val="32"/>
        </w:rPr>
        <w:t>天（</w:t>
      </w:r>
      <w:r>
        <w:rPr>
          <w:rFonts w:hint="eastAsia" w:eastAsia="仿宋_GB2312"/>
          <w:color w:val="000000"/>
          <w:kern w:val="0"/>
          <w:sz w:val="28"/>
          <w:szCs w:val="32"/>
        </w:rPr>
        <w:t>天</w:t>
      </w:r>
      <w:r>
        <w:rPr>
          <w:rFonts w:eastAsia="仿宋_GB2312"/>
          <w:color w:val="000000"/>
          <w:kern w:val="0"/>
          <w:sz w:val="28"/>
          <w:szCs w:val="32"/>
        </w:rPr>
        <w:t>）以上</w:t>
      </w:r>
      <w:r>
        <w:rPr>
          <w:rFonts w:eastAsia="仿宋_GB2312"/>
          <w:color w:val="000000"/>
          <w:sz w:val="28"/>
          <w:szCs w:val="32"/>
        </w:rPr>
        <w:t>，</w:t>
      </w:r>
      <w:r>
        <w:rPr>
          <w:rFonts w:eastAsia="仿宋_GB2312"/>
          <w:color w:val="000000"/>
          <w:kern w:val="0"/>
          <w:sz w:val="28"/>
          <w:szCs w:val="32"/>
        </w:rPr>
        <w:t>发包人将视为承包人自动放弃本合同工程。</w:t>
      </w:r>
    </w:p>
    <w:p>
      <w:pPr>
        <w:spacing w:line="490" w:lineRule="exact"/>
        <w:ind w:firstLine="560" w:firstLineChars="200"/>
        <w:rPr>
          <w:rFonts w:eastAsia="仿宋_GB2312"/>
          <w:color w:val="000000"/>
          <w:sz w:val="28"/>
          <w:szCs w:val="32"/>
        </w:rPr>
      </w:pPr>
      <w:r>
        <w:rPr>
          <w:rFonts w:eastAsia="仿宋_GB2312"/>
          <w:color w:val="000000"/>
          <w:kern w:val="0"/>
          <w:sz w:val="28"/>
          <w:szCs w:val="32"/>
        </w:rPr>
        <w:t>（9）除不可抗力因素外，承包人工地停工</w:t>
      </w:r>
      <w:r>
        <w:rPr>
          <w:rFonts w:eastAsia="仿宋_GB2312"/>
          <w:color w:val="000000"/>
          <w:kern w:val="0"/>
          <w:sz w:val="28"/>
          <w:szCs w:val="32"/>
          <w:u w:val="single"/>
        </w:rPr>
        <w:t xml:space="preserve">    </w:t>
      </w:r>
      <w:r>
        <w:rPr>
          <w:rFonts w:eastAsia="仿宋_GB2312"/>
          <w:color w:val="000000"/>
          <w:kern w:val="0"/>
          <w:sz w:val="28"/>
          <w:szCs w:val="32"/>
        </w:rPr>
        <w:t>天（</w:t>
      </w:r>
      <w:r>
        <w:rPr>
          <w:rFonts w:hint="eastAsia" w:eastAsia="仿宋_GB2312"/>
          <w:color w:val="000000"/>
          <w:kern w:val="0"/>
          <w:sz w:val="28"/>
          <w:szCs w:val="32"/>
        </w:rPr>
        <w:t>天</w:t>
      </w:r>
      <w:r>
        <w:rPr>
          <w:rFonts w:eastAsia="仿宋_GB2312"/>
          <w:color w:val="000000"/>
          <w:kern w:val="0"/>
          <w:sz w:val="28"/>
          <w:szCs w:val="32"/>
        </w:rPr>
        <w:t>）以上</w:t>
      </w:r>
      <w:r>
        <w:rPr>
          <w:rFonts w:eastAsia="仿宋_GB2312"/>
          <w:color w:val="000000"/>
          <w:sz w:val="28"/>
          <w:szCs w:val="32"/>
        </w:rPr>
        <w:t>，</w:t>
      </w:r>
      <w:r>
        <w:rPr>
          <w:rFonts w:eastAsia="仿宋_GB2312"/>
          <w:color w:val="000000"/>
          <w:kern w:val="0"/>
          <w:sz w:val="28"/>
          <w:szCs w:val="32"/>
        </w:rPr>
        <w:t>发包人将视为承包人自动放弃本合同工程。</w:t>
      </w:r>
    </w:p>
    <w:p>
      <w:pPr>
        <w:spacing w:line="490" w:lineRule="exact"/>
        <w:ind w:firstLine="560" w:firstLineChars="200"/>
        <w:rPr>
          <w:rFonts w:eastAsia="仿宋_GB2312"/>
          <w:color w:val="000000"/>
          <w:sz w:val="28"/>
          <w:szCs w:val="32"/>
        </w:rPr>
      </w:pPr>
      <w:r>
        <w:rPr>
          <w:rFonts w:eastAsia="仿宋_GB2312"/>
          <w:color w:val="000000"/>
          <w:sz w:val="28"/>
          <w:szCs w:val="32"/>
        </w:rPr>
        <w:t>（10）在合同实施期间发现承包人提供了虚假资料（含招投标阶段）的，发包人有权从工程支付款或履约担保中扣除不超过</w:t>
      </w:r>
      <w:r>
        <w:rPr>
          <w:rFonts w:eastAsia="仿宋_GB2312"/>
          <w:color w:val="000000"/>
          <w:sz w:val="28"/>
          <w:szCs w:val="32"/>
          <w:u w:val="single"/>
        </w:rPr>
        <w:t xml:space="preserve">       </w:t>
      </w:r>
      <w:r>
        <w:rPr>
          <w:rFonts w:eastAsia="仿宋_GB2312"/>
          <w:color w:val="000000"/>
          <w:sz w:val="28"/>
          <w:szCs w:val="32"/>
        </w:rPr>
        <w:t>％（招标人自行填写，建议不超过10％）签约合同价的金额作为违约金。同时发包人将承包人以弄虚作假行为上报有管辖权的</w:t>
      </w:r>
      <w:r>
        <w:rPr>
          <w:rFonts w:hint="eastAsia" w:eastAsia="仿宋_GB2312"/>
          <w:color w:val="000000"/>
          <w:sz w:val="28"/>
          <w:szCs w:val="32"/>
        </w:rPr>
        <w:t>建设或水行政</w:t>
      </w:r>
      <w:r>
        <w:rPr>
          <w:rFonts w:eastAsia="仿宋_GB2312"/>
          <w:color w:val="000000"/>
          <w:sz w:val="28"/>
          <w:szCs w:val="32"/>
        </w:rPr>
        <w:t>主管部门依法进行处理，并作为不良行为记入</w:t>
      </w:r>
      <w:r>
        <w:rPr>
          <w:rFonts w:hint="eastAsia" w:eastAsia="仿宋_GB2312"/>
          <w:color w:val="000000"/>
          <w:sz w:val="28"/>
          <w:szCs w:val="32"/>
        </w:rPr>
        <w:t>相关系统</w:t>
      </w:r>
      <w:r>
        <w:rPr>
          <w:rFonts w:eastAsia="仿宋_GB2312"/>
          <w:color w:val="000000"/>
          <w:sz w:val="28"/>
          <w:szCs w:val="32"/>
        </w:rPr>
        <w:t>。</w:t>
      </w:r>
    </w:p>
    <w:p>
      <w:pPr>
        <w:spacing w:line="490" w:lineRule="exact"/>
        <w:ind w:firstLine="562" w:firstLineChars="200"/>
        <w:rPr>
          <w:rFonts w:eastAsia="楷体_GB2312"/>
          <w:b/>
          <w:bCs/>
          <w:color w:val="000000"/>
          <w:sz w:val="28"/>
          <w:szCs w:val="32"/>
        </w:rPr>
      </w:pPr>
      <w:r>
        <w:rPr>
          <w:rFonts w:eastAsia="楷体_GB2312"/>
          <w:b/>
          <w:bCs/>
          <w:color w:val="000000"/>
          <w:sz w:val="28"/>
          <w:szCs w:val="32"/>
        </w:rPr>
        <w:t>22.4 违约金的使用（新增）</w:t>
      </w:r>
    </w:p>
    <w:p>
      <w:pPr>
        <w:spacing w:line="490" w:lineRule="exact"/>
        <w:ind w:firstLine="560" w:firstLineChars="200"/>
        <w:rPr>
          <w:rFonts w:eastAsia="仿宋_GB2312"/>
          <w:color w:val="000000"/>
          <w:sz w:val="28"/>
          <w:szCs w:val="32"/>
        </w:rPr>
      </w:pPr>
      <w:r>
        <w:rPr>
          <w:rFonts w:eastAsia="仿宋_GB2312"/>
          <w:color w:val="000000"/>
          <w:sz w:val="28"/>
          <w:szCs w:val="32"/>
        </w:rPr>
        <w:t>本合同履行过程中因承包人原因所产生的违约金和罚款，发包人将用于工程或奖励在工程施工过程中工期进度、质量、安全、文明施工等方面考核成绩优秀的单位和个人，具体奖励办法另行制定。</w:t>
      </w:r>
    </w:p>
    <w:p>
      <w:pPr>
        <w:spacing w:line="490" w:lineRule="exact"/>
        <w:ind w:firstLine="560" w:firstLineChars="200"/>
        <w:rPr>
          <w:rFonts w:eastAsia="仿宋_GB2312"/>
          <w:color w:val="000000"/>
          <w:sz w:val="28"/>
          <w:szCs w:val="32"/>
        </w:rPr>
      </w:pPr>
      <w:r>
        <w:rPr>
          <w:rFonts w:eastAsia="仿宋_GB2312"/>
          <w:color w:val="000000"/>
          <w:sz w:val="28"/>
          <w:szCs w:val="32"/>
        </w:rPr>
        <w:t>……………………</w:t>
      </w:r>
    </w:p>
    <w:p>
      <w:pPr>
        <w:pStyle w:val="6"/>
        <w:keepNext w:val="0"/>
        <w:keepLines w:val="0"/>
        <w:snapToGrid w:val="0"/>
        <w:spacing w:before="0" w:after="0" w:line="490" w:lineRule="exact"/>
        <w:ind w:firstLine="562" w:firstLineChars="200"/>
        <w:rPr>
          <w:rFonts w:hint="eastAsia" w:eastAsia="黑体"/>
          <w:color w:val="000000"/>
          <w:sz w:val="28"/>
        </w:rPr>
      </w:pPr>
      <w:bookmarkStart w:id="1843" w:name="_Toc51091923"/>
      <w:bookmarkStart w:id="1844" w:name="_Toc20776"/>
      <w:bookmarkStart w:id="1845" w:name="_Toc22490"/>
      <w:r>
        <w:rPr>
          <w:rFonts w:hint="eastAsia" w:eastAsia="黑体"/>
          <w:color w:val="000000"/>
          <w:sz w:val="28"/>
          <w:lang w:eastAsia="zh-CN"/>
        </w:rPr>
        <w:t>23.</w:t>
      </w:r>
      <w:r>
        <w:rPr>
          <w:rFonts w:hint="eastAsia" w:eastAsia="黑体"/>
          <w:color w:val="000000"/>
          <w:sz w:val="28"/>
        </w:rPr>
        <w:t>索赔</w:t>
      </w:r>
    </w:p>
    <w:p>
      <w:pPr>
        <w:spacing w:line="490" w:lineRule="exact"/>
        <w:ind w:firstLine="562" w:firstLineChars="200"/>
        <w:rPr>
          <w:rFonts w:eastAsia="楷体_GB2312"/>
          <w:b/>
          <w:bCs/>
          <w:color w:val="000000"/>
          <w:sz w:val="28"/>
          <w:szCs w:val="32"/>
        </w:rPr>
      </w:pPr>
      <w:r>
        <w:rPr>
          <w:rFonts w:eastAsia="楷体_GB2312"/>
          <w:b/>
          <w:bCs/>
          <w:color w:val="000000"/>
          <w:sz w:val="28"/>
          <w:szCs w:val="32"/>
        </w:rPr>
        <w:t>2</w:t>
      </w:r>
      <w:r>
        <w:rPr>
          <w:rFonts w:hint="eastAsia" w:eastAsia="楷体_GB2312"/>
          <w:b/>
          <w:bCs/>
          <w:color w:val="000000"/>
          <w:sz w:val="28"/>
          <w:szCs w:val="32"/>
        </w:rPr>
        <w:t>3</w:t>
      </w:r>
      <w:r>
        <w:rPr>
          <w:rFonts w:eastAsia="楷体_GB2312"/>
          <w:b/>
          <w:bCs/>
          <w:color w:val="000000"/>
          <w:sz w:val="28"/>
          <w:szCs w:val="32"/>
        </w:rPr>
        <w:t>.1 承包人索赔的提出</w:t>
      </w:r>
    </w:p>
    <w:p>
      <w:pPr>
        <w:pStyle w:val="2"/>
        <w:spacing w:line="490" w:lineRule="exact"/>
        <w:rPr>
          <w:rFonts w:hint="eastAsia" w:eastAsia="仿宋_GB2312"/>
          <w:color w:val="000000"/>
          <w:sz w:val="28"/>
          <w:szCs w:val="32"/>
          <w:lang w:val="en-US" w:eastAsia="zh-CN"/>
        </w:rPr>
      </w:pPr>
      <w:r>
        <w:rPr>
          <w:rFonts w:hint="eastAsia" w:eastAsia="仿宋_GB2312"/>
          <w:color w:val="000000"/>
          <w:sz w:val="28"/>
          <w:szCs w:val="32"/>
          <w:lang w:val="en-US" w:eastAsia="zh-CN"/>
        </w:rPr>
        <w:t xml:space="preserve">    </w:t>
      </w:r>
      <w:r>
        <w:rPr>
          <w:rFonts w:eastAsia="仿宋_GB2312"/>
          <w:color w:val="000000"/>
          <w:sz w:val="28"/>
          <w:szCs w:val="32"/>
          <w:lang w:val="en-US" w:eastAsia="zh-CN"/>
        </w:rPr>
        <w:t>承包人索赔的提出</w:t>
      </w:r>
      <w:r>
        <w:rPr>
          <w:rFonts w:hint="eastAsia" w:eastAsia="仿宋_GB2312"/>
          <w:color w:val="000000"/>
          <w:sz w:val="28"/>
          <w:szCs w:val="32"/>
          <w:lang w:val="en-US" w:eastAsia="zh-CN"/>
        </w:rPr>
        <w:t>：</w:t>
      </w:r>
      <w:r>
        <w:rPr>
          <w:rFonts w:hint="eastAsia" w:eastAsia="仿宋_GB2312"/>
          <w:color w:val="000000"/>
          <w:sz w:val="28"/>
          <w:szCs w:val="32"/>
          <w:u w:val="single"/>
          <w:lang w:val="en-US" w:eastAsia="zh-CN"/>
        </w:rPr>
        <w:t xml:space="preserve">             </w:t>
      </w:r>
      <w:r>
        <w:rPr>
          <w:rFonts w:hint="eastAsia" w:eastAsia="仿宋_GB2312"/>
          <w:color w:val="000000"/>
          <w:sz w:val="28"/>
          <w:szCs w:val="32"/>
          <w:lang w:val="en-US" w:eastAsia="zh-CN"/>
        </w:rPr>
        <w:t xml:space="preserve"> 。</w:t>
      </w:r>
    </w:p>
    <w:p>
      <w:pPr>
        <w:pStyle w:val="6"/>
        <w:keepNext w:val="0"/>
        <w:keepLines w:val="0"/>
        <w:snapToGrid w:val="0"/>
        <w:spacing w:before="0" w:after="0" w:line="490" w:lineRule="exact"/>
        <w:ind w:firstLine="562" w:firstLineChars="200"/>
        <w:rPr>
          <w:rFonts w:eastAsia="黑体"/>
          <w:color w:val="000000"/>
          <w:sz w:val="28"/>
        </w:rPr>
      </w:pPr>
      <w:r>
        <w:rPr>
          <w:rFonts w:eastAsia="黑体"/>
          <w:color w:val="000000"/>
          <w:sz w:val="28"/>
        </w:rPr>
        <w:t>2</w:t>
      </w:r>
      <w:r>
        <w:rPr>
          <w:rFonts w:hint="eastAsia" w:eastAsia="黑体"/>
          <w:color w:val="000000"/>
          <w:sz w:val="28"/>
        </w:rPr>
        <w:t>4</w:t>
      </w:r>
      <w:r>
        <w:rPr>
          <w:rFonts w:eastAsia="黑体"/>
          <w:color w:val="000000"/>
          <w:sz w:val="28"/>
        </w:rPr>
        <w:t>．争议的解决</w:t>
      </w:r>
      <w:bookmarkEnd w:id="1843"/>
      <w:bookmarkEnd w:id="1844"/>
      <w:bookmarkEnd w:id="1845"/>
    </w:p>
    <w:p>
      <w:pPr>
        <w:spacing w:line="490" w:lineRule="exact"/>
        <w:ind w:firstLine="562" w:firstLineChars="200"/>
        <w:rPr>
          <w:rFonts w:eastAsia="楷体_GB2312"/>
          <w:b/>
          <w:bCs/>
          <w:color w:val="000000"/>
          <w:sz w:val="28"/>
          <w:szCs w:val="32"/>
        </w:rPr>
      </w:pPr>
      <w:r>
        <w:rPr>
          <w:rFonts w:eastAsia="楷体_GB2312"/>
          <w:b/>
          <w:bCs/>
          <w:color w:val="000000"/>
          <w:sz w:val="28"/>
          <w:szCs w:val="32"/>
        </w:rPr>
        <w:t>2</w:t>
      </w:r>
      <w:r>
        <w:rPr>
          <w:rFonts w:hint="eastAsia" w:eastAsia="楷体_GB2312"/>
          <w:b/>
          <w:bCs/>
          <w:color w:val="000000"/>
          <w:sz w:val="28"/>
          <w:szCs w:val="32"/>
        </w:rPr>
        <w:t>4</w:t>
      </w:r>
      <w:r>
        <w:rPr>
          <w:rFonts w:eastAsia="楷体_GB2312"/>
          <w:b/>
          <w:bCs/>
          <w:color w:val="000000"/>
          <w:sz w:val="28"/>
          <w:szCs w:val="32"/>
        </w:rPr>
        <w:t>.1争议的解决方式</w:t>
      </w:r>
    </w:p>
    <w:p>
      <w:pPr>
        <w:spacing w:line="490" w:lineRule="exact"/>
        <w:ind w:firstLine="560" w:firstLineChars="200"/>
        <w:rPr>
          <w:rFonts w:eastAsia="仿宋_GB2312"/>
          <w:color w:val="000000"/>
          <w:sz w:val="28"/>
          <w:szCs w:val="32"/>
        </w:rPr>
      </w:pPr>
      <w:r>
        <w:rPr>
          <w:rFonts w:eastAsia="仿宋_GB2312"/>
          <w:color w:val="000000"/>
          <w:sz w:val="28"/>
          <w:szCs w:val="32"/>
        </w:rPr>
        <w:t>合同当事人友好协商解决不成、不愿提请争议评审或不接受争议评审组意见的，约定的合同争议解决方式：</w:t>
      </w:r>
      <w:r>
        <w:rPr>
          <w:rFonts w:eastAsia="仿宋_GB2312"/>
          <w:color w:val="000000"/>
          <w:sz w:val="28"/>
          <w:szCs w:val="32"/>
          <w:u w:val="single"/>
        </w:rPr>
        <w:t xml:space="preserve">           </w:t>
      </w:r>
      <w:r>
        <w:rPr>
          <w:rFonts w:eastAsia="仿宋_GB2312"/>
          <w:color w:val="000000"/>
          <w:sz w:val="28"/>
          <w:szCs w:val="32"/>
        </w:rPr>
        <w:t>。双方一致同意将该争议</w:t>
      </w:r>
      <w:r>
        <w:rPr>
          <w:rFonts w:eastAsia="仿宋_GB2312"/>
          <w:color w:val="000000"/>
          <w:sz w:val="28"/>
          <w:szCs w:val="32"/>
          <w:u w:val="single"/>
        </w:rPr>
        <w:t xml:space="preserve">            </w:t>
      </w:r>
      <w:r>
        <w:rPr>
          <w:rFonts w:eastAsia="仿宋_GB2312"/>
          <w:color w:val="000000"/>
          <w:sz w:val="28"/>
          <w:szCs w:val="32"/>
        </w:rPr>
        <w:t>。</w:t>
      </w:r>
    </w:p>
    <w:p>
      <w:pPr>
        <w:pStyle w:val="6"/>
        <w:keepNext w:val="0"/>
        <w:keepLines w:val="0"/>
        <w:snapToGrid w:val="0"/>
        <w:spacing w:before="0" w:after="0" w:line="490" w:lineRule="exact"/>
        <w:ind w:firstLine="562" w:firstLineChars="200"/>
        <w:rPr>
          <w:rFonts w:eastAsia="黑体"/>
          <w:color w:val="000000"/>
          <w:sz w:val="28"/>
        </w:rPr>
      </w:pPr>
      <w:bookmarkStart w:id="1846" w:name="_Toc11133"/>
      <w:bookmarkStart w:id="1847" w:name="_Toc51091924"/>
      <w:bookmarkStart w:id="1848" w:name="_Toc20512"/>
      <w:r>
        <w:rPr>
          <w:rFonts w:eastAsia="黑体"/>
          <w:color w:val="000000"/>
          <w:sz w:val="28"/>
        </w:rPr>
        <w:t>2</w:t>
      </w:r>
      <w:r>
        <w:rPr>
          <w:rFonts w:hint="eastAsia" w:eastAsia="黑体"/>
          <w:color w:val="000000"/>
          <w:sz w:val="28"/>
          <w:lang w:val="en-US" w:eastAsia="zh-CN"/>
        </w:rPr>
        <w:t>5</w:t>
      </w:r>
      <w:r>
        <w:rPr>
          <w:rFonts w:eastAsia="黑体"/>
          <w:color w:val="000000"/>
          <w:sz w:val="28"/>
        </w:rPr>
        <w:t>．补充条款</w:t>
      </w:r>
      <w:bookmarkEnd w:id="1846"/>
      <w:bookmarkEnd w:id="1847"/>
      <w:bookmarkEnd w:id="1848"/>
    </w:p>
    <w:p>
      <w:pPr>
        <w:spacing w:line="490" w:lineRule="exact"/>
        <w:ind w:firstLine="562" w:firstLineChars="200"/>
        <w:rPr>
          <w:rFonts w:eastAsia="楷体_GB2312"/>
          <w:b/>
          <w:bCs/>
          <w:color w:val="000000"/>
          <w:sz w:val="28"/>
          <w:szCs w:val="32"/>
        </w:rPr>
      </w:pPr>
      <w:r>
        <w:rPr>
          <w:rFonts w:eastAsia="楷体_GB2312"/>
          <w:b/>
          <w:bCs/>
          <w:color w:val="000000"/>
          <w:sz w:val="28"/>
          <w:szCs w:val="32"/>
        </w:rPr>
        <w:t>2</w:t>
      </w:r>
      <w:r>
        <w:rPr>
          <w:rFonts w:hint="eastAsia" w:eastAsia="楷体_GB2312"/>
          <w:b/>
          <w:bCs/>
          <w:color w:val="000000"/>
          <w:sz w:val="28"/>
          <w:szCs w:val="32"/>
        </w:rPr>
        <w:t>5</w:t>
      </w:r>
      <w:r>
        <w:rPr>
          <w:rFonts w:eastAsia="楷体_GB2312"/>
          <w:b/>
          <w:bCs/>
          <w:color w:val="000000"/>
          <w:sz w:val="28"/>
          <w:szCs w:val="32"/>
        </w:rPr>
        <w:t>.1主要人员的更换</w:t>
      </w:r>
    </w:p>
    <w:p>
      <w:pPr>
        <w:spacing w:line="490" w:lineRule="exact"/>
        <w:ind w:firstLine="560" w:firstLineChars="200"/>
        <w:rPr>
          <w:rFonts w:eastAsia="仿宋_GB2312"/>
          <w:color w:val="000000"/>
          <w:sz w:val="28"/>
          <w:szCs w:val="32"/>
        </w:rPr>
      </w:pPr>
      <w:r>
        <w:rPr>
          <w:rFonts w:eastAsia="仿宋_GB2312"/>
          <w:color w:val="000000"/>
          <w:sz w:val="28"/>
          <w:szCs w:val="32"/>
        </w:rPr>
        <w:t>中标后，承包人项目负责人（</w:t>
      </w:r>
      <w:r>
        <w:rPr>
          <w:rFonts w:hint="eastAsia" w:eastAsia="仿宋_GB2312"/>
          <w:color w:val="000000"/>
          <w:sz w:val="28"/>
          <w:szCs w:val="32"/>
        </w:rPr>
        <w:t>项目负责人</w:t>
      </w:r>
      <w:r>
        <w:rPr>
          <w:rFonts w:eastAsia="仿宋_GB2312"/>
          <w:color w:val="000000"/>
          <w:sz w:val="28"/>
          <w:szCs w:val="32"/>
        </w:rPr>
        <w:t>）、技术负责人及主要管理人员不得随意更换；因特殊原因需要更换，更换后的相应人员的资格等不得低于被更换的人员，须按以下要求履行变更手续：</w:t>
      </w:r>
    </w:p>
    <w:p>
      <w:pPr>
        <w:spacing w:line="490" w:lineRule="exact"/>
        <w:ind w:firstLine="560" w:firstLineChars="200"/>
        <w:rPr>
          <w:rFonts w:eastAsia="仿宋_GB2312"/>
          <w:color w:val="000000"/>
          <w:sz w:val="28"/>
          <w:szCs w:val="32"/>
        </w:rPr>
      </w:pPr>
      <w:r>
        <w:rPr>
          <w:rFonts w:eastAsia="仿宋_GB2312"/>
          <w:color w:val="000000"/>
          <w:sz w:val="28"/>
          <w:szCs w:val="32"/>
        </w:rPr>
        <w:t>2</w:t>
      </w:r>
      <w:r>
        <w:rPr>
          <w:rFonts w:hint="eastAsia" w:eastAsia="仿宋_GB2312"/>
          <w:color w:val="000000"/>
          <w:sz w:val="28"/>
          <w:szCs w:val="32"/>
        </w:rPr>
        <w:t>5</w:t>
      </w:r>
      <w:r>
        <w:rPr>
          <w:rFonts w:eastAsia="仿宋_GB2312"/>
          <w:color w:val="000000"/>
          <w:sz w:val="28"/>
          <w:szCs w:val="32"/>
        </w:rPr>
        <w:t>.1.1 项目负责人（</w:t>
      </w:r>
      <w:r>
        <w:rPr>
          <w:rFonts w:hint="eastAsia" w:eastAsia="仿宋_GB2312"/>
          <w:color w:val="000000"/>
          <w:sz w:val="28"/>
          <w:szCs w:val="32"/>
        </w:rPr>
        <w:t>项目负责人</w:t>
      </w:r>
      <w:r>
        <w:rPr>
          <w:rFonts w:eastAsia="仿宋_GB2312"/>
          <w:color w:val="000000"/>
          <w:sz w:val="28"/>
          <w:szCs w:val="32"/>
        </w:rPr>
        <w:t>）</w:t>
      </w:r>
    </w:p>
    <w:p>
      <w:pPr>
        <w:spacing w:line="490" w:lineRule="exact"/>
        <w:ind w:firstLine="560" w:firstLineChars="200"/>
        <w:rPr>
          <w:rFonts w:eastAsia="仿宋_GB2312"/>
          <w:color w:val="000000"/>
          <w:sz w:val="28"/>
          <w:szCs w:val="32"/>
        </w:rPr>
      </w:pPr>
      <w:r>
        <w:rPr>
          <w:rFonts w:eastAsia="仿宋_GB2312"/>
          <w:color w:val="000000"/>
          <w:sz w:val="28"/>
          <w:szCs w:val="32"/>
        </w:rPr>
        <w:t>承包人登录电子招标投标系统电子交易平台向发包人提出变更申请，符合变更条件且发包人同意变更的，发包人审核通过后完成变更。变更记录同时</w:t>
      </w:r>
      <w:r>
        <w:rPr>
          <w:rFonts w:hint="eastAsia" w:eastAsia="仿宋_GB2312"/>
          <w:color w:val="000000"/>
          <w:sz w:val="28"/>
          <w:szCs w:val="32"/>
        </w:rPr>
        <w:t>上报省、市农业农村行政主管部门并公开</w:t>
      </w:r>
      <w:r>
        <w:rPr>
          <w:rFonts w:eastAsia="仿宋_GB2312"/>
          <w:color w:val="000000"/>
          <w:sz w:val="28"/>
          <w:szCs w:val="32"/>
        </w:rPr>
        <w:t>。</w:t>
      </w:r>
    </w:p>
    <w:p>
      <w:pPr>
        <w:spacing w:line="490" w:lineRule="exact"/>
        <w:ind w:firstLine="560" w:firstLineChars="200"/>
        <w:rPr>
          <w:rFonts w:eastAsia="仿宋_GB2312"/>
          <w:color w:val="000000"/>
          <w:sz w:val="28"/>
          <w:szCs w:val="32"/>
        </w:rPr>
      </w:pPr>
      <w:r>
        <w:rPr>
          <w:rFonts w:eastAsia="仿宋_GB2312"/>
          <w:color w:val="000000"/>
          <w:sz w:val="28"/>
          <w:szCs w:val="32"/>
        </w:rPr>
        <w:t>2</w:t>
      </w:r>
      <w:r>
        <w:rPr>
          <w:rFonts w:hint="eastAsia" w:eastAsia="仿宋_GB2312"/>
          <w:color w:val="000000"/>
          <w:sz w:val="28"/>
          <w:szCs w:val="32"/>
        </w:rPr>
        <w:t>5</w:t>
      </w:r>
      <w:r>
        <w:rPr>
          <w:rFonts w:eastAsia="仿宋_GB2312"/>
          <w:color w:val="000000"/>
          <w:sz w:val="28"/>
          <w:szCs w:val="32"/>
        </w:rPr>
        <w:t>.1.2 技术负责人及主要管理人员</w:t>
      </w:r>
    </w:p>
    <w:p>
      <w:pPr>
        <w:spacing w:line="490" w:lineRule="exact"/>
        <w:ind w:firstLine="560" w:firstLineChars="200"/>
        <w:rPr>
          <w:rFonts w:eastAsia="仿宋_GB2312"/>
          <w:color w:val="000000"/>
          <w:sz w:val="28"/>
          <w:szCs w:val="32"/>
        </w:rPr>
      </w:pPr>
      <w:r>
        <w:rPr>
          <w:rFonts w:eastAsia="仿宋_GB2312"/>
          <w:color w:val="000000"/>
          <w:sz w:val="28"/>
          <w:szCs w:val="32"/>
        </w:rPr>
        <w:t>承包人向发包人提出书面申请，符合变更条件的，发包人书面同意后完成变更通过。</w:t>
      </w:r>
    </w:p>
    <w:p>
      <w:pPr>
        <w:spacing w:line="490" w:lineRule="exact"/>
        <w:ind w:firstLine="562" w:firstLineChars="200"/>
        <w:rPr>
          <w:rFonts w:eastAsia="楷体_GB2312"/>
          <w:b/>
          <w:bCs/>
          <w:color w:val="000000"/>
          <w:sz w:val="28"/>
          <w:szCs w:val="32"/>
        </w:rPr>
      </w:pPr>
      <w:r>
        <w:rPr>
          <w:rFonts w:eastAsia="楷体_GB2312"/>
          <w:b/>
          <w:bCs/>
          <w:color w:val="000000"/>
          <w:sz w:val="28"/>
          <w:szCs w:val="32"/>
        </w:rPr>
        <w:t>2</w:t>
      </w:r>
      <w:r>
        <w:rPr>
          <w:rFonts w:hint="eastAsia" w:eastAsia="楷体_GB2312"/>
          <w:b/>
          <w:bCs/>
          <w:color w:val="000000"/>
          <w:sz w:val="28"/>
          <w:szCs w:val="32"/>
        </w:rPr>
        <w:t>5</w:t>
      </w:r>
      <w:r>
        <w:rPr>
          <w:rFonts w:eastAsia="楷体_GB2312"/>
          <w:b/>
          <w:bCs/>
          <w:color w:val="000000"/>
          <w:sz w:val="28"/>
          <w:szCs w:val="32"/>
        </w:rPr>
        <w:t>.2履约考核</w:t>
      </w:r>
    </w:p>
    <w:p>
      <w:pPr>
        <w:spacing w:line="490" w:lineRule="exact"/>
        <w:ind w:firstLine="560" w:firstLineChars="200"/>
        <w:rPr>
          <w:rFonts w:eastAsia="仿宋_GB2312"/>
          <w:color w:val="000000"/>
          <w:sz w:val="28"/>
          <w:szCs w:val="32"/>
        </w:rPr>
      </w:pPr>
      <w:r>
        <w:rPr>
          <w:rFonts w:eastAsia="仿宋_GB2312"/>
          <w:color w:val="000000"/>
          <w:sz w:val="28"/>
          <w:szCs w:val="32"/>
        </w:rPr>
        <w:t>2</w:t>
      </w:r>
      <w:r>
        <w:rPr>
          <w:rFonts w:hint="eastAsia" w:eastAsia="仿宋_GB2312"/>
          <w:color w:val="000000"/>
          <w:sz w:val="28"/>
          <w:szCs w:val="32"/>
        </w:rPr>
        <w:t>5</w:t>
      </w:r>
      <w:r>
        <w:rPr>
          <w:rFonts w:eastAsia="仿宋_GB2312"/>
          <w:color w:val="000000"/>
          <w:sz w:val="28"/>
          <w:szCs w:val="32"/>
        </w:rPr>
        <w:t>.2.1</w:t>
      </w:r>
      <w:r>
        <w:rPr>
          <w:rFonts w:hint="eastAsia" w:eastAsia="仿宋_GB2312"/>
          <w:color w:val="000000"/>
          <w:sz w:val="28"/>
          <w:szCs w:val="32"/>
        </w:rPr>
        <w:t>严格按照相关文件要求对中标人进行管理</w:t>
      </w:r>
      <w:r>
        <w:rPr>
          <w:rFonts w:eastAsia="仿宋_GB2312"/>
          <w:color w:val="000000"/>
          <w:sz w:val="28"/>
          <w:szCs w:val="32"/>
        </w:rPr>
        <w:t>。</w:t>
      </w:r>
    </w:p>
    <w:p>
      <w:pPr>
        <w:spacing w:line="490" w:lineRule="exact"/>
        <w:ind w:firstLine="560" w:firstLineChars="200"/>
        <w:rPr>
          <w:rFonts w:eastAsia="楷体_GB2312"/>
          <w:b/>
          <w:bCs/>
          <w:color w:val="000000"/>
          <w:sz w:val="28"/>
          <w:szCs w:val="32"/>
        </w:rPr>
      </w:pPr>
      <w:r>
        <w:rPr>
          <w:rFonts w:eastAsia="楷体_GB2312"/>
          <w:color w:val="000000"/>
          <w:sz w:val="28"/>
          <w:szCs w:val="32"/>
        </w:rPr>
        <w:t>2</w:t>
      </w:r>
      <w:r>
        <w:rPr>
          <w:rFonts w:hint="eastAsia" w:eastAsia="楷体_GB2312"/>
          <w:color w:val="000000"/>
          <w:sz w:val="28"/>
          <w:szCs w:val="32"/>
        </w:rPr>
        <w:t>5</w:t>
      </w:r>
      <w:r>
        <w:rPr>
          <w:rFonts w:eastAsia="楷体_GB2312"/>
          <w:color w:val="000000"/>
          <w:sz w:val="28"/>
          <w:szCs w:val="32"/>
        </w:rPr>
        <w:t>.2.2</w:t>
      </w:r>
      <w:r>
        <w:rPr>
          <w:rFonts w:eastAsia="仿宋_GB2312"/>
          <w:color w:val="000000"/>
          <w:sz w:val="28"/>
          <w:szCs w:val="32"/>
        </w:rPr>
        <w:t>合同签订后，发包人和承包人应及时将项目相关信息</w:t>
      </w:r>
      <w:r>
        <w:rPr>
          <w:rFonts w:hint="eastAsia" w:eastAsia="仿宋_GB2312"/>
          <w:color w:val="000000"/>
          <w:sz w:val="28"/>
          <w:szCs w:val="32"/>
        </w:rPr>
        <w:t>上报省、市农业农村行政主管部门</w:t>
      </w:r>
      <w:r>
        <w:rPr>
          <w:rFonts w:eastAsia="仿宋_GB2312"/>
          <w:color w:val="000000"/>
          <w:sz w:val="28"/>
          <w:szCs w:val="32"/>
        </w:rPr>
        <w:t>，并根据</w:t>
      </w:r>
      <w:r>
        <w:rPr>
          <w:rFonts w:hint="eastAsia" w:eastAsia="仿宋_GB2312"/>
          <w:color w:val="000000"/>
          <w:sz w:val="28"/>
          <w:szCs w:val="32"/>
        </w:rPr>
        <w:t>相关文件开展考核和</w:t>
      </w:r>
      <w:r>
        <w:rPr>
          <w:rFonts w:eastAsia="仿宋_GB2312"/>
          <w:color w:val="000000"/>
          <w:sz w:val="28"/>
          <w:szCs w:val="32"/>
        </w:rPr>
        <w:t>信用评价。</w:t>
      </w:r>
    </w:p>
    <w:p>
      <w:pPr>
        <w:spacing w:line="490" w:lineRule="exact"/>
        <w:ind w:firstLine="560" w:firstLineChars="200"/>
        <w:rPr>
          <w:rFonts w:eastAsia="仿宋_GB2312"/>
          <w:color w:val="000000"/>
          <w:sz w:val="28"/>
          <w:szCs w:val="32"/>
        </w:rPr>
      </w:pPr>
      <w:r>
        <w:rPr>
          <w:rFonts w:eastAsia="楷体_GB2312"/>
          <w:color w:val="000000"/>
          <w:sz w:val="28"/>
          <w:szCs w:val="32"/>
        </w:rPr>
        <w:t>2</w:t>
      </w:r>
      <w:r>
        <w:rPr>
          <w:rFonts w:hint="eastAsia" w:eastAsia="楷体_GB2312"/>
          <w:color w:val="000000"/>
          <w:sz w:val="28"/>
          <w:szCs w:val="32"/>
        </w:rPr>
        <w:t>5</w:t>
      </w:r>
      <w:r>
        <w:rPr>
          <w:rFonts w:eastAsia="楷体_GB2312"/>
          <w:color w:val="000000"/>
          <w:sz w:val="28"/>
          <w:szCs w:val="32"/>
        </w:rPr>
        <w:t>.2.3</w:t>
      </w:r>
      <w:r>
        <w:rPr>
          <w:rFonts w:eastAsia="仿宋_GB2312"/>
          <w:color w:val="000000"/>
          <w:sz w:val="28"/>
          <w:szCs w:val="32"/>
        </w:rPr>
        <w:t>合同履行过程中，发包人和行政监督部门通过电子招标投标系统在工程竣工或完工后开展完工评价，评价完成后承包人的项目负责人将解除锁定，能作为项目负责人再次在电子招标投标系统内投标。</w:t>
      </w:r>
    </w:p>
    <w:p>
      <w:pPr>
        <w:spacing w:line="600" w:lineRule="exact"/>
        <w:rPr>
          <w:rFonts w:eastAsia="方正小标宋_GBK"/>
          <w:color w:val="000000"/>
          <w:sz w:val="40"/>
          <w:szCs w:val="44"/>
        </w:rPr>
      </w:pPr>
      <w:r>
        <w:rPr>
          <w:color w:val="000000"/>
        </w:rPr>
        <w:br w:type="page"/>
      </w:r>
    </w:p>
    <w:p>
      <w:pPr>
        <w:spacing w:line="490" w:lineRule="exact"/>
        <w:jc w:val="center"/>
        <w:outlineLvl w:val="1"/>
        <w:rPr>
          <w:rFonts w:hint="eastAsia" w:eastAsia="黑体"/>
          <w:b/>
          <w:color w:val="000000"/>
          <w:sz w:val="28"/>
          <w:szCs w:val="36"/>
        </w:rPr>
      </w:pPr>
      <w:bookmarkStart w:id="1849" w:name="_Toc16412"/>
      <w:bookmarkStart w:id="1850" w:name="_Toc51091925"/>
      <w:bookmarkStart w:id="1851" w:name="_Toc17952"/>
      <w:r>
        <w:rPr>
          <w:rFonts w:hint="eastAsia" w:eastAsia="黑体"/>
          <w:b/>
          <w:color w:val="000000"/>
          <w:sz w:val="28"/>
          <w:szCs w:val="36"/>
        </w:rPr>
        <w:t>第3节  合同附件格式</w:t>
      </w:r>
      <w:bookmarkEnd w:id="1849"/>
      <w:bookmarkEnd w:id="1850"/>
      <w:bookmarkEnd w:id="1851"/>
    </w:p>
    <w:p>
      <w:pPr>
        <w:pStyle w:val="2"/>
        <w:spacing w:after="0" w:line="490" w:lineRule="exact"/>
        <w:jc w:val="left"/>
        <w:rPr>
          <w:rFonts w:eastAsia="黑体"/>
          <w:color w:val="000000"/>
          <w:sz w:val="28"/>
          <w:szCs w:val="44"/>
        </w:rPr>
      </w:pPr>
      <w:bookmarkStart w:id="1852" w:name="_Toc511318211"/>
      <w:r>
        <w:rPr>
          <w:rFonts w:eastAsia="黑体"/>
          <w:color w:val="000000"/>
          <w:sz w:val="28"/>
          <w:szCs w:val="44"/>
        </w:rPr>
        <w:t>附件一：合同协议书</w:t>
      </w:r>
      <w:bookmarkEnd w:id="1852"/>
    </w:p>
    <w:p>
      <w:pPr>
        <w:spacing w:line="490" w:lineRule="exact"/>
        <w:jc w:val="center"/>
        <w:rPr>
          <w:rFonts w:eastAsia="方正小标宋_GBK"/>
          <w:color w:val="000000"/>
          <w:sz w:val="40"/>
          <w:szCs w:val="44"/>
        </w:rPr>
      </w:pPr>
    </w:p>
    <w:p>
      <w:pPr>
        <w:pStyle w:val="2"/>
        <w:spacing w:after="0" w:line="490" w:lineRule="exact"/>
        <w:jc w:val="center"/>
        <w:rPr>
          <w:rFonts w:hint="eastAsia" w:ascii="方正小标宋简体" w:eastAsia="方正小标宋简体"/>
          <w:color w:val="000000"/>
          <w:sz w:val="40"/>
          <w:szCs w:val="44"/>
        </w:rPr>
      </w:pPr>
      <w:r>
        <w:rPr>
          <w:rFonts w:hint="eastAsia" w:ascii="方正小标宋简体" w:eastAsia="方正小标宋简体"/>
          <w:color w:val="000000"/>
          <w:sz w:val="40"/>
          <w:szCs w:val="44"/>
        </w:rPr>
        <w:t>合 同 协 议 书</w:t>
      </w:r>
    </w:p>
    <w:p>
      <w:pPr>
        <w:pStyle w:val="2"/>
        <w:spacing w:after="0" w:line="490" w:lineRule="exact"/>
        <w:jc w:val="center"/>
        <w:rPr>
          <w:rFonts w:eastAsia="方正小标宋_GBK"/>
          <w:b/>
          <w:color w:val="000000"/>
          <w:sz w:val="40"/>
          <w:szCs w:val="44"/>
        </w:rPr>
      </w:pPr>
    </w:p>
    <w:p>
      <w:pPr>
        <w:spacing w:line="490" w:lineRule="exact"/>
        <w:ind w:firstLine="560" w:firstLineChars="200"/>
        <w:jc w:val="left"/>
        <w:rPr>
          <w:rFonts w:eastAsia="仿宋_GB2312"/>
          <w:color w:val="000000"/>
          <w:sz w:val="28"/>
          <w:szCs w:val="32"/>
        </w:rPr>
      </w:pPr>
      <w:r>
        <w:rPr>
          <w:rFonts w:eastAsia="仿宋_GB2312"/>
          <w:color w:val="000000"/>
          <w:sz w:val="28"/>
          <w:szCs w:val="32"/>
          <w:u w:val="single"/>
        </w:rPr>
        <w:t xml:space="preserve">       </w:t>
      </w:r>
      <w:r>
        <w:rPr>
          <w:rFonts w:eastAsia="仿宋_GB2312"/>
          <w:color w:val="000000"/>
          <w:sz w:val="28"/>
          <w:szCs w:val="32"/>
        </w:rPr>
        <w:t>（发包人名称，以下简称“发包人”）为实施</w:t>
      </w:r>
      <w:r>
        <w:rPr>
          <w:rFonts w:eastAsia="仿宋_GB2312"/>
          <w:color w:val="000000"/>
          <w:sz w:val="28"/>
          <w:szCs w:val="32"/>
          <w:u w:val="single"/>
        </w:rPr>
        <w:t xml:space="preserve">       </w:t>
      </w:r>
      <w:r>
        <w:rPr>
          <w:rFonts w:eastAsia="仿宋_GB2312"/>
          <w:color w:val="000000"/>
          <w:sz w:val="28"/>
          <w:szCs w:val="32"/>
        </w:rPr>
        <w:t>（项目名称），已接受</w:t>
      </w:r>
      <w:r>
        <w:rPr>
          <w:rFonts w:eastAsia="仿宋_GB2312"/>
          <w:color w:val="000000"/>
          <w:sz w:val="28"/>
          <w:szCs w:val="32"/>
          <w:u w:val="single"/>
        </w:rPr>
        <w:t xml:space="preserve">          </w:t>
      </w:r>
      <w:r>
        <w:rPr>
          <w:rFonts w:eastAsia="仿宋_GB2312"/>
          <w:color w:val="000000"/>
          <w:sz w:val="28"/>
          <w:szCs w:val="32"/>
        </w:rPr>
        <w:t>（承包人名称，以下简称“承包人”）对</w:t>
      </w:r>
      <w:r>
        <w:rPr>
          <w:rFonts w:eastAsia="仿宋_GB2312"/>
          <w:color w:val="000000"/>
          <w:sz w:val="28"/>
          <w:szCs w:val="32"/>
          <w:u w:val="single"/>
        </w:rPr>
        <w:t xml:space="preserve">         </w:t>
      </w:r>
      <w:r>
        <w:rPr>
          <w:rFonts w:eastAsia="仿宋_GB2312"/>
          <w:color w:val="000000"/>
          <w:sz w:val="28"/>
          <w:szCs w:val="32"/>
        </w:rPr>
        <w:t>（项目名称）</w:t>
      </w:r>
      <w:r>
        <w:rPr>
          <w:rFonts w:eastAsia="仿宋_GB2312"/>
          <w:color w:val="000000"/>
          <w:sz w:val="28"/>
          <w:szCs w:val="32"/>
          <w:u w:val="single"/>
        </w:rPr>
        <w:t xml:space="preserve">        </w:t>
      </w:r>
      <w:r>
        <w:rPr>
          <w:rFonts w:eastAsia="仿宋_GB2312"/>
          <w:color w:val="000000"/>
          <w:sz w:val="28"/>
          <w:szCs w:val="32"/>
        </w:rPr>
        <w:t>（标段名称）的投标，并确定其为中标人。发包人和承包人共同达成如下协议。</w:t>
      </w:r>
    </w:p>
    <w:p>
      <w:pPr>
        <w:spacing w:line="490" w:lineRule="exact"/>
        <w:ind w:firstLine="560" w:firstLineChars="200"/>
        <w:rPr>
          <w:rFonts w:eastAsia="仿宋_GB2312"/>
          <w:color w:val="000000"/>
          <w:sz w:val="28"/>
          <w:szCs w:val="32"/>
        </w:rPr>
      </w:pPr>
      <w:r>
        <w:rPr>
          <w:rFonts w:eastAsia="仿宋_GB2312"/>
          <w:color w:val="000000"/>
          <w:sz w:val="28"/>
          <w:szCs w:val="32"/>
        </w:rPr>
        <w:t>1.本协议书与下列文件一起构成合同文件：</w:t>
      </w:r>
    </w:p>
    <w:p>
      <w:pPr>
        <w:spacing w:line="490" w:lineRule="exact"/>
        <w:ind w:firstLine="560" w:firstLineChars="200"/>
        <w:rPr>
          <w:rFonts w:eastAsia="仿宋_GB2312"/>
          <w:color w:val="000000"/>
          <w:sz w:val="28"/>
          <w:szCs w:val="32"/>
        </w:rPr>
      </w:pPr>
      <w:r>
        <w:rPr>
          <w:rFonts w:eastAsia="仿宋_GB2312"/>
          <w:color w:val="000000"/>
          <w:sz w:val="28"/>
          <w:szCs w:val="32"/>
        </w:rPr>
        <w:t>（1）合同协议书及补充合同协议书（含评标期间和合同谈判过程中的澄清文件和补充资料）；</w:t>
      </w:r>
    </w:p>
    <w:p>
      <w:pPr>
        <w:spacing w:line="490" w:lineRule="exact"/>
        <w:ind w:firstLine="560" w:firstLineChars="200"/>
        <w:rPr>
          <w:rFonts w:eastAsia="仿宋_GB2312"/>
          <w:color w:val="000000"/>
          <w:sz w:val="28"/>
          <w:szCs w:val="32"/>
        </w:rPr>
      </w:pPr>
      <w:r>
        <w:rPr>
          <w:rFonts w:eastAsia="仿宋_GB2312"/>
          <w:color w:val="000000"/>
          <w:sz w:val="28"/>
          <w:szCs w:val="32"/>
        </w:rPr>
        <w:t>（2）中标通知书；</w:t>
      </w:r>
    </w:p>
    <w:p>
      <w:pPr>
        <w:spacing w:line="490" w:lineRule="exact"/>
        <w:ind w:firstLine="560" w:firstLineChars="200"/>
        <w:rPr>
          <w:rFonts w:eastAsia="仿宋_GB2312"/>
          <w:color w:val="000000"/>
          <w:sz w:val="28"/>
          <w:szCs w:val="32"/>
        </w:rPr>
      </w:pPr>
      <w:r>
        <w:rPr>
          <w:rFonts w:eastAsia="仿宋_GB2312"/>
          <w:color w:val="000000"/>
          <w:sz w:val="28"/>
          <w:szCs w:val="32"/>
        </w:rPr>
        <w:t>（3）投标函及投标函附录、招标文件修改通知；</w:t>
      </w:r>
    </w:p>
    <w:p>
      <w:pPr>
        <w:spacing w:line="490" w:lineRule="exact"/>
        <w:ind w:firstLine="560" w:firstLineChars="200"/>
        <w:rPr>
          <w:rFonts w:eastAsia="仿宋_GB2312"/>
          <w:color w:val="000000"/>
          <w:sz w:val="28"/>
          <w:szCs w:val="32"/>
        </w:rPr>
      </w:pPr>
      <w:r>
        <w:rPr>
          <w:rFonts w:eastAsia="仿宋_GB2312"/>
          <w:color w:val="000000"/>
          <w:sz w:val="28"/>
          <w:szCs w:val="32"/>
        </w:rPr>
        <w:t>（4）专用合同条款；</w:t>
      </w:r>
    </w:p>
    <w:p>
      <w:pPr>
        <w:spacing w:line="490" w:lineRule="exact"/>
        <w:ind w:firstLine="560" w:firstLineChars="200"/>
        <w:rPr>
          <w:rFonts w:eastAsia="仿宋_GB2312"/>
          <w:color w:val="000000"/>
          <w:sz w:val="28"/>
          <w:szCs w:val="32"/>
        </w:rPr>
      </w:pPr>
      <w:r>
        <w:rPr>
          <w:rFonts w:eastAsia="仿宋_GB2312"/>
          <w:color w:val="000000"/>
          <w:sz w:val="28"/>
          <w:szCs w:val="32"/>
        </w:rPr>
        <w:t>（5）通用合同条款；</w:t>
      </w:r>
    </w:p>
    <w:p>
      <w:pPr>
        <w:spacing w:line="490" w:lineRule="exact"/>
        <w:ind w:firstLine="560" w:firstLineChars="200"/>
        <w:rPr>
          <w:rFonts w:eastAsia="仿宋_GB2312"/>
          <w:color w:val="000000"/>
          <w:sz w:val="28"/>
          <w:szCs w:val="32"/>
        </w:rPr>
      </w:pPr>
      <w:r>
        <w:rPr>
          <w:rFonts w:eastAsia="仿宋_GB2312"/>
          <w:color w:val="000000"/>
          <w:sz w:val="28"/>
          <w:szCs w:val="32"/>
        </w:rPr>
        <w:t>（6）技术标准和要求（合同技术条款）；</w:t>
      </w:r>
    </w:p>
    <w:p>
      <w:pPr>
        <w:spacing w:line="490" w:lineRule="exact"/>
        <w:ind w:firstLine="560" w:firstLineChars="200"/>
        <w:rPr>
          <w:rFonts w:eastAsia="仿宋_GB2312"/>
          <w:color w:val="000000"/>
          <w:sz w:val="28"/>
          <w:szCs w:val="32"/>
        </w:rPr>
      </w:pPr>
      <w:r>
        <w:rPr>
          <w:rFonts w:eastAsia="仿宋_GB2312"/>
          <w:color w:val="000000"/>
          <w:sz w:val="28"/>
          <w:szCs w:val="32"/>
        </w:rPr>
        <w:t>（7）图纸；</w:t>
      </w:r>
    </w:p>
    <w:p>
      <w:pPr>
        <w:spacing w:line="490" w:lineRule="exact"/>
        <w:ind w:firstLine="560" w:firstLineChars="200"/>
        <w:rPr>
          <w:rFonts w:eastAsia="仿宋_GB2312"/>
          <w:color w:val="000000"/>
          <w:sz w:val="28"/>
          <w:szCs w:val="32"/>
        </w:rPr>
      </w:pPr>
      <w:r>
        <w:rPr>
          <w:rFonts w:eastAsia="仿宋_GB2312"/>
          <w:color w:val="000000"/>
          <w:sz w:val="28"/>
          <w:szCs w:val="32"/>
        </w:rPr>
        <w:t>（8）已标价工程量清单；</w:t>
      </w:r>
    </w:p>
    <w:p>
      <w:pPr>
        <w:spacing w:line="490" w:lineRule="exact"/>
        <w:ind w:firstLine="560" w:firstLineChars="200"/>
        <w:rPr>
          <w:rFonts w:eastAsia="仿宋_GB2312"/>
          <w:color w:val="000000"/>
          <w:sz w:val="28"/>
          <w:szCs w:val="32"/>
        </w:rPr>
      </w:pPr>
      <w:r>
        <w:rPr>
          <w:rFonts w:eastAsia="仿宋_GB2312"/>
          <w:color w:val="000000"/>
          <w:sz w:val="28"/>
          <w:szCs w:val="32"/>
        </w:rPr>
        <w:t>（9）承包人有关人员、设备投入的承诺；</w:t>
      </w:r>
    </w:p>
    <w:p>
      <w:pPr>
        <w:spacing w:line="490" w:lineRule="exact"/>
        <w:ind w:firstLine="560" w:firstLineChars="200"/>
        <w:rPr>
          <w:rFonts w:eastAsia="仿宋_GB2312"/>
          <w:color w:val="000000"/>
          <w:sz w:val="28"/>
          <w:szCs w:val="32"/>
        </w:rPr>
      </w:pPr>
      <w:r>
        <w:rPr>
          <w:rFonts w:eastAsia="仿宋_GB2312"/>
          <w:color w:val="000000"/>
          <w:sz w:val="28"/>
          <w:szCs w:val="32"/>
        </w:rPr>
        <w:t>（10）构成本合同组成部分的其他文件，包括投标承诺书、安全生产合同、环境保护和水土保持责任书、建设项目廉政责任书、湖南省</w:t>
      </w:r>
      <w:r>
        <w:rPr>
          <w:rFonts w:hint="eastAsia" w:eastAsia="仿宋_GB2312"/>
          <w:color w:val="000000"/>
          <w:sz w:val="28"/>
          <w:szCs w:val="32"/>
        </w:rPr>
        <w:t>农田建设项目</w:t>
      </w:r>
      <w:r>
        <w:rPr>
          <w:rFonts w:eastAsia="仿宋_GB2312"/>
          <w:color w:val="000000"/>
          <w:sz w:val="28"/>
          <w:szCs w:val="32"/>
        </w:rPr>
        <w:t>工程建设项目从业单位法定代表人授权书、湖南省</w:t>
      </w:r>
      <w:r>
        <w:rPr>
          <w:rFonts w:hint="eastAsia" w:eastAsia="仿宋_GB2312"/>
          <w:color w:val="000000"/>
          <w:sz w:val="28"/>
          <w:szCs w:val="32"/>
        </w:rPr>
        <w:t>农田建设项目</w:t>
      </w:r>
      <w:r>
        <w:rPr>
          <w:rFonts w:eastAsia="仿宋_GB2312"/>
          <w:color w:val="000000"/>
          <w:sz w:val="28"/>
          <w:szCs w:val="32"/>
        </w:rPr>
        <w:t>工程项目负责人质量</w:t>
      </w:r>
      <w:r>
        <w:rPr>
          <w:rFonts w:eastAsia="仿宋_GB2312"/>
          <w:b/>
          <w:color w:val="000000"/>
          <w:sz w:val="28"/>
          <w:szCs w:val="32"/>
        </w:rPr>
        <w:t>终身</w:t>
      </w:r>
      <w:r>
        <w:rPr>
          <w:rFonts w:eastAsia="仿宋_GB2312"/>
          <w:color w:val="000000"/>
          <w:sz w:val="28"/>
          <w:szCs w:val="32"/>
        </w:rPr>
        <w:t>责任承诺书及有关会议纪要和双方认可的文件等。</w:t>
      </w:r>
    </w:p>
    <w:p>
      <w:pPr>
        <w:spacing w:line="490" w:lineRule="exact"/>
        <w:ind w:firstLine="560" w:firstLineChars="200"/>
        <w:rPr>
          <w:rFonts w:eastAsia="仿宋_GB2312"/>
          <w:color w:val="000000"/>
          <w:sz w:val="28"/>
          <w:szCs w:val="32"/>
        </w:rPr>
      </w:pPr>
      <w:r>
        <w:rPr>
          <w:rFonts w:eastAsia="仿宋_GB2312"/>
          <w:color w:val="000000"/>
          <w:sz w:val="28"/>
          <w:szCs w:val="32"/>
        </w:rPr>
        <w:t>2.上述文件互相补充和解释，如有不明确或不一致之处，以合同约定次序在先者为准。</w:t>
      </w:r>
    </w:p>
    <w:p>
      <w:pPr>
        <w:spacing w:line="490" w:lineRule="exact"/>
        <w:ind w:firstLine="560" w:firstLineChars="200"/>
        <w:rPr>
          <w:rFonts w:eastAsia="仿宋_GB2312"/>
          <w:color w:val="000000"/>
          <w:sz w:val="28"/>
          <w:szCs w:val="32"/>
        </w:rPr>
      </w:pPr>
      <w:r>
        <w:rPr>
          <w:rFonts w:eastAsia="仿宋_GB2312"/>
          <w:color w:val="000000"/>
          <w:sz w:val="28"/>
          <w:szCs w:val="32"/>
        </w:rPr>
        <w:t>3. 签约合同价：人民币（大写）</w:t>
      </w:r>
      <w:r>
        <w:rPr>
          <w:rFonts w:eastAsia="仿宋_GB2312"/>
          <w:color w:val="000000"/>
          <w:sz w:val="28"/>
          <w:szCs w:val="32"/>
          <w:u w:val="single"/>
        </w:rPr>
        <w:t xml:space="preserve">            </w:t>
      </w:r>
      <w:r>
        <w:rPr>
          <w:rFonts w:eastAsia="仿宋_GB2312"/>
          <w:color w:val="000000"/>
          <w:sz w:val="28"/>
          <w:szCs w:val="32"/>
        </w:rPr>
        <w:t>元（¥</w:t>
      </w:r>
      <w:r>
        <w:rPr>
          <w:rFonts w:eastAsia="仿宋_GB2312"/>
          <w:color w:val="000000"/>
          <w:sz w:val="28"/>
          <w:szCs w:val="32"/>
          <w:u w:val="single"/>
        </w:rPr>
        <w:t xml:space="preserve">          </w:t>
      </w:r>
      <w:r>
        <w:rPr>
          <w:rFonts w:eastAsia="仿宋_GB2312"/>
          <w:color w:val="000000"/>
          <w:sz w:val="28"/>
          <w:szCs w:val="32"/>
        </w:rPr>
        <w:t>）。</w:t>
      </w:r>
    </w:p>
    <w:p>
      <w:pPr>
        <w:spacing w:line="490" w:lineRule="exact"/>
        <w:ind w:firstLine="560" w:firstLineChars="200"/>
        <w:rPr>
          <w:rFonts w:eastAsia="仿宋_GB2312"/>
          <w:color w:val="000000"/>
          <w:sz w:val="28"/>
          <w:szCs w:val="32"/>
        </w:rPr>
      </w:pPr>
      <w:r>
        <w:rPr>
          <w:rFonts w:eastAsia="仿宋_GB2312"/>
          <w:color w:val="000000"/>
          <w:sz w:val="28"/>
          <w:szCs w:val="32"/>
        </w:rPr>
        <w:t>4. 承包人项目负责人：</w:t>
      </w:r>
      <w:r>
        <w:rPr>
          <w:rFonts w:eastAsia="仿宋_GB2312"/>
          <w:color w:val="000000"/>
          <w:sz w:val="28"/>
          <w:szCs w:val="32"/>
          <w:u w:val="single"/>
        </w:rPr>
        <w:t xml:space="preserve">             </w:t>
      </w:r>
      <w:r>
        <w:rPr>
          <w:rFonts w:eastAsia="仿宋_GB2312"/>
          <w:color w:val="000000"/>
          <w:sz w:val="28"/>
          <w:szCs w:val="32"/>
        </w:rPr>
        <w:t>。</w:t>
      </w:r>
    </w:p>
    <w:p>
      <w:pPr>
        <w:spacing w:line="490" w:lineRule="exact"/>
        <w:ind w:firstLine="560" w:firstLineChars="200"/>
        <w:rPr>
          <w:rFonts w:eastAsia="仿宋_GB2312"/>
          <w:color w:val="000000"/>
          <w:sz w:val="28"/>
          <w:szCs w:val="32"/>
        </w:rPr>
      </w:pPr>
      <w:r>
        <w:rPr>
          <w:rFonts w:eastAsia="仿宋_GB2312"/>
          <w:color w:val="000000"/>
          <w:sz w:val="28"/>
          <w:szCs w:val="32"/>
        </w:rPr>
        <w:t>5. 工程质量符合</w:t>
      </w:r>
      <w:r>
        <w:rPr>
          <w:rFonts w:eastAsia="仿宋_GB2312"/>
          <w:color w:val="000000"/>
          <w:sz w:val="28"/>
          <w:szCs w:val="32"/>
          <w:u w:val="single"/>
        </w:rPr>
        <w:t xml:space="preserve">           </w:t>
      </w:r>
      <w:r>
        <w:rPr>
          <w:rFonts w:eastAsia="仿宋_GB2312"/>
          <w:color w:val="000000"/>
          <w:sz w:val="28"/>
          <w:szCs w:val="32"/>
        </w:rPr>
        <w:t>标准。</w:t>
      </w:r>
    </w:p>
    <w:p>
      <w:pPr>
        <w:spacing w:line="490" w:lineRule="exact"/>
        <w:ind w:firstLine="560" w:firstLineChars="200"/>
        <w:rPr>
          <w:rFonts w:eastAsia="仿宋_GB2312"/>
          <w:color w:val="000000"/>
          <w:sz w:val="28"/>
          <w:szCs w:val="32"/>
        </w:rPr>
      </w:pPr>
      <w:r>
        <w:rPr>
          <w:rFonts w:eastAsia="仿宋_GB2312"/>
          <w:color w:val="000000"/>
          <w:sz w:val="28"/>
          <w:szCs w:val="32"/>
        </w:rPr>
        <w:t>6. 承包人承诺按合同约定承担工程的实施、完成及缺陷修复。</w:t>
      </w:r>
    </w:p>
    <w:p>
      <w:pPr>
        <w:spacing w:line="490" w:lineRule="exact"/>
        <w:ind w:firstLine="560" w:firstLineChars="200"/>
        <w:rPr>
          <w:rFonts w:eastAsia="仿宋_GB2312"/>
          <w:color w:val="000000"/>
          <w:sz w:val="28"/>
          <w:szCs w:val="32"/>
        </w:rPr>
      </w:pPr>
      <w:r>
        <w:rPr>
          <w:rFonts w:eastAsia="仿宋_GB2312"/>
          <w:color w:val="000000"/>
          <w:sz w:val="28"/>
          <w:szCs w:val="32"/>
        </w:rPr>
        <w:t>7. 发包人承诺按合同约定的条件、时间和方式向承包人支付合同价款。</w:t>
      </w:r>
    </w:p>
    <w:p>
      <w:pPr>
        <w:spacing w:line="490" w:lineRule="exact"/>
        <w:ind w:firstLine="560" w:firstLineChars="200"/>
        <w:jc w:val="left"/>
        <w:rPr>
          <w:rFonts w:eastAsia="仿宋_GB2312"/>
          <w:color w:val="000000"/>
          <w:sz w:val="28"/>
          <w:szCs w:val="32"/>
        </w:rPr>
      </w:pPr>
      <w:r>
        <w:rPr>
          <w:rFonts w:eastAsia="仿宋_GB2312"/>
          <w:color w:val="000000"/>
          <w:sz w:val="28"/>
          <w:szCs w:val="32"/>
        </w:rPr>
        <w:t>8. 承包人承诺执行监理人开工通知，计划工期为</w:t>
      </w:r>
      <w:r>
        <w:rPr>
          <w:rFonts w:eastAsia="仿宋_GB2312"/>
          <w:color w:val="000000"/>
          <w:sz w:val="28"/>
          <w:szCs w:val="32"/>
          <w:u w:val="single"/>
        </w:rPr>
        <w:t xml:space="preserve">       </w:t>
      </w:r>
      <w:r>
        <w:rPr>
          <w:rFonts w:eastAsia="仿宋_GB2312"/>
          <w:color w:val="000000"/>
          <w:sz w:val="28"/>
          <w:szCs w:val="32"/>
        </w:rPr>
        <w:t>天。</w:t>
      </w:r>
    </w:p>
    <w:p>
      <w:pPr>
        <w:spacing w:line="490" w:lineRule="exact"/>
        <w:ind w:firstLine="560" w:firstLineChars="200"/>
        <w:rPr>
          <w:rFonts w:eastAsia="仿宋_GB2312"/>
          <w:color w:val="000000"/>
          <w:sz w:val="28"/>
          <w:szCs w:val="32"/>
        </w:rPr>
      </w:pPr>
      <w:r>
        <w:rPr>
          <w:rFonts w:eastAsia="仿宋_GB2312"/>
          <w:color w:val="000000"/>
          <w:sz w:val="28"/>
          <w:szCs w:val="32"/>
        </w:rPr>
        <w:t>9. 本合同一式</w:t>
      </w:r>
      <w:r>
        <w:rPr>
          <w:rFonts w:eastAsia="仿宋_GB2312"/>
          <w:bCs/>
          <w:color w:val="000000"/>
          <w:sz w:val="28"/>
          <w:szCs w:val="32"/>
          <w:u w:val="single"/>
        </w:rPr>
        <w:t xml:space="preserve">    </w:t>
      </w:r>
      <w:r>
        <w:rPr>
          <w:rFonts w:eastAsia="仿宋_GB2312"/>
          <w:color w:val="000000"/>
          <w:sz w:val="28"/>
          <w:szCs w:val="32"/>
        </w:rPr>
        <w:t>份；其中正本</w:t>
      </w:r>
      <w:r>
        <w:rPr>
          <w:rFonts w:eastAsia="仿宋_GB2312"/>
          <w:bCs/>
          <w:color w:val="000000"/>
          <w:sz w:val="28"/>
          <w:szCs w:val="32"/>
          <w:u w:val="single"/>
        </w:rPr>
        <w:t xml:space="preserve">    </w:t>
      </w:r>
      <w:r>
        <w:rPr>
          <w:rFonts w:eastAsia="仿宋_GB2312"/>
          <w:color w:val="000000"/>
          <w:sz w:val="28"/>
          <w:szCs w:val="32"/>
        </w:rPr>
        <w:t>份，发包人、承包人各执</w:t>
      </w:r>
      <w:r>
        <w:rPr>
          <w:rFonts w:eastAsia="仿宋_GB2312"/>
          <w:bCs/>
          <w:color w:val="000000"/>
          <w:sz w:val="28"/>
          <w:szCs w:val="32"/>
          <w:u w:val="single"/>
        </w:rPr>
        <w:t xml:space="preserve">   </w:t>
      </w:r>
      <w:r>
        <w:rPr>
          <w:rFonts w:eastAsia="仿宋_GB2312"/>
          <w:color w:val="000000"/>
          <w:sz w:val="28"/>
          <w:szCs w:val="32"/>
        </w:rPr>
        <w:t>份；副本</w:t>
      </w:r>
      <w:r>
        <w:rPr>
          <w:rFonts w:eastAsia="仿宋_GB2312"/>
          <w:bCs/>
          <w:color w:val="000000"/>
          <w:sz w:val="28"/>
          <w:szCs w:val="32"/>
          <w:u w:val="single"/>
        </w:rPr>
        <w:t xml:space="preserve">   </w:t>
      </w:r>
      <w:r>
        <w:rPr>
          <w:rFonts w:eastAsia="仿宋_GB2312"/>
          <w:color w:val="000000"/>
          <w:sz w:val="28"/>
          <w:szCs w:val="32"/>
        </w:rPr>
        <w:t>份，发包人、承包人各执</w:t>
      </w:r>
      <w:r>
        <w:rPr>
          <w:rFonts w:eastAsia="仿宋_GB2312"/>
          <w:bCs/>
          <w:color w:val="000000"/>
          <w:sz w:val="28"/>
          <w:szCs w:val="32"/>
          <w:u w:val="single"/>
        </w:rPr>
        <w:t xml:space="preserve">    </w:t>
      </w:r>
      <w:r>
        <w:rPr>
          <w:rFonts w:eastAsia="仿宋_GB2312"/>
          <w:color w:val="000000"/>
          <w:sz w:val="28"/>
          <w:szCs w:val="32"/>
        </w:rPr>
        <w:t>份，其余副本由发包人分送各有关单位。</w:t>
      </w:r>
    </w:p>
    <w:p>
      <w:pPr>
        <w:spacing w:line="490" w:lineRule="exact"/>
        <w:ind w:firstLine="560" w:firstLineChars="200"/>
        <w:rPr>
          <w:rFonts w:eastAsia="仿宋_GB2312"/>
          <w:color w:val="000000"/>
          <w:sz w:val="28"/>
          <w:szCs w:val="32"/>
        </w:rPr>
      </w:pPr>
      <w:r>
        <w:rPr>
          <w:rFonts w:eastAsia="仿宋_GB2312"/>
          <w:color w:val="000000"/>
          <w:sz w:val="28"/>
          <w:szCs w:val="32"/>
        </w:rPr>
        <w:t>10. 合同未尽事宜，双方另行签订补充协议。补充协议是合同的组成部分。</w:t>
      </w:r>
    </w:p>
    <w:p>
      <w:pPr>
        <w:spacing w:line="490" w:lineRule="exact"/>
        <w:ind w:firstLine="560" w:firstLineChars="200"/>
        <w:rPr>
          <w:rFonts w:eastAsia="仿宋_GB2312"/>
          <w:color w:val="000000"/>
          <w:sz w:val="28"/>
          <w:szCs w:val="32"/>
        </w:rPr>
      </w:pPr>
    </w:p>
    <w:p>
      <w:pPr>
        <w:tabs>
          <w:tab w:val="left" w:pos="360"/>
          <w:tab w:val="left" w:pos="4890"/>
        </w:tabs>
        <w:spacing w:line="490" w:lineRule="exact"/>
        <w:rPr>
          <w:rFonts w:eastAsia="仿宋_GB2312"/>
          <w:color w:val="000000"/>
          <w:sz w:val="28"/>
          <w:szCs w:val="32"/>
        </w:rPr>
      </w:pPr>
    </w:p>
    <w:p>
      <w:pPr>
        <w:tabs>
          <w:tab w:val="left" w:pos="360"/>
          <w:tab w:val="left" w:pos="4890"/>
        </w:tabs>
        <w:spacing w:line="490" w:lineRule="exact"/>
        <w:rPr>
          <w:rFonts w:eastAsia="仿宋_GB2312"/>
          <w:color w:val="000000"/>
          <w:sz w:val="28"/>
          <w:szCs w:val="32"/>
        </w:rPr>
      </w:pPr>
      <w:r>
        <w:rPr>
          <w:rFonts w:eastAsia="仿宋_GB2312"/>
          <w:color w:val="000000"/>
          <w:sz w:val="28"/>
          <w:szCs w:val="32"/>
        </w:rPr>
        <w:t>发包人：</w:t>
      </w:r>
      <w:r>
        <w:rPr>
          <w:rFonts w:eastAsia="仿宋_GB2312"/>
          <w:color w:val="000000"/>
          <w:sz w:val="28"/>
          <w:szCs w:val="32"/>
          <w:u w:val="single"/>
        </w:rPr>
        <w:t xml:space="preserve">        </w:t>
      </w:r>
      <w:r>
        <w:rPr>
          <w:rFonts w:eastAsia="仿宋_GB2312"/>
          <w:color w:val="000000"/>
          <w:sz w:val="28"/>
          <w:szCs w:val="32"/>
        </w:rPr>
        <w:t>（盖单位公章）    承包人：</w:t>
      </w:r>
      <w:r>
        <w:rPr>
          <w:rFonts w:eastAsia="仿宋_GB2312"/>
          <w:color w:val="000000"/>
          <w:sz w:val="28"/>
          <w:szCs w:val="32"/>
          <w:u w:val="single"/>
        </w:rPr>
        <w:t xml:space="preserve">        </w:t>
      </w:r>
      <w:r>
        <w:rPr>
          <w:rFonts w:eastAsia="仿宋_GB2312"/>
          <w:color w:val="000000"/>
          <w:sz w:val="28"/>
          <w:szCs w:val="32"/>
        </w:rPr>
        <w:t>（盖单位公章）</w:t>
      </w:r>
    </w:p>
    <w:p>
      <w:pPr>
        <w:tabs>
          <w:tab w:val="left" w:pos="360"/>
          <w:tab w:val="left" w:pos="4680"/>
        </w:tabs>
        <w:spacing w:line="490" w:lineRule="exact"/>
        <w:rPr>
          <w:rFonts w:eastAsia="仿宋_GB2312"/>
          <w:color w:val="000000"/>
          <w:sz w:val="28"/>
          <w:szCs w:val="32"/>
        </w:rPr>
      </w:pPr>
      <w:r>
        <w:rPr>
          <w:rFonts w:eastAsia="仿宋_GB2312"/>
          <w:color w:val="000000"/>
          <w:sz w:val="28"/>
          <w:szCs w:val="32"/>
        </w:rPr>
        <w:t>法定代表人                        法定代表人</w:t>
      </w:r>
    </w:p>
    <w:p>
      <w:pPr>
        <w:tabs>
          <w:tab w:val="left" w:pos="360"/>
          <w:tab w:val="left" w:pos="4680"/>
        </w:tabs>
        <w:spacing w:line="490" w:lineRule="exact"/>
        <w:rPr>
          <w:rFonts w:eastAsia="仿宋_GB2312"/>
          <w:color w:val="000000"/>
          <w:sz w:val="28"/>
          <w:szCs w:val="32"/>
        </w:rPr>
      </w:pPr>
      <w:r>
        <w:rPr>
          <w:rFonts w:eastAsia="仿宋_GB2312"/>
          <w:color w:val="000000"/>
          <w:sz w:val="28"/>
          <w:szCs w:val="32"/>
        </w:rPr>
        <w:t>或其委托代理人：</w:t>
      </w:r>
      <w:r>
        <w:rPr>
          <w:rFonts w:eastAsia="仿宋_GB2312"/>
          <w:color w:val="000000"/>
          <w:sz w:val="28"/>
          <w:szCs w:val="32"/>
          <w:u w:val="single"/>
        </w:rPr>
        <w:t xml:space="preserve">   （签字）   </w:t>
      </w:r>
      <w:r>
        <w:rPr>
          <w:rFonts w:eastAsia="仿宋_GB2312"/>
          <w:color w:val="000000"/>
          <w:sz w:val="28"/>
          <w:szCs w:val="32"/>
        </w:rPr>
        <w:t xml:space="preserve">    或其委托代理人：</w:t>
      </w:r>
      <w:r>
        <w:rPr>
          <w:rFonts w:eastAsia="仿宋_GB2312"/>
          <w:color w:val="000000"/>
          <w:sz w:val="28"/>
          <w:szCs w:val="32"/>
          <w:u w:val="single"/>
        </w:rPr>
        <w:t xml:space="preserve">   （签字）    </w:t>
      </w:r>
    </w:p>
    <w:p>
      <w:pPr>
        <w:tabs>
          <w:tab w:val="left" w:pos="360"/>
          <w:tab w:val="left" w:pos="4680"/>
        </w:tabs>
        <w:spacing w:line="490" w:lineRule="exact"/>
        <w:ind w:firstLine="1260" w:firstLineChars="450"/>
        <w:rPr>
          <w:rFonts w:eastAsia="仿宋_GB2312"/>
          <w:color w:val="000000"/>
          <w:sz w:val="28"/>
          <w:szCs w:val="32"/>
          <w:u w:val="single"/>
        </w:rPr>
      </w:pPr>
    </w:p>
    <w:p>
      <w:pPr>
        <w:tabs>
          <w:tab w:val="left" w:pos="360"/>
          <w:tab w:val="left" w:pos="4680"/>
        </w:tabs>
        <w:spacing w:line="490" w:lineRule="exact"/>
        <w:ind w:firstLine="1260" w:firstLineChars="450"/>
        <w:rPr>
          <w:rFonts w:eastAsia="仿宋_GB2312"/>
          <w:color w:val="000000"/>
          <w:sz w:val="28"/>
          <w:szCs w:val="32"/>
        </w:rPr>
      </w:pPr>
      <w:r>
        <w:rPr>
          <w:rFonts w:eastAsia="仿宋_GB2312"/>
          <w:color w:val="000000"/>
          <w:sz w:val="28"/>
          <w:szCs w:val="32"/>
          <w:u w:val="single"/>
        </w:rPr>
        <w:t xml:space="preserve">       </w:t>
      </w:r>
      <w:r>
        <w:rPr>
          <w:rFonts w:eastAsia="仿宋_GB2312"/>
          <w:color w:val="000000"/>
          <w:sz w:val="28"/>
          <w:szCs w:val="32"/>
        </w:rPr>
        <w:t>年</w:t>
      </w:r>
      <w:r>
        <w:rPr>
          <w:rFonts w:eastAsia="仿宋_GB2312"/>
          <w:color w:val="000000"/>
          <w:sz w:val="28"/>
          <w:szCs w:val="32"/>
          <w:u w:val="single"/>
        </w:rPr>
        <w:t xml:space="preserve">   </w:t>
      </w:r>
      <w:r>
        <w:rPr>
          <w:rFonts w:eastAsia="仿宋_GB2312"/>
          <w:color w:val="000000"/>
          <w:sz w:val="28"/>
          <w:szCs w:val="32"/>
        </w:rPr>
        <w:t>月</w:t>
      </w:r>
      <w:r>
        <w:rPr>
          <w:rFonts w:eastAsia="仿宋_GB2312"/>
          <w:color w:val="000000"/>
          <w:sz w:val="28"/>
          <w:szCs w:val="32"/>
          <w:u w:val="single"/>
        </w:rPr>
        <w:t xml:space="preserve">    </w:t>
      </w:r>
      <w:r>
        <w:rPr>
          <w:rFonts w:eastAsia="仿宋_GB2312"/>
          <w:color w:val="000000"/>
          <w:sz w:val="28"/>
          <w:szCs w:val="32"/>
        </w:rPr>
        <w:t xml:space="preserve">日                  </w:t>
      </w:r>
      <w:r>
        <w:rPr>
          <w:rFonts w:eastAsia="仿宋_GB2312"/>
          <w:color w:val="000000"/>
          <w:sz w:val="28"/>
          <w:szCs w:val="32"/>
          <w:u w:val="single"/>
        </w:rPr>
        <w:t xml:space="preserve">     </w:t>
      </w:r>
      <w:r>
        <w:rPr>
          <w:rFonts w:eastAsia="仿宋_GB2312"/>
          <w:color w:val="000000"/>
          <w:sz w:val="28"/>
          <w:szCs w:val="32"/>
        </w:rPr>
        <w:t>年</w:t>
      </w:r>
      <w:r>
        <w:rPr>
          <w:rFonts w:eastAsia="仿宋_GB2312"/>
          <w:color w:val="000000"/>
          <w:sz w:val="28"/>
          <w:szCs w:val="32"/>
          <w:u w:val="single"/>
        </w:rPr>
        <w:t xml:space="preserve">   </w:t>
      </w:r>
      <w:r>
        <w:rPr>
          <w:rFonts w:eastAsia="仿宋_GB2312"/>
          <w:color w:val="000000"/>
          <w:sz w:val="28"/>
          <w:szCs w:val="32"/>
        </w:rPr>
        <w:t>月</w:t>
      </w:r>
      <w:r>
        <w:rPr>
          <w:rFonts w:eastAsia="仿宋_GB2312"/>
          <w:color w:val="000000"/>
          <w:sz w:val="28"/>
          <w:szCs w:val="32"/>
          <w:u w:val="single"/>
        </w:rPr>
        <w:t xml:space="preserve">   </w:t>
      </w:r>
      <w:r>
        <w:rPr>
          <w:rFonts w:eastAsia="仿宋_GB2312"/>
          <w:color w:val="000000"/>
          <w:sz w:val="28"/>
          <w:szCs w:val="32"/>
        </w:rPr>
        <w:t>日</w:t>
      </w:r>
    </w:p>
    <w:p>
      <w:pPr>
        <w:pStyle w:val="2"/>
        <w:spacing w:after="0" w:line="490" w:lineRule="exact"/>
        <w:jc w:val="left"/>
        <w:rPr>
          <w:rFonts w:eastAsia="黑体"/>
          <w:color w:val="000000"/>
          <w:sz w:val="28"/>
          <w:szCs w:val="44"/>
        </w:rPr>
      </w:pPr>
      <w:r>
        <w:rPr>
          <w:rFonts w:eastAsia="仿宋_GB2312"/>
          <w:color w:val="000000"/>
          <w:sz w:val="28"/>
        </w:rPr>
        <w:br w:type="page"/>
      </w:r>
      <w:bookmarkStart w:id="1853" w:name="_Toc511318212"/>
      <w:r>
        <w:rPr>
          <w:rFonts w:eastAsia="黑体"/>
          <w:color w:val="000000"/>
          <w:sz w:val="28"/>
          <w:szCs w:val="44"/>
        </w:rPr>
        <w:t>附件二：履约担保（如有）</w:t>
      </w:r>
      <w:bookmarkEnd w:id="1853"/>
    </w:p>
    <w:p>
      <w:pPr>
        <w:spacing w:line="490" w:lineRule="exact"/>
        <w:jc w:val="center"/>
        <w:rPr>
          <w:rFonts w:eastAsia="方正小标宋_GBK"/>
          <w:b/>
          <w:color w:val="000000"/>
          <w:sz w:val="40"/>
          <w:szCs w:val="44"/>
        </w:rPr>
      </w:pPr>
    </w:p>
    <w:p>
      <w:pPr>
        <w:spacing w:line="490" w:lineRule="exact"/>
        <w:jc w:val="center"/>
        <w:rPr>
          <w:rFonts w:hint="eastAsia" w:ascii="方正小标宋简体" w:eastAsia="方正小标宋简体"/>
          <w:color w:val="000000"/>
          <w:sz w:val="40"/>
          <w:szCs w:val="44"/>
        </w:rPr>
      </w:pPr>
      <w:r>
        <w:rPr>
          <w:rFonts w:hint="eastAsia" w:ascii="方正小标宋简体" w:eastAsia="方正小标宋简体"/>
          <w:color w:val="000000"/>
          <w:sz w:val="40"/>
          <w:szCs w:val="44"/>
        </w:rPr>
        <w:t>履约担保（格式）</w:t>
      </w:r>
    </w:p>
    <w:p>
      <w:pPr>
        <w:spacing w:line="490" w:lineRule="exact"/>
        <w:jc w:val="center"/>
        <w:rPr>
          <w:rFonts w:eastAsia="方正小标宋_GBK"/>
          <w:b/>
          <w:color w:val="000000"/>
          <w:sz w:val="40"/>
          <w:szCs w:val="44"/>
        </w:rPr>
      </w:pPr>
    </w:p>
    <w:p>
      <w:pPr>
        <w:spacing w:line="490" w:lineRule="exact"/>
        <w:rPr>
          <w:rFonts w:eastAsia="仿宋_GB2312"/>
          <w:color w:val="000000"/>
          <w:sz w:val="28"/>
          <w:szCs w:val="32"/>
        </w:rPr>
      </w:pPr>
      <w:r>
        <w:rPr>
          <w:rFonts w:eastAsia="仿宋_GB2312"/>
          <w:color w:val="000000"/>
          <w:sz w:val="28"/>
          <w:szCs w:val="32"/>
          <w:u w:val="single"/>
        </w:rPr>
        <w:t xml:space="preserve">          </w:t>
      </w:r>
      <w:r>
        <w:rPr>
          <w:rFonts w:eastAsia="仿宋_GB2312"/>
          <w:color w:val="000000"/>
          <w:sz w:val="28"/>
          <w:szCs w:val="32"/>
        </w:rPr>
        <w:t>（发包人名称）：</w:t>
      </w:r>
    </w:p>
    <w:p>
      <w:pPr>
        <w:spacing w:line="490" w:lineRule="exact"/>
        <w:ind w:firstLine="560" w:firstLineChars="200"/>
        <w:rPr>
          <w:rFonts w:eastAsia="仿宋_GB2312"/>
          <w:color w:val="000000"/>
          <w:sz w:val="28"/>
          <w:szCs w:val="32"/>
        </w:rPr>
      </w:pPr>
      <w:r>
        <w:rPr>
          <w:rFonts w:eastAsia="仿宋_GB2312"/>
          <w:color w:val="000000"/>
          <w:sz w:val="28"/>
          <w:szCs w:val="32"/>
        </w:rPr>
        <w:t>鉴于</w:t>
      </w:r>
      <w:r>
        <w:rPr>
          <w:rFonts w:eastAsia="仿宋_GB2312"/>
          <w:color w:val="000000"/>
          <w:sz w:val="28"/>
          <w:szCs w:val="32"/>
          <w:u w:val="single"/>
        </w:rPr>
        <w:t xml:space="preserve">          </w:t>
      </w:r>
      <w:r>
        <w:rPr>
          <w:rFonts w:eastAsia="仿宋_GB2312"/>
          <w:color w:val="000000"/>
          <w:sz w:val="28"/>
          <w:szCs w:val="32"/>
        </w:rPr>
        <w:t>（发包人名称，以下简称“发包人”）已接受</w:t>
      </w:r>
      <w:r>
        <w:rPr>
          <w:rFonts w:eastAsia="仿宋_GB2312"/>
          <w:color w:val="000000"/>
          <w:sz w:val="28"/>
          <w:szCs w:val="32"/>
          <w:u w:val="single"/>
        </w:rPr>
        <w:t xml:space="preserve">         </w:t>
      </w:r>
      <w:r>
        <w:rPr>
          <w:rFonts w:eastAsia="仿宋_GB2312"/>
          <w:color w:val="000000"/>
          <w:sz w:val="28"/>
          <w:szCs w:val="32"/>
        </w:rPr>
        <w:t>（承包人名称，以下简称“承包人”）于</w:t>
      </w:r>
      <w:r>
        <w:rPr>
          <w:rFonts w:eastAsia="仿宋_GB2312"/>
          <w:color w:val="000000"/>
          <w:sz w:val="28"/>
          <w:szCs w:val="32"/>
          <w:u w:val="single"/>
        </w:rPr>
        <w:t xml:space="preserve">      </w:t>
      </w:r>
      <w:r>
        <w:rPr>
          <w:rFonts w:eastAsia="仿宋_GB2312"/>
          <w:color w:val="000000"/>
          <w:sz w:val="28"/>
          <w:szCs w:val="32"/>
        </w:rPr>
        <w:t>年</w:t>
      </w:r>
      <w:r>
        <w:rPr>
          <w:rFonts w:eastAsia="仿宋_GB2312"/>
          <w:color w:val="000000"/>
          <w:sz w:val="28"/>
          <w:szCs w:val="32"/>
          <w:u w:val="single"/>
        </w:rPr>
        <w:t xml:space="preserve">      </w:t>
      </w:r>
      <w:r>
        <w:rPr>
          <w:rFonts w:eastAsia="仿宋_GB2312"/>
          <w:color w:val="000000"/>
          <w:sz w:val="28"/>
          <w:szCs w:val="32"/>
        </w:rPr>
        <w:t>月</w:t>
      </w:r>
      <w:r>
        <w:rPr>
          <w:rFonts w:eastAsia="仿宋_GB2312"/>
          <w:color w:val="000000"/>
          <w:sz w:val="28"/>
          <w:szCs w:val="32"/>
          <w:u w:val="single"/>
        </w:rPr>
        <w:t xml:space="preserve">       </w:t>
      </w:r>
      <w:r>
        <w:rPr>
          <w:rFonts w:eastAsia="仿宋_GB2312"/>
          <w:color w:val="000000"/>
          <w:sz w:val="28"/>
          <w:szCs w:val="32"/>
        </w:rPr>
        <w:t>日递交的（项目名称）（标段名称）的投标文件。我方愿意无条件地、不可撤销地就承包人履行与你方订立的合同，向你方提供担保。</w:t>
      </w:r>
    </w:p>
    <w:p>
      <w:pPr>
        <w:spacing w:line="490" w:lineRule="exact"/>
        <w:ind w:firstLine="560" w:firstLineChars="200"/>
        <w:rPr>
          <w:rFonts w:eastAsia="仿宋_GB2312"/>
          <w:color w:val="000000"/>
          <w:sz w:val="28"/>
          <w:szCs w:val="32"/>
        </w:rPr>
      </w:pPr>
      <w:r>
        <w:rPr>
          <w:rFonts w:eastAsia="仿宋_GB2312"/>
          <w:color w:val="000000"/>
          <w:sz w:val="28"/>
          <w:szCs w:val="32"/>
        </w:rPr>
        <w:t>1. 担保金额人民币（大写）</w:t>
      </w:r>
      <w:r>
        <w:rPr>
          <w:rFonts w:eastAsia="仿宋_GB2312"/>
          <w:color w:val="000000"/>
          <w:sz w:val="28"/>
          <w:szCs w:val="32"/>
          <w:u w:val="single"/>
        </w:rPr>
        <w:t xml:space="preserve">               </w:t>
      </w:r>
      <w:r>
        <w:rPr>
          <w:rFonts w:eastAsia="仿宋_GB2312"/>
          <w:color w:val="000000"/>
          <w:sz w:val="28"/>
          <w:szCs w:val="32"/>
        </w:rPr>
        <w:t>元（¥</w:t>
      </w:r>
      <w:r>
        <w:rPr>
          <w:rFonts w:eastAsia="仿宋_GB2312"/>
          <w:color w:val="000000"/>
          <w:sz w:val="28"/>
          <w:szCs w:val="32"/>
          <w:u w:val="single"/>
        </w:rPr>
        <w:t xml:space="preserve">           </w:t>
      </w:r>
      <w:r>
        <w:rPr>
          <w:rFonts w:eastAsia="仿宋_GB2312"/>
          <w:color w:val="000000"/>
          <w:sz w:val="28"/>
          <w:szCs w:val="32"/>
        </w:rPr>
        <w:t>）。</w:t>
      </w:r>
    </w:p>
    <w:p>
      <w:pPr>
        <w:spacing w:line="490" w:lineRule="exact"/>
        <w:ind w:firstLine="560" w:firstLineChars="200"/>
        <w:rPr>
          <w:rFonts w:eastAsia="仿宋_GB2312"/>
          <w:color w:val="000000"/>
          <w:sz w:val="28"/>
          <w:szCs w:val="32"/>
        </w:rPr>
      </w:pPr>
      <w:r>
        <w:rPr>
          <w:rFonts w:eastAsia="仿宋_GB2312"/>
          <w:color w:val="000000"/>
          <w:sz w:val="28"/>
          <w:szCs w:val="32"/>
        </w:rPr>
        <w:t>2. 担保有效期自发包人与承包人签订的合同生效之日起至发包人签发合同工程完工证书之日止。</w:t>
      </w:r>
    </w:p>
    <w:p>
      <w:pPr>
        <w:spacing w:line="490" w:lineRule="exact"/>
        <w:ind w:firstLine="560" w:firstLineChars="200"/>
        <w:rPr>
          <w:rFonts w:eastAsia="仿宋_GB2312"/>
          <w:color w:val="000000"/>
          <w:sz w:val="28"/>
          <w:szCs w:val="32"/>
        </w:rPr>
      </w:pPr>
      <w:r>
        <w:rPr>
          <w:rFonts w:eastAsia="仿宋_GB2312"/>
          <w:color w:val="000000"/>
          <w:sz w:val="28"/>
          <w:szCs w:val="32"/>
        </w:rPr>
        <w:t>3. 在本担保有效期内，因承包人违反合同约定的义务给你方造成经济损失时，我方在收到你方以书面形式提出的在担保金额内的赔偿要求后，无条件地在7天内予以支付。</w:t>
      </w:r>
    </w:p>
    <w:p>
      <w:pPr>
        <w:spacing w:line="490" w:lineRule="exact"/>
        <w:ind w:firstLine="560" w:firstLineChars="200"/>
        <w:rPr>
          <w:rFonts w:eastAsia="仿宋_GB2312"/>
          <w:color w:val="000000"/>
          <w:sz w:val="28"/>
          <w:szCs w:val="32"/>
        </w:rPr>
      </w:pPr>
      <w:r>
        <w:rPr>
          <w:rFonts w:eastAsia="仿宋_GB2312"/>
          <w:color w:val="000000"/>
          <w:sz w:val="28"/>
          <w:szCs w:val="32"/>
        </w:rPr>
        <w:t>4. 发包人和承包人按《通用合同条款》第15条变更合同时，我方承担本担保规定的义务不变。</w:t>
      </w:r>
    </w:p>
    <w:p>
      <w:pPr>
        <w:spacing w:line="490" w:lineRule="exact"/>
        <w:ind w:firstLine="560" w:firstLineChars="200"/>
        <w:rPr>
          <w:rFonts w:eastAsia="仿宋_GB2312"/>
          <w:color w:val="000000"/>
          <w:sz w:val="28"/>
          <w:szCs w:val="32"/>
        </w:rPr>
      </w:pPr>
    </w:p>
    <w:p>
      <w:pPr>
        <w:spacing w:line="490" w:lineRule="exact"/>
        <w:ind w:firstLine="560" w:firstLineChars="200"/>
        <w:rPr>
          <w:rFonts w:eastAsia="仿宋_GB2312"/>
          <w:color w:val="000000"/>
          <w:sz w:val="28"/>
          <w:szCs w:val="32"/>
        </w:rPr>
      </w:pPr>
    </w:p>
    <w:p>
      <w:pPr>
        <w:tabs>
          <w:tab w:val="left" w:pos="1820"/>
          <w:tab w:val="left" w:pos="4140"/>
        </w:tabs>
        <w:spacing w:line="490" w:lineRule="exact"/>
        <w:ind w:firstLine="3206" w:firstLineChars="1145"/>
        <w:rPr>
          <w:rFonts w:eastAsia="仿宋_GB2312"/>
          <w:color w:val="000000"/>
          <w:sz w:val="28"/>
          <w:szCs w:val="32"/>
        </w:rPr>
      </w:pPr>
      <w:r>
        <w:rPr>
          <w:rFonts w:eastAsia="仿宋_GB2312"/>
          <w:color w:val="000000"/>
          <w:sz w:val="28"/>
          <w:szCs w:val="32"/>
        </w:rPr>
        <w:t>担保人：</w:t>
      </w:r>
      <w:r>
        <w:rPr>
          <w:rFonts w:eastAsia="仿宋_GB2312"/>
          <w:color w:val="000000"/>
          <w:sz w:val="28"/>
          <w:szCs w:val="32"/>
          <w:u w:val="single"/>
        </w:rPr>
        <w:t xml:space="preserve">                   </w:t>
      </w:r>
      <w:r>
        <w:rPr>
          <w:rFonts w:eastAsia="仿宋_GB2312"/>
          <w:color w:val="000000"/>
          <w:sz w:val="28"/>
          <w:szCs w:val="32"/>
        </w:rPr>
        <w:t>（盖单位公章）</w:t>
      </w:r>
    </w:p>
    <w:p>
      <w:pPr>
        <w:tabs>
          <w:tab w:val="left" w:pos="1820"/>
          <w:tab w:val="left" w:pos="4140"/>
        </w:tabs>
        <w:spacing w:line="490" w:lineRule="exact"/>
        <w:ind w:firstLine="3206" w:firstLineChars="1145"/>
        <w:rPr>
          <w:rFonts w:eastAsia="仿宋_GB2312"/>
          <w:color w:val="000000"/>
          <w:sz w:val="28"/>
          <w:szCs w:val="32"/>
        </w:rPr>
      </w:pPr>
      <w:r>
        <w:rPr>
          <w:rFonts w:eastAsia="仿宋_GB2312"/>
          <w:color w:val="000000"/>
          <w:sz w:val="28"/>
          <w:szCs w:val="32"/>
        </w:rPr>
        <w:t>法定代表人或其委托代理人：</w:t>
      </w:r>
      <w:r>
        <w:rPr>
          <w:rFonts w:eastAsia="仿宋_GB2312"/>
          <w:color w:val="000000"/>
          <w:sz w:val="28"/>
          <w:szCs w:val="32"/>
          <w:u w:val="single"/>
        </w:rPr>
        <w:t xml:space="preserve">          </w:t>
      </w:r>
      <w:r>
        <w:rPr>
          <w:rFonts w:eastAsia="仿宋_GB2312"/>
          <w:color w:val="000000"/>
          <w:sz w:val="28"/>
          <w:szCs w:val="32"/>
        </w:rPr>
        <w:t>（签字）</w:t>
      </w:r>
    </w:p>
    <w:p>
      <w:pPr>
        <w:tabs>
          <w:tab w:val="left" w:pos="1820"/>
          <w:tab w:val="left" w:pos="4140"/>
        </w:tabs>
        <w:spacing w:line="490" w:lineRule="exact"/>
        <w:ind w:firstLine="3206" w:firstLineChars="1145"/>
        <w:rPr>
          <w:rFonts w:eastAsia="仿宋_GB2312"/>
          <w:color w:val="000000"/>
          <w:sz w:val="28"/>
          <w:szCs w:val="32"/>
        </w:rPr>
      </w:pPr>
      <w:r>
        <w:rPr>
          <w:rFonts w:eastAsia="仿宋_GB2312"/>
          <w:color w:val="000000"/>
          <w:sz w:val="28"/>
          <w:szCs w:val="32"/>
        </w:rPr>
        <w:t>地    址：</w:t>
      </w:r>
      <w:r>
        <w:rPr>
          <w:rFonts w:eastAsia="仿宋_GB2312"/>
          <w:color w:val="000000"/>
          <w:sz w:val="28"/>
          <w:szCs w:val="32"/>
          <w:u w:val="single"/>
        </w:rPr>
        <w:t xml:space="preserve">                               </w:t>
      </w:r>
    </w:p>
    <w:p>
      <w:pPr>
        <w:tabs>
          <w:tab w:val="left" w:pos="1820"/>
          <w:tab w:val="left" w:pos="4140"/>
        </w:tabs>
        <w:spacing w:line="490" w:lineRule="exact"/>
        <w:ind w:firstLine="3206" w:firstLineChars="1145"/>
        <w:rPr>
          <w:rFonts w:eastAsia="仿宋_GB2312"/>
          <w:color w:val="000000"/>
          <w:sz w:val="28"/>
          <w:szCs w:val="32"/>
        </w:rPr>
      </w:pPr>
      <w:r>
        <w:rPr>
          <w:rFonts w:eastAsia="仿宋_GB2312"/>
          <w:color w:val="000000"/>
          <w:sz w:val="28"/>
          <w:szCs w:val="32"/>
        </w:rPr>
        <w:t>邮政编码：</w:t>
      </w:r>
      <w:r>
        <w:rPr>
          <w:rFonts w:eastAsia="仿宋_GB2312"/>
          <w:color w:val="000000"/>
          <w:sz w:val="28"/>
          <w:szCs w:val="32"/>
          <w:u w:val="single"/>
        </w:rPr>
        <w:t xml:space="preserve">                               </w:t>
      </w:r>
    </w:p>
    <w:p>
      <w:pPr>
        <w:tabs>
          <w:tab w:val="left" w:pos="1820"/>
          <w:tab w:val="left" w:pos="4140"/>
        </w:tabs>
        <w:spacing w:line="490" w:lineRule="exact"/>
        <w:ind w:firstLine="3206" w:firstLineChars="1145"/>
        <w:rPr>
          <w:rFonts w:eastAsia="仿宋_GB2312"/>
          <w:color w:val="000000"/>
          <w:sz w:val="28"/>
          <w:szCs w:val="32"/>
        </w:rPr>
      </w:pPr>
      <w:r>
        <w:rPr>
          <w:rFonts w:eastAsia="仿宋_GB2312"/>
          <w:color w:val="000000"/>
          <w:sz w:val="28"/>
          <w:szCs w:val="32"/>
        </w:rPr>
        <w:t>电    话：</w:t>
      </w:r>
      <w:r>
        <w:rPr>
          <w:rFonts w:eastAsia="仿宋_GB2312"/>
          <w:color w:val="000000"/>
          <w:sz w:val="28"/>
          <w:szCs w:val="32"/>
          <w:u w:val="single"/>
        </w:rPr>
        <w:t xml:space="preserve">                               </w:t>
      </w:r>
    </w:p>
    <w:p>
      <w:pPr>
        <w:tabs>
          <w:tab w:val="left" w:pos="1820"/>
          <w:tab w:val="left" w:pos="4140"/>
        </w:tabs>
        <w:spacing w:line="490" w:lineRule="exact"/>
        <w:ind w:firstLine="3206" w:firstLineChars="1145"/>
        <w:rPr>
          <w:rFonts w:eastAsia="仿宋_GB2312"/>
          <w:color w:val="000000"/>
          <w:sz w:val="28"/>
          <w:szCs w:val="32"/>
        </w:rPr>
      </w:pPr>
      <w:r>
        <w:rPr>
          <w:rFonts w:eastAsia="仿宋_GB2312"/>
          <w:color w:val="000000"/>
          <w:sz w:val="28"/>
          <w:szCs w:val="32"/>
        </w:rPr>
        <w:t>传    真：</w:t>
      </w:r>
      <w:r>
        <w:rPr>
          <w:rFonts w:eastAsia="仿宋_GB2312"/>
          <w:color w:val="000000"/>
          <w:sz w:val="28"/>
          <w:szCs w:val="32"/>
          <w:u w:val="single"/>
        </w:rPr>
        <w:t xml:space="preserve">                               </w:t>
      </w:r>
    </w:p>
    <w:p>
      <w:pPr>
        <w:tabs>
          <w:tab w:val="left" w:pos="1820"/>
          <w:tab w:val="left" w:pos="4140"/>
        </w:tabs>
        <w:spacing w:line="490" w:lineRule="exact"/>
        <w:ind w:firstLine="4606" w:firstLineChars="1645"/>
        <w:rPr>
          <w:rFonts w:eastAsia="黑体"/>
          <w:color w:val="000000"/>
          <w:sz w:val="28"/>
          <w:szCs w:val="44"/>
        </w:rPr>
      </w:pPr>
      <w:r>
        <w:rPr>
          <w:rFonts w:eastAsia="仿宋_GB2312"/>
          <w:color w:val="000000"/>
          <w:sz w:val="28"/>
          <w:szCs w:val="32"/>
          <w:u w:val="single"/>
        </w:rPr>
        <w:t xml:space="preserve">         </w:t>
      </w:r>
      <w:r>
        <w:rPr>
          <w:rFonts w:eastAsia="仿宋_GB2312"/>
          <w:color w:val="000000"/>
          <w:sz w:val="28"/>
          <w:szCs w:val="32"/>
        </w:rPr>
        <w:t>年</w:t>
      </w:r>
      <w:r>
        <w:rPr>
          <w:rFonts w:eastAsia="仿宋_GB2312"/>
          <w:color w:val="000000"/>
          <w:sz w:val="28"/>
          <w:szCs w:val="32"/>
          <w:u w:val="single"/>
        </w:rPr>
        <w:t xml:space="preserve">      </w:t>
      </w:r>
      <w:r>
        <w:rPr>
          <w:rFonts w:eastAsia="仿宋_GB2312"/>
          <w:color w:val="000000"/>
          <w:sz w:val="28"/>
          <w:szCs w:val="32"/>
        </w:rPr>
        <w:t>月</w:t>
      </w:r>
      <w:r>
        <w:rPr>
          <w:rFonts w:eastAsia="仿宋_GB2312"/>
          <w:color w:val="000000"/>
          <w:sz w:val="28"/>
          <w:szCs w:val="32"/>
          <w:u w:val="single"/>
        </w:rPr>
        <w:t xml:space="preserve">      </w:t>
      </w:r>
      <w:r>
        <w:rPr>
          <w:rFonts w:eastAsia="仿宋_GB2312"/>
          <w:color w:val="000000"/>
          <w:sz w:val="28"/>
          <w:szCs w:val="32"/>
        </w:rPr>
        <w:t>日</w:t>
      </w:r>
      <w:r>
        <w:rPr>
          <w:rFonts w:eastAsia="仿宋_GB2312"/>
          <w:color w:val="000000"/>
          <w:sz w:val="28"/>
          <w:szCs w:val="32"/>
        </w:rPr>
        <w:br w:type="page"/>
      </w:r>
      <w:bookmarkStart w:id="1854" w:name="_Toc511318213"/>
      <w:r>
        <w:rPr>
          <w:rFonts w:eastAsia="黑体"/>
          <w:color w:val="000000"/>
          <w:sz w:val="28"/>
          <w:szCs w:val="44"/>
        </w:rPr>
        <w:t>附件三：预付款担保（如有）</w:t>
      </w:r>
      <w:bookmarkEnd w:id="1854"/>
    </w:p>
    <w:p>
      <w:pPr>
        <w:spacing w:line="490" w:lineRule="exact"/>
        <w:jc w:val="center"/>
        <w:rPr>
          <w:rFonts w:eastAsia="方正小标宋_GBK"/>
          <w:b/>
          <w:color w:val="000000"/>
          <w:sz w:val="40"/>
          <w:szCs w:val="44"/>
        </w:rPr>
      </w:pPr>
    </w:p>
    <w:p>
      <w:pPr>
        <w:spacing w:line="490" w:lineRule="exact"/>
        <w:jc w:val="center"/>
        <w:rPr>
          <w:rFonts w:hint="eastAsia" w:ascii="方正小标宋简体" w:eastAsia="方正小标宋简体"/>
          <w:color w:val="000000"/>
          <w:sz w:val="40"/>
          <w:szCs w:val="44"/>
        </w:rPr>
      </w:pPr>
      <w:r>
        <w:rPr>
          <w:rFonts w:hint="eastAsia" w:ascii="方正小标宋简体" w:eastAsia="方正小标宋简体"/>
          <w:color w:val="000000"/>
          <w:sz w:val="40"/>
          <w:szCs w:val="44"/>
        </w:rPr>
        <w:t>预付款担保（格式）</w:t>
      </w:r>
    </w:p>
    <w:p>
      <w:pPr>
        <w:spacing w:line="490" w:lineRule="exact"/>
        <w:jc w:val="center"/>
        <w:rPr>
          <w:rFonts w:eastAsia="方正小标宋_GBK"/>
          <w:b/>
          <w:color w:val="000000"/>
          <w:sz w:val="40"/>
          <w:szCs w:val="44"/>
        </w:rPr>
      </w:pPr>
    </w:p>
    <w:p>
      <w:pPr>
        <w:spacing w:line="490" w:lineRule="exact"/>
        <w:rPr>
          <w:rFonts w:eastAsia="仿宋_GB2312"/>
          <w:color w:val="000000"/>
          <w:sz w:val="28"/>
          <w:szCs w:val="32"/>
        </w:rPr>
      </w:pPr>
      <w:r>
        <w:rPr>
          <w:rFonts w:eastAsia="仿宋_GB2312"/>
          <w:color w:val="000000"/>
          <w:sz w:val="28"/>
          <w:szCs w:val="32"/>
          <w:u w:val="single"/>
        </w:rPr>
        <w:t xml:space="preserve">            </w:t>
      </w:r>
      <w:r>
        <w:rPr>
          <w:rFonts w:eastAsia="仿宋_GB2312"/>
          <w:color w:val="000000"/>
          <w:sz w:val="28"/>
          <w:szCs w:val="32"/>
        </w:rPr>
        <w:t>（发包人名称）：</w:t>
      </w:r>
    </w:p>
    <w:p>
      <w:pPr>
        <w:spacing w:line="490" w:lineRule="exact"/>
        <w:ind w:firstLine="560" w:firstLineChars="200"/>
        <w:jc w:val="left"/>
        <w:rPr>
          <w:rFonts w:eastAsia="仿宋_GB2312"/>
          <w:color w:val="000000"/>
          <w:sz w:val="28"/>
          <w:szCs w:val="32"/>
        </w:rPr>
      </w:pPr>
      <w:r>
        <w:rPr>
          <w:rFonts w:eastAsia="仿宋_GB2312"/>
          <w:color w:val="000000"/>
          <w:sz w:val="28"/>
          <w:szCs w:val="32"/>
        </w:rPr>
        <w:t>根据</w:t>
      </w:r>
      <w:r>
        <w:rPr>
          <w:rFonts w:eastAsia="仿宋_GB2312"/>
          <w:color w:val="000000"/>
          <w:sz w:val="28"/>
          <w:szCs w:val="32"/>
          <w:u w:val="single"/>
        </w:rPr>
        <w:t xml:space="preserve">        </w:t>
      </w:r>
      <w:r>
        <w:rPr>
          <w:rFonts w:eastAsia="仿宋_GB2312"/>
          <w:color w:val="000000"/>
          <w:sz w:val="28"/>
          <w:szCs w:val="32"/>
        </w:rPr>
        <w:t>（承包人名称）（以下称“承包人”）与</w:t>
      </w:r>
      <w:r>
        <w:rPr>
          <w:rFonts w:eastAsia="仿宋_GB2312"/>
          <w:color w:val="000000"/>
          <w:sz w:val="28"/>
          <w:szCs w:val="32"/>
          <w:u w:val="single"/>
        </w:rPr>
        <w:t xml:space="preserve">        </w:t>
      </w:r>
      <w:r>
        <w:rPr>
          <w:rFonts w:eastAsia="仿宋_GB2312"/>
          <w:color w:val="000000"/>
          <w:sz w:val="28"/>
          <w:szCs w:val="32"/>
        </w:rPr>
        <w:t>（发包人名称）（以下简称“发包人”）于</w:t>
      </w:r>
      <w:r>
        <w:rPr>
          <w:rFonts w:eastAsia="仿宋_GB2312"/>
          <w:color w:val="000000"/>
          <w:sz w:val="28"/>
          <w:szCs w:val="32"/>
          <w:u w:val="single"/>
        </w:rPr>
        <w:t xml:space="preserve">      </w:t>
      </w:r>
      <w:r>
        <w:rPr>
          <w:rFonts w:eastAsia="仿宋_GB2312"/>
          <w:color w:val="000000"/>
          <w:sz w:val="28"/>
          <w:szCs w:val="32"/>
        </w:rPr>
        <w:t>年</w:t>
      </w:r>
      <w:r>
        <w:rPr>
          <w:rFonts w:eastAsia="仿宋_GB2312"/>
          <w:color w:val="000000"/>
          <w:sz w:val="28"/>
          <w:szCs w:val="32"/>
          <w:u w:val="single"/>
        </w:rPr>
        <w:t xml:space="preserve">      </w:t>
      </w:r>
      <w:r>
        <w:rPr>
          <w:rFonts w:eastAsia="仿宋_GB2312"/>
          <w:color w:val="000000"/>
          <w:sz w:val="28"/>
          <w:szCs w:val="32"/>
        </w:rPr>
        <w:t>月</w:t>
      </w:r>
      <w:r>
        <w:rPr>
          <w:rFonts w:eastAsia="仿宋_GB2312"/>
          <w:color w:val="000000"/>
          <w:sz w:val="28"/>
          <w:szCs w:val="32"/>
          <w:u w:val="single"/>
        </w:rPr>
        <w:t xml:space="preserve">      </w:t>
      </w:r>
      <w:r>
        <w:rPr>
          <w:rFonts w:eastAsia="仿宋_GB2312"/>
          <w:color w:val="000000"/>
          <w:sz w:val="28"/>
          <w:szCs w:val="32"/>
        </w:rPr>
        <w:t>日签订的</w:t>
      </w:r>
      <w:r>
        <w:rPr>
          <w:rFonts w:eastAsia="仿宋_GB2312"/>
          <w:color w:val="000000"/>
          <w:sz w:val="28"/>
          <w:szCs w:val="32"/>
          <w:u w:val="single"/>
        </w:rPr>
        <w:t xml:space="preserve">            </w:t>
      </w:r>
      <w:r>
        <w:rPr>
          <w:rFonts w:eastAsia="仿宋_GB2312"/>
          <w:color w:val="000000"/>
          <w:sz w:val="28"/>
          <w:szCs w:val="32"/>
        </w:rPr>
        <w:t>（项目名称）</w:t>
      </w:r>
      <w:r>
        <w:rPr>
          <w:rFonts w:eastAsia="仿宋_GB2312"/>
          <w:color w:val="000000"/>
          <w:sz w:val="28"/>
          <w:szCs w:val="32"/>
          <w:u w:val="single"/>
        </w:rPr>
        <w:t xml:space="preserve">    </w:t>
      </w:r>
      <w:r>
        <w:rPr>
          <w:rFonts w:eastAsia="仿宋_GB2312"/>
          <w:color w:val="000000"/>
          <w:sz w:val="28"/>
          <w:szCs w:val="32"/>
        </w:rPr>
        <w:t>标段施工承包合同，承包人按约定的金额向发包人提交一份预付款担保，即有权得到发包人支付相等金额的预付款。我方愿意就你方提供给承包人的预付款提供担保。</w:t>
      </w:r>
    </w:p>
    <w:p>
      <w:pPr>
        <w:spacing w:line="490" w:lineRule="exact"/>
        <w:ind w:firstLine="560" w:firstLineChars="200"/>
        <w:rPr>
          <w:rFonts w:eastAsia="仿宋_GB2312"/>
          <w:color w:val="000000"/>
          <w:sz w:val="28"/>
          <w:szCs w:val="32"/>
        </w:rPr>
      </w:pPr>
      <w:r>
        <w:rPr>
          <w:rFonts w:eastAsia="仿宋_GB2312"/>
          <w:color w:val="000000"/>
          <w:sz w:val="28"/>
          <w:szCs w:val="32"/>
        </w:rPr>
        <w:t>1. 担保金额人民币（大写）</w:t>
      </w:r>
      <w:r>
        <w:rPr>
          <w:rFonts w:eastAsia="仿宋_GB2312"/>
          <w:color w:val="000000"/>
          <w:sz w:val="28"/>
          <w:szCs w:val="32"/>
          <w:u w:val="single"/>
        </w:rPr>
        <w:t xml:space="preserve">            </w:t>
      </w:r>
      <w:r>
        <w:rPr>
          <w:rFonts w:eastAsia="仿宋_GB2312"/>
          <w:color w:val="000000"/>
          <w:sz w:val="28"/>
          <w:szCs w:val="32"/>
        </w:rPr>
        <w:t>元（¥</w:t>
      </w:r>
      <w:r>
        <w:rPr>
          <w:rFonts w:eastAsia="仿宋_GB2312"/>
          <w:color w:val="000000"/>
          <w:sz w:val="28"/>
          <w:szCs w:val="32"/>
          <w:u w:val="single"/>
        </w:rPr>
        <w:t xml:space="preserve">          </w:t>
      </w:r>
      <w:r>
        <w:rPr>
          <w:rFonts w:eastAsia="仿宋_GB2312"/>
          <w:color w:val="000000"/>
          <w:sz w:val="28"/>
          <w:szCs w:val="32"/>
        </w:rPr>
        <w:t>）。</w:t>
      </w:r>
    </w:p>
    <w:p>
      <w:pPr>
        <w:spacing w:line="490" w:lineRule="exact"/>
        <w:ind w:firstLine="560" w:firstLineChars="200"/>
        <w:rPr>
          <w:rFonts w:eastAsia="仿宋_GB2312"/>
          <w:color w:val="000000"/>
          <w:sz w:val="28"/>
          <w:szCs w:val="32"/>
        </w:rPr>
      </w:pPr>
      <w:r>
        <w:rPr>
          <w:rFonts w:eastAsia="仿宋_GB2312"/>
          <w:color w:val="000000"/>
          <w:sz w:val="28"/>
          <w:szCs w:val="32"/>
        </w:rPr>
        <w:t>2. 担保有效期自预付款支付给承包人起生效，至发包人签发的进度付款证书说明已完全扣清止。</w:t>
      </w:r>
    </w:p>
    <w:p>
      <w:pPr>
        <w:spacing w:line="490" w:lineRule="exact"/>
        <w:ind w:firstLine="560" w:firstLineChars="200"/>
        <w:rPr>
          <w:rFonts w:eastAsia="仿宋_GB2312"/>
          <w:color w:val="000000"/>
          <w:sz w:val="28"/>
          <w:szCs w:val="32"/>
        </w:rPr>
      </w:pPr>
      <w:r>
        <w:rPr>
          <w:rFonts w:eastAsia="仿宋_GB2312"/>
          <w:color w:val="000000"/>
          <w:sz w:val="28"/>
          <w:szCs w:val="32"/>
        </w:rPr>
        <w:t>3. 在本保函有效期内，因承包人违反合同约定的义务而要求收回预付款时，我方在收到你方的书面通知后，在７天内无条件支付。但本保函的担保金额，在任何时候不应超过预付款金额减去发包人按合同约定在向承包人签发的进度付款证书中扣除的金额。</w:t>
      </w:r>
    </w:p>
    <w:p>
      <w:pPr>
        <w:spacing w:line="490" w:lineRule="exact"/>
        <w:ind w:firstLine="560" w:firstLineChars="200"/>
        <w:rPr>
          <w:rFonts w:eastAsia="仿宋_GB2312"/>
          <w:color w:val="000000"/>
          <w:sz w:val="28"/>
          <w:szCs w:val="32"/>
        </w:rPr>
      </w:pPr>
      <w:r>
        <w:rPr>
          <w:rFonts w:eastAsia="仿宋_GB2312"/>
          <w:color w:val="000000"/>
          <w:sz w:val="28"/>
          <w:szCs w:val="32"/>
        </w:rPr>
        <w:t>4. 发包人和承包人按《通用合同条款》第15 条变更合同时，我方承担本保函规定的义务不变。</w:t>
      </w:r>
    </w:p>
    <w:p>
      <w:pPr>
        <w:spacing w:line="490" w:lineRule="exact"/>
        <w:ind w:firstLine="560" w:firstLineChars="200"/>
        <w:rPr>
          <w:rFonts w:eastAsia="仿宋_GB2312"/>
          <w:color w:val="000000"/>
          <w:kern w:val="0"/>
          <w:sz w:val="28"/>
          <w:szCs w:val="32"/>
        </w:rPr>
      </w:pPr>
    </w:p>
    <w:p>
      <w:pPr>
        <w:spacing w:line="490" w:lineRule="exact"/>
        <w:ind w:firstLine="2100" w:firstLineChars="750"/>
        <w:rPr>
          <w:rFonts w:eastAsia="仿宋_GB2312"/>
          <w:color w:val="000000"/>
          <w:sz w:val="28"/>
          <w:szCs w:val="32"/>
        </w:rPr>
      </w:pPr>
      <w:r>
        <w:rPr>
          <w:rFonts w:eastAsia="仿宋_GB2312"/>
          <w:color w:val="000000"/>
          <w:sz w:val="28"/>
          <w:szCs w:val="32"/>
        </w:rPr>
        <w:t>担 保 人：</w:t>
      </w:r>
      <w:r>
        <w:rPr>
          <w:rFonts w:eastAsia="仿宋_GB2312"/>
          <w:color w:val="000000"/>
          <w:sz w:val="28"/>
          <w:szCs w:val="32"/>
          <w:u w:val="single"/>
        </w:rPr>
        <w:t xml:space="preserve">                        </w:t>
      </w:r>
      <w:r>
        <w:rPr>
          <w:rFonts w:eastAsia="仿宋_GB2312"/>
          <w:color w:val="000000"/>
          <w:sz w:val="28"/>
          <w:szCs w:val="32"/>
        </w:rPr>
        <w:t>（盖单位公章）</w:t>
      </w:r>
    </w:p>
    <w:p>
      <w:pPr>
        <w:spacing w:line="490" w:lineRule="exact"/>
        <w:ind w:firstLine="2100" w:firstLineChars="750"/>
        <w:rPr>
          <w:rFonts w:eastAsia="仿宋_GB2312"/>
          <w:color w:val="000000"/>
          <w:sz w:val="28"/>
          <w:szCs w:val="32"/>
        </w:rPr>
      </w:pPr>
      <w:r>
        <w:rPr>
          <w:rFonts w:eastAsia="仿宋_GB2312"/>
          <w:color w:val="000000"/>
          <w:sz w:val="28"/>
          <w:szCs w:val="32"/>
        </w:rPr>
        <w:t>法定代表人或其委托代理人：</w:t>
      </w:r>
      <w:r>
        <w:rPr>
          <w:rFonts w:eastAsia="仿宋_GB2312"/>
          <w:color w:val="000000"/>
          <w:sz w:val="28"/>
          <w:szCs w:val="32"/>
          <w:u w:val="single"/>
        </w:rPr>
        <w:t xml:space="preserve">              </w:t>
      </w:r>
      <w:r>
        <w:rPr>
          <w:rFonts w:eastAsia="仿宋_GB2312"/>
          <w:color w:val="000000"/>
          <w:sz w:val="28"/>
          <w:szCs w:val="32"/>
        </w:rPr>
        <w:t>（签字）</w:t>
      </w:r>
    </w:p>
    <w:p>
      <w:pPr>
        <w:spacing w:line="490" w:lineRule="exact"/>
        <w:ind w:firstLine="2100" w:firstLineChars="750"/>
        <w:rPr>
          <w:rFonts w:eastAsia="仿宋_GB2312"/>
          <w:color w:val="000000"/>
          <w:sz w:val="28"/>
          <w:szCs w:val="32"/>
        </w:rPr>
      </w:pPr>
      <w:r>
        <w:rPr>
          <w:rFonts w:eastAsia="仿宋_GB2312"/>
          <w:color w:val="000000"/>
          <w:sz w:val="28"/>
          <w:szCs w:val="32"/>
        </w:rPr>
        <w:t>地    址：</w:t>
      </w:r>
      <w:r>
        <w:rPr>
          <w:rFonts w:eastAsia="仿宋_GB2312"/>
          <w:color w:val="000000"/>
          <w:sz w:val="28"/>
          <w:szCs w:val="32"/>
          <w:u w:val="single"/>
        </w:rPr>
        <w:t xml:space="preserve">                                     </w:t>
      </w:r>
    </w:p>
    <w:p>
      <w:pPr>
        <w:spacing w:line="490" w:lineRule="exact"/>
        <w:ind w:firstLine="2100" w:firstLineChars="750"/>
        <w:rPr>
          <w:rFonts w:eastAsia="仿宋_GB2312"/>
          <w:color w:val="000000"/>
          <w:sz w:val="28"/>
          <w:szCs w:val="32"/>
        </w:rPr>
      </w:pPr>
      <w:r>
        <w:rPr>
          <w:rFonts w:eastAsia="仿宋_GB2312"/>
          <w:color w:val="000000"/>
          <w:sz w:val="28"/>
          <w:szCs w:val="32"/>
        </w:rPr>
        <w:t>邮政编码：</w:t>
      </w:r>
      <w:r>
        <w:rPr>
          <w:rFonts w:eastAsia="仿宋_GB2312"/>
          <w:color w:val="000000"/>
          <w:sz w:val="28"/>
          <w:szCs w:val="32"/>
          <w:u w:val="single"/>
        </w:rPr>
        <w:t xml:space="preserve">                                     </w:t>
      </w:r>
    </w:p>
    <w:p>
      <w:pPr>
        <w:spacing w:line="490" w:lineRule="exact"/>
        <w:ind w:firstLine="2100" w:firstLineChars="750"/>
        <w:rPr>
          <w:rFonts w:eastAsia="仿宋_GB2312"/>
          <w:color w:val="000000"/>
          <w:sz w:val="28"/>
          <w:szCs w:val="32"/>
        </w:rPr>
      </w:pPr>
      <w:r>
        <w:rPr>
          <w:rFonts w:eastAsia="仿宋_GB2312"/>
          <w:color w:val="000000"/>
          <w:sz w:val="28"/>
          <w:szCs w:val="32"/>
        </w:rPr>
        <w:t>电    话：</w:t>
      </w:r>
      <w:r>
        <w:rPr>
          <w:rFonts w:eastAsia="仿宋_GB2312"/>
          <w:color w:val="000000"/>
          <w:sz w:val="28"/>
          <w:szCs w:val="32"/>
          <w:u w:val="single"/>
        </w:rPr>
        <w:t xml:space="preserve">                                     </w:t>
      </w:r>
    </w:p>
    <w:p>
      <w:pPr>
        <w:spacing w:line="490" w:lineRule="exact"/>
        <w:ind w:firstLine="2100" w:firstLineChars="750"/>
        <w:rPr>
          <w:rFonts w:eastAsia="仿宋_GB2312"/>
          <w:color w:val="000000"/>
          <w:sz w:val="28"/>
          <w:szCs w:val="32"/>
        </w:rPr>
      </w:pPr>
      <w:r>
        <w:rPr>
          <w:rFonts w:eastAsia="仿宋_GB2312"/>
          <w:color w:val="000000"/>
          <w:sz w:val="28"/>
          <w:szCs w:val="32"/>
        </w:rPr>
        <w:t>传    真：</w:t>
      </w:r>
      <w:r>
        <w:rPr>
          <w:rFonts w:eastAsia="仿宋_GB2312"/>
          <w:color w:val="000000"/>
          <w:sz w:val="28"/>
          <w:szCs w:val="32"/>
          <w:u w:val="single"/>
        </w:rPr>
        <w:t xml:space="preserve">                                     </w:t>
      </w:r>
    </w:p>
    <w:p>
      <w:pPr>
        <w:spacing w:line="490" w:lineRule="exact"/>
        <w:ind w:firstLine="3500" w:firstLineChars="1250"/>
        <w:rPr>
          <w:rFonts w:eastAsia="仿宋_GB2312"/>
          <w:color w:val="000000"/>
          <w:sz w:val="28"/>
          <w:szCs w:val="32"/>
        </w:rPr>
      </w:pPr>
      <w:r>
        <w:rPr>
          <w:rFonts w:eastAsia="仿宋_GB2312"/>
          <w:color w:val="000000"/>
          <w:sz w:val="28"/>
          <w:szCs w:val="32"/>
          <w:u w:val="single"/>
        </w:rPr>
        <w:t xml:space="preserve">        </w:t>
      </w:r>
      <w:r>
        <w:rPr>
          <w:rFonts w:eastAsia="仿宋_GB2312"/>
          <w:color w:val="000000"/>
          <w:sz w:val="28"/>
          <w:szCs w:val="32"/>
        </w:rPr>
        <w:t>年</w:t>
      </w:r>
      <w:r>
        <w:rPr>
          <w:rFonts w:eastAsia="仿宋_GB2312"/>
          <w:color w:val="000000"/>
          <w:sz w:val="28"/>
          <w:szCs w:val="32"/>
          <w:u w:val="single"/>
        </w:rPr>
        <w:t xml:space="preserve">       </w:t>
      </w:r>
      <w:r>
        <w:rPr>
          <w:rFonts w:eastAsia="仿宋_GB2312"/>
          <w:color w:val="000000"/>
          <w:sz w:val="28"/>
          <w:szCs w:val="32"/>
        </w:rPr>
        <w:t>月</w:t>
      </w:r>
      <w:r>
        <w:rPr>
          <w:rFonts w:eastAsia="仿宋_GB2312"/>
          <w:color w:val="000000"/>
          <w:sz w:val="28"/>
          <w:szCs w:val="32"/>
          <w:u w:val="single"/>
        </w:rPr>
        <w:t xml:space="preserve">       </w:t>
      </w:r>
      <w:r>
        <w:rPr>
          <w:rFonts w:eastAsia="仿宋_GB2312"/>
          <w:color w:val="000000"/>
          <w:sz w:val="28"/>
          <w:szCs w:val="32"/>
        </w:rPr>
        <w:t>日</w:t>
      </w:r>
    </w:p>
    <w:p>
      <w:pPr>
        <w:pStyle w:val="123"/>
        <w:autoSpaceDE/>
        <w:autoSpaceDN/>
        <w:adjustRightInd/>
        <w:spacing w:after="0" w:line="490" w:lineRule="exact"/>
        <w:rPr>
          <w:rFonts w:ascii="Times New Roman" w:eastAsia="黑体" w:cs="Times New Roman"/>
          <w:color w:val="000000"/>
          <w:sz w:val="28"/>
          <w:szCs w:val="32"/>
        </w:rPr>
      </w:pPr>
      <w:r>
        <w:rPr>
          <w:rFonts w:ascii="Times New Roman" w:eastAsia="仿宋_GB2312" w:cs="Times New Roman"/>
          <w:color w:val="000000"/>
          <w:sz w:val="28"/>
        </w:rPr>
        <w:br w:type="page"/>
      </w:r>
      <w:bookmarkStart w:id="1855" w:name="_Toc511318214"/>
      <w:r>
        <w:rPr>
          <w:rFonts w:ascii="Times New Roman" w:eastAsia="黑体" w:cs="Times New Roman"/>
          <w:color w:val="000000"/>
          <w:sz w:val="28"/>
          <w:szCs w:val="32"/>
        </w:rPr>
        <w:t>附件四：安全生产合同格式</w:t>
      </w:r>
      <w:bookmarkEnd w:id="1855"/>
    </w:p>
    <w:p>
      <w:pPr>
        <w:pStyle w:val="123"/>
        <w:autoSpaceDE/>
        <w:autoSpaceDN/>
        <w:adjustRightInd/>
        <w:spacing w:after="0" w:line="490" w:lineRule="exact"/>
        <w:jc w:val="center"/>
        <w:rPr>
          <w:rFonts w:ascii="Times New Roman" w:eastAsia="方正小标宋_GBK" w:cs="Times New Roman"/>
          <w:color w:val="000000"/>
          <w:sz w:val="40"/>
          <w:szCs w:val="32"/>
        </w:rPr>
      </w:pPr>
    </w:p>
    <w:p>
      <w:pPr>
        <w:pStyle w:val="123"/>
        <w:autoSpaceDE/>
        <w:autoSpaceDN/>
        <w:adjustRightInd/>
        <w:spacing w:after="0" w:line="490" w:lineRule="exact"/>
        <w:jc w:val="center"/>
        <w:rPr>
          <w:rFonts w:hint="eastAsia" w:ascii="方正小标宋简体" w:eastAsia="方正小标宋简体" w:cs="Times New Roman"/>
          <w:color w:val="000000"/>
          <w:sz w:val="40"/>
          <w:szCs w:val="32"/>
        </w:rPr>
      </w:pPr>
      <w:r>
        <w:rPr>
          <w:rFonts w:hint="eastAsia" w:ascii="方正小标宋简体" w:eastAsia="方正小标宋简体" w:cs="Times New Roman"/>
          <w:color w:val="000000"/>
          <w:sz w:val="40"/>
          <w:szCs w:val="32"/>
        </w:rPr>
        <w:t>安全生产合同（格式）</w:t>
      </w:r>
    </w:p>
    <w:p>
      <w:pPr>
        <w:spacing w:line="490" w:lineRule="exact"/>
        <w:jc w:val="center"/>
        <w:rPr>
          <w:rFonts w:eastAsia="方正小标宋_GBK"/>
          <w:color w:val="000000"/>
          <w:sz w:val="40"/>
          <w:szCs w:val="32"/>
        </w:rPr>
      </w:pPr>
    </w:p>
    <w:p>
      <w:pPr>
        <w:spacing w:line="490" w:lineRule="exact"/>
        <w:ind w:firstLine="560" w:firstLineChars="200"/>
        <w:rPr>
          <w:rFonts w:eastAsia="仿宋_GB2312"/>
          <w:color w:val="000000"/>
          <w:sz w:val="28"/>
          <w:szCs w:val="32"/>
        </w:rPr>
      </w:pPr>
      <w:r>
        <w:rPr>
          <w:rFonts w:eastAsia="仿宋_GB2312"/>
          <w:color w:val="000000"/>
          <w:sz w:val="28"/>
          <w:szCs w:val="32"/>
        </w:rPr>
        <w:t>为在</w:t>
      </w:r>
      <w:r>
        <w:rPr>
          <w:rFonts w:eastAsia="仿宋_GB2312"/>
          <w:color w:val="000000"/>
          <w:sz w:val="28"/>
          <w:szCs w:val="32"/>
          <w:u w:val="single"/>
        </w:rPr>
        <w:t xml:space="preserve">                 </w:t>
      </w:r>
      <w:r>
        <w:rPr>
          <w:rFonts w:eastAsia="仿宋_GB2312"/>
          <w:color w:val="000000"/>
          <w:sz w:val="28"/>
          <w:szCs w:val="32"/>
        </w:rPr>
        <w:t>（项目名称）施工合同的实施过程中创造安全、高效的施工环境，切实搞好本项目的安全</w:t>
      </w:r>
      <w:r>
        <w:rPr>
          <w:color w:val="000000"/>
        </w:rPr>
        <w:fldChar w:fldCharType="begin" w:fldLock="1"/>
      </w:r>
      <w:r>
        <w:rPr>
          <w:color w:val="000000"/>
        </w:rPr>
        <w:instrText xml:space="preserve"> HYPERLINK "http://lwcool.com/lw/showcls.asp?id=162&amp;parent=0" </w:instrText>
      </w:r>
      <w:r>
        <w:rPr>
          <w:color w:val="000000"/>
        </w:rPr>
        <w:fldChar w:fldCharType="separate"/>
      </w:r>
      <w:r>
        <w:rPr>
          <w:rFonts w:eastAsia="仿宋_GB2312"/>
          <w:color w:val="000000"/>
          <w:sz w:val="28"/>
          <w:szCs w:val="32"/>
        </w:rPr>
        <w:t>管理</w:t>
      </w:r>
      <w:r>
        <w:rPr>
          <w:rFonts w:eastAsia="仿宋_GB2312"/>
          <w:color w:val="000000"/>
          <w:sz w:val="28"/>
          <w:szCs w:val="32"/>
        </w:rPr>
        <w:fldChar w:fldCharType="end"/>
      </w:r>
      <w:r>
        <w:rPr>
          <w:rFonts w:eastAsia="仿宋_GB2312"/>
          <w:color w:val="000000"/>
          <w:sz w:val="28"/>
          <w:szCs w:val="32"/>
        </w:rPr>
        <w:t>工作，本项目</w:t>
      </w:r>
      <w:r>
        <w:rPr>
          <w:rFonts w:eastAsia="仿宋_GB2312"/>
          <w:color w:val="000000"/>
          <w:sz w:val="28"/>
          <w:szCs w:val="32"/>
          <w:u w:val="single"/>
        </w:rPr>
        <w:t xml:space="preserve">           </w:t>
      </w:r>
      <w:r>
        <w:rPr>
          <w:rFonts w:eastAsia="仿宋_GB2312"/>
          <w:color w:val="000000"/>
          <w:sz w:val="28"/>
          <w:szCs w:val="32"/>
        </w:rPr>
        <w:t>（发包人名称，以下简称“发包人”）与</w:t>
      </w:r>
      <w:r>
        <w:rPr>
          <w:rFonts w:eastAsia="仿宋_GB2312"/>
          <w:color w:val="000000"/>
          <w:sz w:val="28"/>
          <w:szCs w:val="32"/>
          <w:u w:val="single"/>
        </w:rPr>
        <w:t xml:space="preserve">              </w:t>
      </w:r>
      <w:r>
        <w:rPr>
          <w:rFonts w:eastAsia="仿宋_GB2312"/>
          <w:color w:val="000000"/>
          <w:sz w:val="28"/>
          <w:szCs w:val="32"/>
        </w:rPr>
        <w:t>（承包人名称，以下简称“承包人”）特此签订安全生产合同：</w:t>
      </w:r>
    </w:p>
    <w:p>
      <w:pPr>
        <w:spacing w:line="490" w:lineRule="exact"/>
        <w:ind w:firstLine="560" w:firstLineChars="200"/>
        <w:rPr>
          <w:rFonts w:eastAsia="仿宋_GB2312"/>
          <w:color w:val="000000"/>
          <w:sz w:val="28"/>
          <w:szCs w:val="32"/>
        </w:rPr>
      </w:pPr>
      <w:r>
        <w:rPr>
          <w:rFonts w:eastAsia="仿宋_GB2312"/>
          <w:color w:val="000000"/>
          <w:sz w:val="28"/>
          <w:szCs w:val="32"/>
        </w:rPr>
        <w:t>一、发包人职责</w:t>
      </w:r>
    </w:p>
    <w:p>
      <w:pPr>
        <w:spacing w:line="490" w:lineRule="exact"/>
        <w:ind w:firstLine="560" w:firstLineChars="200"/>
        <w:rPr>
          <w:rFonts w:eastAsia="仿宋_GB2312"/>
          <w:color w:val="000000"/>
          <w:sz w:val="28"/>
          <w:szCs w:val="32"/>
        </w:rPr>
      </w:pPr>
      <w:r>
        <w:rPr>
          <w:rFonts w:eastAsia="仿宋_GB2312"/>
          <w:color w:val="000000"/>
          <w:sz w:val="28"/>
          <w:szCs w:val="32"/>
        </w:rPr>
        <w:t>1</w:t>
      </w:r>
      <w:r>
        <w:rPr>
          <w:rFonts w:hint="eastAsia" w:eastAsia="仿宋_GB2312"/>
          <w:color w:val="000000"/>
          <w:sz w:val="28"/>
          <w:szCs w:val="32"/>
        </w:rPr>
        <w:t>.</w:t>
      </w:r>
      <w:r>
        <w:rPr>
          <w:rFonts w:eastAsia="仿宋_GB2312"/>
          <w:color w:val="000000"/>
          <w:sz w:val="28"/>
          <w:szCs w:val="32"/>
        </w:rPr>
        <w:t>严格遵守国家有关安全生产的</w:t>
      </w:r>
      <w:r>
        <w:rPr>
          <w:color w:val="000000"/>
        </w:rPr>
        <w:fldChar w:fldCharType="begin" w:fldLock="1"/>
      </w:r>
      <w:r>
        <w:rPr>
          <w:color w:val="000000"/>
        </w:rPr>
        <w:instrText xml:space="preserve"> HYPERLINK "http://lwcool.com/lw/showcls.asp?id=4&amp;parent=0" </w:instrText>
      </w:r>
      <w:r>
        <w:rPr>
          <w:color w:val="000000"/>
        </w:rPr>
        <w:fldChar w:fldCharType="separate"/>
      </w:r>
      <w:r>
        <w:rPr>
          <w:rFonts w:eastAsia="仿宋_GB2312"/>
          <w:color w:val="000000"/>
          <w:sz w:val="28"/>
          <w:szCs w:val="32"/>
        </w:rPr>
        <w:t>法律</w:t>
      </w:r>
      <w:r>
        <w:rPr>
          <w:rFonts w:eastAsia="仿宋_GB2312"/>
          <w:color w:val="000000"/>
          <w:sz w:val="28"/>
          <w:szCs w:val="32"/>
        </w:rPr>
        <w:fldChar w:fldCharType="end"/>
      </w:r>
      <w:r>
        <w:rPr>
          <w:rFonts w:eastAsia="仿宋_GB2312"/>
          <w:color w:val="000000"/>
          <w:sz w:val="28"/>
          <w:szCs w:val="32"/>
        </w:rPr>
        <w:t>法规，认真执行工程承包合同中的有关安全要求。</w:t>
      </w:r>
    </w:p>
    <w:p>
      <w:pPr>
        <w:spacing w:line="490" w:lineRule="exact"/>
        <w:ind w:firstLine="560" w:firstLineChars="200"/>
        <w:rPr>
          <w:rFonts w:eastAsia="仿宋_GB2312"/>
          <w:color w:val="000000"/>
          <w:sz w:val="28"/>
          <w:szCs w:val="32"/>
        </w:rPr>
      </w:pPr>
      <w:r>
        <w:rPr>
          <w:rFonts w:eastAsia="仿宋_GB2312"/>
          <w:color w:val="000000"/>
          <w:sz w:val="28"/>
          <w:szCs w:val="32"/>
        </w:rPr>
        <w:t>2</w:t>
      </w:r>
      <w:r>
        <w:rPr>
          <w:rFonts w:hint="eastAsia" w:eastAsia="仿宋_GB2312"/>
          <w:color w:val="000000"/>
          <w:sz w:val="28"/>
          <w:szCs w:val="32"/>
        </w:rPr>
        <w:t>.</w:t>
      </w:r>
      <w:r>
        <w:rPr>
          <w:rFonts w:eastAsia="仿宋_GB2312"/>
          <w:color w:val="000000"/>
          <w:sz w:val="28"/>
          <w:szCs w:val="32"/>
        </w:rPr>
        <w:t>按照“安全第一、预防为主”和坚持“管生产必须管安全”的原则进行安全生产</w:t>
      </w:r>
      <w:r>
        <w:rPr>
          <w:color w:val="000000"/>
        </w:rPr>
        <w:fldChar w:fldCharType="begin" w:fldLock="1"/>
      </w:r>
      <w:r>
        <w:rPr>
          <w:color w:val="000000"/>
        </w:rPr>
        <w:instrText xml:space="preserve"> HYPERLINK "http://lwcool.com/lw/showcls.asp?id=162&amp;parent=0" </w:instrText>
      </w:r>
      <w:r>
        <w:rPr>
          <w:color w:val="000000"/>
        </w:rPr>
        <w:fldChar w:fldCharType="separate"/>
      </w:r>
      <w:r>
        <w:rPr>
          <w:rFonts w:eastAsia="仿宋_GB2312"/>
          <w:color w:val="000000"/>
          <w:sz w:val="28"/>
          <w:szCs w:val="32"/>
        </w:rPr>
        <w:t>管理</w:t>
      </w:r>
      <w:r>
        <w:rPr>
          <w:rFonts w:eastAsia="仿宋_GB2312"/>
          <w:color w:val="000000"/>
          <w:sz w:val="28"/>
          <w:szCs w:val="32"/>
        </w:rPr>
        <w:fldChar w:fldCharType="end"/>
      </w:r>
      <w:r>
        <w:rPr>
          <w:rFonts w:eastAsia="仿宋_GB2312"/>
          <w:color w:val="000000"/>
          <w:sz w:val="28"/>
          <w:szCs w:val="32"/>
        </w:rPr>
        <w:t>，做到生产与安全工作同时</w:t>
      </w:r>
      <w:r>
        <w:rPr>
          <w:color w:val="000000"/>
        </w:rPr>
        <w:fldChar w:fldCharType="begin" w:fldLock="1"/>
      </w:r>
      <w:r>
        <w:rPr>
          <w:color w:val="000000"/>
        </w:rPr>
        <w:instrText xml:space="preserve"> HYPERLINK "http://lwcool.com/gw/showcls.asp?id=3&amp;parent=0" </w:instrText>
      </w:r>
      <w:r>
        <w:rPr>
          <w:color w:val="000000"/>
        </w:rPr>
        <w:fldChar w:fldCharType="separate"/>
      </w:r>
      <w:r>
        <w:rPr>
          <w:rFonts w:eastAsia="仿宋_GB2312"/>
          <w:color w:val="000000"/>
          <w:sz w:val="28"/>
          <w:szCs w:val="32"/>
        </w:rPr>
        <w:t>计划</w:t>
      </w:r>
      <w:r>
        <w:rPr>
          <w:rFonts w:eastAsia="仿宋_GB2312"/>
          <w:color w:val="000000"/>
          <w:sz w:val="28"/>
          <w:szCs w:val="32"/>
        </w:rPr>
        <w:fldChar w:fldCharType="end"/>
      </w:r>
      <w:r>
        <w:rPr>
          <w:rFonts w:eastAsia="仿宋_GB2312"/>
          <w:color w:val="000000"/>
          <w:sz w:val="28"/>
          <w:szCs w:val="32"/>
        </w:rPr>
        <w:t>、布置、检查、</w:t>
      </w:r>
      <w:r>
        <w:rPr>
          <w:color w:val="000000"/>
        </w:rPr>
        <w:fldChar w:fldCharType="begin" w:fldLock="1"/>
      </w:r>
      <w:r>
        <w:rPr>
          <w:color w:val="000000"/>
        </w:rPr>
        <w:instrText xml:space="preserve"> HYPERLINK "http://lwcool.com/gw/showcls.asp?parent=0&amp;id=4" </w:instrText>
      </w:r>
      <w:r>
        <w:rPr>
          <w:color w:val="000000"/>
        </w:rPr>
        <w:fldChar w:fldCharType="separate"/>
      </w:r>
      <w:r>
        <w:rPr>
          <w:rFonts w:eastAsia="仿宋_GB2312"/>
          <w:color w:val="000000"/>
          <w:sz w:val="28"/>
          <w:szCs w:val="32"/>
        </w:rPr>
        <w:t>总结</w:t>
      </w:r>
      <w:r>
        <w:rPr>
          <w:rFonts w:eastAsia="仿宋_GB2312"/>
          <w:color w:val="000000"/>
          <w:sz w:val="28"/>
          <w:szCs w:val="32"/>
        </w:rPr>
        <w:fldChar w:fldCharType="end"/>
      </w:r>
      <w:r>
        <w:rPr>
          <w:rFonts w:eastAsia="仿宋_GB2312"/>
          <w:color w:val="000000"/>
          <w:sz w:val="28"/>
          <w:szCs w:val="32"/>
        </w:rPr>
        <w:t>和评比。</w:t>
      </w:r>
    </w:p>
    <w:p>
      <w:pPr>
        <w:spacing w:line="490" w:lineRule="exact"/>
        <w:ind w:firstLine="560" w:firstLineChars="200"/>
        <w:rPr>
          <w:rFonts w:eastAsia="仿宋_GB2312"/>
          <w:color w:val="000000"/>
          <w:sz w:val="28"/>
          <w:szCs w:val="32"/>
        </w:rPr>
      </w:pPr>
      <w:r>
        <w:rPr>
          <w:rFonts w:eastAsia="仿宋_GB2312"/>
          <w:color w:val="000000"/>
          <w:sz w:val="28"/>
          <w:szCs w:val="32"/>
        </w:rPr>
        <w:t>3</w:t>
      </w:r>
      <w:r>
        <w:rPr>
          <w:rFonts w:hint="eastAsia" w:eastAsia="仿宋_GB2312"/>
          <w:color w:val="000000"/>
          <w:sz w:val="28"/>
          <w:szCs w:val="32"/>
        </w:rPr>
        <w:t>.</w:t>
      </w:r>
      <w:r>
        <w:rPr>
          <w:rFonts w:eastAsia="仿宋_GB2312"/>
          <w:color w:val="000000"/>
          <w:sz w:val="28"/>
          <w:szCs w:val="32"/>
        </w:rPr>
        <w:t>重要的安全设施必须坚持与主体工程“三同时”的原则，即：同时设计、审批，同时施工，同时验收，投入使用。</w:t>
      </w:r>
    </w:p>
    <w:p>
      <w:pPr>
        <w:spacing w:line="490" w:lineRule="exact"/>
        <w:ind w:firstLine="560" w:firstLineChars="200"/>
        <w:rPr>
          <w:rFonts w:eastAsia="仿宋_GB2312"/>
          <w:color w:val="000000"/>
          <w:sz w:val="28"/>
          <w:szCs w:val="32"/>
        </w:rPr>
      </w:pPr>
      <w:r>
        <w:rPr>
          <w:rFonts w:eastAsia="仿宋_GB2312"/>
          <w:color w:val="000000"/>
          <w:sz w:val="28"/>
          <w:szCs w:val="32"/>
        </w:rPr>
        <w:t>4</w:t>
      </w:r>
      <w:r>
        <w:rPr>
          <w:rFonts w:hint="eastAsia" w:eastAsia="仿宋_GB2312"/>
          <w:color w:val="000000"/>
          <w:sz w:val="28"/>
          <w:szCs w:val="32"/>
        </w:rPr>
        <w:t>.</w:t>
      </w:r>
      <w:r>
        <w:rPr>
          <w:rFonts w:eastAsia="仿宋_GB2312"/>
          <w:color w:val="000000"/>
          <w:sz w:val="28"/>
          <w:szCs w:val="32"/>
        </w:rPr>
        <w:t>定期召开安全生产调度会，及时传达中央及地方有关安全生产的精神。</w:t>
      </w:r>
    </w:p>
    <w:p>
      <w:pPr>
        <w:spacing w:line="490" w:lineRule="exact"/>
        <w:ind w:firstLine="560" w:firstLineChars="200"/>
        <w:rPr>
          <w:rFonts w:eastAsia="仿宋_GB2312"/>
          <w:color w:val="000000"/>
          <w:sz w:val="28"/>
          <w:szCs w:val="32"/>
        </w:rPr>
      </w:pPr>
      <w:r>
        <w:rPr>
          <w:rFonts w:eastAsia="仿宋_GB2312"/>
          <w:color w:val="000000"/>
          <w:sz w:val="28"/>
          <w:szCs w:val="32"/>
        </w:rPr>
        <w:t>5</w:t>
      </w:r>
      <w:r>
        <w:rPr>
          <w:rFonts w:hint="eastAsia" w:eastAsia="仿宋_GB2312"/>
          <w:color w:val="000000"/>
          <w:sz w:val="28"/>
          <w:szCs w:val="32"/>
        </w:rPr>
        <w:t>.</w:t>
      </w:r>
      <w:r>
        <w:rPr>
          <w:rFonts w:eastAsia="仿宋_GB2312"/>
          <w:color w:val="000000"/>
          <w:sz w:val="28"/>
          <w:szCs w:val="32"/>
        </w:rPr>
        <w:t>组织对承包人施工现场安全生产检查，监督承包人及时处理发现的各种安全隐患。</w:t>
      </w:r>
    </w:p>
    <w:p>
      <w:pPr>
        <w:spacing w:line="490" w:lineRule="exact"/>
        <w:ind w:firstLine="560" w:firstLineChars="200"/>
        <w:rPr>
          <w:rFonts w:eastAsia="仿宋_GB2312"/>
          <w:color w:val="000000"/>
          <w:sz w:val="28"/>
          <w:szCs w:val="32"/>
        </w:rPr>
      </w:pPr>
      <w:r>
        <w:rPr>
          <w:rFonts w:eastAsia="仿宋_GB2312"/>
          <w:color w:val="000000"/>
          <w:sz w:val="28"/>
          <w:szCs w:val="32"/>
        </w:rPr>
        <w:t>二、承包人职责</w:t>
      </w:r>
    </w:p>
    <w:p>
      <w:pPr>
        <w:spacing w:line="490" w:lineRule="exact"/>
        <w:ind w:firstLine="560" w:firstLineChars="200"/>
        <w:rPr>
          <w:rFonts w:eastAsia="仿宋_GB2312"/>
          <w:color w:val="000000"/>
          <w:sz w:val="28"/>
          <w:szCs w:val="32"/>
        </w:rPr>
      </w:pPr>
      <w:r>
        <w:rPr>
          <w:rFonts w:eastAsia="仿宋_GB2312"/>
          <w:color w:val="000000"/>
          <w:sz w:val="28"/>
          <w:szCs w:val="32"/>
        </w:rPr>
        <w:t>1</w:t>
      </w:r>
      <w:r>
        <w:rPr>
          <w:rFonts w:hint="eastAsia" w:eastAsia="仿宋_GB2312"/>
          <w:color w:val="000000"/>
          <w:sz w:val="28"/>
          <w:szCs w:val="32"/>
        </w:rPr>
        <w:t>.</w:t>
      </w:r>
      <w:r>
        <w:rPr>
          <w:rFonts w:eastAsia="仿宋_GB2312"/>
          <w:color w:val="000000"/>
          <w:sz w:val="28"/>
          <w:szCs w:val="32"/>
        </w:rPr>
        <w:t>严格遵守国家有关安全生产的</w:t>
      </w:r>
      <w:r>
        <w:rPr>
          <w:color w:val="000000"/>
        </w:rPr>
        <w:fldChar w:fldCharType="begin" w:fldLock="1"/>
      </w:r>
      <w:r>
        <w:rPr>
          <w:color w:val="000000"/>
        </w:rPr>
        <w:instrText xml:space="preserve"> HYPERLINK "http://lwcool.com/lw/showcls.asp?id=4&amp;parent=0" </w:instrText>
      </w:r>
      <w:r>
        <w:rPr>
          <w:color w:val="000000"/>
        </w:rPr>
        <w:fldChar w:fldCharType="separate"/>
      </w:r>
      <w:r>
        <w:rPr>
          <w:rFonts w:eastAsia="仿宋_GB2312"/>
          <w:color w:val="000000"/>
          <w:sz w:val="28"/>
          <w:szCs w:val="32"/>
        </w:rPr>
        <w:t>法律</w:t>
      </w:r>
      <w:r>
        <w:rPr>
          <w:rFonts w:eastAsia="仿宋_GB2312"/>
          <w:color w:val="000000"/>
          <w:sz w:val="28"/>
          <w:szCs w:val="32"/>
        </w:rPr>
        <w:fldChar w:fldCharType="end"/>
      </w:r>
      <w:r>
        <w:rPr>
          <w:rFonts w:eastAsia="仿宋_GB2312"/>
          <w:color w:val="000000"/>
          <w:sz w:val="28"/>
          <w:szCs w:val="32"/>
        </w:rPr>
        <w:t>法规、水利部等部门颁布的有关安全生产的规定，认真执行工程承包合同中的有关安全要求。</w:t>
      </w:r>
    </w:p>
    <w:p>
      <w:pPr>
        <w:spacing w:line="490" w:lineRule="exact"/>
        <w:ind w:firstLine="560" w:firstLineChars="200"/>
        <w:rPr>
          <w:rFonts w:eastAsia="仿宋_GB2312"/>
          <w:color w:val="000000"/>
          <w:sz w:val="28"/>
          <w:szCs w:val="32"/>
        </w:rPr>
      </w:pPr>
      <w:r>
        <w:rPr>
          <w:rFonts w:eastAsia="仿宋_GB2312"/>
          <w:color w:val="000000"/>
          <w:sz w:val="28"/>
          <w:szCs w:val="32"/>
        </w:rPr>
        <w:t>2</w:t>
      </w:r>
      <w:r>
        <w:rPr>
          <w:rFonts w:hint="eastAsia" w:eastAsia="仿宋_GB2312"/>
          <w:color w:val="000000"/>
          <w:sz w:val="28"/>
          <w:szCs w:val="32"/>
        </w:rPr>
        <w:t>.</w:t>
      </w:r>
      <w:r>
        <w:rPr>
          <w:rFonts w:eastAsia="仿宋_GB2312"/>
          <w:color w:val="000000"/>
          <w:sz w:val="28"/>
          <w:szCs w:val="32"/>
        </w:rPr>
        <w:t>坚持“安全第一、预防为主”和“管生产必须管安全”的原则，加强安全生产宣传教育，增强全员安全生产意识，建立健全各项安全生产的</w:t>
      </w:r>
      <w:r>
        <w:rPr>
          <w:color w:val="000000"/>
        </w:rPr>
        <w:fldChar w:fldCharType="begin" w:fldLock="1"/>
      </w:r>
      <w:r>
        <w:rPr>
          <w:color w:val="000000"/>
        </w:rPr>
        <w:instrText xml:space="preserve"> HYPERLINK "http://lwcool.com/lw/showcls.asp?id=162&amp;parent=0" </w:instrText>
      </w:r>
      <w:r>
        <w:rPr>
          <w:color w:val="000000"/>
        </w:rPr>
        <w:fldChar w:fldCharType="separate"/>
      </w:r>
      <w:r>
        <w:rPr>
          <w:rFonts w:eastAsia="仿宋_GB2312"/>
          <w:color w:val="000000"/>
          <w:sz w:val="28"/>
          <w:szCs w:val="32"/>
        </w:rPr>
        <w:t>管理</w:t>
      </w:r>
      <w:r>
        <w:rPr>
          <w:rFonts w:eastAsia="仿宋_GB2312"/>
          <w:color w:val="000000"/>
          <w:sz w:val="28"/>
          <w:szCs w:val="32"/>
        </w:rPr>
        <w:fldChar w:fldCharType="end"/>
      </w:r>
      <w:r>
        <w:rPr>
          <w:rFonts w:eastAsia="仿宋_GB2312"/>
          <w:color w:val="000000"/>
          <w:sz w:val="28"/>
          <w:szCs w:val="32"/>
        </w:rPr>
        <w:t>机构和安全生产</w:t>
      </w:r>
      <w:r>
        <w:rPr>
          <w:color w:val="000000"/>
        </w:rPr>
        <w:fldChar w:fldCharType="begin" w:fldLock="1"/>
      </w:r>
      <w:r>
        <w:rPr>
          <w:color w:val="000000"/>
        </w:rPr>
        <w:instrText xml:space="preserve"> HYPERLINK "http://lwcool.com/lw/showcls.asp?id=162&amp;parent=0" </w:instrText>
      </w:r>
      <w:r>
        <w:rPr>
          <w:color w:val="000000"/>
        </w:rPr>
        <w:fldChar w:fldCharType="separate"/>
      </w:r>
      <w:r>
        <w:rPr>
          <w:rFonts w:eastAsia="仿宋_GB2312"/>
          <w:color w:val="000000"/>
          <w:sz w:val="28"/>
          <w:szCs w:val="32"/>
        </w:rPr>
        <w:t>管理</w:t>
      </w:r>
      <w:r>
        <w:rPr>
          <w:rFonts w:eastAsia="仿宋_GB2312"/>
          <w:color w:val="000000"/>
          <w:sz w:val="28"/>
          <w:szCs w:val="32"/>
        </w:rPr>
        <w:fldChar w:fldCharType="end"/>
      </w:r>
      <w:r>
        <w:rPr>
          <w:rFonts w:eastAsia="仿宋_GB2312"/>
          <w:color w:val="000000"/>
          <w:sz w:val="28"/>
          <w:szCs w:val="32"/>
        </w:rPr>
        <w:t>制度，配备专职及兼职安全检查人员，有组织有领导地开展安全生产活动。各级领导、工程技术人员、生产</w:t>
      </w:r>
      <w:r>
        <w:rPr>
          <w:color w:val="000000"/>
        </w:rPr>
        <w:fldChar w:fldCharType="begin" w:fldLock="1"/>
      </w:r>
      <w:r>
        <w:rPr>
          <w:color w:val="000000"/>
        </w:rPr>
        <w:instrText xml:space="preserve"> HYPERLINK "http://lwcool.com/lw/showcls.asp?id=162&amp;parent=0" </w:instrText>
      </w:r>
      <w:r>
        <w:rPr>
          <w:color w:val="000000"/>
        </w:rPr>
        <w:fldChar w:fldCharType="separate"/>
      </w:r>
      <w:r>
        <w:rPr>
          <w:rFonts w:eastAsia="仿宋_GB2312"/>
          <w:color w:val="000000"/>
          <w:sz w:val="28"/>
          <w:szCs w:val="32"/>
        </w:rPr>
        <w:t>管理</w:t>
      </w:r>
      <w:r>
        <w:rPr>
          <w:rFonts w:eastAsia="仿宋_GB2312"/>
          <w:color w:val="000000"/>
          <w:sz w:val="28"/>
          <w:szCs w:val="32"/>
        </w:rPr>
        <w:fldChar w:fldCharType="end"/>
      </w:r>
      <w:r>
        <w:rPr>
          <w:rFonts w:eastAsia="仿宋_GB2312"/>
          <w:color w:val="000000"/>
          <w:sz w:val="28"/>
          <w:szCs w:val="32"/>
        </w:rPr>
        <w:t>人员和具体操作人员，必须熟悉和遵守本条款的各项规定，做到生产与安全工作同时</w:t>
      </w:r>
      <w:r>
        <w:rPr>
          <w:color w:val="000000"/>
        </w:rPr>
        <w:fldChar w:fldCharType="begin" w:fldLock="1"/>
      </w:r>
      <w:r>
        <w:rPr>
          <w:color w:val="000000"/>
        </w:rPr>
        <w:instrText xml:space="preserve"> HYPERLINK "http://lwcool.com/gw/showcls.asp?id=3&amp;parent=0" </w:instrText>
      </w:r>
      <w:r>
        <w:rPr>
          <w:color w:val="000000"/>
        </w:rPr>
        <w:fldChar w:fldCharType="separate"/>
      </w:r>
      <w:r>
        <w:rPr>
          <w:rFonts w:eastAsia="仿宋_GB2312"/>
          <w:color w:val="000000"/>
          <w:sz w:val="28"/>
          <w:szCs w:val="32"/>
        </w:rPr>
        <w:t>计划</w:t>
      </w:r>
      <w:r>
        <w:rPr>
          <w:rFonts w:eastAsia="仿宋_GB2312"/>
          <w:color w:val="000000"/>
          <w:sz w:val="28"/>
          <w:szCs w:val="32"/>
        </w:rPr>
        <w:fldChar w:fldCharType="end"/>
      </w:r>
      <w:r>
        <w:rPr>
          <w:rFonts w:eastAsia="仿宋_GB2312"/>
          <w:color w:val="000000"/>
          <w:sz w:val="28"/>
          <w:szCs w:val="32"/>
        </w:rPr>
        <w:t>、布置、检查、</w:t>
      </w:r>
      <w:r>
        <w:rPr>
          <w:color w:val="000000"/>
        </w:rPr>
        <w:fldChar w:fldCharType="begin" w:fldLock="1"/>
      </w:r>
      <w:r>
        <w:rPr>
          <w:color w:val="000000"/>
        </w:rPr>
        <w:instrText xml:space="preserve"> HYPERLINK "http://lwcool.com/gw/showcls.asp?parent=0&amp;id=4" </w:instrText>
      </w:r>
      <w:r>
        <w:rPr>
          <w:color w:val="000000"/>
        </w:rPr>
        <w:fldChar w:fldCharType="separate"/>
      </w:r>
      <w:r>
        <w:rPr>
          <w:rFonts w:eastAsia="仿宋_GB2312"/>
          <w:color w:val="000000"/>
          <w:sz w:val="28"/>
          <w:szCs w:val="32"/>
        </w:rPr>
        <w:t>总结</w:t>
      </w:r>
      <w:r>
        <w:rPr>
          <w:rFonts w:eastAsia="仿宋_GB2312"/>
          <w:color w:val="000000"/>
          <w:sz w:val="28"/>
          <w:szCs w:val="32"/>
        </w:rPr>
        <w:fldChar w:fldCharType="end"/>
      </w:r>
      <w:r>
        <w:rPr>
          <w:rFonts w:eastAsia="仿宋_GB2312"/>
          <w:color w:val="000000"/>
          <w:sz w:val="28"/>
          <w:szCs w:val="32"/>
        </w:rPr>
        <w:t>和评比。</w:t>
      </w:r>
    </w:p>
    <w:p>
      <w:pPr>
        <w:spacing w:line="490" w:lineRule="exact"/>
        <w:ind w:firstLine="560" w:firstLineChars="200"/>
        <w:rPr>
          <w:rFonts w:eastAsia="仿宋_GB2312"/>
          <w:color w:val="000000"/>
          <w:sz w:val="28"/>
          <w:szCs w:val="32"/>
        </w:rPr>
      </w:pPr>
      <w:r>
        <w:rPr>
          <w:rFonts w:eastAsia="仿宋_GB2312"/>
          <w:color w:val="000000"/>
          <w:sz w:val="28"/>
          <w:szCs w:val="32"/>
        </w:rPr>
        <w:t>3</w:t>
      </w:r>
      <w:r>
        <w:rPr>
          <w:rFonts w:hint="eastAsia" w:eastAsia="仿宋_GB2312"/>
          <w:color w:val="000000"/>
          <w:sz w:val="28"/>
          <w:szCs w:val="32"/>
        </w:rPr>
        <w:t>.</w:t>
      </w:r>
      <w:r>
        <w:rPr>
          <w:rFonts w:eastAsia="仿宋_GB2312"/>
          <w:color w:val="000000"/>
          <w:sz w:val="28"/>
          <w:szCs w:val="32"/>
        </w:rPr>
        <w:t>建立健全安全生产责任制。从派往项目实施的建造师到生产工人（包括临时雇请的民工）的安全生产</w:t>
      </w:r>
      <w:r>
        <w:rPr>
          <w:color w:val="000000"/>
        </w:rPr>
        <w:fldChar w:fldCharType="begin" w:fldLock="1"/>
      </w:r>
      <w:r>
        <w:rPr>
          <w:color w:val="000000"/>
        </w:rPr>
        <w:instrText xml:space="preserve"> HYPERLINK "http://lwcool.com/lw/showcls.asp?id=162&amp;parent=0" </w:instrText>
      </w:r>
      <w:r>
        <w:rPr>
          <w:color w:val="000000"/>
        </w:rPr>
        <w:fldChar w:fldCharType="separate"/>
      </w:r>
      <w:r>
        <w:rPr>
          <w:rFonts w:eastAsia="仿宋_GB2312"/>
          <w:color w:val="000000"/>
          <w:sz w:val="28"/>
          <w:szCs w:val="32"/>
        </w:rPr>
        <w:t>管理</w:t>
      </w:r>
      <w:r>
        <w:rPr>
          <w:rFonts w:eastAsia="仿宋_GB2312"/>
          <w:color w:val="000000"/>
          <w:sz w:val="28"/>
          <w:szCs w:val="32"/>
        </w:rPr>
        <w:fldChar w:fldCharType="end"/>
      </w:r>
      <w:r>
        <w:rPr>
          <w:rFonts w:eastAsia="仿宋_GB2312"/>
          <w:color w:val="000000"/>
          <w:sz w:val="28"/>
          <w:szCs w:val="32"/>
        </w:rPr>
        <w:t>系统必须做到纵向到底，一环不漏；各职能部门、人员的安全生产责任制做到横向到边，人人有责。建造师是安全生产的第一责任人。现场设置的安全机构，应按施工人员的1％～3％配备安全员，专职负责所有员工的安全和治安保卫工作及预防事故的发生。安全机构人员，有权按有关规定发布指令，并采取保护性措施防止事故发生。</w:t>
      </w:r>
    </w:p>
    <w:p>
      <w:pPr>
        <w:spacing w:line="490" w:lineRule="exact"/>
        <w:ind w:firstLine="560" w:firstLineChars="200"/>
        <w:rPr>
          <w:rFonts w:eastAsia="仿宋_GB2312"/>
          <w:color w:val="000000"/>
          <w:sz w:val="28"/>
          <w:szCs w:val="32"/>
        </w:rPr>
      </w:pPr>
      <w:r>
        <w:rPr>
          <w:rFonts w:eastAsia="仿宋_GB2312"/>
          <w:color w:val="000000"/>
          <w:sz w:val="28"/>
          <w:szCs w:val="32"/>
        </w:rPr>
        <w:t>4</w:t>
      </w:r>
      <w:r>
        <w:rPr>
          <w:rFonts w:hint="eastAsia" w:eastAsia="仿宋_GB2312"/>
          <w:color w:val="000000"/>
          <w:sz w:val="28"/>
          <w:szCs w:val="32"/>
        </w:rPr>
        <w:t>.</w:t>
      </w:r>
      <w:r>
        <w:rPr>
          <w:rFonts w:eastAsia="仿宋_GB2312"/>
          <w:color w:val="000000"/>
          <w:sz w:val="28"/>
          <w:szCs w:val="32"/>
        </w:rPr>
        <w:t>承包人在任何时候都应采取各种合理的预防措施，防止其员工发生任何违法、违禁、暴力或妨碍治安的行为。</w:t>
      </w:r>
    </w:p>
    <w:p>
      <w:pPr>
        <w:spacing w:line="490" w:lineRule="exact"/>
        <w:ind w:firstLine="560" w:firstLineChars="200"/>
        <w:rPr>
          <w:rFonts w:eastAsia="仿宋_GB2312"/>
          <w:color w:val="000000"/>
          <w:sz w:val="28"/>
          <w:szCs w:val="32"/>
        </w:rPr>
      </w:pPr>
      <w:r>
        <w:rPr>
          <w:rFonts w:eastAsia="仿宋_GB2312"/>
          <w:color w:val="000000"/>
          <w:sz w:val="28"/>
          <w:szCs w:val="32"/>
        </w:rPr>
        <w:t>5</w:t>
      </w:r>
      <w:r>
        <w:rPr>
          <w:rFonts w:hint="eastAsia" w:eastAsia="仿宋_GB2312"/>
          <w:color w:val="000000"/>
          <w:sz w:val="28"/>
          <w:szCs w:val="32"/>
        </w:rPr>
        <w:t>.</w:t>
      </w:r>
      <w:r>
        <w:rPr>
          <w:rFonts w:eastAsia="仿宋_GB2312"/>
          <w:color w:val="000000"/>
          <w:sz w:val="28"/>
          <w:szCs w:val="32"/>
        </w:rPr>
        <w:t>承包人必须具有劳动安全</w:t>
      </w:r>
      <w:r>
        <w:rPr>
          <w:color w:val="000000"/>
        </w:rPr>
        <w:fldChar w:fldCharType="begin" w:fldLock="1"/>
      </w:r>
      <w:r>
        <w:rPr>
          <w:color w:val="000000"/>
        </w:rPr>
        <w:instrText xml:space="preserve"> HYPERLINK "http://lwcool.com/lw/showcls.asp?id=162&amp;parent=0" </w:instrText>
      </w:r>
      <w:r>
        <w:rPr>
          <w:color w:val="000000"/>
        </w:rPr>
        <w:fldChar w:fldCharType="separate"/>
      </w:r>
      <w:r>
        <w:rPr>
          <w:rFonts w:eastAsia="仿宋_GB2312"/>
          <w:color w:val="000000"/>
          <w:sz w:val="28"/>
          <w:szCs w:val="32"/>
        </w:rPr>
        <w:t>管理</w:t>
      </w:r>
      <w:r>
        <w:rPr>
          <w:rFonts w:eastAsia="仿宋_GB2312"/>
          <w:color w:val="000000"/>
          <w:sz w:val="28"/>
          <w:szCs w:val="32"/>
        </w:rPr>
        <w:fldChar w:fldCharType="end"/>
      </w:r>
      <w:r>
        <w:rPr>
          <w:rFonts w:eastAsia="仿宋_GB2312"/>
          <w:color w:val="000000"/>
          <w:sz w:val="28"/>
          <w:szCs w:val="32"/>
        </w:rPr>
        <w:t>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人员，经过专业培训，获得《安全操作合格证》后，方准持证上岗。施工现场如出现特种作业无证操作现象时，建造师必须承担</w:t>
      </w:r>
      <w:r>
        <w:rPr>
          <w:color w:val="000000"/>
        </w:rPr>
        <w:fldChar w:fldCharType="begin" w:fldLock="1"/>
      </w:r>
      <w:r>
        <w:rPr>
          <w:color w:val="000000"/>
        </w:rPr>
        <w:instrText xml:space="preserve"> HYPERLINK "http://lwcool.com/lw/showcls.asp?id=162&amp;parent=0" </w:instrText>
      </w:r>
      <w:r>
        <w:rPr>
          <w:color w:val="000000"/>
        </w:rPr>
        <w:fldChar w:fldCharType="separate"/>
      </w:r>
      <w:r>
        <w:rPr>
          <w:rFonts w:eastAsia="仿宋_GB2312"/>
          <w:color w:val="000000"/>
          <w:sz w:val="28"/>
          <w:szCs w:val="32"/>
        </w:rPr>
        <w:t>管理</w:t>
      </w:r>
      <w:r>
        <w:rPr>
          <w:rFonts w:eastAsia="仿宋_GB2312"/>
          <w:color w:val="000000"/>
          <w:sz w:val="28"/>
          <w:szCs w:val="32"/>
        </w:rPr>
        <w:fldChar w:fldCharType="end"/>
      </w:r>
      <w:r>
        <w:rPr>
          <w:rFonts w:eastAsia="仿宋_GB2312"/>
          <w:color w:val="000000"/>
          <w:sz w:val="28"/>
          <w:szCs w:val="32"/>
        </w:rPr>
        <w:t>责任。</w:t>
      </w:r>
    </w:p>
    <w:p>
      <w:pPr>
        <w:spacing w:line="490" w:lineRule="exact"/>
        <w:ind w:firstLine="560" w:firstLineChars="200"/>
        <w:rPr>
          <w:rFonts w:eastAsia="仿宋_GB2312"/>
          <w:color w:val="000000"/>
          <w:sz w:val="28"/>
          <w:szCs w:val="32"/>
        </w:rPr>
      </w:pPr>
      <w:r>
        <w:rPr>
          <w:rFonts w:eastAsia="仿宋_GB2312"/>
          <w:color w:val="000000"/>
          <w:sz w:val="28"/>
          <w:szCs w:val="32"/>
        </w:rPr>
        <w:t>6</w:t>
      </w:r>
      <w:r>
        <w:rPr>
          <w:rFonts w:hint="eastAsia" w:eastAsia="仿宋_GB2312"/>
          <w:color w:val="000000"/>
          <w:sz w:val="28"/>
          <w:szCs w:val="32"/>
        </w:rPr>
        <w:t>.</w:t>
      </w:r>
      <w:r>
        <w:rPr>
          <w:rFonts w:eastAsia="仿宋_GB2312"/>
          <w:color w:val="000000"/>
          <w:sz w:val="28"/>
          <w:szCs w:val="32"/>
        </w:rPr>
        <w:t>对于易燃易爆的材料除应专门妥善保管之外，还应配备有足够的消防设施，所有施工人员都应该熟悉消防设备的性能和使用方法；承包人不得将任何种类的爆炸物给予、易货或以其他方式转让给任何其他人，或允许、容忍上述同样行为。</w:t>
      </w:r>
    </w:p>
    <w:p>
      <w:pPr>
        <w:spacing w:line="490" w:lineRule="exact"/>
        <w:ind w:firstLine="560" w:firstLineChars="200"/>
        <w:rPr>
          <w:rFonts w:eastAsia="仿宋_GB2312"/>
          <w:color w:val="000000"/>
          <w:sz w:val="28"/>
          <w:szCs w:val="32"/>
        </w:rPr>
      </w:pPr>
      <w:r>
        <w:rPr>
          <w:rFonts w:eastAsia="仿宋_GB2312"/>
          <w:color w:val="000000"/>
          <w:sz w:val="28"/>
          <w:szCs w:val="32"/>
        </w:rPr>
        <w:t>7</w:t>
      </w:r>
      <w:r>
        <w:rPr>
          <w:rFonts w:hint="eastAsia" w:eastAsia="仿宋_GB2312"/>
          <w:color w:val="000000"/>
          <w:sz w:val="28"/>
          <w:szCs w:val="32"/>
        </w:rPr>
        <w:t>.</w:t>
      </w:r>
      <w:r>
        <w:rPr>
          <w:rFonts w:eastAsia="仿宋_GB2312"/>
          <w:color w:val="000000"/>
          <w:sz w:val="28"/>
          <w:szCs w:val="32"/>
        </w:rPr>
        <w:t>操作人员上岗，必须按规定穿戴防护用品。施工负责人和安全检查员应随时检查劳动防护用品的穿戴情况，不按规定穿戴防护用品的人员不得上岗。</w:t>
      </w:r>
    </w:p>
    <w:p>
      <w:pPr>
        <w:spacing w:line="490" w:lineRule="exact"/>
        <w:ind w:firstLine="560" w:firstLineChars="200"/>
        <w:rPr>
          <w:rFonts w:eastAsia="仿宋_GB2312"/>
          <w:color w:val="000000"/>
          <w:sz w:val="28"/>
          <w:szCs w:val="32"/>
        </w:rPr>
      </w:pPr>
      <w:r>
        <w:rPr>
          <w:rFonts w:eastAsia="仿宋_GB2312"/>
          <w:color w:val="000000"/>
          <w:sz w:val="28"/>
          <w:szCs w:val="32"/>
        </w:rPr>
        <w:t>8</w:t>
      </w:r>
      <w:r>
        <w:rPr>
          <w:rFonts w:hint="eastAsia" w:eastAsia="仿宋_GB2312"/>
          <w:color w:val="000000"/>
          <w:sz w:val="28"/>
          <w:szCs w:val="32"/>
        </w:rPr>
        <w:t>.</w:t>
      </w:r>
      <w:r>
        <w:rPr>
          <w:rFonts w:eastAsia="仿宋_GB2312"/>
          <w:color w:val="000000"/>
          <w:sz w:val="28"/>
          <w:szCs w:val="32"/>
        </w:rPr>
        <w:t>所有施工机具设备和高空作业的设备均应定期检查，并有安全员的签字记录，保证其经常处于完好状态；不合格的机具、设备和劳动保护用品严禁使用。</w:t>
      </w:r>
    </w:p>
    <w:p>
      <w:pPr>
        <w:spacing w:line="490" w:lineRule="exact"/>
        <w:ind w:firstLine="560" w:firstLineChars="200"/>
        <w:rPr>
          <w:rFonts w:eastAsia="仿宋_GB2312"/>
          <w:color w:val="000000"/>
          <w:sz w:val="28"/>
          <w:szCs w:val="32"/>
        </w:rPr>
      </w:pPr>
      <w:r>
        <w:rPr>
          <w:rFonts w:eastAsia="仿宋_GB2312"/>
          <w:color w:val="000000"/>
          <w:sz w:val="28"/>
          <w:szCs w:val="32"/>
        </w:rPr>
        <w:t>9</w:t>
      </w:r>
      <w:r>
        <w:rPr>
          <w:rFonts w:hint="eastAsia" w:eastAsia="仿宋_GB2312"/>
          <w:color w:val="000000"/>
          <w:sz w:val="28"/>
          <w:szCs w:val="32"/>
        </w:rPr>
        <w:t>.</w:t>
      </w:r>
      <w:r>
        <w:rPr>
          <w:rFonts w:eastAsia="仿宋_GB2312"/>
          <w:color w:val="000000"/>
          <w:sz w:val="28"/>
          <w:szCs w:val="32"/>
        </w:rPr>
        <w:t>施工中采用新技术、新工艺、新设备、新材料时，必须制定相应的安全技术措施，施工现场必须具有相关的安全标志牌。</w:t>
      </w:r>
    </w:p>
    <w:p>
      <w:pPr>
        <w:spacing w:line="490" w:lineRule="exact"/>
        <w:ind w:firstLine="560" w:firstLineChars="200"/>
        <w:rPr>
          <w:rFonts w:eastAsia="仿宋_GB2312"/>
          <w:color w:val="000000"/>
          <w:sz w:val="28"/>
          <w:szCs w:val="32"/>
        </w:rPr>
      </w:pPr>
      <w:r>
        <w:rPr>
          <w:rFonts w:eastAsia="仿宋_GB2312"/>
          <w:color w:val="000000"/>
          <w:sz w:val="28"/>
          <w:szCs w:val="32"/>
        </w:rPr>
        <w:t>10</w:t>
      </w:r>
      <w:r>
        <w:rPr>
          <w:rFonts w:hint="eastAsia" w:eastAsia="仿宋_GB2312"/>
          <w:color w:val="000000"/>
          <w:sz w:val="28"/>
          <w:szCs w:val="32"/>
        </w:rPr>
        <w:t>.</w:t>
      </w:r>
      <w:r>
        <w:rPr>
          <w:rFonts w:eastAsia="仿宋_GB2312"/>
          <w:color w:val="000000"/>
          <w:sz w:val="28"/>
          <w:szCs w:val="32"/>
        </w:rPr>
        <w:t>承包人必须按照本工程项目特点，组织制定本工程实施中的生产安全事故应急救援预案；如果发生安全事故，应按照《国务院关于特大安全事故行政责任追究的规定》以及其它有关规定，及时上报有关部门，并坚持“三不放过”的原则，严肃处理相关责任人。</w:t>
      </w:r>
    </w:p>
    <w:p>
      <w:pPr>
        <w:spacing w:line="490" w:lineRule="exact"/>
        <w:ind w:firstLine="560" w:firstLineChars="200"/>
        <w:rPr>
          <w:rFonts w:eastAsia="仿宋_GB2312"/>
          <w:color w:val="000000"/>
          <w:sz w:val="28"/>
          <w:szCs w:val="32"/>
        </w:rPr>
      </w:pPr>
      <w:r>
        <w:rPr>
          <w:rFonts w:eastAsia="仿宋_GB2312"/>
          <w:color w:val="000000"/>
          <w:sz w:val="28"/>
          <w:szCs w:val="32"/>
        </w:rPr>
        <w:t>三、违约责任</w:t>
      </w:r>
    </w:p>
    <w:p>
      <w:pPr>
        <w:spacing w:line="490" w:lineRule="exact"/>
        <w:ind w:firstLine="560" w:firstLineChars="200"/>
        <w:rPr>
          <w:rFonts w:eastAsia="仿宋_GB2312"/>
          <w:color w:val="000000"/>
          <w:sz w:val="28"/>
          <w:szCs w:val="32"/>
        </w:rPr>
      </w:pPr>
      <w:r>
        <w:rPr>
          <w:rFonts w:eastAsia="仿宋_GB2312"/>
          <w:color w:val="000000"/>
          <w:sz w:val="28"/>
          <w:szCs w:val="32"/>
        </w:rPr>
        <w:t>如因发包人或承包人违约造成安全事故，将依法追究责任。</w:t>
      </w:r>
    </w:p>
    <w:p>
      <w:pPr>
        <w:spacing w:line="490" w:lineRule="exact"/>
        <w:ind w:firstLine="560" w:firstLineChars="200"/>
        <w:rPr>
          <w:rFonts w:eastAsia="仿宋_GB2312"/>
          <w:color w:val="000000"/>
          <w:sz w:val="28"/>
          <w:szCs w:val="32"/>
        </w:rPr>
      </w:pPr>
      <w:r>
        <w:rPr>
          <w:rFonts w:eastAsia="仿宋_GB2312"/>
          <w:color w:val="000000"/>
          <w:sz w:val="28"/>
          <w:szCs w:val="32"/>
        </w:rPr>
        <w:t>四、本合同正本一式</w:t>
      </w:r>
      <w:r>
        <w:rPr>
          <w:rFonts w:eastAsia="仿宋_GB2312"/>
          <w:color w:val="000000"/>
          <w:sz w:val="28"/>
          <w:szCs w:val="32"/>
          <w:u w:val="single"/>
        </w:rPr>
        <w:t xml:space="preserve">         </w:t>
      </w:r>
      <w:r>
        <w:rPr>
          <w:rFonts w:eastAsia="仿宋_GB2312"/>
          <w:color w:val="000000"/>
          <w:sz w:val="28"/>
          <w:szCs w:val="32"/>
        </w:rPr>
        <w:t>份，副本</w:t>
      </w:r>
      <w:r>
        <w:rPr>
          <w:rFonts w:eastAsia="仿宋_GB2312"/>
          <w:color w:val="000000"/>
          <w:sz w:val="28"/>
          <w:szCs w:val="32"/>
          <w:u w:val="single"/>
        </w:rPr>
        <w:t xml:space="preserve">        </w:t>
      </w:r>
      <w:r>
        <w:rPr>
          <w:rFonts w:eastAsia="仿宋_GB2312"/>
          <w:color w:val="000000"/>
          <w:sz w:val="28"/>
          <w:szCs w:val="32"/>
        </w:rPr>
        <w:t>份，合同双方各执正本</w:t>
      </w:r>
      <w:r>
        <w:rPr>
          <w:rFonts w:eastAsia="仿宋_GB2312"/>
          <w:color w:val="000000"/>
          <w:sz w:val="28"/>
          <w:szCs w:val="32"/>
          <w:u w:val="single"/>
        </w:rPr>
        <w:t xml:space="preserve">          </w:t>
      </w:r>
      <w:r>
        <w:rPr>
          <w:rFonts w:eastAsia="仿宋_GB2312"/>
          <w:color w:val="000000"/>
          <w:sz w:val="28"/>
          <w:szCs w:val="32"/>
        </w:rPr>
        <w:t>份，副本</w:t>
      </w:r>
      <w:r>
        <w:rPr>
          <w:rFonts w:eastAsia="仿宋_GB2312"/>
          <w:color w:val="000000"/>
          <w:sz w:val="28"/>
          <w:szCs w:val="32"/>
          <w:u w:val="single"/>
        </w:rPr>
        <w:t xml:space="preserve">         </w:t>
      </w:r>
      <w:r>
        <w:rPr>
          <w:rFonts w:eastAsia="仿宋_GB2312"/>
          <w:color w:val="000000"/>
          <w:sz w:val="28"/>
          <w:szCs w:val="32"/>
        </w:rPr>
        <w:t>份。由双方法定代表人或其授权的代理人签署与加盖公章后生效，全部工程竣工验收后失效。</w:t>
      </w:r>
    </w:p>
    <w:p>
      <w:pPr>
        <w:spacing w:line="490" w:lineRule="exact"/>
        <w:ind w:firstLine="560" w:firstLineChars="200"/>
        <w:rPr>
          <w:rFonts w:eastAsia="仿宋_GB2312"/>
          <w:color w:val="000000"/>
          <w:sz w:val="28"/>
          <w:szCs w:val="32"/>
        </w:rPr>
      </w:pPr>
    </w:p>
    <w:p>
      <w:pPr>
        <w:spacing w:line="490" w:lineRule="exact"/>
        <w:ind w:firstLine="560" w:firstLineChars="200"/>
        <w:rPr>
          <w:rFonts w:eastAsia="仿宋_GB2312"/>
          <w:color w:val="000000"/>
          <w:sz w:val="28"/>
          <w:szCs w:val="32"/>
        </w:rPr>
      </w:pPr>
    </w:p>
    <w:p>
      <w:pPr>
        <w:spacing w:line="490" w:lineRule="exact"/>
        <w:ind w:firstLine="560" w:firstLineChars="200"/>
        <w:rPr>
          <w:rFonts w:eastAsia="仿宋_GB2312"/>
          <w:color w:val="000000"/>
          <w:sz w:val="28"/>
          <w:szCs w:val="32"/>
        </w:rPr>
      </w:pPr>
    </w:p>
    <w:p>
      <w:pPr>
        <w:pStyle w:val="105"/>
        <w:autoSpaceDE/>
        <w:autoSpaceDN/>
        <w:adjustRightInd/>
        <w:spacing w:line="490" w:lineRule="exact"/>
        <w:jc w:val="both"/>
        <w:rPr>
          <w:rFonts w:ascii="Times New Roman" w:eastAsia="仿宋_GB2312" w:cs="Times New Roman"/>
          <w:color w:val="000000"/>
          <w:sz w:val="28"/>
          <w:szCs w:val="32"/>
        </w:rPr>
      </w:pPr>
      <w:r>
        <w:rPr>
          <w:rFonts w:ascii="Times New Roman" w:eastAsia="仿宋_GB2312" w:cs="Times New Roman"/>
          <w:color w:val="000000"/>
          <w:sz w:val="28"/>
          <w:szCs w:val="32"/>
        </w:rPr>
        <w:t>发包人：</w:t>
      </w:r>
      <w:r>
        <w:rPr>
          <w:rFonts w:ascii="Times New Roman" w:eastAsia="仿宋_GB2312" w:cs="Times New Roman"/>
          <w:color w:val="000000"/>
          <w:sz w:val="28"/>
          <w:szCs w:val="32"/>
          <w:u w:val="single"/>
        </w:rPr>
        <w:t xml:space="preserve">        </w:t>
      </w:r>
      <w:r>
        <w:rPr>
          <w:rFonts w:ascii="Times New Roman" w:eastAsia="仿宋_GB2312" w:cs="Times New Roman"/>
          <w:color w:val="000000"/>
          <w:sz w:val="28"/>
          <w:szCs w:val="32"/>
        </w:rPr>
        <w:t xml:space="preserve">（盖单位公章）   </w:t>
      </w:r>
      <w:r>
        <w:rPr>
          <w:rFonts w:hint="eastAsia" w:ascii="Times New Roman" w:eastAsia="仿宋_GB2312" w:cs="Times New Roman"/>
          <w:color w:val="000000"/>
          <w:sz w:val="28"/>
          <w:szCs w:val="32"/>
        </w:rPr>
        <w:t xml:space="preserve">  </w:t>
      </w:r>
      <w:r>
        <w:rPr>
          <w:rFonts w:ascii="Times New Roman" w:eastAsia="仿宋_GB2312" w:cs="Times New Roman"/>
          <w:color w:val="000000"/>
          <w:sz w:val="28"/>
          <w:szCs w:val="32"/>
        </w:rPr>
        <w:t>承包人：</w:t>
      </w:r>
      <w:r>
        <w:rPr>
          <w:rFonts w:ascii="Times New Roman" w:eastAsia="仿宋_GB2312" w:cs="Times New Roman"/>
          <w:color w:val="000000"/>
          <w:sz w:val="28"/>
          <w:szCs w:val="32"/>
          <w:u w:val="single"/>
        </w:rPr>
        <w:t xml:space="preserve">       </w:t>
      </w:r>
      <w:r>
        <w:rPr>
          <w:rFonts w:ascii="Times New Roman" w:eastAsia="仿宋_GB2312" w:cs="Times New Roman"/>
          <w:color w:val="000000"/>
          <w:sz w:val="28"/>
          <w:szCs w:val="32"/>
        </w:rPr>
        <w:t>（盖单位公章）</w:t>
      </w:r>
    </w:p>
    <w:p>
      <w:pPr>
        <w:pStyle w:val="105"/>
        <w:autoSpaceDE/>
        <w:autoSpaceDN/>
        <w:adjustRightInd/>
        <w:spacing w:line="490" w:lineRule="exact"/>
        <w:jc w:val="both"/>
        <w:rPr>
          <w:rFonts w:ascii="Times New Roman" w:eastAsia="仿宋_GB2312" w:cs="Times New Roman"/>
          <w:color w:val="000000"/>
          <w:sz w:val="28"/>
          <w:szCs w:val="32"/>
        </w:rPr>
      </w:pPr>
      <w:r>
        <w:rPr>
          <w:rFonts w:ascii="Times New Roman" w:eastAsia="仿宋_GB2312" w:cs="Times New Roman"/>
          <w:color w:val="000000"/>
          <w:sz w:val="28"/>
          <w:szCs w:val="32"/>
        </w:rPr>
        <w:t xml:space="preserve">法定代表人                       </w:t>
      </w:r>
      <w:r>
        <w:rPr>
          <w:rFonts w:hint="eastAsia" w:ascii="Times New Roman" w:eastAsia="仿宋_GB2312" w:cs="Times New Roman"/>
          <w:color w:val="000000"/>
          <w:sz w:val="28"/>
          <w:szCs w:val="32"/>
        </w:rPr>
        <w:t xml:space="preserve">  </w:t>
      </w:r>
      <w:r>
        <w:rPr>
          <w:rFonts w:ascii="Times New Roman" w:eastAsia="仿宋_GB2312" w:cs="Times New Roman"/>
          <w:color w:val="000000"/>
          <w:sz w:val="28"/>
          <w:szCs w:val="32"/>
        </w:rPr>
        <w:t>法定代表人</w:t>
      </w:r>
    </w:p>
    <w:p>
      <w:pPr>
        <w:pStyle w:val="105"/>
        <w:autoSpaceDE/>
        <w:autoSpaceDN/>
        <w:adjustRightInd/>
        <w:spacing w:line="490" w:lineRule="exact"/>
        <w:jc w:val="both"/>
        <w:rPr>
          <w:rFonts w:ascii="Times New Roman" w:eastAsia="仿宋_GB2312" w:cs="Times New Roman"/>
          <w:color w:val="000000"/>
          <w:sz w:val="28"/>
          <w:szCs w:val="32"/>
        </w:rPr>
      </w:pPr>
      <w:r>
        <w:rPr>
          <w:rFonts w:ascii="Times New Roman" w:eastAsia="仿宋_GB2312" w:cs="Times New Roman"/>
          <w:color w:val="000000"/>
          <w:sz w:val="28"/>
          <w:szCs w:val="32"/>
        </w:rPr>
        <w:t>或其委托代理人：</w:t>
      </w:r>
      <w:r>
        <w:rPr>
          <w:rFonts w:ascii="Times New Roman" w:eastAsia="仿宋_GB2312" w:cs="Times New Roman"/>
          <w:color w:val="000000"/>
          <w:sz w:val="28"/>
          <w:szCs w:val="32"/>
          <w:u w:val="single"/>
        </w:rPr>
        <w:t xml:space="preserve">       </w:t>
      </w:r>
      <w:r>
        <w:rPr>
          <w:rFonts w:ascii="Times New Roman" w:eastAsia="仿宋_GB2312" w:cs="Times New Roman"/>
          <w:color w:val="000000"/>
          <w:sz w:val="28"/>
          <w:szCs w:val="32"/>
        </w:rPr>
        <w:t xml:space="preserve">（签字）   </w:t>
      </w:r>
      <w:r>
        <w:rPr>
          <w:rFonts w:hint="eastAsia" w:ascii="Times New Roman" w:eastAsia="仿宋_GB2312" w:cs="Times New Roman"/>
          <w:color w:val="000000"/>
          <w:sz w:val="28"/>
          <w:szCs w:val="32"/>
        </w:rPr>
        <w:t xml:space="preserve"> </w:t>
      </w:r>
      <w:r>
        <w:rPr>
          <w:rFonts w:ascii="Times New Roman" w:eastAsia="仿宋_GB2312" w:cs="Times New Roman"/>
          <w:color w:val="000000"/>
          <w:sz w:val="28"/>
          <w:szCs w:val="32"/>
        </w:rPr>
        <w:t>或其委托代理人：</w:t>
      </w:r>
      <w:r>
        <w:rPr>
          <w:rFonts w:ascii="Times New Roman" w:eastAsia="仿宋_GB2312" w:cs="Times New Roman"/>
          <w:color w:val="000000"/>
          <w:sz w:val="28"/>
          <w:szCs w:val="32"/>
          <w:u w:val="single"/>
        </w:rPr>
        <w:t xml:space="preserve">       </w:t>
      </w:r>
      <w:r>
        <w:rPr>
          <w:rFonts w:ascii="Times New Roman" w:eastAsia="仿宋_GB2312" w:cs="Times New Roman"/>
          <w:color w:val="000000"/>
          <w:sz w:val="28"/>
          <w:szCs w:val="32"/>
        </w:rPr>
        <w:t>（签字）</w:t>
      </w:r>
    </w:p>
    <w:p>
      <w:pPr>
        <w:pStyle w:val="105"/>
        <w:autoSpaceDE/>
        <w:autoSpaceDN/>
        <w:adjustRightInd/>
        <w:spacing w:line="490" w:lineRule="exact"/>
        <w:jc w:val="both"/>
        <w:rPr>
          <w:rFonts w:ascii="Times New Roman" w:eastAsia="仿宋_GB2312" w:cs="Times New Roman"/>
          <w:color w:val="000000"/>
          <w:sz w:val="28"/>
          <w:szCs w:val="32"/>
          <w:u w:val="single"/>
        </w:rPr>
      </w:pPr>
      <w:r>
        <w:rPr>
          <w:rFonts w:ascii="Times New Roman" w:eastAsia="仿宋_GB2312" w:cs="Times New Roman"/>
          <w:color w:val="000000"/>
          <w:sz w:val="28"/>
          <w:szCs w:val="32"/>
        </w:rPr>
        <w:t>地 址：</w:t>
      </w:r>
      <w:r>
        <w:rPr>
          <w:rFonts w:ascii="Times New Roman" w:eastAsia="仿宋_GB2312" w:cs="Times New Roman"/>
          <w:color w:val="000000"/>
          <w:sz w:val="28"/>
          <w:szCs w:val="32"/>
          <w:u w:val="single"/>
        </w:rPr>
        <w:t xml:space="preserve">                 </w:t>
      </w:r>
      <w:r>
        <w:rPr>
          <w:rFonts w:ascii="Times New Roman" w:eastAsia="仿宋_GB2312" w:cs="Times New Roman"/>
          <w:color w:val="000000"/>
          <w:sz w:val="28"/>
          <w:szCs w:val="32"/>
        </w:rPr>
        <w:t xml:space="preserve">           地 址：</w:t>
      </w:r>
      <w:r>
        <w:rPr>
          <w:rFonts w:ascii="Times New Roman" w:eastAsia="仿宋_GB2312" w:cs="Times New Roman"/>
          <w:color w:val="000000"/>
          <w:sz w:val="28"/>
          <w:szCs w:val="32"/>
          <w:u w:val="single"/>
        </w:rPr>
        <w:t xml:space="preserve">                  </w:t>
      </w:r>
    </w:p>
    <w:p>
      <w:pPr>
        <w:pStyle w:val="105"/>
        <w:autoSpaceDE/>
        <w:autoSpaceDN/>
        <w:adjustRightInd/>
        <w:spacing w:line="490" w:lineRule="exact"/>
        <w:jc w:val="both"/>
        <w:rPr>
          <w:rFonts w:ascii="Times New Roman" w:eastAsia="仿宋_GB2312" w:cs="Times New Roman"/>
          <w:color w:val="000000"/>
          <w:sz w:val="28"/>
          <w:szCs w:val="32"/>
          <w:u w:val="single"/>
        </w:rPr>
      </w:pPr>
      <w:r>
        <w:rPr>
          <w:rFonts w:ascii="Times New Roman" w:eastAsia="仿宋_GB2312" w:cs="Times New Roman"/>
          <w:color w:val="000000"/>
          <w:sz w:val="28"/>
          <w:szCs w:val="32"/>
        </w:rPr>
        <w:t>电 话：</w:t>
      </w:r>
      <w:r>
        <w:rPr>
          <w:rFonts w:ascii="Times New Roman" w:eastAsia="仿宋_GB2312" w:cs="Times New Roman"/>
          <w:color w:val="000000"/>
          <w:sz w:val="28"/>
          <w:szCs w:val="32"/>
          <w:u w:val="single"/>
        </w:rPr>
        <w:t xml:space="preserve">                 </w:t>
      </w:r>
      <w:r>
        <w:rPr>
          <w:rFonts w:ascii="Times New Roman" w:eastAsia="仿宋_GB2312" w:cs="Times New Roman"/>
          <w:color w:val="000000"/>
          <w:sz w:val="28"/>
          <w:szCs w:val="32"/>
        </w:rPr>
        <w:t xml:space="preserve">           电 话：</w:t>
      </w:r>
      <w:r>
        <w:rPr>
          <w:rFonts w:ascii="Times New Roman" w:eastAsia="仿宋_GB2312" w:cs="Times New Roman"/>
          <w:color w:val="000000"/>
          <w:sz w:val="28"/>
          <w:szCs w:val="32"/>
          <w:u w:val="single"/>
        </w:rPr>
        <w:t xml:space="preserve">                  </w:t>
      </w:r>
    </w:p>
    <w:p>
      <w:pPr>
        <w:pStyle w:val="105"/>
        <w:tabs>
          <w:tab w:val="left" w:pos="4820"/>
          <w:tab w:val="left" w:pos="5103"/>
        </w:tabs>
        <w:autoSpaceDE/>
        <w:autoSpaceDN/>
        <w:adjustRightInd/>
        <w:spacing w:line="490" w:lineRule="exact"/>
        <w:jc w:val="both"/>
        <w:rPr>
          <w:rFonts w:ascii="Times New Roman" w:eastAsia="仿宋_GB2312" w:cs="Times New Roman"/>
          <w:color w:val="000000"/>
          <w:sz w:val="28"/>
          <w:szCs w:val="32"/>
          <w:u w:val="single"/>
        </w:rPr>
      </w:pPr>
      <w:r>
        <w:rPr>
          <w:rFonts w:ascii="Times New Roman" w:eastAsia="仿宋_GB2312" w:cs="Times New Roman"/>
          <w:color w:val="000000"/>
          <w:sz w:val="28"/>
          <w:szCs w:val="32"/>
        </w:rPr>
        <w:t>日 期：</w:t>
      </w:r>
      <w:r>
        <w:rPr>
          <w:rFonts w:ascii="Times New Roman" w:eastAsia="仿宋_GB2312" w:cs="Times New Roman"/>
          <w:color w:val="000000"/>
          <w:sz w:val="28"/>
          <w:szCs w:val="32"/>
          <w:u w:val="single"/>
        </w:rPr>
        <w:t xml:space="preserve">                 </w:t>
      </w:r>
      <w:r>
        <w:rPr>
          <w:rFonts w:ascii="Times New Roman" w:eastAsia="仿宋_GB2312" w:cs="Times New Roman"/>
          <w:color w:val="000000"/>
          <w:sz w:val="28"/>
          <w:szCs w:val="32"/>
        </w:rPr>
        <w:t xml:space="preserve">           日 期：</w:t>
      </w:r>
      <w:r>
        <w:rPr>
          <w:rFonts w:ascii="Times New Roman" w:eastAsia="仿宋_GB2312" w:cs="Times New Roman"/>
          <w:color w:val="000000"/>
          <w:sz w:val="28"/>
          <w:szCs w:val="32"/>
          <w:u w:val="single"/>
        </w:rPr>
        <w:t xml:space="preserve">                  </w:t>
      </w:r>
    </w:p>
    <w:p>
      <w:pPr>
        <w:pStyle w:val="123"/>
        <w:autoSpaceDE/>
        <w:autoSpaceDN/>
        <w:adjustRightInd/>
        <w:spacing w:after="0" w:line="490" w:lineRule="exact"/>
        <w:rPr>
          <w:rFonts w:ascii="Times New Roman" w:eastAsia="黑体" w:cs="Times New Roman"/>
          <w:color w:val="000000"/>
          <w:sz w:val="28"/>
          <w:szCs w:val="32"/>
        </w:rPr>
      </w:pPr>
      <w:r>
        <w:rPr>
          <w:rFonts w:ascii="Times New Roman" w:eastAsia="仿宋_GB2312" w:cs="Times New Roman"/>
          <w:color w:val="000000"/>
          <w:sz w:val="28"/>
        </w:rPr>
        <w:br w:type="page"/>
      </w:r>
      <w:bookmarkStart w:id="1856" w:name="_Toc511318215"/>
      <w:r>
        <w:rPr>
          <w:rFonts w:ascii="Times New Roman" w:eastAsia="黑体" w:cs="Times New Roman"/>
          <w:color w:val="000000"/>
          <w:sz w:val="28"/>
          <w:szCs w:val="32"/>
        </w:rPr>
        <w:t>附件五：工程建设项目廉政责任书</w:t>
      </w:r>
      <w:bookmarkEnd w:id="1856"/>
    </w:p>
    <w:p>
      <w:pPr>
        <w:pStyle w:val="123"/>
        <w:autoSpaceDE/>
        <w:autoSpaceDN/>
        <w:adjustRightInd/>
        <w:spacing w:after="0" w:line="490" w:lineRule="exact"/>
        <w:jc w:val="center"/>
        <w:rPr>
          <w:rFonts w:ascii="Times New Roman" w:eastAsia="方正小标宋_GBK" w:cs="Times New Roman"/>
          <w:b/>
          <w:color w:val="000000"/>
          <w:sz w:val="40"/>
          <w:szCs w:val="32"/>
        </w:rPr>
      </w:pPr>
    </w:p>
    <w:p>
      <w:pPr>
        <w:pStyle w:val="123"/>
        <w:autoSpaceDE/>
        <w:autoSpaceDN/>
        <w:adjustRightInd/>
        <w:spacing w:after="0" w:line="490" w:lineRule="exact"/>
        <w:jc w:val="center"/>
        <w:rPr>
          <w:rFonts w:hint="eastAsia" w:ascii="方正小标宋简体" w:hAnsi="仿宋" w:eastAsia="方正小标宋简体" w:cs="仿宋"/>
          <w:color w:val="000000"/>
          <w:sz w:val="40"/>
          <w:szCs w:val="32"/>
        </w:rPr>
      </w:pPr>
      <w:r>
        <w:rPr>
          <w:rFonts w:hint="eastAsia" w:ascii="方正小标宋简体" w:hAnsi="仿宋" w:eastAsia="方正小标宋简体" w:cs="仿宋"/>
          <w:color w:val="000000"/>
          <w:sz w:val="40"/>
          <w:szCs w:val="32"/>
        </w:rPr>
        <w:t>工程建设项目廉政责任书（格式）</w:t>
      </w:r>
    </w:p>
    <w:p>
      <w:pPr>
        <w:pStyle w:val="123"/>
        <w:autoSpaceDE/>
        <w:autoSpaceDN/>
        <w:adjustRightInd/>
        <w:spacing w:after="0" w:line="490" w:lineRule="exact"/>
        <w:jc w:val="center"/>
        <w:rPr>
          <w:rFonts w:hint="eastAsia" w:ascii="仿宋" w:hAnsi="仿宋" w:eastAsia="仿宋" w:cs="仿宋"/>
          <w:b/>
          <w:color w:val="000000"/>
          <w:sz w:val="40"/>
          <w:szCs w:val="32"/>
        </w:rPr>
      </w:pPr>
    </w:p>
    <w:p>
      <w:pPr>
        <w:spacing w:line="490" w:lineRule="exact"/>
        <w:ind w:firstLine="560" w:firstLineChars="200"/>
        <w:rPr>
          <w:rFonts w:eastAsia="仿宋_GB2312"/>
          <w:color w:val="000000"/>
          <w:sz w:val="28"/>
          <w:szCs w:val="32"/>
          <w:u w:val="single"/>
        </w:rPr>
      </w:pPr>
      <w:r>
        <w:rPr>
          <w:rFonts w:eastAsia="仿宋_GB2312"/>
          <w:color w:val="000000"/>
          <w:sz w:val="28"/>
          <w:szCs w:val="32"/>
        </w:rPr>
        <w:t>工程项目名称：</w:t>
      </w:r>
      <w:r>
        <w:rPr>
          <w:rFonts w:eastAsia="仿宋_GB2312"/>
          <w:color w:val="000000"/>
          <w:sz w:val="28"/>
          <w:szCs w:val="32"/>
          <w:u w:val="single"/>
        </w:rPr>
        <w:t xml:space="preserve">                                        </w:t>
      </w:r>
    </w:p>
    <w:p>
      <w:pPr>
        <w:spacing w:line="490" w:lineRule="exact"/>
        <w:ind w:firstLine="560" w:firstLineChars="200"/>
        <w:rPr>
          <w:rFonts w:eastAsia="仿宋_GB2312"/>
          <w:color w:val="000000"/>
          <w:sz w:val="28"/>
          <w:szCs w:val="32"/>
          <w:u w:val="single"/>
        </w:rPr>
      </w:pPr>
      <w:r>
        <w:rPr>
          <w:rFonts w:eastAsia="仿宋_GB2312"/>
          <w:color w:val="000000"/>
          <w:sz w:val="28"/>
          <w:szCs w:val="32"/>
        </w:rPr>
        <w:t>工程项目地址：</w:t>
      </w:r>
      <w:r>
        <w:rPr>
          <w:rFonts w:eastAsia="仿宋_GB2312"/>
          <w:color w:val="000000"/>
          <w:sz w:val="28"/>
          <w:szCs w:val="32"/>
          <w:u w:val="single"/>
        </w:rPr>
        <w:t xml:space="preserve">                                        </w:t>
      </w:r>
    </w:p>
    <w:p>
      <w:pPr>
        <w:spacing w:line="490" w:lineRule="exact"/>
        <w:ind w:firstLine="560" w:firstLineChars="200"/>
        <w:rPr>
          <w:rFonts w:eastAsia="仿宋_GB2312"/>
          <w:color w:val="000000"/>
          <w:sz w:val="28"/>
          <w:szCs w:val="32"/>
          <w:u w:val="single"/>
        </w:rPr>
      </w:pPr>
      <w:r>
        <w:rPr>
          <w:rFonts w:eastAsia="仿宋_GB2312"/>
          <w:color w:val="000000"/>
          <w:sz w:val="28"/>
          <w:szCs w:val="32"/>
        </w:rPr>
        <w:t>发包人（甲方）：</w:t>
      </w:r>
      <w:r>
        <w:rPr>
          <w:rFonts w:eastAsia="仿宋_GB2312"/>
          <w:color w:val="000000"/>
          <w:sz w:val="28"/>
          <w:szCs w:val="32"/>
          <w:u w:val="single"/>
        </w:rPr>
        <w:t xml:space="preserve">                                       </w:t>
      </w:r>
    </w:p>
    <w:p>
      <w:pPr>
        <w:spacing w:line="490" w:lineRule="exact"/>
        <w:ind w:firstLine="560" w:firstLineChars="200"/>
        <w:rPr>
          <w:rFonts w:eastAsia="仿宋_GB2312"/>
          <w:color w:val="000000"/>
          <w:sz w:val="28"/>
          <w:szCs w:val="32"/>
        </w:rPr>
      </w:pPr>
      <w:r>
        <w:rPr>
          <w:rFonts w:eastAsia="仿宋_GB2312"/>
          <w:color w:val="000000"/>
          <w:sz w:val="28"/>
          <w:szCs w:val="32"/>
        </w:rPr>
        <w:t>承包人（乙方）：</w:t>
      </w:r>
      <w:r>
        <w:rPr>
          <w:rFonts w:eastAsia="仿宋_GB2312"/>
          <w:color w:val="000000"/>
          <w:sz w:val="28"/>
          <w:szCs w:val="32"/>
          <w:u w:val="single"/>
        </w:rPr>
        <w:t xml:space="preserve">                                       </w:t>
      </w:r>
    </w:p>
    <w:p>
      <w:pPr>
        <w:spacing w:line="490" w:lineRule="exact"/>
        <w:ind w:firstLine="560" w:firstLineChars="200"/>
        <w:rPr>
          <w:rFonts w:eastAsia="仿宋_GB2312"/>
          <w:color w:val="000000"/>
          <w:sz w:val="28"/>
          <w:szCs w:val="32"/>
        </w:rPr>
      </w:pPr>
    </w:p>
    <w:p>
      <w:pPr>
        <w:spacing w:line="490" w:lineRule="exact"/>
        <w:ind w:firstLine="560" w:firstLineChars="200"/>
        <w:rPr>
          <w:rFonts w:eastAsia="仿宋_GB2312"/>
          <w:color w:val="000000"/>
          <w:sz w:val="28"/>
          <w:szCs w:val="32"/>
        </w:rPr>
      </w:pPr>
      <w:r>
        <w:rPr>
          <w:rFonts w:eastAsia="仿宋_GB2312"/>
          <w:color w:val="000000"/>
          <w:sz w:val="28"/>
          <w:szCs w:val="32"/>
        </w:rPr>
        <w:t>为加强工程建设中的廉政建设，规范工程建设项目承发包双方的各项活动，防止发生各种谋取不正当利益的违法违纪行为，保护国家、集体和当事人的合法权益，根据国家有关工程建设的法律法规和廉政建设责任制规定，特订立本廉政责任书。</w:t>
      </w:r>
    </w:p>
    <w:p>
      <w:pPr>
        <w:spacing w:line="490" w:lineRule="exact"/>
        <w:ind w:firstLine="560" w:firstLineChars="200"/>
        <w:rPr>
          <w:rFonts w:eastAsia="仿宋_GB2312"/>
          <w:color w:val="000000"/>
          <w:sz w:val="28"/>
          <w:szCs w:val="32"/>
        </w:rPr>
      </w:pPr>
      <w:r>
        <w:rPr>
          <w:rFonts w:eastAsia="仿宋_GB2312"/>
          <w:color w:val="000000"/>
          <w:sz w:val="28"/>
          <w:szCs w:val="32"/>
        </w:rPr>
        <w:t>第一条  甲乙双方的责任</w:t>
      </w:r>
    </w:p>
    <w:p>
      <w:pPr>
        <w:spacing w:line="490" w:lineRule="exact"/>
        <w:ind w:firstLine="560" w:firstLineChars="200"/>
        <w:rPr>
          <w:rFonts w:eastAsia="仿宋_GB2312"/>
          <w:color w:val="000000"/>
          <w:sz w:val="28"/>
          <w:szCs w:val="32"/>
        </w:rPr>
      </w:pPr>
      <w:r>
        <w:rPr>
          <w:rFonts w:eastAsia="仿宋_GB2312"/>
          <w:color w:val="000000"/>
          <w:sz w:val="28"/>
          <w:szCs w:val="32"/>
        </w:rPr>
        <w:t>（一）应严格遵守国家关于市场准入、项目招标投标、工程建设、施工安装和市场活动等有关法律、法规，相关政策，以及廉政建设的各项规定。</w:t>
      </w:r>
    </w:p>
    <w:p>
      <w:pPr>
        <w:spacing w:line="490" w:lineRule="exact"/>
        <w:ind w:firstLine="560" w:firstLineChars="200"/>
        <w:rPr>
          <w:rFonts w:eastAsia="仿宋_GB2312"/>
          <w:color w:val="000000"/>
          <w:sz w:val="28"/>
          <w:szCs w:val="32"/>
        </w:rPr>
      </w:pPr>
      <w:r>
        <w:rPr>
          <w:rFonts w:eastAsia="仿宋_GB2312"/>
          <w:color w:val="000000"/>
          <w:sz w:val="28"/>
          <w:szCs w:val="32"/>
        </w:rPr>
        <w:t>（二）严格执行建设工程项目承发包合同文件，自觉按合同办事。</w:t>
      </w:r>
    </w:p>
    <w:p>
      <w:pPr>
        <w:spacing w:line="490" w:lineRule="exact"/>
        <w:ind w:firstLine="560" w:firstLineChars="200"/>
        <w:rPr>
          <w:rFonts w:eastAsia="仿宋_GB2312"/>
          <w:color w:val="000000"/>
          <w:sz w:val="28"/>
          <w:szCs w:val="32"/>
        </w:rPr>
      </w:pPr>
      <w:r>
        <w:rPr>
          <w:rFonts w:eastAsia="仿宋_GB2312"/>
          <w:color w:val="000000"/>
          <w:sz w:val="28"/>
          <w:szCs w:val="32"/>
        </w:rPr>
        <w:t>（三）业务活动必须坚持公开、公平、公正、诚信、透明的原则（除法律法规另有规定者外）。不得为获取不正当的利益，损害国家、集体和对方利益，不得违反工程建设管理、施工安装的规章制度。</w:t>
      </w:r>
    </w:p>
    <w:p>
      <w:pPr>
        <w:spacing w:line="490" w:lineRule="exact"/>
        <w:ind w:firstLine="560" w:firstLineChars="200"/>
        <w:rPr>
          <w:rFonts w:eastAsia="仿宋_GB2312"/>
          <w:color w:val="000000"/>
          <w:sz w:val="28"/>
          <w:szCs w:val="32"/>
        </w:rPr>
      </w:pPr>
      <w:r>
        <w:rPr>
          <w:rFonts w:eastAsia="仿宋_GB2312"/>
          <w:color w:val="000000"/>
          <w:sz w:val="28"/>
          <w:szCs w:val="32"/>
        </w:rPr>
        <w:t>（四）发现对方在业务活动中有违规、违纪、违法行为的，应及时提醒对方，情节严重的，应向其上级主管部门或纪检监察、司法等有关机关举报。</w:t>
      </w:r>
    </w:p>
    <w:p>
      <w:pPr>
        <w:spacing w:line="490" w:lineRule="exact"/>
        <w:ind w:firstLine="560" w:firstLineChars="200"/>
        <w:rPr>
          <w:rFonts w:eastAsia="仿宋_GB2312"/>
          <w:color w:val="000000"/>
          <w:sz w:val="28"/>
          <w:szCs w:val="32"/>
        </w:rPr>
      </w:pPr>
      <w:r>
        <w:rPr>
          <w:rFonts w:eastAsia="仿宋_GB2312"/>
          <w:color w:val="000000"/>
          <w:sz w:val="28"/>
          <w:szCs w:val="32"/>
        </w:rPr>
        <w:t>第二条  甲方的责任</w:t>
      </w:r>
    </w:p>
    <w:p>
      <w:pPr>
        <w:spacing w:line="490" w:lineRule="exact"/>
        <w:ind w:firstLine="560" w:firstLineChars="200"/>
        <w:rPr>
          <w:rFonts w:eastAsia="仿宋_GB2312"/>
          <w:color w:val="000000"/>
          <w:sz w:val="28"/>
          <w:szCs w:val="32"/>
        </w:rPr>
      </w:pPr>
      <w:r>
        <w:rPr>
          <w:rFonts w:eastAsia="仿宋_GB2312"/>
          <w:color w:val="000000"/>
          <w:sz w:val="28"/>
          <w:szCs w:val="32"/>
        </w:rPr>
        <w:t>甲方的领导和从事该建设工程项目的工作人员，在工程建设的事前、事中、事后应遵守以下规定：</w:t>
      </w:r>
    </w:p>
    <w:p>
      <w:pPr>
        <w:spacing w:line="490" w:lineRule="exact"/>
        <w:ind w:firstLine="560" w:firstLineChars="200"/>
        <w:rPr>
          <w:rFonts w:eastAsia="仿宋_GB2312"/>
          <w:color w:val="000000"/>
          <w:sz w:val="28"/>
          <w:szCs w:val="32"/>
        </w:rPr>
      </w:pPr>
      <w:r>
        <w:rPr>
          <w:rFonts w:eastAsia="仿宋_GB2312"/>
          <w:color w:val="000000"/>
          <w:sz w:val="28"/>
          <w:szCs w:val="32"/>
        </w:rPr>
        <w:t>（一）不准向乙方和相关单位索要或接受回扣、礼金、有价证券、贵重物品和好处费、感谢费等。</w:t>
      </w:r>
    </w:p>
    <w:p>
      <w:pPr>
        <w:spacing w:line="490" w:lineRule="exact"/>
        <w:ind w:firstLine="560" w:firstLineChars="200"/>
        <w:rPr>
          <w:rFonts w:eastAsia="仿宋_GB2312"/>
          <w:color w:val="000000"/>
          <w:sz w:val="28"/>
          <w:szCs w:val="32"/>
        </w:rPr>
      </w:pPr>
      <w:r>
        <w:rPr>
          <w:rFonts w:eastAsia="仿宋_GB2312"/>
          <w:color w:val="000000"/>
          <w:sz w:val="28"/>
          <w:szCs w:val="32"/>
        </w:rPr>
        <w:t>（二）不准在乙方和相关单位报销任何应由甲方或个人支付的费人。</w:t>
      </w:r>
    </w:p>
    <w:p>
      <w:pPr>
        <w:spacing w:line="490" w:lineRule="exact"/>
        <w:ind w:firstLine="560" w:firstLineChars="200"/>
        <w:rPr>
          <w:rFonts w:eastAsia="仿宋_GB2312"/>
          <w:color w:val="000000"/>
          <w:sz w:val="28"/>
          <w:szCs w:val="32"/>
        </w:rPr>
      </w:pPr>
      <w:r>
        <w:rPr>
          <w:rFonts w:eastAsia="仿宋_GB2312"/>
          <w:color w:val="000000"/>
          <w:sz w:val="28"/>
          <w:szCs w:val="32"/>
        </w:rPr>
        <w:t>（三）不准要求、暗示或接受乙方和相关单位为个人装修住房、婚丧嫁娶、配偶子女的工作安排以及出国（境）、旅游等提供方便。</w:t>
      </w:r>
    </w:p>
    <w:p>
      <w:pPr>
        <w:spacing w:line="490" w:lineRule="exact"/>
        <w:ind w:firstLine="560" w:firstLineChars="200"/>
        <w:rPr>
          <w:rFonts w:eastAsia="仿宋_GB2312"/>
          <w:color w:val="000000"/>
          <w:sz w:val="28"/>
          <w:szCs w:val="32"/>
        </w:rPr>
      </w:pPr>
      <w:r>
        <w:rPr>
          <w:rFonts w:eastAsia="仿宋_GB2312"/>
          <w:color w:val="000000"/>
          <w:sz w:val="28"/>
          <w:szCs w:val="32"/>
        </w:rPr>
        <w:t>（四）不准参加有可能影响公正执行公务的乙方和相关单位的宴请和健身、娱乐等活动。</w:t>
      </w:r>
    </w:p>
    <w:p>
      <w:pPr>
        <w:spacing w:line="490" w:lineRule="exact"/>
        <w:ind w:firstLine="560" w:firstLineChars="200"/>
        <w:rPr>
          <w:rFonts w:eastAsia="仿宋_GB2312"/>
          <w:color w:val="000000"/>
          <w:sz w:val="28"/>
          <w:szCs w:val="32"/>
        </w:rPr>
      </w:pPr>
      <w:r>
        <w:rPr>
          <w:rFonts w:eastAsia="仿宋_GB2312"/>
          <w:color w:val="000000"/>
          <w:sz w:val="28"/>
          <w:szCs w:val="32"/>
        </w:rPr>
        <w:t>（五）不准向乙方介绍或为配偶、子女、亲属参与同甲方项目工程施工合同有关的设备、材料、工程分包、劳务等经济活动。不得以任何理由向乙方和相关单位推荐分包单位和要求乙方购买项目工程施工合同规定以外的材料、设备等。</w:t>
      </w:r>
    </w:p>
    <w:p>
      <w:pPr>
        <w:spacing w:line="490" w:lineRule="exact"/>
        <w:ind w:firstLine="560" w:firstLineChars="200"/>
        <w:rPr>
          <w:rFonts w:eastAsia="仿宋_GB2312"/>
          <w:color w:val="000000"/>
          <w:sz w:val="28"/>
          <w:szCs w:val="32"/>
        </w:rPr>
      </w:pPr>
      <w:r>
        <w:rPr>
          <w:rFonts w:eastAsia="仿宋_GB2312"/>
          <w:color w:val="000000"/>
          <w:sz w:val="28"/>
          <w:szCs w:val="32"/>
        </w:rPr>
        <w:t>第三条  乙方的责任</w:t>
      </w:r>
    </w:p>
    <w:p>
      <w:pPr>
        <w:spacing w:line="490" w:lineRule="exact"/>
        <w:ind w:firstLine="560" w:firstLineChars="200"/>
        <w:rPr>
          <w:rFonts w:eastAsia="仿宋_GB2312"/>
          <w:color w:val="000000"/>
          <w:sz w:val="28"/>
          <w:szCs w:val="32"/>
        </w:rPr>
      </w:pPr>
      <w:r>
        <w:rPr>
          <w:rFonts w:eastAsia="仿宋_GB2312"/>
          <w:color w:val="000000"/>
          <w:sz w:val="28"/>
          <w:szCs w:val="32"/>
        </w:rPr>
        <w:t>应与甲方保持正常的业务交往，按照有关法律法规和程序开展业务工作，严格执行工程建设的有关政策，遵守以下规定：</w:t>
      </w:r>
    </w:p>
    <w:p>
      <w:pPr>
        <w:spacing w:line="490" w:lineRule="exact"/>
        <w:ind w:firstLine="560" w:firstLineChars="200"/>
        <w:rPr>
          <w:rFonts w:eastAsia="仿宋_GB2312"/>
          <w:color w:val="000000"/>
          <w:sz w:val="28"/>
          <w:szCs w:val="32"/>
        </w:rPr>
      </w:pPr>
      <w:r>
        <w:rPr>
          <w:rFonts w:eastAsia="仿宋_GB2312"/>
          <w:color w:val="000000"/>
          <w:sz w:val="28"/>
          <w:szCs w:val="32"/>
        </w:rPr>
        <w:t>（一）不准以任何理由向甲方、相关单位及其工作人员索要、接受或赠送礼、有价证券、贵重物品和回扣、好处费、感谢费等。</w:t>
      </w:r>
    </w:p>
    <w:p>
      <w:pPr>
        <w:spacing w:line="490" w:lineRule="exact"/>
        <w:ind w:firstLine="560" w:firstLineChars="200"/>
        <w:rPr>
          <w:rFonts w:eastAsia="仿宋_GB2312"/>
          <w:color w:val="000000"/>
          <w:sz w:val="28"/>
          <w:szCs w:val="32"/>
        </w:rPr>
      </w:pPr>
      <w:r>
        <w:rPr>
          <w:rFonts w:eastAsia="仿宋_GB2312"/>
          <w:color w:val="000000"/>
          <w:sz w:val="28"/>
          <w:szCs w:val="32"/>
        </w:rPr>
        <w:t>（二）不准以任何理由为甲方和相关单位报销应由对方或个人支付的费用。</w:t>
      </w:r>
    </w:p>
    <w:p>
      <w:pPr>
        <w:spacing w:line="490" w:lineRule="exact"/>
        <w:ind w:firstLine="560" w:firstLineChars="200"/>
        <w:rPr>
          <w:rFonts w:eastAsia="仿宋_GB2312"/>
          <w:color w:val="000000"/>
          <w:sz w:val="28"/>
          <w:szCs w:val="32"/>
        </w:rPr>
      </w:pPr>
      <w:r>
        <w:rPr>
          <w:rFonts w:eastAsia="仿宋_GB2312"/>
          <w:color w:val="000000"/>
          <w:sz w:val="28"/>
          <w:szCs w:val="32"/>
        </w:rPr>
        <w:t>（三）不准接受或暗示为甲方、相关单位或个人装修住房、婚丧嫁娶、配偶子女的工作安排以及出国（境）、旅游等提供方便。</w:t>
      </w:r>
    </w:p>
    <w:p>
      <w:pPr>
        <w:spacing w:line="490" w:lineRule="exact"/>
        <w:ind w:firstLine="560" w:firstLineChars="200"/>
        <w:rPr>
          <w:rFonts w:eastAsia="仿宋_GB2312"/>
          <w:color w:val="000000"/>
          <w:sz w:val="28"/>
          <w:szCs w:val="32"/>
        </w:rPr>
      </w:pPr>
      <w:r>
        <w:rPr>
          <w:rFonts w:eastAsia="仿宋_GB2312"/>
          <w:color w:val="000000"/>
          <w:sz w:val="28"/>
          <w:szCs w:val="32"/>
        </w:rPr>
        <w:t>（四）不准以任何理由为甲方、相关单位或个人、组织提供有可能影响公正执行公务的宴请、健身、娱乐等活动。</w:t>
      </w:r>
    </w:p>
    <w:p>
      <w:pPr>
        <w:spacing w:line="490" w:lineRule="exact"/>
        <w:ind w:firstLine="560" w:firstLineChars="200"/>
        <w:rPr>
          <w:rFonts w:eastAsia="仿宋_GB2312"/>
          <w:color w:val="000000"/>
          <w:sz w:val="28"/>
          <w:szCs w:val="32"/>
        </w:rPr>
      </w:pPr>
      <w:r>
        <w:rPr>
          <w:rFonts w:eastAsia="仿宋_GB2312"/>
          <w:color w:val="000000"/>
          <w:sz w:val="28"/>
          <w:szCs w:val="32"/>
        </w:rPr>
        <w:t>第四条  违约责任</w:t>
      </w:r>
    </w:p>
    <w:p>
      <w:pPr>
        <w:spacing w:line="490" w:lineRule="exact"/>
        <w:ind w:firstLine="560" w:firstLineChars="200"/>
        <w:rPr>
          <w:rFonts w:eastAsia="仿宋_GB2312"/>
          <w:color w:val="000000"/>
          <w:sz w:val="28"/>
          <w:szCs w:val="32"/>
        </w:rPr>
      </w:pPr>
      <w:r>
        <w:rPr>
          <w:rFonts w:eastAsia="仿宋_GB2312"/>
          <w:color w:val="000000"/>
          <w:sz w:val="28"/>
          <w:szCs w:val="32"/>
        </w:rPr>
        <w:t>（一）甲方工作人员有违反责任书第一、二条责任行为的，按照管理权限，依据有关法律法规和规定给予党纪、政纪处分或组织处理；涉嫌犯罪，移交司法机关追究刑事责任；给乙方单位造成经济损失的，应予以赔偿。</w:t>
      </w:r>
    </w:p>
    <w:p>
      <w:pPr>
        <w:spacing w:line="490" w:lineRule="exact"/>
        <w:ind w:firstLine="560" w:firstLineChars="200"/>
        <w:rPr>
          <w:rFonts w:eastAsia="仿宋_GB2312"/>
          <w:color w:val="000000"/>
          <w:sz w:val="28"/>
          <w:szCs w:val="32"/>
        </w:rPr>
      </w:pPr>
      <w:r>
        <w:rPr>
          <w:rFonts w:eastAsia="仿宋_GB2312"/>
          <w:color w:val="000000"/>
          <w:sz w:val="28"/>
          <w:szCs w:val="32"/>
        </w:rPr>
        <w:t>（二）乙方工作人员有违反本责任书第一、三条责任行为的，按照管理权限，依据有关法律法规和规定给予党纪、政纪处分或组织处理；涉嫌犯罪，移交司法机关追究刑事责任；给甲方单位造成经济损失的，应予以赔偿。</w:t>
      </w:r>
    </w:p>
    <w:p>
      <w:pPr>
        <w:spacing w:line="490" w:lineRule="exact"/>
        <w:ind w:firstLine="560" w:firstLineChars="200"/>
        <w:rPr>
          <w:rFonts w:eastAsia="仿宋_GB2312"/>
          <w:color w:val="000000"/>
          <w:sz w:val="28"/>
          <w:szCs w:val="32"/>
        </w:rPr>
      </w:pPr>
      <w:r>
        <w:rPr>
          <w:rFonts w:eastAsia="仿宋_GB2312"/>
          <w:color w:val="000000"/>
          <w:sz w:val="28"/>
          <w:szCs w:val="32"/>
        </w:rPr>
        <w:t>第五条  本责任书作为工程施工合同的附件，与工程施工合同具有同等法律效力。经双方签署后生效。</w:t>
      </w:r>
    </w:p>
    <w:p>
      <w:pPr>
        <w:spacing w:line="490" w:lineRule="exact"/>
        <w:ind w:firstLine="560" w:firstLineChars="200"/>
        <w:rPr>
          <w:rFonts w:eastAsia="仿宋_GB2312"/>
          <w:color w:val="000000"/>
          <w:sz w:val="28"/>
          <w:szCs w:val="32"/>
        </w:rPr>
      </w:pPr>
      <w:r>
        <w:rPr>
          <w:rFonts w:eastAsia="仿宋_GB2312"/>
          <w:color w:val="000000"/>
          <w:sz w:val="28"/>
          <w:szCs w:val="32"/>
        </w:rPr>
        <w:t>第六条  本责任书的有效期为双方签署之日至该工程项目竣工验收合格时止。</w:t>
      </w:r>
    </w:p>
    <w:p>
      <w:pPr>
        <w:spacing w:line="490" w:lineRule="exact"/>
        <w:ind w:firstLine="560" w:firstLineChars="200"/>
        <w:rPr>
          <w:rFonts w:eastAsia="仿宋_GB2312"/>
          <w:color w:val="000000"/>
          <w:sz w:val="28"/>
          <w:szCs w:val="32"/>
        </w:rPr>
      </w:pPr>
      <w:r>
        <w:rPr>
          <w:rFonts w:eastAsia="仿宋_GB2312"/>
          <w:color w:val="000000"/>
          <w:sz w:val="28"/>
          <w:szCs w:val="32"/>
        </w:rPr>
        <w:t>第七条  本责任和本工程施工合同同时使用，由双方法定代表人或其授权的代理人签署与加盖公章后生效，全部工程竣工验收后失效。</w:t>
      </w:r>
    </w:p>
    <w:p>
      <w:pPr>
        <w:spacing w:line="490" w:lineRule="exact"/>
        <w:ind w:firstLine="560" w:firstLineChars="200"/>
        <w:rPr>
          <w:rFonts w:eastAsia="仿宋_GB2312"/>
          <w:color w:val="000000"/>
          <w:sz w:val="28"/>
          <w:szCs w:val="32"/>
        </w:rPr>
      </w:pPr>
    </w:p>
    <w:p>
      <w:pPr>
        <w:spacing w:line="490" w:lineRule="exact"/>
        <w:ind w:firstLine="560" w:firstLineChars="200"/>
        <w:rPr>
          <w:rFonts w:eastAsia="仿宋_GB2312"/>
          <w:color w:val="000000"/>
          <w:sz w:val="28"/>
          <w:szCs w:val="32"/>
        </w:rPr>
      </w:pPr>
    </w:p>
    <w:p>
      <w:pPr>
        <w:spacing w:line="490" w:lineRule="exact"/>
        <w:ind w:firstLine="560" w:firstLineChars="200"/>
        <w:rPr>
          <w:rFonts w:eastAsia="仿宋_GB2312"/>
          <w:color w:val="000000"/>
          <w:sz w:val="28"/>
          <w:szCs w:val="32"/>
        </w:rPr>
      </w:pPr>
    </w:p>
    <w:p>
      <w:pPr>
        <w:spacing w:line="490" w:lineRule="exact"/>
        <w:rPr>
          <w:rFonts w:eastAsia="仿宋_GB2312"/>
          <w:color w:val="000000"/>
          <w:sz w:val="28"/>
          <w:szCs w:val="32"/>
        </w:rPr>
      </w:pPr>
      <w:r>
        <w:rPr>
          <w:rFonts w:eastAsia="仿宋_GB2312"/>
          <w:color w:val="000000"/>
          <w:sz w:val="28"/>
          <w:szCs w:val="32"/>
        </w:rPr>
        <w:t>甲方单位：</w:t>
      </w:r>
      <w:r>
        <w:rPr>
          <w:rFonts w:eastAsia="仿宋_GB2312"/>
          <w:color w:val="000000"/>
          <w:sz w:val="28"/>
          <w:szCs w:val="32"/>
          <w:u w:val="single"/>
        </w:rPr>
        <w:t xml:space="preserve">            </w:t>
      </w:r>
      <w:r>
        <w:rPr>
          <w:rFonts w:eastAsia="仿宋_GB2312"/>
          <w:color w:val="000000"/>
          <w:sz w:val="28"/>
          <w:szCs w:val="32"/>
        </w:rPr>
        <w:t>（盖章）       乙方单位：</w:t>
      </w:r>
      <w:r>
        <w:rPr>
          <w:rFonts w:eastAsia="仿宋_GB2312"/>
          <w:color w:val="000000"/>
          <w:sz w:val="28"/>
          <w:szCs w:val="32"/>
          <w:u w:val="single"/>
        </w:rPr>
        <w:t xml:space="preserve">           </w:t>
      </w:r>
      <w:r>
        <w:rPr>
          <w:rFonts w:eastAsia="仿宋_GB2312"/>
          <w:color w:val="000000"/>
          <w:sz w:val="28"/>
          <w:szCs w:val="32"/>
        </w:rPr>
        <w:t>（盖章）</w:t>
      </w:r>
    </w:p>
    <w:p>
      <w:pPr>
        <w:spacing w:line="490" w:lineRule="exact"/>
        <w:rPr>
          <w:rFonts w:eastAsia="仿宋_GB2312"/>
          <w:color w:val="000000"/>
          <w:sz w:val="28"/>
          <w:szCs w:val="32"/>
        </w:rPr>
      </w:pPr>
    </w:p>
    <w:p>
      <w:pPr>
        <w:spacing w:line="490" w:lineRule="exact"/>
        <w:rPr>
          <w:rFonts w:eastAsia="仿宋_GB2312"/>
          <w:color w:val="000000"/>
          <w:sz w:val="28"/>
          <w:szCs w:val="32"/>
        </w:rPr>
      </w:pPr>
      <w:r>
        <w:rPr>
          <w:rFonts w:eastAsia="仿宋_GB2312"/>
          <w:color w:val="000000"/>
          <w:sz w:val="28"/>
          <w:szCs w:val="32"/>
        </w:rPr>
        <w:t>法人：</w:t>
      </w:r>
      <w:r>
        <w:rPr>
          <w:rFonts w:eastAsia="仿宋_GB2312"/>
          <w:color w:val="000000"/>
          <w:sz w:val="28"/>
          <w:szCs w:val="32"/>
          <w:u w:val="single"/>
        </w:rPr>
        <w:t xml:space="preserve">             </w:t>
      </w:r>
      <w:r>
        <w:rPr>
          <w:rFonts w:eastAsia="仿宋_GB2312"/>
          <w:color w:val="000000"/>
          <w:sz w:val="28"/>
          <w:szCs w:val="32"/>
        </w:rPr>
        <w:t xml:space="preserve">                  法人：</w:t>
      </w:r>
      <w:r>
        <w:rPr>
          <w:rFonts w:eastAsia="仿宋_GB2312"/>
          <w:color w:val="000000"/>
          <w:sz w:val="28"/>
          <w:szCs w:val="32"/>
          <w:u w:val="single"/>
        </w:rPr>
        <w:t xml:space="preserve">              </w:t>
      </w:r>
    </w:p>
    <w:p>
      <w:pPr>
        <w:spacing w:line="490" w:lineRule="exact"/>
        <w:rPr>
          <w:rFonts w:eastAsia="仿宋_GB2312"/>
          <w:color w:val="000000"/>
          <w:sz w:val="28"/>
          <w:szCs w:val="32"/>
          <w:u w:val="single"/>
        </w:rPr>
      </w:pPr>
    </w:p>
    <w:p>
      <w:pPr>
        <w:spacing w:line="490" w:lineRule="exact"/>
        <w:ind w:firstLine="840" w:firstLineChars="300"/>
        <w:rPr>
          <w:rFonts w:eastAsia="仿宋_GB2312"/>
          <w:color w:val="000000"/>
          <w:sz w:val="28"/>
          <w:szCs w:val="32"/>
        </w:rPr>
      </w:pPr>
      <w:r>
        <w:rPr>
          <w:rFonts w:eastAsia="仿宋_GB2312"/>
          <w:color w:val="000000"/>
          <w:sz w:val="28"/>
          <w:szCs w:val="32"/>
          <w:u w:val="single"/>
        </w:rPr>
        <w:t xml:space="preserve">     </w:t>
      </w:r>
      <w:r>
        <w:rPr>
          <w:rFonts w:eastAsia="仿宋_GB2312"/>
          <w:color w:val="000000"/>
          <w:sz w:val="28"/>
          <w:szCs w:val="32"/>
        </w:rPr>
        <w:t>年</w:t>
      </w:r>
      <w:r>
        <w:rPr>
          <w:rFonts w:eastAsia="仿宋_GB2312"/>
          <w:color w:val="000000"/>
          <w:sz w:val="28"/>
          <w:szCs w:val="32"/>
          <w:u w:val="single"/>
        </w:rPr>
        <w:t xml:space="preserve">   </w:t>
      </w:r>
      <w:r>
        <w:rPr>
          <w:rFonts w:eastAsia="仿宋_GB2312"/>
          <w:color w:val="000000"/>
          <w:sz w:val="28"/>
          <w:szCs w:val="32"/>
        </w:rPr>
        <w:t>月</w:t>
      </w:r>
      <w:r>
        <w:rPr>
          <w:rFonts w:eastAsia="仿宋_GB2312"/>
          <w:color w:val="000000"/>
          <w:sz w:val="28"/>
          <w:szCs w:val="32"/>
          <w:u w:val="single"/>
        </w:rPr>
        <w:t xml:space="preserve">   </w:t>
      </w:r>
      <w:r>
        <w:rPr>
          <w:rFonts w:eastAsia="仿宋_GB2312"/>
          <w:color w:val="000000"/>
          <w:sz w:val="28"/>
          <w:szCs w:val="32"/>
        </w:rPr>
        <w:t xml:space="preserve">日                   </w:t>
      </w:r>
      <w:r>
        <w:rPr>
          <w:rFonts w:eastAsia="仿宋_GB2312"/>
          <w:color w:val="000000"/>
          <w:sz w:val="28"/>
          <w:szCs w:val="32"/>
          <w:u w:val="single"/>
        </w:rPr>
        <w:t xml:space="preserve">    </w:t>
      </w:r>
      <w:r>
        <w:rPr>
          <w:rFonts w:eastAsia="仿宋_GB2312"/>
          <w:color w:val="000000"/>
          <w:sz w:val="28"/>
          <w:szCs w:val="32"/>
        </w:rPr>
        <w:t>年</w:t>
      </w:r>
      <w:r>
        <w:rPr>
          <w:rFonts w:eastAsia="仿宋_GB2312"/>
          <w:color w:val="000000"/>
          <w:sz w:val="28"/>
          <w:szCs w:val="32"/>
          <w:u w:val="single"/>
        </w:rPr>
        <w:t xml:space="preserve">   </w:t>
      </w:r>
      <w:r>
        <w:rPr>
          <w:rFonts w:eastAsia="仿宋_GB2312"/>
          <w:color w:val="000000"/>
          <w:sz w:val="28"/>
          <w:szCs w:val="32"/>
        </w:rPr>
        <w:t>月</w:t>
      </w:r>
      <w:r>
        <w:rPr>
          <w:rFonts w:eastAsia="仿宋_GB2312"/>
          <w:color w:val="000000"/>
          <w:sz w:val="28"/>
          <w:szCs w:val="32"/>
          <w:u w:val="single"/>
        </w:rPr>
        <w:t xml:space="preserve">   </w:t>
      </w:r>
      <w:r>
        <w:rPr>
          <w:rFonts w:eastAsia="仿宋_GB2312"/>
          <w:color w:val="000000"/>
          <w:sz w:val="28"/>
          <w:szCs w:val="32"/>
        </w:rPr>
        <w:t>日</w:t>
      </w:r>
    </w:p>
    <w:p>
      <w:pPr>
        <w:pStyle w:val="123"/>
        <w:autoSpaceDE/>
        <w:autoSpaceDN/>
        <w:adjustRightInd/>
        <w:spacing w:after="0" w:line="490" w:lineRule="exact"/>
        <w:rPr>
          <w:rFonts w:hint="eastAsia" w:ascii="Times New Roman" w:eastAsia="黑体" w:cs="Times New Roman"/>
          <w:color w:val="000000"/>
          <w:sz w:val="28"/>
          <w:szCs w:val="32"/>
        </w:rPr>
      </w:pPr>
      <w:r>
        <w:rPr>
          <w:rFonts w:ascii="Times New Roman" w:eastAsia="仿宋_GB2312" w:cs="Times New Roman"/>
          <w:color w:val="000000"/>
          <w:sz w:val="28"/>
        </w:rPr>
        <w:br w:type="page"/>
      </w:r>
      <w:bookmarkStart w:id="1857" w:name="_Toc511318216"/>
      <w:r>
        <w:rPr>
          <w:rFonts w:ascii="Times New Roman" w:eastAsia="黑体" w:cs="Times New Roman"/>
          <w:color w:val="000000"/>
          <w:sz w:val="28"/>
          <w:szCs w:val="32"/>
        </w:rPr>
        <w:t>附件六：环境保护和水土保持责任书</w:t>
      </w:r>
      <w:bookmarkEnd w:id="1857"/>
    </w:p>
    <w:p>
      <w:pPr>
        <w:pStyle w:val="106"/>
      </w:pPr>
    </w:p>
    <w:p>
      <w:pPr>
        <w:rPr>
          <w:color w:val="000000"/>
        </w:rPr>
      </w:pPr>
    </w:p>
    <w:p>
      <w:pPr>
        <w:pStyle w:val="123"/>
        <w:autoSpaceDE/>
        <w:autoSpaceDN/>
        <w:adjustRightInd/>
        <w:spacing w:after="0" w:line="490" w:lineRule="exact"/>
        <w:jc w:val="center"/>
        <w:rPr>
          <w:rFonts w:hint="eastAsia" w:ascii="方正小标宋简体" w:eastAsia="方正小标宋简体" w:cs="Times New Roman"/>
          <w:color w:val="000000"/>
          <w:sz w:val="40"/>
          <w:szCs w:val="32"/>
        </w:rPr>
      </w:pPr>
      <w:r>
        <w:rPr>
          <w:rFonts w:hint="eastAsia" w:ascii="方正小标宋简体" w:eastAsia="方正小标宋简体" w:cs="Times New Roman"/>
          <w:color w:val="000000"/>
          <w:sz w:val="40"/>
          <w:szCs w:val="32"/>
        </w:rPr>
        <w:t>环境保护和水土保持责任书</w:t>
      </w:r>
    </w:p>
    <w:p>
      <w:pPr>
        <w:pStyle w:val="123"/>
        <w:autoSpaceDE/>
        <w:autoSpaceDN/>
        <w:adjustRightInd/>
        <w:spacing w:after="0" w:line="490" w:lineRule="exact"/>
        <w:jc w:val="center"/>
        <w:rPr>
          <w:rFonts w:ascii="Times New Roman" w:eastAsia="方正小标宋_GBK" w:cs="Times New Roman"/>
          <w:b/>
          <w:color w:val="000000"/>
          <w:sz w:val="40"/>
          <w:szCs w:val="32"/>
        </w:rPr>
      </w:pPr>
    </w:p>
    <w:p>
      <w:pPr>
        <w:spacing w:line="490" w:lineRule="exact"/>
        <w:ind w:firstLine="560" w:firstLineChars="200"/>
        <w:rPr>
          <w:rFonts w:eastAsia="仿宋_GB2312"/>
          <w:color w:val="000000"/>
          <w:sz w:val="28"/>
          <w:szCs w:val="32"/>
        </w:rPr>
      </w:pPr>
      <w:r>
        <w:rPr>
          <w:rFonts w:eastAsia="仿宋_GB2312"/>
          <w:color w:val="000000"/>
          <w:sz w:val="28"/>
          <w:szCs w:val="32"/>
        </w:rPr>
        <w:t>为减少工程施工对环境的影响，尽可能地恢复环境自然植被面，本项目发包人（以下简称“甲方”）与承包人（以下简称“乙方”）特签订环境保护和水土保持责任书。</w:t>
      </w:r>
    </w:p>
    <w:p>
      <w:pPr>
        <w:spacing w:line="490" w:lineRule="exact"/>
        <w:ind w:firstLine="560" w:firstLineChars="200"/>
        <w:rPr>
          <w:rFonts w:eastAsia="仿宋_GB2312"/>
          <w:color w:val="000000"/>
          <w:sz w:val="28"/>
          <w:szCs w:val="32"/>
        </w:rPr>
      </w:pPr>
      <w:r>
        <w:rPr>
          <w:rFonts w:eastAsia="仿宋_GB2312"/>
          <w:color w:val="000000"/>
          <w:sz w:val="28"/>
          <w:szCs w:val="32"/>
        </w:rPr>
        <w:t>一、甲方职责</w:t>
      </w:r>
    </w:p>
    <w:p>
      <w:pPr>
        <w:spacing w:line="490" w:lineRule="exact"/>
        <w:ind w:firstLine="560" w:firstLineChars="200"/>
        <w:rPr>
          <w:rFonts w:eastAsia="仿宋_GB2312"/>
          <w:color w:val="000000"/>
          <w:sz w:val="28"/>
          <w:szCs w:val="32"/>
        </w:rPr>
      </w:pPr>
      <w:r>
        <w:rPr>
          <w:rFonts w:eastAsia="仿宋_GB2312"/>
          <w:color w:val="000000"/>
          <w:sz w:val="28"/>
          <w:szCs w:val="32"/>
        </w:rPr>
        <w:t>1</w:t>
      </w:r>
      <w:r>
        <w:rPr>
          <w:rFonts w:hint="eastAsia" w:eastAsia="仿宋_GB2312"/>
          <w:color w:val="000000"/>
          <w:sz w:val="28"/>
          <w:szCs w:val="32"/>
        </w:rPr>
        <w:t>.</w:t>
      </w:r>
      <w:r>
        <w:rPr>
          <w:rFonts w:eastAsia="仿宋_GB2312"/>
          <w:color w:val="000000"/>
          <w:sz w:val="28"/>
          <w:szCs w:val="32"/>
        </w:rPr>
        <w:t>严格遵守国家和地方的有关环境保护和水土保持的法律法规。</w:t>
      </w:r>
    </w:p>
    <w:p>
      <w:pPr>
        <w:spacing w:line="490" w:lineRule="exact"/>
        <w:ind w:firstLine="560" w:firstLineChars="200"/>
        <w:rPr>
          <w:rFonts w:eastAsia="仿宋_GB2312"/>
          <w:color w:val="000000"/>
          <w:sz w:val="28"/>
          <w:szCs w:val="32"/>
        </w:rPr>
      </w:pPr>
      <w:r>
        <w:rPr>
          <w:rFonts w:eastAsia="仿宋_GB2312"/>
          <w:color w:val="000000"/>
          <w:sz w:val="28"/>
          <w:szCs w:val="32"/>
        </w:rPr>
        <w:t>2</w:t>
      </w:r>
      <w:r>
        <w:rPr>
          <w:rFonts w:hint="eastAsia" w:eastAsia="仿宋_GB2312"/>
          <w:color w:val="000000"/>
          <w:sz w:val="28"/>
          <w:szCs w:val="32"/>
        </w:rPr>
        <w:t>.</w:t>
      </w:r>
      <w:r>
        <w:rPr>
          <w:rFonts w:eastAsia="仿宋_GB2312"/>
          <w:color w:val="000000"/>
          <w:sz w:val="28"/>
          <w:szCs w:val="32"/>
        </w:rPr>
        <w:t>按照“预防为主，保护优先”和“管生产必须管环保”的原则开展环境保护和水土保持管理工作，做到生产与环境保护和水土保持工作同时计划、实施、检查、总结和评比。</w:t>
      </w:r>
    </w:p>
    <w:p>
      <w:pPr>
        <w:spacing w:line="490" w:lineRule="exact"/>
        <w:ind w:firstLine="560" w:firstLineChars="200"/>
        <w:rPr>
          <w:rFonts w:eastAsia="仿宋_GB2312"/>
          <w:color w:val="000000"/>
          <w:sz w:val="28"/>
          <w:szCs w:val="32"/>
        </w:rPr>
      </w:pPr>
      <w:r>
        <w:rPr>
          <w:rFonts w:eastAsia="仿宋_GB2312"/>
          <w:color w:val="000000"/>
          <w:sz w:val="28"/>
          <w:szCs w:val="32"/>
        </w:rPr>
        <w:t>3</w:t>
      </w:r>
      <w:r>
        <w:rPr>
          <w:rFonts w:hint="eastAsia" w:eastAsia="仿宋_GB2312"/>
          <w:color w:val="000000"/>
          <w:sz w:val="28"/>
          <w:szCs w:val="32"/>
        </w:rPr>
        <w:t>.</w:t>
      </w:r>
      <w:r>
        <w:rPr>
          <w:rFonts w:eastAsia="仿宋_GB2312"/>
          <w:color w:val="000000"/>
          <w:sz w:val="28"/>
          <w:szCs w:val="32"/>
        </w:rPr>
        <w:t>重要的环境保护和水土保持设施必须坚持与主体工程“三同时”的原则，即：同时设计、审批，同时施工，同时验收、投入使用。</w:t>
      </w:r>
    </w:p>
    <w:p>
      <w:pPr>
        <w:spacing w:line="490" w:lineRule="exact"/>
        <w:ind w:firstLine="560" w:firstLineChars="200"/>
        <w:rPr>
          <w:rFonts w:eastAsia="仿宋_GB2312"/>
          <w:color w:val="000000"/>
          <w:sz w:val="28"/>
          <w:szCs w:val="32"/>
        </w:rPr>
      </w:pPr>
      <w:r>
        <w:rPr>
          <w:rFonts w:eastAsia="仿宋_GB2312"/>
          <w:color w:val="000000"/>
          <w:sz w:val="28"/>
          <w:szCs w:val="32"/>
        </w:rPr>
        <w:t>4</w:t>
      </w:r>
      <w:r>
        <w:rPr>
          <w:rFonts w:hint="eastAsia" w:eastAsia="仿宋_GB2312"/>
          <w:color w:val="000000"/>
          <w:sz w:val="28"/>
          <w:szCs w:val="32"/>
        </w:rPr>
        <w:t>.</w:t>
      </w:r>
      <w:r>
        <w:rPr>
          <w:rFonts w:eastAsia="仿宋_GB2312"/>
          <w:color w:val="000000"/>
          <w:sz w:val="28"/>
          <w:szCs w:val="32"/>
        </w:rPr>
        <w:t>组织对乙方的施工现场和施工驻地进行环境保护和水土保持工作的检查，监督乙方及时处理各种环境污染、环境破坏的问题。</w:t>
      </w:r>
    </w:p>
    <w:p>
      <w:pPr>
        <w:spacing w:line="490" w:lineRule="exact"/>
        <w:ind w:firstLine="560" w:firstLineChars="200"/>
        <w:rPr>
          <w:rFonts w:eastAsia="仿宋_GB2312"/>
          <w:color w:val="000000"/>
          <w:sz w:val="28"/>
          <w:szCs w:val="32"/>
        </w:rPr>
      </w:pPr>
      <w:r>
        <w:rPr>
          <w:rFonts w:eastAsia="仿宋_GB2312"/>
          <w:color w:val="000000"/>
          <w:sz w:val="28"/>
          <w:szCs w:val="32"/>
        </w:rPr>
        <w:t>5</w:t>
      </w:r>
      <w:r>
        <w:rPr>
          <w:rFonts w:hint="eastAsia" w:eastAsia="仿宋_GB2312"/>
          <w:color w:val="000000"/>
          <w:sz w:val="28"/>
          <w:szCs w:val="32"/>
        </w:rPr>
        <w:t>.</w:t>
      </w:r>
      <w:r>
        <w:rPr>
          <w:rFonts w:eastAsia="仿宋_GB2312"/>
          <w:color w:val="000000"/>
          <w:sz w:val="28"/>
          <w:szCs w:val="32"/>
        </w:rPr>
        <w:t>凡发现乙方在施工现场和施工驻地有环境污染和环境破坏的行为，甲方应责令乙方及时整改，若情节严重，甲方应及时上报国家有关环境保护和水土保持机构。</w:t>
      </w:r>
    </w:p>
    <w:p>
      <w:pPr>
        <w:spacing w:line="490" w:lineRule="exact"/>
        <w:ind w:firstLine="560" w:firstLineChars="200"/>
        <w:rPr>
          <w:rFonts w:eastAsia="仿宋_GB2312"/>
          <w:color w:val="000000"/>
          <w:sz w:val="28"/>
          <w:szCs w:val="32"/>
        </w:rPr>
      </w:pPr>
      <w:r>
        <w:rPr>
          <w:rFonts w:eastAsia="仿宋_GB2312"/>
          <w:color w:val="000000"/>
          <w:sz w:val="28"/>
          <w:szCs w:val="32"/>
        </w:rPr>
        <w:t>二、乙方职责</w:t>
      </w:r>
    </w:p>
    <w:p>
      <w:pPr>
        <w:spacing w:line="490" w:lineRule="exact"/>
        <w:ind w:firstLine="560" w:firstLineChars="200"/>
        <w:rPr>
          <w:rFonts w:eastAsia="仿宋_GB2312"/>
          <w:color w:val="000000"/>
          <w:sz w:val="28"/>
          <w:szCs w:val="32"/>
        </w:rPr>
      </w:pPr>
      <w:r>
        <w:rPr>
          <w:rFonts w:eastAsia="仿宋_GB2312"/>
          <w:color w:val="000000"/>
          <w:sz w:val="28"/>
          <w:szCs w:val="32"/>
        </w:rPr>
        <w:t>1</w:t>
      </w:r>
      <w:r>
        <w:rPr>
          <w:rFonts w:hint="eastAsia" w:eastAsia="仿宋_GB2312"/>
          <w:color w:val="000000"/>
          <w:sz w:val="28"/>
          <w:szCs w:val="32"/>
        </w:rPr>
        <w:t>.</w:t>
      </w:r>
      <w:r>
        <w:rPr>
          <w:rFonts w:eastAsia="仿宋_GB2312"/>
          <w:color w:val="000000"/>
          <w:sz w:val="28"/>
          <w:szCs w:val="32"/>
        </w:rPr>
        <w:t>严格遵守国家和地方的有关环境保护和水土保持的法律法规并认真执行。</w:t>
      </w:r>
    </w:p>
    <w:p>
      <w:pPr>
        <w:spacing w:line="490" w:lineRule="exact"/>
        <w:ind w:firstLine="560" w:firstLineChars="200"/>
        <w:rPr>
          <w:rFonts w:eastAsia="仿宋_GB2312"/>
          <w:color w:val="000000"/>
          <w:sz w:val="28"/>
          <w:szCs w:val="32"/>
        </w:rPr>
      </w:pPr>
      <w:r>
        <w:rPr>
          <w:rFonts w:eastAsia="仿宋_GB2312"/>
          <w:color w:val="000000"/>
          <w:sz w:val="28"/>
          <w:szCs w:val="32"/>
        </w:rPr>
        <w:t>2</w:t>
      </w:r>
      <w:r>
        <w:rPr>
          <w:rFonts w:hint="eastAsia" w:eastAsia="仿宋_GB2312"/>
          <w:color w:val="000000"/>
          <w:sz w:val="28"/>
          <w:szCs w:val="32"/>
        </w:rPr>
        <w:t>.</w:t>
      </w:r>
      <w:r>
        <w:rPr>
          <w:rFonts w:eastAsia="仿宋_GB2312"/>
          <w:color w:val="000000"/>
          <w:sz w:val="28"/>
          <w:szCs w:val="32"/>
        </w:rPr>
        <w:t>坚持“预防为主，保护优先” 、“管生产必须管环保”及“谁破坏谁恢复”的原则，加强环境保护和水土保持的宣传教育，增强全员环保意识，建立健全环境保护和水土保持的管理机构和管理制度，配备专职及兼职的环保检查人员，有组织有领导地开展环境保护和水土保持工作。各级领导、工程技术人员、生产管理人员和具体操作人员（包括临时雇请的雇佣人员），必须熟悉和遵守本合同有关环境保护和水土保持的各项规定，做到生产与环境保护和水土保持工作同时计划、实施、检查、总结和评比。</w:t>
      </w:r>
    </w:p>
    <w:p>
      <w:pPr>
        <w:spacing w:line="490" w:lineRule="exact"/>
        <w:ind w:firstLine="560" w:firstLineChars="200"/>
        <w:rPr>
          <w:rFonts w:eastAsia="仿宋_GB2312"/>
          <w:color w:val="000000"/>
          <w:sz w:val="28"/>
          <w:szCs w:val="32"/>
        </w:rPr>
      </w:pPr>
      <w:r>
        <w:rPr>
          <w:rFonts w:eastAsia="仿宋_GB2312"/>
          <w:color w:val="000000"/>
          <w:sz w:val="28"/>
          <w:szCs w:val="32"/>
        </w:rPr>
        <w:t>3</w:t>
      </w:r>
      <w:r>
        <w:rPr>
          <w:rFonts w:hint="eastAsia" w:eastAsia="仿宋_GB2312"/>
          <w:color w:val="000000"/>
          <w:sz w:val="28"/>
          <w:szCs w:val="32"/>
        </w:rPr>
        <w:t>.</w:t>
      </w:r>
      <w:r>
        <w:rPr>
          <w:rFonts w:eastAsia="仿宋_GB2312"/>
          <w:color w:val="000000"/>
          <w:sz w:val="28"/>
          <w:szCs w:val="32"/>
        </w:rPr>
        <w:t>建立健全环境保护和水土保持责任制。从</w:t>
      </w:r>
      <w:r>
        <w:rPr>
          <w:rFonts w:hint="eastAsia" w:eastAsia="仿宋_GB2312"/>
          <w:color w:val="000000"/>
          <w:sz w:val="28"/>
          <w:szCs w:val="32"/>
        </w:rPr>
        <w:t>项目负责人</w:t>
      </w:r>
      <w:r>
        <w:rPr>
          <w:rFonts w:eastAsia="仿宋_GB2312"/>
          <w:color w:val="000000"/>
          <w:sz w:val="28"/>
          <w:szCs w:val="32"/>
        </w:rPr>
        <w:t>到生产工人（包括临时雇请的雇佣人员），的环境保护和水土保持管理系统必须做到纵向到底，一环不漏；各职能部门、人员的环境保护和水土保持责任制做到横向到边，</w:t>
      </w:r>
      <w:r>
        <w:rPr>
          <w:rFonts w:hint="eastAsia" w:eastAsia="仿宋_GB2312"/>
          <w:color w:val="000000"/>
          <w:sz w:val="28"/>
          <w:szCs w:val="32"/>
        </w:rPr>
        <w:t>人人有责</w:t>
      </w:r>
      <w:r>
        <w:rPr>
          <w:rFonts w:eastAsia="仿宋_GB2312"/>
          <w:color w:val="000000"/>
          <w:sz w:val="28"/>
          <w:szCs w:val="32"/>
        </w:rPr>
        <w:t>。</w:t>
      </w:r>
      <w:r>
        <w:rPr>
          <w:rFonts w:hint="eastAsia" w:eastAsia="仿宋_GB2312"/>
          <w:color w:val="000000"/>
          <w:sz w:val="28"/>
          <w:szCs w:val="32"/>
        </w:rPr>
        <w:t>项目负责人</w:t>
      </w:r>
      <w:r>
        <w:rPr>
          <w:rFonts w:eastAsia="仿宋_GB2312"/>
          <w:color w:val="000000"/>
          <w:sz w:val="28"/>
          <w:szCs w:val="32"/>
        </w:rPr>
        <w:t>是环境保护和水土保持的第一责任人。现场设置的环境保护和水土保持机构，应配备专职环保监督员，专职负责本合同工程环境保护和水土保持的宣传、检查工作，有权发布指令，防止污染环境和破坏环境的事件发生。</w:t>
      </w:r>
    </w:p>
    <w:p>
      <w:pPr>
        <w:spacing w:line="490" w:lineRule="exact"/>
        <w:ind w:firstLine="560" w:firstLineChars="200"/>
        <w:rPr>
          <w:rFonts w:eastAsia="仿宋_GB2312"/>
          <w:color w:val="000000"/>
          <w:sz w:val="28"/>
          <w:szCs w:val="32"/>
        </w:rPr>
      </w:pPr>
      <w:r>
        <w:rPr>
          <w:rFonts w:eastAsia="仿宋_GB2312"/>
          <w:color w:val="000000"/>
          <w:sz w:val="28"/>
          <w:szCs w:val="32"/>
        </w:rPr>
        <w:t>三、违约责任</w:t>
      </w:r>
    </w:p>
    <w:p>
      <w:pPr>
        <w:spacing w:line="490" w:lineRule="exact"/>
        <w:ind w:firstLine="560" w:firstLineChars="200"/>
        <w:rPr>
          <w:rFonts w:eastAsia="仿宋_GB2312"/>
          <w:color w:val="000000"/>
          <w:sz w:val="28"/>
          <w:szCs w:val="32"/>
        </w:rPr>
      </w:pPr>
      <w:r>
        <w:rPr>
          <w:rFonts w:eastAsia="仿宋_GB2312"/>
          <w:color w:val="000000"/>
          <w:sz w:val="28"/>
          <w:szCs w:val="32"/>
        </w:rPr>
        <w:t>如因乙方不遵守国家和地方的有关环境保护和水土保持的法律法规，造成环境污染或破坏，甲方有权责令乙方限期进行整改，并视其情节对乙方批评、罚款：</w:t>
      </w:r>
    </w:p>
    <w:p>
      <w:pPr>
        <w:spacing w:line="490" w:lineRule="exact"/>
        <w:ind w:firstLine="560" w:firstLineChars="200"/>
        <w:rPr>
          <w:rFonts w:eastAsia="仿宋_GB2312"/>
          <w:color w:val="000000"/>
          <w:sz w:val="28"/>
          <w:szCs w:val="32"/>
        </w:rPr>
      </w:pPr>
      <w:r>
        <w:rPr>
          <w:rFonts w:eastAsia="仿宋_GB2312"/>
          <w:color w:val="000000"/>
          <w:sz w:val="28"/>
          <w:szCs w:val="32"/>
        </w:rPr>
        <w:t>1</w:t>
      </w:r>
      <w:r>
        <w:rPr>
          <w:rFonts w:hint="eastAsia" w:eastAsia="仿宋_GB2312"/>
          <w:color w:val="000000"/>
          <w:sz w:val="28"/>
          <w:szCs w:val="32"/>
        </w:rPr>
        <w:t>.</w:t>
      </w:r>
      <w:r>
        <w:rPr>
          <w:rFonts w:eastAsia="仿宋_GB2312"/>
          <w:color w:val="000000"/>
          <w:sz w:val="28"/>
          <w:szCs w:val="32"/>
        </w:rPr>
        <w:t>情节轻微者，甲方可对乙方予以通报批评；</w:t>
      </w:r>
    </w:p>
    <w:p>
      <w:pPr>
        <w:spacing w:line="490" w:lineRule="exact"/>
        <w:ind w:firstLine="560" w:firstLineChars="200"/>
        <w:rPr>
          <w:rFonts w:eastAsia="仿宋_GB2312"/>
          <w:color w:val="000000"/>
          <w:sz w:val="28"/>
          <w:szCs w:val="32"/>
        </w:rPr>
      </w:pPr>
      <w:r>
        <w:rPr>
          <w:rFonts w:eastAsia="仿宋_GB2312"/>
          <w:color w:val="000000"/>
          <w:sz w:val="28"/>
          <w:szCs w:val="32"/>
        </w:rPr>
        <w:t>2</w:t>
      </w:r>
      <w:r>
        <w:rPr>
          <w:rFonts w:hint="eastAsia" w:eastAsia="仿宋_GB2312"/>
          <w:color w:val="000000"/>
          <w:sz w:val="28"/>
          <w:szCs w:val="32"/>
        </w:rPr>
        <w:t>.</w:t>
      </w:r>
      <w:r>
        <w:rPr>
          <w:rFonts w:eastAsia="仿宋_GB2312"/>
          <w:color w:val="000000"/>
          <w:sz w:val="28"/>
          <w:szCs w:val="32"/>
        </w:rPr>
        <w:t>累计三次因环境问题被有关方面通报批评，或情节严重，甲方可向乙方处以</w:t>
      </w:r>
      <w:r>
        <w:rPr>
          <w:rFonts w:eastAsia="仿宋_GB2312"/>
          <w:color w:val="000000"/>
          <w:sz w:val="28"/>
          <w:szCs w:val="32"/>
          <w:u w:val="single"/>
        </w:rPr>
        <w:t xml:space="preserve">      </w:t>
      </w:r>
      <w:r>
        <w:rPr>
          <w:rFonts w:eastAsia="仿宋_GB2312"/>
          <w:color w:val="000000"/>
          <w:sz w:val="28"/>
          <w:szCs w:val="32"/>
        </w:rPr>
        <w:t>万元罚款。</w:t>
      </w:r>
    </w:p>
    <w:p>
      <w:pPr>
        <w:spacing w:line="490" w:lineRule="exact"/>
        <w:ind w:firstLine="560" w:firstLineChars="200"/>
        <w:rPr>
          <w:rFonts w:eastAsia="仿宋_GB2312"/>
          <w:color w:val="000000"/>
          <w:sz w:val="28"/>
          <w:szCs w:val="32"/>
        </w:rPr>
      </w:pPr>
      <w:r>
        <w:rPr>
          <w:rFonts w:eastAsia="仿宋_GB2312"/>
          <w:color w:val="000000"/>
          <w:sz w:val="28"/>
          <w:szCs w:val="32"/>
        </w:rPr>
        <w:t>本责任书和施工合同同时使用，由双方法定代表人或其授权的代理人签署与加盖公章后生效，全部工程竣工验收后失效。</w:t>
      </w:r>
    </w:p>
    <w:p>
      <w:pPr>
        <w:spacing w:line="490" w:lineRule="exact"/>
        <w:ind w:firstLine="560" w:firstLineChars="200"/>
        <w:rPr>
          <w:rFonts w:eastAsia="仿宋_GB2312"/>
          <w:color w:val="000000"/>
          <w:sz w:val="28"/>
          <w:szCs w:val="32"/>
        </w:rPr>
      </w:pPr>
    </w:p>
    <w:p>
      <w:pPr>
        <w:spacing w:line="490" w:lineRule="exact"/>
        <w:ind w:firstLine="560" w:firstLineChars="200"/>
        <w:rPr>
          <w:rFonts w:eastAsia="仿宋_GB2312"/>
          <w:color w:val="000000"/>
          <w:sz w:val="28"/>
          <w:szCs w:val="32"/>
        </w:rPr>
      </w:pPr>
    </w:p>
    <w:p>
      <w:pPr>
        <w:spacing w:line="490" w:lineRule="exact"/>
        <w:ind w:firstLine="560" w:firstLineChars="200"/>
        <w:rPr>
          <w:rFonts w:eastAsia="仿宋_GB2312"/>
          <w:color w:val="000000"/>
          <w:kern w:val="0"/>
          <w:sz w:val="28"/>
          <w:szCs w:val="32"/>
        </w:rPr>
      </w:pPr>
      <w:r>
        <w:rPr>
          <w:rFonts w:eastAsia="仿宋_GB2312"/>
          <w:color w:val="000000"/>
          <w:kern w:val="0"/>
          <w:sz w:val="28"/>
          <w:szCs w:val="32"/>
        </w:rPr>
        <w:t>发包人：</w:t>
      </w:r>
      <w:r>
        <w:rPr>
          <w:rFonts w:eastAsia="仿宋_GB2312"/>
          <w:color w:val="000000"/>
          <w:kern w:val="0"/>
          <w:sz w:val="28"/>
          <w:szCs w:val="32"/>
          <w:u w:val="single"/>
        </w:rPr>
        <w:t xml:space="preserve">            </w:t>
      </w:r>
      <w:r>
        <w:rPr>
          <w:rFonts w:eastAsia="仿宋_GB2312"/>
          <w:color w:val="000000"/>
          <w:kern w:val="0"/>
          <w:sz w:val="28"/>
          <w:szCs w:val="32"/>
        </w:rPr>
        <w:t>（盖章）     承包人：</w:t>
      </w:r>
      <w:r>
        <w:rPr>
          <w:rFonts w:eastAsia="仿宋_GB2312"/>
          <w:color w:val="000000"/>
          <w:kern w:val="0"/>
          <w:sz w:val="28"/>
          <w:szCs w:val="32"/>
          <w:u w:val="single"/>
        </w:rPr>
        <w:t xml:space="preserve">              </w:t>
      </w:r>
      <w:r>
        <w:rPr>
          <w:rFonts w:eastAsia="仿宋_GB2312"/>
          <w:color w:val="000000"/>
          <w:kern w:val="0"/>
          <w:sz w:val="28"/>
          <w:szCs w:val="32"/>
        </w:rPr>
        <w:t>（盖章）</w:t>
      </w:r>
    </w:p>
    <w:p>
      <w:pPr>
        <w:spacing w:line="490" w:lineRule="exact"/>
        <w:ind w:firstLine="560" w:firstLineChars="200"/>
        <w:rPr>
          <w:rFonts w:eastAsia="仿宋_GB2312"/>
          <w:color w:val="000000"/>
          <w:sz w:val="28"/>
          <w:szCs w:val="32"/>
        </w:rPr>
      </w:pPr>
    </w:p>
    <w:p>
      <w:pPr>
        <w:spacing w:line="490" w:lineRule="exact"/>
        <w:ind w:firstLine="496" w:firstLineChars="200"/>
        <w:rPr>
          <w:rFonts w:eastAsia="仿宋_GB2312"/>
          <w:color w:val="000000"/>
          <w:kern w:val="0"/>
          <w:sz w:val="28"/>
          <w:szCs w:val="32"/>
        </w:rPr>
      </w:pPr>
      <w:r>
        <w:rPr>
          <w:rFonts w:eastAsia="仿宋_GB2312"/>
          <w:color w:val="000000"/>
          <w:spacing w:val="-16"/>
          <w:kern w:val="0"/>
          <w:sz w:val="28"/>
          <w:szCs w:val="32"/>
        </w:rPr>
        <w:t>法定代表人：</w:t>
      </w:r>
      <w:r>
        <w:rPr>
          <w:rFonts w:eastAsia="仿宋_GB2312"/>
          <w:color w:val="000000"/>
          <w:kern w:val="0"/>
          <w:sz w:val="28"/>
          <w:szCs w:val="32"/>
          <w:u w:val="single"/>
        </w:rPr>
        <w:t xml:space="preserve">       </w:t>
      </w:r>
      <w:r>
        <w:rPr>
          <w:rFonts w:eastAsia="仿宋_GB2312"/>
          <w:color w:val="000000"/>
          <w:kern w:val="0"/>
          <w:sz w:val="28"/>
          <w:szCs w:val="32"/>
        </w:rPr>
        <w:t>（签字）       法</w:t>
      </w:r>
      <w:r>
        <w:rPr>
          <w:rFonts w:eastAsia="仿宋_GB2312"/>
          <w:color w:val="000000"/>
          <w:spacing w:val="-16"/>
          <w:kern w:val="0"/>
          <w:sz w:val="28"/>
          <w:szCs w:val="32"/>
        </w:rPr>
        <w:t>定代表人：</w:t>
      </w:r>
      <w:r>
        <w:rPr>
          <w:rFonts w:eastAsia="仿宋_GB2312"/>
          <w:color w:val="000000"/>
          <w:kern w:val="0"/>
          <w:sz w:val="28"/>
          <w:szCs w:val="32"/>
          <w:u w:val="single"/>
        </w:rPr>
        <w:t xml:space="preserve">       </w:t>
      </w:r>
      <w:r>
        <w:rPr>
          <w:rFonts w:eastAsia="仿宋_GB2312"/>
          <w:color w:val="000000"/>
          <w:kern w:val="0"/>
          <w:sz w:val="28"/>
          <w:szCs w:val="32"/>
        </w:rPr>
        <w:t>（签字）</w:t>
      </w:r>
    </w:p>
    <w:p>
      <w:pPr>
        <w:spacing w:line="490" w:lineRule="exact"/>
        <w:ind w:firstLine="560" w:firstLineChars="200"/>
        <w:rPr>
          <w:rFonts w:eastAsia="仿宋_GB2312"/>
          <w:color w:val="000000"/>
          <w:kern w:val="0"/>
          <w:sz w:val="28"/>
          <w:szCs w:val="32"/>
          <w:u w:val="single"/>
        </w:rPr>
      </w:pPr>
      <w:r>
        <w:rPr>
          <w:rFonts w:eastAsia="仿宋_GB2312"/>
          <w:color w:val="000000"/>
          <w:kern w:val="0"/>
          <w:sz w:val="28"/>
          <w:szCs w:val="32"/>
        </w:rPr>
        <w:t>地 址：</w:t>
      </w:r>
      <w:r>
        <w:rPr>
          <w:rFonts w:eastAsia="仿宋_GB2312"/>
          <w:color w:val="000000"/>
          <w:kern w:val="0"/>
          <w:sz w:val="28"/>
          <w:szCs w:val="32"/>
          <w:u w:val="single"/>
        </w:rPr>
        <w:t xml:space="preserve">           </w:t>
      </w:r>
      <w:r>
        <w:rPr>
          <w:rFonts w:eastAsia="仿宋_GB2312"/>
          <w:color w:val="000000"/>
          <w:kern w:val="0"/>
          <w:sz w:val="28"/>
          <w:szCs w:val="32"/>
        </w:rPr>
        <w:t xml:space="preserve">               地 址：</w:t>
      </w:r>
      <w:r>
        <w:rPr>
          <w:rFonts w:eastAsia="仿宋_GB2312"/>
          <w:color w:val="000000"/>
          <w:kern w:val="0"/>
          <w:sz w:val="28"/>
          <w:szCs w:val="32"/>
          <w:u w:val="single"/>
        </w:rPr>
        <w:t xml:space="preserve">               </w:t>
      </w:r>
    </w:p>
    <w:p>
      <w:pPr>
        <w:spacing w:line="490" w:lineRule="exact"/>
        <w:ind w:firstLine="560" w:firstLineChars="200"/>
        <w:rPr>
          <w:rFonts w:eastAsia="仿宋_GB2312"/>
          <w:color w:val="000000"/>
          <w:kern w:val="0"/>
          <w:sz w:val="28"/>
          <w:szCs w:val="32"/>
          <w:u w:val="single"/>
        </w:rPr>
      </w:pPr>
      <w:r>
        <w:rPr>
          <w:rFonts w:eastAsia="仿宋_GB2312"/>
          <w:color w:val="000000"/>
          <w:kern w:val="0"/>
          <w:sz w:val="28"/>
          <w:szCs w:val="32"/>
        </w:rPr>
        <w:t>电 话：</w:t>
      </w:r>
      <w:r>
        <w:rPr>
          <w:rFonts w:eastAsia="仿宋_GB2312"/>
          <w:color w:val="000000"/>
          <w:kern w:val="0"/>
          <w:sz w:val="28"/>
          <w:szCs w:val="32"/>
          <w:u w:val="single"/>
        </w:rPr>
        <w:t xml:space="preserve">           </w:t>
      </w:r>
      <w:r>
        <w:rPr>
          <w:rFonts w:eastAsia="仿宋_GB2312"/>
          <w:color w:val="000000"/>
          <w:kern w:val="0"/>
          <w:sz w:val="28"/>
          <w:szCs w:val="32"/>
        </w:rPr>
        <w:t xml:space="preserve">               电 话：</w:t>
      </w:r>
      <w:r>
        <w:rPr>
          <w:rFonts w:eastAsia="仿宋_GB2312"/>
          <w:color w:val="000000"/>
          <w:kern w:val="0"/>
          <w:sz w:val="28"/>
          <w:szCs w:val="32"/>
          <w:u w:val="single"/>
        </w:rPr>
        <w:t xml:space="preserve">               </w:t>
      </w:r>
    </w:p>
    <w:p>
      <w:pPr>
        <w:spacing w:line="490" w:lineRule="exact"/>
        <w:ind w:firstLine="560" w:firstLineChars="200"/>
        <w:rPr>
          <w:rFonts w:eastAsia="仿宋_GB2312"/>
          <w:color w:val="000000"/>
          <w:kern w:val="0"/>
          <w:sz w:val="28"/>
          <w:szCs w:val="32"/>
          <w:u w:val="single"/>
        </w:rPr>
      </w:pPr>
      <w:r>
        <w:rPr>
          <w:rFonts w:eastAsia="仿宋_GB2312"/>
          <w:color w:val="000000"/>
          <w:kern w:val="0"/>
          <w:sz w:val="28"/>
          <w:szCs w:val="32"/>
        </w:rPr>
        <w:t>日 期：</w:t>
      </w:r>
      <w:r>
        <w:rPr>
          <w:rFonts w:eastAsia="仿宋_GB2312"/>
          <w:color w:val="000000"/>
          <w:kern w:val="0"/>
          <w:sz w:val="28"/>
          <w:szCs w:val="32"/>
          <w:u w:val="single"/>
        </w:rPr>
        <w:t xml:space="preserve">    </w:t>
      </w:r>
      <w:r>
        <w:rPr>
          <w:rFonts w:eastAsia="仿宋_GB2312"/>
          <w:color w:val="000000"/>
          <w:kern w:val="0"/>
          <w:sz w:val="28"/>
          <w:szCs w:val="32"/>
        </w:rPr>
        <w:t>年</w:t>
      </w:r>
      <w:r>
        <w:rPr>
          <w:rFonts w:eastAsia="仿宋_GB2312"/>
          <w:color w:val="000000"/>
          <w:kern w:val="0"/>
          <w:sz w:val="28"/>
          <w:szCs w:val="32"/>
          <w:u w:val="single"/>
        </w:rPr>
        <w:t xml:space="preserve">  </w:t>
      </w:r>
      <w:r>
        <w:rPr>
          <w:rFonts w:eastAsia="仿宋_GB2312"/>
          <w:color w:val="000000"/>
          <w:kern w:val="0"/>
          <w:sz w:val="28"/>
          <w:szCs w:val="32"/>
        </w:rPr>
        <w:t>月</w:t>
      </w:r>
      <w:r>
        <w:rPr>
          <w:rFonts w:eastAsia="仿宋_GB2312"/>
          <w:color w:val="000000"/>
          <w:kern w:val="0"/>
          <w:sz w:val="28"/>
          <w:szCs w:val="32"/>
          <w:u w:val="single"/>
        </w:rPr>
        <w:t xml:space="preserve">   </w:t>
      </w:r>
      <w:r>
        <w:rPr>
          <w:rFonts w:eastAsia="仿宋_GB2312"/>
          <w:color w:val="000000"/>
          <w:kern w:val="0"/>
          <w:sz w:val="28"/>
          <w:szCs w:val="32"/>
        </w:rPr>
        <w:t>日           日 期：</w:t>
      </w:r>
      <w:r>
        <w:rPr>
          <w:rFonts w:eastAsia="仿宋_GB2312"/>
          <w:color w:val="000000"/>
          <w:kern w:val="0"/>
          <w:sz w:val="28"/>
          <w:szCs w:val="32"/>
          <w:u w:val="single"/>
        </w:rPr>
        <w:t xml:space="preserve">   </w:t>
      </w:r>
      <w:r>
        <w:rPr>
          <w:rFonts w:eastAsia="仿宋_GB2312"/>
          <w:color w:val="000000"/>
          <w:kern w:val="0"/>
          <w:sz w:val="28"/>
          <w:szCs w:val="32"/>
        </w:rPr>
        <w:t>年</w:t>
      </w:r>
      <w:r>
        <w:rPr>
          <w:rFonts w:eastAsia="仿宋_GB2312"/>
          <w:color w:val="000000"/>
          <w:kern w:val="0"/>
          <w:sz w:val="28"/>
          <w:szCs w:val="32"/>
          <w:u w:val="single"/>
        </w:rPr>
        <w:t xml:space="preserve">   </w:t>
      </w:r>
      <w:r>
        <w:rPr>
          <w:rFonts w:eastAsia="仿宋_GB2312"/>
          <w:color w:val="000000"/>
          <w:kern w:val="0"/>
          <w:sz w:val="28"/>
          <w:szCs w:val="32"/>
        </w:rPr>
        <w:t>月</w:t>
      </w:r>
      <w:r>
        <w:rPr>
          <w:rFonts w:eastAsia="仿宋_GB2312"/>
          <w:color w:val="000000"/>
          <w:kern w:val="0"/>
          <w:sz w:val="28"/>
          <w:szCs w:val="32"/>
          <w:u w:val="single"/>
        </w:rPr>
        <w:t xml:space="preserve">   </w:t>
      </w:r>
      <w:r>
        <w:rPr>
          <w:rFonts w:eastAsia="仿宋_GB2312"/>
          <w:color w:val="000000"/>
          <w:kern w:val="0"/>
          <w:sz w:val="28"/>
          <w:szCs w:val="32"/>
        </w:rPr>
        <w:t>日</w:t>
      </w:r>
    </w:p>
    <w:p>
      <w:pPr>
        <w:pStyle w:val="123"/>
        <w:autoSpaceDE/>
        <w:autoSpaceDN/>
        <w:adjustRightInd/>
        <w:spacing w:after="0" w:line="490" w:lineRule="exact"/>
        <w:rPr>
          <w:rFonts w:ascii="Times New Roman" w:eastAsia="黑体" w:cs="Times New Roman"/>
          <w:color w:val="000000"/>
          <w:sz w:val="28"/>
          <w:szCs w:val="32"/>
        </w:rPr>
      </w:pPr>
      <w:r>
        <w:rPr>
          <w:rFonts w:ascii="Times New Roman" w:eastAsia="仿宋_GB2312" w:cs="Times New Roman"/>
          <w:color w:val="000000"/>
          <w:sz w:val="28"/>
        </w:rPr>
        <w:br w:type="page"/>
      </w:r>
      <w:bookmarkStart w:id="1858" w:name="_Toc511318217"/>
      <w:r>
        <w:rPr>
          <w:rFonts w:ascii="Times New Roman" w:eastAsia="黑体" w:cs="Times New Roman"/>
          <w:color w:val="000000"/>
          <w:sz w:val="28"/>
          <w:szCs w:val="32"/>
        </w:rPr>
        <w:t>附件七：湖南省</w:t>
      </w:r>
      <w:r>
        <w:rPr>
          <w:rFonts w:hint="eastAsia" w:ascii="Times New Roman" w:eastAsia="黑体" w:cs="Times New Roman"/>
          <w:color w:val="000000"/>
          <w:sz w:val="28"/>
          <w:szCs w:val="32"/>
        </w:rPr>
        <w:t>农田建设项目工程</w:t>
      </w:r>
      <w:r>
        <w:rPr>
          <w:rFonts w:ascii="Times New Roman" w:eastAsia="黑体" w:cs="Times New Roman"/>
          <w:color w:val="000000"/>
          <w:sz w:val="28"/>
          <w:szCs w:val="32"/>
        </w:rPr>
        <w:t>建设项目从业单位法定代表人授权书</w:t>
      </w:r>
      <w:bookmarkEnd w:id="1858"/>
    </w:p>
    <w:p>
      <w:pPr>
        <w:pStyle w:val="123"/>
        <w:autoSpaceDE/>
        <w:autoSpaceDN/>
        <w:adjustRightInd/>
        <w:spacing w:after="0" w:line="490" w:lineRule="exact"/>
        <w:jc w:val="center"/>
        <w:rPr>
          <w:rFonts w:hint="eastAsia" w:ascii="仿宋" w:hAnsi="仿宋" w:eastAsia="仿宋" w:cs="仿宋"/>
          <w:b/>
          <w:color w:val="000000"/>
          <w:sz w:val="40"/>
          <w:szCs w:val="32"/>
        </w:rPr>
      </w:pPr>
    </w:p>
    <w:p>
      <w:pPr>
        <w:pStyle w:val="123"/>
        <w:autoSpaceDE/>
        <w:autoSpaceDN/>
        <w:adjustRightInd/>
        <w:spacing w:after="0" w:line="490" w:lineRule="exact"/>
        <w:jc w:val="center"/>
        <w:rPr>
          <w:rFonts w:hint="eastAsia" w:ascii="方正小标宋简体" w:hAnsi="仿宋" w:eastAsia="方正小标宋简体" w:cs="仿宋"/>
          <w:color w:val="000000"/>
          <w:sz w:val="40"/>
          <w:szCs w:val="32"/>
        </w:rPr>
      </w:pPr>
      <w:r>
        <w:rPr>
          <w:rFonts w:hint="eastAsia" w:ascii="方正小标宋简体" w:hAnsi="仿宋" w:eastAsia="方正小标宋简体" w:cs="仿宋"/>
          <w:color w:val="000000"/>
          <w:sz w:val="40"/>
          <w:szCs w:val="32"/>
        </w:rPr>
        <w:t>湖南省农田建设项目工程建设项目</w:t>
      </w:r>
    </w:p>
    <w:p>
      <w:pPr>
        <w:pStyle w:val="123"/>
        <w:autoSpaceDE/>
        <w:autoSpaceDN/>
        <w:adjustRightInd/>
        <w:spacing w:after="0" w:line="490" w:lineRule="exact"/>
        <w:jc w:val="center"/>
        <w:rPr>
          <w:rFonts w:hint="eastAsia" w:ascii="方正小标宋简体" w:hAnsi="仿宋" w:eastAsia="方正小标宋简体" w:cs="仿宋"/>
          <w:color w:val="000000"/>
          <w:sz w:val="40"/>
          <w:szCs w:val="32"/>
        </w:rPr>
      </w:pPr>
      <w:r>
        <w:rPr>
          <w:rFonts w:hint="eastAsia" w:ascii="方正小标宋简体" w:hAnsi="仿宋" w:eastAsia="方正小标宋简体" w:cs="仿宋"/>
          <w:color w:val="000000"/>
          <w:sz w:val="40"/>
          <w:szCs w:val="32"/>
        </w:rPr>
        <w:t>从业单位法定代表人授权书</w:t>
      </w:r>
    </w:p>
    <w:p>
      <w:pPr>
        <w:pStyle w:val="123"/>
        <w:autoSpaceDE/>
        <w:autoSpaceDN/>
        <w:adjustRightInd/>
        <w:spacing w:after="0" w:line="490" w:lineRule="exact"/>
        <w:jc w:val="center"/>
        <w:rPr>
          <w:rFonts w:ascii="Times New Roman" w:eastAsia="方正小标宋_GBK" w:cs="Times New Roman"/>
          <w:b/>
          <w:color w:val="000000"/>
          <w:sz w:val="40"/>
          <w:szCs w:val="32"/>
        </w:rPr>
      </w:pPr>
    </w:p>
    <w:p>
      <w:pPr>
        <w:spacing w:line="490" w:lineRule="exact"/>
        <w:ind w:firstLine="560" w:firstLineChars="200"/>
        <w:rPr>
          <w:rFonts w:eastAsia="仿宋_GB2312"/>
          <w:color w:val="000000"/>
          <w:sz w:val="28"/>
          <w:szCs w:val="32"/>
        </w:rPr>
      </w:pPr>
      <w:r>
        <w:rPr>
          <w:rFonts w:eastAsia="仿宋_GB2312"/>
          <w:color w:val="000000"/>
          <w:sz w:val="28"/>
          <w:szCs w:val="32"/>
        </w:rPr>
        <w:t>兹授权我单位</w:t>
      </w:r>
      <w:r>
        <w:rPr>
          <w:rFonts w:eastAsia="仿宋_GB2312"/>
          <w:color w:val="000000"/>
          <w:sz w:val="28"/>
          <w:szCs w:val="32"/>
          <w:u w:val="single"/>
        </w:rPr>
        <w:t xml:space="preserve">       （姓名）    </w:t>
      </w:r>
      <w:r>
        <w:rPr>
          <w:rFonts w:eastAsia="仿宋_GB2312"/>
          <w:color w:val="000000"/>
          <w:sz w:val="28"/>
          <w:szCs w:val="32"/>
        </w:rPr>
        <w:t>担任</w:t>
      </w:r>
      <w:r>
        <w:rPr>
          <w:rFonts w:eastAsia="仿宋_GB2312"/>
          <w:color w:val="000000"/>
          <w:sz w:val="28"/>
          <w:szCs w:val="32"/>
          <w:u w:val="single"/>
        </w:rPr>
        <w:t xml:space="preserve">                 </w:t>
      </w:r>
      <w:r>
        <w:rPr>
          <w:rFonts w:eastAsia="仿宋_GB2312"/>
          <w:color w:val="000000"/>
          <w:sz w:val="28"/>
          <w:szCs w:val="32"/>
        </w:rPr>
        <w:t>工程项目负责人，对该工程项目的（施工）工作实施组织管理，依据国家有关法律法规及标准规范履行职责，并依法对设计使用年限内的工程质量承担相应终身责任。</w:t>
      </w:r>
    </w:p>
    <w:p>
      <w:pPr>
        <w:spacing w:line="490" w:lineRule="exact"/>
        <w:ind w:firstLine="560" w:firstLineChars="200"/>
        <w:rPr>
          <w:rFonts w:eastAsia="仿宋_GB2312"/>
          <w:color w:val="000000"/>
          <w:sz w:val="28"/>
          <w:szCs w:val="32"/>
        </w:rPr>
      </w:pPr>
      <w:r>
        <w:rPr>
          <w:rFonts w:eastAsia="仿宋_GB2312"/>
          <w:color w:val="000000"/>
          <w:sz w:val="28"/>
          <w:szCs w:val="32"/>
        </w:rPr>
        <w:t>本授权书自授权之日起生效。</w:t>
      </w:r>
    </w:p>
    <w:p>
      <w:pPr>
        <w:spacing w:line="360" w:lineRule="auto"/>
        <w:ind w:firstLine="420" w:firstLineChars="200"/>
        <w:rPr>
          <w:color w:val="000000"/>
          <w:szCs w:val="21"/>
        </w:rPr>
      </w:pP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3"/>
        <w:gridCol w:w="2293"/>
        <w:gridCol w:w="2294"/>
        <w:gridCol w:w="2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9174" w:type="dxa"/>
            <w:gridSpan w:val="4"/>
            <w:noWrap w:val="0"/>
            <w:vAlign w:val="center"/>
          </w:tcPr>
          <w:p>
            <w:pPr>
              <w:jc w:val="center"/>
              <w:rPr>
                <w:b/>
                <w:color w:val="000000"/>
                <w:szCs w:val="21"/>
              </w:rPr>
            </w:pPr>
            <w:r>
              <w:rPr>
                <w:b/>
                <w:color w:val="000000"/>
                <w:szCs w:val="21"/>
              </w:rPr>
              <w:t>被授权人基本情况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293" w:type="dxa"/>
            <w:noWrap w:val="0"/>
            <w:vAlign w:val="center"/>
          </w:tcPr>
          <w:p>
            <w:pPr>
              <w:jc w:val="center"/>
              <w:rPr>
                <w:color w:val="000000"/>
                <w:szCs w:val="21"/>
              </w:rPr>
            </w:pPr>
            <w:r>
              <w:rPr>
                <w:color w:val="000000"/>
                <w:szCs w:val="21"/>
              </w:rPr>
              <w:t>姓名</w:t>
            </w:r>
          </w:p>
        </w:tc>
        <w:tc>
          <w:tcPr>
            <w:tcW w:w="2293" w:type="dxa"/>
            <w:noWrap w:val="0"/>
            <w:vAlign w:val="center"/>
          </w:tcPr>
          <w:p>
            <w:pPr>
              <w:rPr>
                <w:color w:val="000000"/>
                <w:szCs w:val="21"/>
              </w:rPr>
            </w:pPr>
          </w:p>
        </w:tc>
        <w:tc>
          <w:tcPr>
            <w:tcW w:w="2294" w:type="dxa"/>
            <w:noWrap w:val="0"/>
            <w:vAlign w:val="center"/>
          </w:tcPr>
          <w:p>
            <w:pPr>
              <w:jc w:val="center"/>
              <w:rPr>
                <w:color w:val="000000"/>
                <w:szCs w:val="21"/>
              </w:rPr>
            </w:pPr>
            <w:r>
              <w:rPr>
                <w:color w:val="000000"/>
                <w:szCs w:val="21"/>
              </w:rPr>
              <w:t>身份证号</w:t>
            </w:r>
          </w:p>
        </w:tc>
        <w:tc>
          <w:tcPr>
            <w:tcW w:w="2294" w:type="dxa"/>
            <w:noWrap w:val="0"/>
            <w:vAlign w:val="center"/>
          </w:tcPr>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293" w:type="dxa"/>
            <w:noWrap w:val="0"/>
            <w:vAlign w:val="center"/>
          </w:tcPr>
          <w:p>
            <w:pPr>
              <w:jc w:val="center"/>
              <w:rPr>
                <w:color w:val="000000"/>
                <w:szCs w:val="21"/>
              </w:rPr>
            </w:pPr>
            <w:r>
              <w:rPr>
                <w:color w:val="000000"/>
                <w:szCs w:val="21"/>
              </w:rPr>
              <w:t>注册执业资格</w:t>
            </w:r>
          </w:p>
        </w:tc>
        <w:tc>
          <w:tcPr>
            <w:tcW w:w="2293" w:type="dxa"/>
            <w:noWrap w:val="0"/>
            <w:vAlign w:val="center"/>
          </w:tcPr>
          <w:p>
            <w:pPr>
              <w:rPr>
                <w:color w:val="000000"/>
                <w:szCs w:val="21"/>
              </w:rPr>
            </w:pPr>
          </w:p>
        </w:tc>
        <w:tc>
          <w:tcPr>
            <w:tcW w:w="2294" w:type="dxa"/>
            <w:noWrap w:val="0"/>
            <w:vAlign w:val="center"/>
          </w:tcPr>
          <w:p>
            <w:pPr>
              <w:jc w:val="center"/>
              <w:rPr>
                <w:color w:val="000000"/>
                <w:szCs w:val="21"/>
              </w:rPr>
            </w:pPr>
            <w:r>
              <w:rPr>
                <w:color w:val="000000"/>
                <w:szCs w:val="21"/>
              </w:rPr>
              <w:t>注册执业证号</w:t>
            </w:r>
          </w:p>
        </w:tc>
        <w:tc>
          <w:tcPr>
            <w:tcW w:w="2294" w:type="dxa"/>
            <w:noWrap w:val="0"/>
            <w:vAlign w:val="center"/>
          </w:tcPr>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2293" w:type="dxa"/>
            <w:noWrap w:val="0"/>
            <w:vAlign w:val="center"/>
          </w:tcPr>
          <w:p>
            <w:pPr>
              <w:jc w:val="center"/>
              <w:rPr>
                <w:color w:val="000000"/>
                <w:szCs w:val="21"/>
              </w:rPr>
            </w:pPr>
            <w:r>
              <w:rPr>
                <w:color w:val="000000"/>
                <w:szCs w:val="21"/>
              </w:rPr>
              <w:t>职称</w:t>
            </w:r>
          </w:p>
        </w:tc>
        <w:tc>
          <w:tcPr>
            <w:tcW w:w="2293" w:type="dxa"/>
            <w:noWrap w:val="0"/>
            <w:vAlign w:val="center"/>
          </w:tcPr>
          <w:p>
            <w:pPr>
              <w:rPr>
                <w:color w:val="000000"/>
                <w:szCs w:val="21"/>
              </w:rPr>
            </w:pPr>
          </w:p>
        </w:tc>
        <w:tc>
          <w:tcPr>
            <w:tcW w:w="2294" w:type="dxa"/>
            <w:noWrap w:val="0"/>
            <w:vAlign w:val="center"/>
          </w:tcPr>
          <w:p>
            <w:pPr>
              <w:jc w:val="center"/>
              <w:rPr>
                <w:color w:val="000000"/>
                <w:szCs w:val="21"/>
              </w:rPr>
            </w:pPr>
            <w:r>
              <w:rPr>
                <w:color w:val="000000"/>
                <w:szCs w:val="21"/>
              </w:rPr>
              <w:t>专业</w:t>
            </w:r>
          </w:p>
        </w:tc>
        <w:tc>
          <w:tcPr>
            <w:tcW w:w="2294" w:type="dxa"/>
            <w:noWrap w:val="0"/>
            <w:vAlign w:val="center"/>
          </w:tcPr>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9174" w:type="dxa"/>
            <w:gridSpan w:val="4"/>
            <w:noWrap w:val="0"/>
            <w:vAlign w:val="center"/>
          </w:tcPr>
          <w:p>
            <w:pPr>
              <w:ind w:firstLine="5040" w:firstLineChars="2400"/>
              <w:rPr>
                <w:color w:val="000000"/>
                <w:szCs w:val="21"/>
              </w:rPr>
            </w:pPr>
            <w:r>
              <w:rPr>
                <w:color w:val="000000"/>
                <w:szCs w:val="21"/>
              </w:rPr>
              <w:t>被授权人签字：</w:t>
            </w:r>
          </w:p>
        </w:tc>
      </w:tr>
    </w:tbl>
    <w:p>
      <w:pPr>
        <w:spacing w:line="360" w:lineRule="auto"/>
        <w:ind w:firstLine="420" w:firstLineChars="200"/>
        <w:rPr>
          <w:color w:val="000000"/>
          <w:szCs w:val="21"/>
        </w:rPr>
      </w:pPr>
    </w:p>
    <w:p>
      <w:pPr>
        <w:spacing w:line="360" w:lineRule="auto"/>
        <w:ind w:firstLine="420" w:firstLineChars="200"/>
        <w:rPr>
          <w:color w:val="000000"/>
          <w:szCs w:val="21"/>
        </w:rPr>
      </w:pPr>
    </w:p>
    <w:p>
      <w:pPr>
        <w:spacing w:line="600" w:lineRule="exact"/>
        <w:ind w:firstLine="3036" w:firstLineChars="1040"/>
        <w:rPr>
          <w:rFonts w:eastAsia="仿宋_GB2312"/>
          <w:color w:val="000000"/>
          <w:spacing w:val="6"/>
          <w:kern w:val="0"/>
          <w:sz w:val="28"/>
          <w:szCs w:val="21"/>
        </w:rPr>
      </w:pPr>
    </w:p>
    <w:p>
      <w:pPr>
        <w:spacing w:line="600" w:lineRule="exact"/>
        <w:ind w:firstLine="3036" w:firstLineChars="1040"/>
        <w:rPr>
          <w:rFonts w:eastAsia="仿宋_GB2312"/>
          <w:color w:val="000000"/>
          <w:sz w:val="28"/>
          <w:szCs w:val="21"/>
          <w:u w:val="single"/>
        </w:rPr>
      </w:pPr>
      <w:r>
        <w:rPr>
          <w:rFonts w:eastAsia="仿宋_GB2312"/>
          <w:color w:val="000000"/>
          <w:spacing w:val="6"/>
          <w:kern w:val="0"/>
          <w:sz w:val="28"/>
          <w:szCs w:val="21"/>
        </w:rPr>
        <w:t>授权单位（盖章）</w:t>
      </w:r>
      <w:r>
        <w:rPr>
          <w:rFonts w:eastAsia="仿宋_GB2312"/>
          <w:color w:val="000000"/>
          <w:spacing w:val="4"/>
          <w:kern w:val="0"/>
          <w:sz w:val="28"/>
          <w:szCs w:val="21"/>
        </w:rPr>
        <w:t>：</w:t>
      </w:r>
      <w:r>
        <w:rPr>
          <w:rFonts w:eastAsia="仿宋_GB2312"/>
          <w:color w:val="000000"/>
          <w:kern w:val="0"/>
          <w:sz w:val="32"/>
          <w:szCs w:val="21"/>
          <w:u w:val="single"/>
        </w:rPr>
        <w:t xml:space="preserve">                  </w:t>
      </w:r>
    </w:p>
    <w:p>
      <w:pPr>
        <w:spacing w:line="600" w:lineRule="exact"/>
        <w:ind w:firstLine="3032" w:firstLineChars="1083"/>
        <w:rPr>
          <w:rFonts w:eastAsia="仿宋_GB2312"/>
          <w:color w:val="000000"/>
          <w:sz w:val="28"/>
          <w:szCs w:val="21"/>
        </w:rPr>
      </w:pPr>
      <w:r>
        <w:rPr>
          <w:rFonts w:eastAsia="仿宋_GB2312"/>
          <w:color w:val="000000"/>
          <w:sz w:val="28"/>
          <w:szCs w:val="21"/>
        </w:rPr>
        <w:t>法定代表人（盖章）：</w:t>
      </w:r>
      <w:r>
        <w:rPr>
          <w:rFonts w:eastAsia="仿宋_GB2312"/>
          <w:color w:val="000000"/>
          <w:kern w:val="0"/>
          <w:sz w:val="28"/>
          <w:szCs w:val="21"/>
          <w:u w:val="single"/>
        </w:rPr>
        <w:t xml:space="preserve">                    </w:t>
      </w:r>
    </w:p>
    <w:p>
      <w:pPr>
        <w:spacing w:line="600" w:lineRule="exact"/>
        <w:ind w:firstLine="2992" w:firstLineChars="580"/>
        <w:rPr>
          <w:rFonts w:eastAsia="仿宋_GB2312"/>
          <w:color w:val="000000"/>
          <w:sz w:val="28"/>
          <w:szCs w:val="21"/>
        </w:rPr>
      </w:pPr>
      <w:r>
        <w:rPr>
          <w:rFonts w:eastAsia="仿宋_GB2312"/>
          <w:color w:val="000000"/>
          <w:spacing w:val="118"/>
          <w:kern w:val="0"/>
          <w:sz w:val="28"/>
          <w:szCs w:val="21"/>
        </w:rPr>
        <w:t>授权日期</w:t>
      </w:r>
      <w:r>
        <w:rPr>
          <w:rFonts w:eastAsia="仿宋_GB2312"/>
          <w:color w:val="000000"/>
          <w:spacing w:val="1"/>
          <w:kern w:val="0"/>
          <w:sz w:val="28"/>
          <w:szCs w:val="21"/>
        </w:rPr>
        <w:t>：</w:t>
      </w:r>
      <w:r>
        <w:rPr>
          <w:rFonts w:eastAsia="仿宋_GB2312"/>
          <w:color w:val="000000"/>
          <w:kern w:val="0"/>
          <w:sz w:val="28"/>
          <w:szCs w:val="21"/>
          <w:u w:val="single"/>
        </w:rPr>
        <w:t xml:space="preserve">       </w:t>
      </w:r>
      <w:r>
        <w:rPr>
          <w:rFonts w:eastAsia="仿宋_GB2312"/>
          <w:color w:val="000000"/>
          <w:sz w:val="28"/>
          <w:szCs w:val="21"/>
        </w:rPr>
        <w:t>年</w:t>
      </w:r>
      <w:r>
        <w:rPr>
          <w:rFonts w:eastAsia="仿宋_GB2312"/>
          <w:color w:val="000000"/>
          <w:sz w:val="28"/>
          <w:szCs w:val="21"/>
          <w:u w:val="single"/>
        </w:rPr>
        <w:t xml:space="preserve">     </w:t>
      </w:r>
      <w:r>
        <w:rPr>
          <w:rFonts w:eastAsia="仿宋_GB2312"/>
          <w:color w:val="000000"/>
          <w:sz w:val="28"/>
          <w:szCs w:val="21"/>
        </w:rPr>
        <w:t>月</w:t>
      </w:r>
      <w:r>
        <w:rPr>
          <w:rFonts w:eastAsia="仿宋_GB2312"/>
          <w:color w:val="000000"/>
          <w:sz w:val="28"/>
          <w:szCs w:val="21"/>
          <w:u w:val="single"/>
        </w:rPr>
        <w:t xml:space="preserve">     </w:t>
      </w:r>
      <w:r>
        <w:rPr>
          <w:rFonts w:eastAsia="仿宋_GB2312"/>
          <w:color w:val="000000"/>
          <w:sz w:val="28"/>
          <w:szCs w:val="21"/>
        </w:rPr>
        <w:t>日</w:t>
      </w:r>
    </w:p>
    <w:p>
      <w:pPr>
        <w:pStyle w:val="123"/>
        <w:autoSpaceDE/>
        <w:autoSpaceDN/>
        <w:adjustRightInd/>
        <w:spacing w:after="0" w:line="490" w:lineRule="exact"/>
        <w:rPr>
          <w:rFonts w:ascii="Times New Roman" w:eastAsia="黑体" w:cs="Times New Roman"/>
          <w:color w:val="000000"/>
          <w:sz w:val="28"/>
          <w:szCs w:val="32"/>
        </w:rPr>
      </w:pPr>
      <w:r>
        <w:rPr>
          <w:rFonts w:ascii="Times New Roman" w:cs="Times New Roman"/>
          <w:color w:val="000000"/>
        </w:rPr>
        <w:br w:type="page"/>
      </w:r>
      <w:bookmarkStart w:id="1859" w:name="_Toc511318218"/>
      <w:r>
        <w:rPr>
          <w:rFonts w:ascii="Times New Roman" w:eastAsia="黑体" w:cs="Times New Roman"/>
          <w:color w:val="000000"/>
          <w:sz w:val="28"/>
          <w:szCs w:val="32"/>
        </w:rPr>
        <w:t>附件八：湖南省</w:t>
      </w:r>
      <w:r>
        <w:rPr>
          <w:rFonts w:hint="eastAsia" w:ascii="Times New Roman" w:eastAsia="黑体" w:cs="Times New Roman"/>
          <w:color w:val="000000"/>
          <w:sz w:val="28"/>
          <w:szCs w:val="32"/>
        </w:rPr>
        <w:t>农田建设项目工程</w:t>
      </w:r>
      <w:r>
        <w:rPr>
          <w:rFonts w:ascii="Times New Roman" w:eastAsia="黑体" w:cs="Times New Roman"/>
          <w:color w:val="000000"/>
          <w:sz w:val="28"/>
          <w:szCs w:val="32"/>
        </w:rPr>
        <w:t>项目负责人质量终身责任承诺书</w:t>
      </w:r>
      <w:bookmarkEnd w:id="1859"/>
    </w:p>
    <w:p>
      <w:pPr>
        <w:pStyle w:val="123"/>
        <w:autoSpaceDE/>
        <w:autoSpaceDN/>
        <w:adjustRightInd/>
        <w:spacing w:after="0" w:line="490" w:lineRule="exact"/>
        <w:jc w:val="center"/>
        <w:rPr>
          <w:rFonts w:ascii="Times New Roman" w:eastAsia="方正小标宋_GBK" w:cs="Times New Roman"/>
          <w:b/>
          <w:color w:val="000000"/>
          <w:sz w:val="44"/>
          <w:szCs w:val="32"/>
        </w:rPr>
      </w:pPr>
    </w:p>
    <w:p>
      <w:pPr>
        <w:pStyle w:val="123"/>
        <w:autoSpaceDE/>
        <w:autoSpaceDN/>
        <w:adjustRightInd/>
        <w:spacing w:after="0" w:line="490" w:lineRule="exact"/>
        <w:jc w:val="center"/>
        <w:rPr>
          <w:rFonts w:hint="eastAsia" w:ascii="方正小标宋简体" w:hAnsi="仿宋" w:eastAsia="方正小标宋简体" w:cs="仿宋"/>
          <w:color w:val="000000"/>
          <w:sz w:val="40"/>
          <w:szCs w:val="32"/>
        </w:rPr>
      </w:pPr>
      <w:r>
        <w:rPr>
          <w:rFonts w:hint="eastAsia" w:ascii="方正小标宋简体" w:hAnsi="仿宋" w:eastAsia="方正小标宋简体" w:cs="仿宋"/>
          <w:color w:val="000000"/>
          <w:sz w:val="40"/>
          <w:szCs w:val="32"/>
        </w:rPr>
        <w:t>湖南省农田建设项目工程项目负责人质量终身责任承诺书</w:t>
      </w:r>
    </w:p>
    <w:p>
      <w:pPr>
        <w:pStyle w:val="123"/>
        <w:autoSpaceDE/>
        <w:autoSpaceDN/>
        <w:adjustRightInd/>
        <w:spacing w:after="0" w:line="490" w:lineRule="exact"/>
        <w:jc w:val="center"/>
        <w:rPr>
          <w:rFonts w:ascii="Times New Roman" w:eastAsia="方正小标宋_GBK" w:cs="Times New Roman"/>
          <w:b/>
          <w:color w:val="000000"/>
          <w:sz w:val="44"/>
          <w:szCs w:val="32"/>
        </w:rPr>
      </w:pPr>
    </w:p>
    <w:p>
      <w:pPr>
        <w:spacing w:line="490" w:lineRule="exact"/>
        <w:ind w:firstLine="560" w:firstLineChars="200"/>
        <w:rPr>
          <w:rFonts w:eastAsia="仿宋_GB2312"/>
          <w:color w:val="000000"/>
          <w:sz w:val="28"/>
          <w:szCs w:val="32"/>
        </w:rPr>
      </w:pPr>
      <w:r>
        <w:rPr>
          <w:rFonts w:eastAsia="仿宋_GB2312"/>
          <w:color w:val="000000"/>
          <w:sz w:val="28"/>
          <w:szCs w:val="32"/>
        </w:rPr>
        <w:t>本人承诺在该工程建设过程中认真履行下列相应职责，并对施工原因造成的质量问题承担相应</w:t>
      </w:r>
      <w:r>
        <w:rPr>
          <w:rFonts w:eastAsia="仿宋_GB2312"/>
          <w:b/>
          <w:color w:val="000000"/>
          <w:sz w:val="28"/>
          <w:szCs w:val="32"/>
        </w:rPr>
        <w:t>终身</w:t>
      </w:r>
      <w:r>
        <w:rPr>
          <w:rFonts w:eastAsia="仿宋_GB2312"/>
          <w:color w:val="000000"/>
          <w:sz w:val="28"/>
          <w:szCs w:val="32"/>
        </w:rPr>
        <w:t>质量责任。</w:t>
      </w:r>
    </w:p>
    <w:p>
      <w:pPr>
        <w:spacing w:line="490" w:lineRule="exact"/>
        <w:ind w:firstLine="560" w:firstLineChars="200"/>
        <w:rPr>
          <w:rFonts w:eastAsia="仿宋_GB2312"/>
          <w:color w:val="000000"/>
          <w:sz w:val="28"/>
          <w:szCs w:val="32"/>
        </w:rPr>
      </w:pPr>
      <w:r>
        <w:rPr>
          <w:rFonts w:eastAsia="仿宋_GB2312"/>
          <w:color w:val="000000"/>
          <w:sz w:val="28"/>
          <w:szCs w:val="32"/>
        </w:rPr>
        <w:t>1.不转包或违法分包所承揽的施工业务，严格按照经审查合格的工程设计图纸、文件和施工技术标准及规程规范进行施工，不擅自修改设计文件，不偷工减料。</w:t>
      </w:r>
    </w:p>
    <w:p>
      <w:pPr>
        <w:spacing w:line="490" w:lineRule="exact"/>
        <w:ind w:firstLine="560" w:firstLineChars="200"/>
        <w:rPr>
          <w:rFonts w:eastAsia="仿宋_GB2312"/>
          <w:color w:val="000000"/>
          <w:sz w:val="28"/>
          <w:szCs w:val="32"/>
        </w:rPr>
      </w:pPr>
      <w:r>
        <w:rPr>
          <w:rFonts w:eastAsia="仿宋_GB2312"/>
          <w:color w:val="000000"/>
          <w:sz w:val="28"/>
          <w:szCs w:val="32"/>
        </w:rPr>
        <w:t>2.组织建立健全质量管理体系，组织成立符合规定并满足施工需要的项目管理机构，配备符合规定和合同要求的管理人员，并确保所有人员到岗履职。</w:t>
      </w:r>
    </w:p>
    <w:p>
      <w:pPr>
        <w:spacing w:line="490" w:lineRule="exact"/>
        <w:ind w:firstLine="560" w:firstLineChars="200"/>
        <w:rPr>
          <w:rFonts w:eastAsia="仿宋_GB2312"/>
          <w:color w:val="000000"/>
          <w:sz w:val="28"/>
          <w:szCs w:val="32"/>
        </w:rPr>
      </w:pPr>
      <w:r>
        <w:rPr>
          <w:rFonts w:eastAsia="仿宋_GB2312"/>
          <w:color w:val="000000"/>
          <w:sz w:val="28"/>
          <w:szCs w:val="32"/>
        </w:rPr>
        <w:t>3.组织质量管理人员学习规程规范、设计文件提出的工艺、工法和技术要求，熟悉相关施工流程和技术，提高质量管理水平。</w:t>
      </w:r>
    </w:p>
    <w:p>
      <w:pPr>
        <w:spacing w:line="490" w:lineRule="exact"/>
        <w:ind w:firstLine="560" w:firstLineChars="200"/>
        <w:rPr>
          <w:rFonts w:eastAsia="仿宋_GB2312"/>
          <w:color w:val="000000"/>
          <w:sz w:val="28"/>
          <w:szCs w:val="32"/>
        </w:rPr>
      </w:pPr>
      <w:r>
        <w:rPr>
          <w:rFonts w:eastAsia="仿宋_GB2312"/>
          <w:color w:val="000000"/>
          <w:sz w:val="28"/>
          <w:szCs w:val="32"/>
        </w:rPr>
        <w:t>4. 按照工程设计要求、技术标准和合同约定，对原材料、中间产品、工程设备等进行检验，未经检验或者检验不合格的，绝不在工程建设中使用；不使用国家明令淘汰、禁止使用的材料设备、工艺。</w:t>
      </w:r>
    </w:p>
    <w:p>
      <w:pPr>
        <w:spacing w:line="490" w:lineRule="exact"/>
        <w:ind w:firstLine="560" w:firstLineChars="200"/>
        <w:rPr>
          <w:rFonts w:eastAsia="仿宋_GB2312"/>
          <w:color w:val="000000"/>
          <w:sz w:val="28"/>
          <w:szCs w:val="32"/>
        </w:rPr>
      </w:pPr>
      <w:r>
        <w:rPr>
          <w:rFonts w:eastAsia="仿宋_GB2312"/>
          <w:color w:val="000000"/>
          <w:sz w:val="28"/>
          <w:szCs w:val="32"/>
        </w:rPr>
        <w:t>5. 与具备相应资质的检测单位签订书面检测合同，并将检测合同送监理和项目法人单位备案；在施工中按照设计和规范要求对原材料、中间产品和部分实体质量进行检测；送检试样不弄虚作假，不篡改或者伪造检测报告，不明示或暗示检测机构出具虚假检测报告。</w:t>
      </w:r>
    </w:p>
    <w:p>
      <w:pPr>
        <w:spacing w:line="490" w:lineRule="exact"/>
        <w:ind w:firstLine="560" w:firstLineChars="200"/>
        <w:rPr>
          <w:rFonts w:eastAsia="仿宋_GB2312"/>
          <w:color w:val="000000"/>
          <w:sz w:val="28"/>
          <w:szCs w:val="32"/>
        </w:rPr>
      </w:pPr>
      <w:r>
        <w:rPr>
          <w:rFonts w:eastAsia="仿宋_GB2312"/>
          <w:color w:val="000000"/>
          <w:sz w:val="28"/>
          <w:szCs w:val="32"/>
        </w:rPr>
        <w:t>6. 组织现场质量管理人员严格按照“三检制”要求，真实、准确的做好每一道工序的质量检验和质量自评工作，及时填写工序和单元工程质量评定资料，并报监理单位复核。</w:t>
      </w:r>
    </w:p>
    <w:p>
      <w:pPr>
        <w:spacing w:line="490" w:lineRule="exact"/>
        <w:ind w:firstLine="560" w:firstLineChars="200"/>
        <w:rPr>
          <w:rFonts w:eastAsia="仿宋_GB2312"/>
          <w:color w:val="000000"/>
          <w:sz w:val="28"/>
          <w:szCs w:val="32"/>
        </w:rPr>
      </w:pPr>
      <w:r>
        <w:rPr>
          <w:rFonts w:eastAsia="仿宋_GB2312"/>
          <w:color w:val="000000"/>
          <w:sz w:val="28"/>
          <w:szCs w:val="32"/>
        </w:rPr>
        <w:t>7. 织人员做好重要隐蔽（关键部位）单元工程的自评工作，并负责收集测量成果、检测试验报告、影像资料等基础资料，派人参加联合验收小组并在质量等级签证表上签字；参加法人验收，对工程质量等级提出自评意见并签字；主持编制施工管理工作报告并签字，参加竣工验收。</w:t>
      </w:r>
    </w:p>
    <w:p>
      <w:pPr>
        <w:spacing w:line="490" w:lineRule="exact"/>
        <w:ind w:firstLine="560" w:firstLineChars="200"/>
        <w:rPr>
          <w:rFonts w:eastAsia="仿宋_GB2312"/>
          <w:color w:val="000000"/>
          <w:sz w:val="28"/>
          <w:szCs w:val="32"/>
        </w:rPr>
      </w:pPr>
      <w:r>
        <w:rPr>
          <w:rFonts w:eastAsia="仿宋_GB2312"/>
          <w:color w:val="000000"/>
          <w:sz w:val="28"/>
          <w:szCs w:val="32"/>
        </w:rPr>
        <w:t>8. 对已验收合格并交付使用的工程按规定承担保修责任，并对造成的损失承担赔偿责任。</w:t>
      </w:r>
    </w:p>
    <w:p>
      <w:pPr>
        <w:spacing w:line="490" w:lineRule="exact"/>
        <w:ind w:firstLine="560" w:firstLineChars="200"/>
        <w:rPr>
          <w:rFonts w:eastAsia="仿宋_GB2312"/>
          <w:color w:val="000000"/>
          <w:sz w:val="28"/>
          <w:szCs w:val="32"/>
        </w:rPr>
      </w:pPr>
      <w:r>
        <w:rPr>
          <w:rFonts w:eastAsia="仿宋_GB2312"/>
          <w:color w:val="000000"/>
          <w:sz w:val="28"/>
          <w:szCs w:val="32"/>
        </w:rPr>
        <w:t>9. 确保工程施工资料收集真实、准确、完整，签章手续齐全，及时整理移交并归档。</w:t>
      </w:r>
    </w:p>
    <w:p>
      <w:pPr>
        <w:spacing w:line="490" w:lineRule="exact"/>
        <w:ind w:firstLine="560" w:firstLineChars="200"/>
        <w:rPr>
          <w:rFonts w:eastAsia="仿宋_GB2312"/>
          <w:color w:val="000000"/>
          <w:sz w:val="28"/>
          <w:szCs w:val="32"/>
        </w:rPr>
      </w:pPr>
      <w:r>
        <w:rPr>
          <w:rFonts w:eastAsia="仿宋_GB2312"/>
          <w:color w:val="000000"/>
          <w:sz w:val="28"/>
          <w:szCs w:val="32"/>
        </w:rPr>
        <w:t>10. 履行其他法律法规和规程规范中规定的职责。</w:t>
      </w:r>
    </w:p>
    <w:p>
      <w:pPr>
        <w:spacing w:line="490" w:lineRule="exact"/>
        <w:ind w:firstLine="560" w:firstLineChars="200"/>
        <w:rPr>
          <w:rFonts w:eastAsia="仿宋_GB2312"/>
          <w:color w:val="000000"/>
          <w:sz w:val="28"/>
          <w:szCs w:val="32"/>
        </w:rPr>
      </w:pPr>
      <w:r>
        <w:rPr>
          <w:rFonts w:eastAsia="仿宋_GB2312"/>
          <w:color w:val="000000"/>
          <w:sz w:val="28"/>
          <w:szCs w:val="32"/>
        </w:rPr>
        <w:t>本承诺书一式四份，一份在办理质量监督手续时提交质量监督机构；一份在竣工验收时提交竣工验收主持单位，与竣工验收鉴定书等资料一起作为永久档案保存；一份由项目法人作为工程建设永久档案进行归档保存；一份由承诺人自行保存。</w:t>
      </w:r>
    </w:p>
    <w:p>
      <w:pPr>
        <w:spacing w:line="490" w:lineRule="exact"/>
        <w:ind w:firstLine="560" w:firstLineChars="200"/>
        <w:rPr>
          <w:rFonts w:eastAsia="仿宋_GB2312"/>
          <w:color w:val="000000"/>
          <w:sz w:val="28"/>
          <w:szCs w:val="32"/>
        </w:rPr>
      </w:pPr>
    </w:p>
    <w:p>
      <w:pPr>
        <w:spacing w:line="490" w:lineRule="exact"/>
        <w:ind w:firstLine="560" w:firstLineChars="200"/>
        <w:rPr>
          <w:rFonts w:eastAsia="仿宋_GB2312"/>
          <w:color w:val="000000"/>
          <w:sz w:val="28"/>
          <w:szCs w:val="32"/>
        </w:rPr>
      </w:pPr>
    </w:p>
    <w:p>
      <w:pPr>
        <w:spacing w:line="490" w:lineRule="exact"/>
        <w:ind w:firstLine="560" w:firstLineChars="200"/>
        <w:rPr>
          <w:rFonts w:eastAsia="仿宋_GB2312"/>
          <w:color w:val="000000"/>
          <w:sz w:val="28"/>
          <w:szCs w:val="32"/>
        </w:rPr>
      </w:pPr>
    </w:p>
    <w:p>
      <w:pPr>
        <w:spacing w:line="490" w:lineRule="exact"/>
        <w:ind w:firstLine="3108" w:firstLineChars="777"/>
        <w:rPr>
          <w:rFonts w:eastAsia="仿宋_GB2312"/>
          <w:color w:val="000000"/>
          <w:sz w:val="28"/>
          <w:szCs w:val="32"/>
          <w:u w:val="single"/>
        </w:rPr>
      </w:pPr>
      <w:r>
        <w:rPr>
          <w:rFonts w:eastAsia="仿宋_GB2312"/>
          <w:color w:val="000000"/>
          <w:spacing w:val="60"/>
          <w:kern w:val="0"/>
          <w:sz w:val="28"/>
          <w:szCs w:val="32"/>
        </w:rPr>
        <w:t>承诺人签字</w:t>
      </w:r>
      <w:r>
        <w:rPr>
          <w:rFonts w:eastAsia="仿宋_GB2312"/>
          <w:color w:val="000000"/>
          <w:kern w:val="0"/>
          <w:sz w:val="28"/>
          <w:szCs w:val="32"/>
        </w:rPr>
        <w:t>：</w:t>
      </w:r>
      <w:r>
        <w:rPr>
          <w:rFonts w:eastAsia="仿宋_GB2312"/>
          <w:color w:val="000000"/>
          <w:sz w:val="28"/>
          <w:szCs w:val="32"/>
          <w:u w:val="single"/>
        </w:rPr>
        <w:t xml:space="preserve">                     </w:t>
      </w:r>
    </w:p>
    <w:p>
      <w:pPr>
        <w:spacing w:line="490" w:lineRule="exact"/>
        <w:ind w:firstLine="3063" w:firstLineChars="633"/>
        <w:rPr>
          <w:rFonts w:eastAsia="仿宋_GB2312"/>
          <w:color w:val="000000"/>
          <w:sz w:val="28"/>
          <w:szCs w:val="32"/>
          <w:u w:val="single"/>
        </w:rPr>
      </w:pPr>
      <w:r>
        <w:rPr>
          <w:rFonts w:eastAsia="仿宋_GB2312"/>
          <w:color w:val="000000"/>
          <w:spacing w:val="102"/>
          <w:kern w:val="0"/>
          <w:sz w:val="28"/>
          <w:szCs w:val="32"/>
        </w:rPr>
        <w:t>身份证号</w:t>
      </w:r>
      <w:r>
        <w:rPr>
          <w:rFonts w:eastAsia="仿宋_GB2312"/>
          <w:color w:val="000000"/>
          <w:spacing w:val="2"/>
          <w:kern w:val="0"/>
          <w:sz w:val="28"/>
          <w:szCs w:val="32"/>
        </w:rPr>
        <w:t>：</w:t>
      </w:r>
      <w:r>
        <w:rPr>
          <w:rFonts w:eastAsia="仿宋_GB2312"/>
          <w:color w:val="000000"/>
          <w:kern w:val="0"/>
          <w:sz w:val="28"/>
          <w:szCs w:val="32"/>
          <w:u w:val="single"/>
        </w:rPr>
        <w:t xml:space="preserve">                     </w:t>
      </w:r>
    </w:p>
    <w:p>
      <w:pPr>
        <w:spacing w:line="490" w:lineRule="exact"/>
        <w:ind w:firstLine="3091" w:firstLineChars="904"/>
        <w:rPr>
          <w:rFonts w:eastAsia="仿宋_GB2312"/>
          <w:color w:val="000000"/>
          <w:sz w:val="28"/>
          <w:szCs w:val="32"/>
          <w:u w:val="single"/>
        </w:rPr>
      </w:pPr>
      <w:r>
        <w:rPr>
          <w:rFonts w:eastAsia="仿宋_GB2312"/>
          <w:color w:val="000000"/>
          <w:spacing w:val="31"/>
          <w:kern w:val="0"/>
          <w:sz w:val="28"/>
          <w:szCs w:val="32"/>
        </w:rPr>
        <w:t>注册执业资格</w:t>
      </w:r>
      <w:r>
        <w:rPr>
          <w:rFonts w:eastAsia="仿宋_GB2312"/>
          <w:color w:val="000000"/>
          <w:spacing w:val="4"/>
          <w:kern w:val="0"/>
          <w:sz w:val="28"/>
          <w:szCs w:val="32"/>
        </w:rPr>
        <w:t>：</w:t>
      </w:r>
      <w:r>
        <w:rPr>
          <w:rFonts w:eastAsia="仿宋_GB2312"/>
          <w:color w:val="000000"/>
          <w:kern w:val="0"/>
          <w:sz w:val="28"/>
          <w:szCs w:val="32"/>
          <w:u w:val="single"/>
        </w:rPr>
        <w:t xml:space="preserve">                     </w:t>
      </w:r>
    </w:p>
    <w:p>
      <w:pPr>
        <w:spacing w:line="490" w:lineRule="exact"/>
        <w:ind w:firstLine="3091" w:firstLineChars="904"/>
        <w:rPr>
          <w:rFonts w:eastAsia="仿宋_GB2312"/>
          <w:color w:val="000000"/>
          <w:sz w:val="28"/>
          <w:szCs w:val="32"/>
          <w:u w:val="single"/>
        </w:rPr>
      </w:pPr>
      <w:r>
        <w:rPr>
          <w:rFonts w:eastAsia="仿宋_GB2312"/>
          <w:color w:val="000000"/>
          <w:spacing w:val="31"/>
          <w:kern w:val="0"/>
          <w:sz w:val="28"/>
          <w:szCs w:val="32"/>
        </w:rPr>
        <w:t>注册执业证号</w:t>
      </w:r>
      <w:r>
        <w:rPr>
          <w:rFonts w:eastAsia="仿宋_GB2312"/>
          <w:color w:val="000000"/>
          <w:spacing w:val="4"/>
          <w:kern w:val="0"/>
          <w:sz w:val="28"/>
          <w:szCs w:val="32"/>
        </w:rPr>
        <w:t>：</w:t>
      </w:r>
      <w:r>
        <w:rPr>
          <w:rFonts w:eastAsia="仿宋_GB2312"/>
          <w:color w:val="000000"/>
          <w:kern w:val="0"/>
          <w:sz w:val="28"/>
          <w:szCs w:val="32"/>
          <w:u w:val="single"/>
        </w:rPr>
        <w:t xml:space="preserve">                     </w:t>
      </w:r>
    </w:p>
    <w:p>
      <w:pPr>
        <w:spacing w:line="490" w:lineRule="exact"/>
        <w:ind w:firstLine="3108" w:firstLineChars="777"/>
        <w:rPr>
          <w:rFonts w:eastAsia="仿宋_GB2312"/>
          <w:color w:val="000000"/>
          <w:sz w:val="28"/>
          <w:szCs w:val="32"/>
          <w:u w:val="single"/>
        </w:rPr>
      </w:pPr>
      <w:r>
        <w:rPr>
          <w:rFonts w:eastAsia="仿宋_GB2312"/>
          <w:color w:val="000000"/>
          <w:spacing w:val="60"/>
          <w:kern w:val="0"/>
          <w:sz w:val="28"/>
          <w:szCs w:val="32"/>
        </w:rPr>
        <w:t>职称及专业</w:t>
      </w:r>
      <w:r>
        <w:rPr>
          <w:rFonts w:eastAsia="仿宋_GB2312"/>
          <w:color w:val="000000"/>
          <w:kern w:val="0"/>
          <w:sz w:val="28"/>
          <w:szCs w:val="32"/>
        </w:rPr>
        <w:t>：</w:t>
      </w:r>
      <w:r>
        <w:rPr>
          <w:rFonts w:eastAsia="仿宋_GB2312"/>
          <w:color w:val="000000"/>
          <w:kern w:val="0"/>
          <w:sz w:val="28"/>
          <w:szCs w:val="32"/>
          <w:u w:val="single"/>
        </w:rPr>
        <w:t xml:space="preserve">                     </w:t>
      </w:r>
    </w:p>
    <w:p>
      <w:pPr>
        <w:spacing w:line="490" w:lineRule="exact"/>
        <w:ind w:firstLine="3146" w:firstLineChars="650"/>
        <w:jc w:val="left"/>
        <w:rPr>
          <w:rFonts w:eastAsia="方正小标宋_GBK"/>
          <w:color w:val="000000"/>
          <w:sz w:val="40"/>
          <w:szCs w:val="32"/>
        </w:rPr>
      </w:pPr>
      <w:r>
        <w:rPr>
          <w:rFonts w:eastAsia="仿宋_GB2312"/>
          <w:color w:val="000000"/>
          <w:spacing w:val="102"/>
          <w:kern w:val="0"/>
          <w:sz w:val="28"/>
          <w:szCs w:val="32"/>
        </w:rPr>
        <w:t>签字日期</w:t>
      </w:r>
      <w:r>
        <w:rPr>
          <w:rFonts w:eastAsia="仿宋_GB2312"/>
          <w:color w:val="000000"/>
          <w:spacing w:val="2"/>
          <w:kern w:val="0"/>
          <w:sz w:val="28"/>
          <w:szCs w:val="32"/>
        </w:rPr>
        <w:t>：</w:t>
      </w:r>
      <w:r>
        <w:rPr>
          <w:rFonts w:eastAsia="仿宋_GB2312"/>
          <w:color w:val="000000"/>
          <w:kern w:val="0"/>
          <w:sz w:val="28"/>
          <w:szCs w:val="32"/>
          <w:u w:val="single"/>
        </w:rPr>
        <w:t xml:space="preserve">      </w:t>
      </w:r>
      <w:r>
        <w:rPr>
          <w:rFonts w:eastAsia="仿宋_GB2312"/>
          <w:color w:val="000000"/>
          <w:sz w:val="28"/>
          <w:szCs w:val="32"/>
        </w:rPr>
        <w:t>年</w:t>
      </w:r>
      <w:r>
        <w:rPr>
          <w:rFonts w:eastAsia="仿宋_GB2312"/>
          <w:color w:val="000000"/>
          <w:sz w:val="28"/>
          <w:szCs w:val="32"/>
          <w:u w:val="single"/>
        </w:rPr>
        <w:t xml:space="preserve">     </w:t>
      </w:r>
      <w:r>
        <w:rPr>
          <w:rFonts w:eastAsia="仿宋_GB2312"/>
          <w:color w:val="000000"/>
          <w:sz w:val="28"/>
          <w:szCs w:val="32"/>
        </w:rPr>
        <w:t>月</w:t>
      </w:r>
      <w:r>
        <w:rPr>
          <w:rFonts w:eastAsia="仿宋_GB2312"/>
          <w:color w:val="000000"/>
          <w:sz w:val="28"/>
          <w:szCs w:val="32"/>
          <w:u w:val="single"/>
        </w:rPr>
        <w:t xml:space="preserve">     </w:t>
      </w:r>
      <w:r>
        <w:rPr>
          <w:rFonts w:eastAsia="仿宋_GB2312"/>
          <w:color w:val="000000"/>
          <w:sz w:val="28"/>
          <w:szCs w:val="32"/>
        </w:rPr>
        <w:t>日</w:t>
      </w:r>
      <w:r>
        <w:rPr>
          <w:rFonts w:eastAsia="仿宋_GB2312"/>
          <w:color w:val="000000"/>
          <w:kern w:val="0"/>
          <w:sz w:val="28"/>
          <w:szCs w:val="32"/>
        </w:rPr>
        <w:t xml:space="preserve"> </w:t>
      </w:r>
      <w:r>
        <w:rPr>
          <w:rFonts w:eastAsia="仿宋_GB2312"/>
          <w:color w:val="000000"/>
          <w:kern w:val="0"/>
          <w:sz w:val="32"/>
          <w:szCs w:val="32"/>
        </w:rPr>
        <w:br w:type="page"/>
      </w:r>
    </w:p>
    <w:p>
      <w:pPr>
        <w:pStyle w:val="3"/>
        <w:keepNext w:val="0"/>
        <w:keepLines w:val="0"/>
        <w:spacing w:before="0" w:after="0" w:line="490" w:lineRule="exact"/>
        <w:rPr>
          <w:rFonts w:hint="eastAsia" w:ascii="方正小标宋简体" w:eastAsia="方正小标宋简体"/>
          <w:b w:val="0"/>
          <w:color w:val="000000"/>
          <w:sz w:val="40"/>
          <w:szCs w:val="32"/>
        </w:rPr>
      </w:pPr>
      <w:bookmarkStart w:id="1860" w:name="_Toc10562"/>
      <w:bookmarkStart w:id="1861" w:name="_Toc51091926"/>
      <w:bookmarkStart w:id="1862" w:name="_Toc419379605"/>
      <w:bookmarkStart w:id="1863" w:name="_Toc27804"/>
      <w:r>
        <w:rPr>
          <w:rFonts w:hint="eastAsia" w:ascii="方正小标宋简体" w:eastAsia="方正小标宋简体"/>
          <w:b w:val="0"/>
          <w:color w:val="000000"/>
          <w:sz w:val="40"/>
          <w:szCs w:val="32"/>
        </w:rPr>
        <w:t>第五章  工程量清单</w:t>
      </w:r>
      <w:bookmarkEnd w:id="1860"/>
      <w:bookmarkEnd w:id="1861"/>
      <w:bookmarkEnd w:id="1862"/>
      <w:bookmarkEnd w:id="1863"/>
    </w:p>
    <w:p>
      <w:pPr>
        <w:spacing w:line="530" w:lineRule="atLeast"/>
        <w:jc w:val="center"/>
        <w:rPr>
          <w:rFonts w:eastAsia="方正小标宋_GBK"/>
          <w:color w:val="000000"/>
          <w:sz w:val="24"/>
        </w:rPr>
      </w:pPr>
    </w:p>
    <w:p>
      <w:pPr>
        <w:pStyle w:val="6"/>
        <w:keepNext w:val="0"/>
        <w:keepLines w:val="0"/>
        <w:spacing w:before="0" w:after="0" w:line="530" w:lineRule="atLeast"/>
        <w:ind w:firstLine="562" w:firstLineChars="200"/>
        <w:rPr>
          <w:rFonts w:eastAsia="黑体"/>
          <w:bCs w:val="0"/>
          <w:color w:val="000000"/>
          <w:sz w:val="28"/>
        </w:rPr>
      </w:pPr>
      <w:bookmarkStart w:id="1864" w:name="_Toc51091927"/>
      <w:bookmarkStart w:id="1865" w:name="_Toc31777"/>
      <w:bookmarkStart w:id="1866" w:name="_Toc17495"/>
      <w:r>
        <w:rPr>
          <w:rFonts w:eastAsia="黑体"/>
          <w:bCs w:val="0"/>
          <w:color w:val="000000"/>
          <w:sz w:val="28"/>
        </w:rPr>
        <w:t>1．工程量清单说明</w:t>
      </w:r>
      <w:bookmarkEnd w:id="1864"/>
      <w:bookmarkEnd w:id="1865"/>
      <w:bookmarkEnd w:id="1866"/>
    </w:p>
    <w:p>
      <w:pPr>
        <w:spacing w:line="530" w:lineRule="atLeast"/>
        <w:ind w:firstLine="560" w:firstLineChars="200"/>
        <w:rPr>
          <w:rFonts w:eastAsia="仿宋_GB2312"/>
          <w:color w:val="000000"/>
          <w:sz w:val="28"/>
          <w:szCs w:val="32"/>
        </w:rPr>
      </w:pPr>
      <w:r>
        <w:rPr>
          <w:rFonts w:eastAsia="仿宋_GB2312"/>
          <w:color w:val="000000"/>
          <w:sz w:val="28"/>
          <w:szCs w:val="32"/>
        </w:rPr>
        <w:t>1.1工程量清单应与招标文件中的投标人须知、通用合同条款、专用合同条款、技术标准和要求（合同技术条款）、图纸及</w:t>
      </w:r>
      <w:r>
        <w:rPr>
          <w:rFonts w:eastAsia="仿宋_GB2312"/>
          <w:color w:val="000000"/>
          <w:sz w:val="28"/>
          <w:szCs w:val="32"/>
          <w:u w:val="single"/>
        </w:rPr>
        <w:t>《水利工程工程量清单计价规范》（GB50501-2007）</w:t>
      </w:r>
      <w:r>
        <w:rPr>
          <w:rFonts w:eastAsia="仿宋_GB2312"/>
          <w:color w:val="000000"/>
          <w:sz w:val="28"/>
          <w:szCs w:val="32"/>
        </w:rPr>
        <w:t>等一起阅读和理解。</w:t>
      </w:r>
    </w:p>
    <w:p>
      <w:pPr>
        <w:spacing w:line="530" w:lineRule="atLeast"/>
        <w:ind w:firstLine="560" w:firstLineChars="200"/>
        <w:rPr>
          <w:rFonts w:eastAsia="仿宋_GB2312"/>
          <w:color w:val="000000"/>
          <w:sz w:val="28"/>
          <w:szCs w:val="32"/>
        </w:rPr>
      </w:pPr>
      <w:r>
        <w:rPr>
          <w:rFonts w:eastAsia="仿宋_GB2312"/>
          <w:color w:val="000000"/>
          <w:sz w:val="28"/>
          <w:szCs w:val="32"/>
        </w:rPr>
        <w:t>1.2工程量清单仅是投标人投标报价的共同基础。除另有约定外，工程量清单中的工程量是根据招标设计图纸按《水利工程工程量清单计价规范》（GB50501-2007）计算规则计算的用于投标报价的估算工程量，不作为最终结算工程量。最终结算工程量是承包人实际完成并符合技术标准和要求（合同技术条款）和</w:t>
      </w:r>
      <w:r>
        <w:rPr>
          <w:rFonts w:eastAsia="仿宋_GB2312"/>
          <w:color w:val="000000"/>
          <w:sz w:val="28"/>
          <w:szCs w:val="32"/>
          <w:u w:val="single"/>
        </w:rPr>
        <w:t>《水利工程工程量清单计价规范》（GB50501-2007）</w:t>
      </w:r>
      <w:r>
        <w:rPr>
          <w:rFonts w:eastAsia="仿宋_GB2312"/>
          <w:color w:val="000000"/>
          <w:sz w:val="28"/>
          <w:szCs w:val="32"/>
        </w:rPr>
        <w:t>计算规则等规定，按施工图纸计算的有效工程量。</w:t>
      </w:r>
    </w:p>
    <w:p>
      <w:pPr>
        <w:spacing w:line="530" w:lineRule="atLeast"/>
        <w:ind w:firstLine="560" w:firstLineChars="200"/>
        <w:rPr>
          <w:rFonts w:eastAsia="仿宋_GB2312"/>
          <w:color w:val="000000"/>
          <w:sz w:val="28"/>
          <w:szCs w:val="32"/>
        </w:rPr>
      </w:pPr>
      <w:r>
        <w:rPr>
          <w:rFonts w:eastAsia="仿宋_GB2312"/>
          <w:color w:val="000000"/>
          <w:sz w:val="28"/>
          <w:szCs w:val="32"/>
        </w:rPr>
        <w:t>1.3工程量清单中各项目的工作内容和要求应符合相关技术标准和要求（合同技术条款）以及</w:t>
      </w:r>
      <w:r>
        <w:rPr>
          <w:rFonts w:eastAsia="仿宋_GB2312"/>
          <w:color w:val="000000"/>
          <w:sz w:val="28"/>
          <w:szCs w:val="32"/>
          <w:u w:val="single"/>
        </w:rPr>
        <w:t>《水利工程工程量清单计价规范》（GB50501-2007）</w:t>
      </w:r>
      <w:r>
        <w:rPr>
          <w:rFonts w:eastAsia="仿宋_GB2312"/>
          <w:color w:val="000000"/>
          <w:sz w:val="28"/>
          <w:szCs w:val="32"/>
        </w:rPr>
        <w:t>的规定。</w:t>
      </w:r>
    </w:p>
    <w:p>
      <w:pPr>
        <w:spacing w:line="530" w:lineRule="atLeast"/>
        <w:ind w:firstLine="560" w:firstLineChars="200"/>
        <w:rPr>
          <w:rFonts w:eastAsia="仿宋_GB2312"/>
          <w:color w:val="000000"/>
          <w:sz w:val="28"/>
          <w:szCs w:val="32"/>
        </w:rPr>
      </w:pPr>
      <w:r>
        <w:rPr>
          <w:rFonts w:eastAsia="仿宋_GB2312"/>
          <w:color w:val="000000"/>
          <w:sz w:val="28"/>
          <w:szCs w:val="32"/>
        </w:rPr>
        <w:t>1.4工程价款的支付遵循合同条款的约定。</w:t>
      </w:r>
    </w:p>
    <w:p>
      <w:pPr>
        <w:spacing w:line="530" w:lineRule="atLeast"/>
        <w:ind w:firstLine="560" w:firstLineChars="200"/>
        <w:rPr>
          <w:rFonts w:eastAsia="仿宋_GB2312"/>
          <w:color w:val="000000"/>
          <w:sz w:val="28"/>
          <w:szCs w:val="32"/>
        </w:rPr>
      </w:pPr>
      <w:r>
        <w:rPr>
          <w:rFonts w:eastAsia="仿宋_GB2312"/>
          <w:color w:val="000000"/>
          <w:sz w:val="28"/>
          <w:szCs w:val="32"/>
        </w:rPr>
        <w:t>1.5分类分项工程量清单中混凝土的设计龄期未注明的均为28天。</w:t>
      </w:r>
    </w:p>
    <w:p>
      <w:pPr>
        <w:pStyle w:val="6"/>
        <w:keepNext w:val="0"/>
        <w:keepLines w:val="0"/>
        <w:spacing w:before="0" w:after="0" w:line="530" w:lineRule="atLeast"/>
        <w:ind w:firstLine="562" w:firstLineChars="200"/>
        <w:rPr>
          <w:rFonts w:eastAsia="黑体"/>
          <w:bCs w:val="0"/>
          <w:color w:val="000000"/>
          <w:sz w:val="28"/>
        </w:rPr>
      </w:pPr>
      <w:bookmarkStart w:id="1867" w:name="第05章工程量清单02"/>
      <w:bookmarkEnd w:id="1867"/>
      <w:bookmarkStart w:id="1868" w:name="_Toc12114"/>
      <w:bookmarkStart w:id="1869" w:name="_Toc31129"/>
      <w:bookmarkStart w:id="1870" w:name="_Toc51091928"/>
      <w:r>
        <w:rPr>
          <w:rFonts w:eastAsia="黑体"/>
          <w:bCs w:val="0"/>
          <w:color w:val="000000"/>
          <w:sz w:val="28"/>
        </w:rPr>
        <w:t>2．投标报价说明</w:t>
      </w:r>
      <w:bookmarkEnd w:id="1868"/>
      <w:bookmarkEnd w:id="1869"/>
      <w:bookmarkEnd w:id="1870"/>
    </w:p>
    <w:p>
      <w:pPr>
        <w:pStyle w:val="7"/>
        <w:keepNext w:val="0"/>
        <w:keepLines w:val="0"/>
        <w:spacing w:before="0" w:after="0" w:line="530" w:lineRule="atLeas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2.1工程量清单报价表组成</w:t>
      </w:r>
    </w:p>
    <w:p>
      <w:pPr>
        <w:spacing w:line="530" w:lineRule="atLeast"/>
        <w:ind w:firstLine="560" w:firstLineChars="200"/>
        <w:rPr>
          <w:rFonts w:eastAsia="仿宋_GB2312"/>
          <w:color w:val="000000"/>
          <w:sz w:val="28"/>
          <w:szCs w:val="32"/>
        </w:rPr>
      </w:pPr>
      <w:r>
        <w:rPr>
          <w:rFonts w:eastAsia="仿宋_GB2312"/>
          <w:color w:val="000000"/>
          <w:sz w:val="28"/>
          <w:szCs w:val="32"/>
        </w:rPr>
        <w:t>工程量清单报价表由以下表格组成：</w:t>
      </w:r>
    </w:p>
    <w:p>
      <w:pPr>
        <w:spacing w:line="530" w:lineRule="atLeast"/>
        <w:ind w:firstLine="560" w:firstLineChars="200"/>
        <w:rPr>
          <w:rFonts w:eastAsia="仿宋_GB2312"/>
          <w:color w:val="000000"/>
          <w:sz w:val="28"/>
          <w:szCs w:val="32"/>
        </w:rPr>
      </w:pPr>
      <w:r>
        <w:rPr>
          <w:rFonts w:eastAsia="仿宋_GB2312"/>
          <w:color w:val="000000"/>
          <w:sz w:val="28"/>
          <w:szCs w:val="32"/>
        </w:rPr>
        <w:t>1.投标总价。</w:t>
      </w:r>
    </w:p>
    <w:p>
      <w:pPr>
        <w:spacing w:line="530" w:lineRule="atLeast"/>
        <w:ind w:firstLine="560" w:firstLineChars="200"/>
        <w:rPr>
          <w:rFonts w:eastAsia="仿宋_GB2312"/>
          <w:color w:val="000000"/>
          <w:sz w:val="28"/>
          <w:szCs w:val="32"/>
        </w:rPr>
      </w:pPr>
      <w:r>
        <w:rPr>
          <w:rFonts w:eastAsia="仿宋_GB2312"/>
          <w:color w:val="000000"/>
          <w:sz w:val="28"/>
          <w:szCs w:val="32"/>
        </w:rPr>
        <w:t>2.工程项目总价表。</w:t>
      </w:r>
    </w:p>
    <w:p>
      <w:pPr>
        <w:spacing w:line="530" w:lineRule="atLeast"/>
        <w:ind w:firstLine="560" w:firstLineChars="200"/>
        <w:rPr>
          <w:rFonts w:eastAsia="仿宋_GB2312"/>
          <w:color w:val="000000"/>
          <w:sz w:val="28"/>
          <w:szCs w:val="32"/>
        </w:rPr>
      </w:pPr>
      <w:r>
        <w:rPr>
          <w:rFonts w:eastAsia="仿宋_GB2312"/>
          <w:color w:val="000000"/>
          <w:sz w:val="28"/>
          <w:szCs w:val="32"/>
        </w:rPr>
        <w:t>3.分类分项工程量清单计价表。</w:t>
      </w:r>
    </w:p>
    <w:p>
      <w:pPr>
        <w:spacing w:line="530" w:lineRule="atLeast"/>
        <w:ind w:firstLine="560" w:firstLineChars="200"/>
        <w:rPr>
          <w:rFonts w:eastAsia="仿宋_GB2312"/>
          <w:color w:val="000000"/>
          <w:sz w:val="28"/>
          <w:szCs w:val="32"/>
        </w:rPr>
      </w:pPr>
      <w:r>
        <w:rPr>
          <w:rFonts w:eastAsia="仿宋_GB2312"/>
          <w:color w:val="000000"/>
          <w:sz w:val="28"/>
          <w:szCs w:val="32"/>
        </w:rPr>
        <w:t>4.措施项目清单计价表。</w:t>
      </w:r>
    </w:p>
    <w:p>
      <w:pPr>
        <w:spacing w:line="530" w:lineRule="atLeast"/>
        <w:ind w:firstLine="560" w:firstLineChars="200"/>
        <w:rPr>
          <w:rFonts w:eastAsia="仿宋_GB2312"/>
          <w:color w:val="000000"/>
          <w:sz w:val="28"/>
          <w:szCs w:val="32"/>
        </w:rPr>
      </w:pPr>
      <w:r>
        <w:rPr>
          <w:rFonts w:eastAsia="仿宋_GB2312"/>
          <w:color w:val="000000"/>
          <w:sz w:val="28"/>
          <w:szCs w:val="32"/>
        </w:rPr>
        <w:t>5.其它项目清单计价表。</w:t>
      </w:r>
    </w:p>
    <w:p>
      <w:pPr>
        <w:spacing w:line="530" w:lineRule="atLeast"/>
        <w:ind w:firstLine="560" w:firstLineChars="200"/>
        <w:rPr>
          <w:rFonts w:eastAsia="仿宋_GB2312"/>
          <w:color w:val="000000"/>
          <w:sz w:val="28"/>
          <w:szCs w:val="32"/>
        </w:rPr>
      </w:pPr>
      <w:r>
        <w:rPr>
          <w:rFonts w:eastAsia="仿宋_GB2312"/>
          <w:color w:val="000000"/>
          <w:sz w:val="28"/>
          <w:szCs w:val="32"/>
        </w:rPr>
        <w:t>6.计日工项目计价表。</w:t>
      </w:r>
    </w:p>
    <w:p>
      <w:pPr>
        <w:spacing w:line="530" w:lineRule="atLeast"/>
        <w:ind w:firstLine="560" w:firstLineChars="200"/>
        <w:rPr>
          <w:rFonts w:eastAsia="仿宋_GB2312"/>
          <w:color w:val="000000"/>
          <w:sz w:val="28"/>
          <w:szCs w:val="32"/>
        </w:rPr>
      </w:pPr>
      <w:r>
        <w:rPr>
          <w:rFonts w:eastAsia="仿宋_GB2312"/>
          <w:color w:val="000000"/>
          <w:sz w:val="28"/>
          <w:szCs w:val="32"/>
        </w:rPr>
        <w:t>7.工程单价汇总表。</w:t>
      </w:r>
    </w:p>
    <w:p>
      <w:pPr>
        <w:spacing w:line="530" w:lineRule="atLeast"/>
        <w:ind w:firstLine="560" w:firstLineChars="200"/>
        <w:rPr>
          <w:rFonts w:eastAsia="仿宋_GB2312"/>
          <w:color w:val="000000"/>
          <w:sz w:val="28"/>
          <w:szCs w:val="32"/>
        </w:rPr>
      </w:pPr>
      <w:r>
        <w:rPr>
          <w:rFonts w:eastAsia="仿宋_GB2312"/>
          <w:color w:val="000000"/>
          <w:sz w:val="28"/>
          <w:szCs w:val="32"/>
        </w:rPr>
        <w:t>8.工程单价费（税）率汇总表。</w:t>
      </w:r>
    </w:p>
    <w:p>
      <w:pPr>
        <w:spacing w:line="530" w:lineRule="atLeast"/>
        <w:ind w:firstLine="560" w:firstLineChars="200"/>
        <w:rPr>
          <w:rFonts w:eastAsia="仿宋_GB2312"/>
          <w:color w:val="000000"/>
          <w:sz w:val="28"/>
          <w:szCs w:val="32"/>
        </w:rPr>
      </w:pPr>
      <w:r>
        <w:rPr>
          <w:rFonts w:eastAsia="仿宋_GB2312"/>
          <w:color w:val="000000"/>
          <w:sz w:val="28"/>
          <w:szCs w:val="32"/>
        </w:rPr>
        <w:t>9.投标人生产电、风、水、砂石基础单价汇总表。</w:t>
      </w:r>
    </w:p>
    <w:p>
      <w:pPr>
        <w:spacing w:line="530" w:lineRule="atLeast"/>
        <w:ind w:firstLine="560" w:firstLineChars="200"/>
        <w:rPr>
          <w:rFonts w:eastAsia="仿宋_GB2312"/>
          <w:color w:val="000000"/>
          <w:sz w:val="28"/>
          <w:szCs w:val="32"/>
        </w:rPr>
      </w:pPr>
      <w:r>
        <w:rPr>
          <w:rFonts w:eastAsia="仿宋_GB2312"/>
          <w:color w:val="000000"/>
          <w:sz w:val="28"/>
          <w:szCs w:val="32"/>
        </w:rPr>
        <w:t>10.投标人生产混凝土配合比材料费表。</w:t>
      </w:r>
    </w:p>
    <w:p>
      <w:pPr>
        <w:spacing w:line="530" w:lineRule="atLeast"/>
        <w:ind w:firstLine="560" w:firstLineChars="200"/>
        <w:rPr>
          <w:rFonts w:eastAsia="仿宋_GB2312"/>
          <w:color w:val="000000"/>
          <w:sz w:val="28"/>
          <w:szCs w:val="32"/>
        </w:rPr>
      </w:pPr>
      <w:r>
        <w:rPr>
          <w:rFonts w:eastAsia="仿宋_GB2312"/>
          <w:color w:val="000000"/>
          <w:sz w:val="28"/>
          <w:szCs w:val="32"/>
        </w:rPr>
        <w:t>11.招标人供应材料价格汇总表（若招标人提供）。</w:t>
      </w:r>
    </w:p>
    <w:p>
      <w:pPr>
        <w:spacing w:line="530" w:lineRule="atLeast"/>
        <w:ind w:firstLine="560" w:firstLineChars="200"/>
        <w:rPr>
          <w:rFonts w:eastAsia="仿宋_GB2312"/>
          <w:color w:val="000000"/>
          <w:sz w:val="28"/>
          <w:szCs w:val="32"/>
        </w:rPr>
      </w:pPr>
      <w:r>
        <w:rPr>
          <w:rFonts w:eastAsia="仿宋_GB2312"/>
          <w:color w:val="000000"/>
          <w:sz w:val="28"/>
          <w:szCs w:val="32"/>
        </w:rPr>
        <w:t>12.投标人自行采购主要材料预算价格汇总表。</w:t>
      </w:r>
    </w:p>
    <w:p>
      <w:pPr>
        <w:spacing w:line="530" w:lineRule="atLeast"/>
        <w:ind w:firstLine="560" w:firstLineChars="200"/>
        <w:rPr>
          <w:rFonts w:eastAsia="仿宋_GB2312"/>
          <w:color w:val="000000"/>
          <w:sz w:val="28"/>
          <w:szCs w:val="32"/>
        </w:rPr>
      </w:pPr>
      <w:r>
        <w:rPr>
          <w:rFonts w:eastAsia="仿宋_GB2312"/>
          <w:color w:val="000000"/>
          <w:sz w:val="28"/>
          <w:szCs w:val="32"/>
        </w:rPr>
        <w:t>13.招标人提供施工机械台时（班）费汇总表（若招标人提供）。</w:t>
      </w:r>
    </w:p>
    <w:p>
      <w:pPr>
        <w:spacing w:line="530" w:lineRule="atLeast"/>
        <w:ind w:firstLine="560" w:firstLineChars="200"/>
        <w:rPr>
          <w:rFonts w:eastAsia="仿宋_GB2312"/>
          <w:color w:val="000000"/>
          <w:sz w:val="28"/>
          <w:szCs w:val="32"/>
        </w:rPr>
      </w:pPr>
      <w:r>
        <w:rPr>
          <w:rFonts w:eastAsia="仿宋_GB2312"/>
          <w:color w:val="000000"/>
          <w:sz w:val="28"/>
          <w:szCs w:val="32"/>
        </w:rPr>
        <w:t>14.投标人自备施工机械台时（班）费汇总表。</w:t>
      </w:r>
    </w:p>
    <w:p>
      <w:pPr>
        <w:spacing w:line="530" w:lineRule="atLeast"/>
        <w:ind w:firstLine="560" w:firstLineChars="200"/>
        <w:rPr>
          <w:rFonts w:eastAsia="仿宋_GB2312"/>
          <w:color w:val="000000"/>
          <w:sz w:val="28"/>
          <w:szCs w:val="32"/>
        </w:rPr>
      </w:pPr>
      <w:r>
        <w:rPr>
          <w:rFonts w:eastAsia="仿宋_GB2312"/>
          <w:color w:val="000000"/>
          <w:sz w:val="28"/>
          <w:szCs w:val="32"/>
        </w:rPr>
        <w:t>15.总价项目分类分项工程分解表。</w:t>
      </w:r>
    </w:p>
    <w:p>
      <w:pPr>
        <w:spacing w:line="530" w:lineRule="atLeast"/>
        <w:ind w:firstLine="560" w:firstLineChars="200"/>
        <w:rPr>
          <w:rFonts w:eastAsia="仿宋_GB2312"/>
          <w:color w:val="000000"/>
          <w:sz w:val="28"/>
          <w:szCs w:val="32"/>
        </w:rPr>
      </w:pPr>
      <w:r>
        <w:rPr>
          <w:rFonts w:eastAsia="仿宋_GB2312"/>
          <w:color w:val="000000"/>
          <w:sz w:val="28"/>
          <w:szCs w:val="32"/>
        </w:rPr>
        <w:t>16.工程单价计算表。</w:t>
      </w:r>
    </w:p>
    <w:p>
      <w:pPr>
        <w:spacing w:line="530" w:lineRule="atLeast"/>
        <w:ind w:firstLine="560" w:firstLineChars="200"/>
        <w:rPr>
          <w:rFonts w:eastAsia="仿宋_GB2312"/>
          <w:color w:val="000000"/>
          <w:sz w:val="28"/>
          <w:szCs w:val="32"/>
        </w:rPr>
      </w:pPr>
      <w:r>
        <w:rPr>
          <w:rFonts w:eastAsia="仿宋_GB2312"/>
          <w:color w:val="000000"/>
          <w:sz w:val="28"/>
          <w:szCs w:val="32"/>
        </w:rPr>
        <w:t>17.人工费单价汇总表。</w:t>
      </w:r>
    </w:p>
    <w:p>
      <w:pPr>
        <w:pStyle w:val="7"/>
        <w:keepNext w:val="0"/>
        <w:keepLines w:val="0"/>
        <w:spacing w:before="0" w:after="0" w:line="530" w:lineRule="atLeas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2.2工程量清单报价表填写规定</w:t>
      </w:r>
    </w:p>
    <w:p>
      <w:pPr>
        <w:spacing w:line="530" w:lineRule="atLeast"/>
        <w:ind w:firstLine="560" w:firstLineChars="200"/>
        <w:rPr>
          <w:rFonts w:eastAsia="仿宋_GB2312"/>
          <w:color w:val="000000"/>
          <w:sz w:val="28"/>
          <w:szCs w:val="32"/>
        </w:rPr>
      </w:pPr>
      <w:r>
        <w:rPr>
          <w:rFonts w:eastAsia="仿宋_GB2312"/>
          <w:color w:val="000000"/>
          <w:sz w:val="28"/>
          <w:szCs w:val="32"/>
        </w:rPr>
        <w:t>1. 除招标文件另有规定外，投标人不得随意增加、删除或涂改招标文件工程量清单中的任何内容。工程量清单中列明的所有需要填写的单价和合价，投标人均应填写；未填写的单价和合价，视为已包括在工程量清单的其它单价和合价中。</w:t>
      </w:r>
    </w:p>
    <w:p>
      <w:pPr>
        <w:spacing w:line="530" w:lineRule="atLeast"/>
        <w:ind w:firstLine="560" w:firstLineChars="200"/>
        <w:rPr>
          <w:rFonts w:eastAsia="仿宋_GB2312"/>
          <w:color w:val="000000"/>
          <w:sz w:val="28"/>
          <w:szCs w:val="32"/>
        </w:rPr>
      </w:pPr>
      <w:r>
        <w:rPr>
          <w:rFonts w:eastAsia="仿宋_GB2312"/>
          <w:color w:val="000000"/>
          <w:sz w:val="28"/>
          <w:szCs w:val="32"/>
        </w:rPr>
        <w:t>2. 工程量清单中的工程单价是完成工程量清单中一个质量合格的规定计量单位项目所需的直接费（包括人工费、材料费、机械使用费和季节、夜间、高原、风沙等原因增加的直接费）、施工管理费、企业利润和税金，并考虑到风险因素。投标人应根据规定的工程单价组成内容确定工程单价。除另有规定外，对有效工程量以外的超挖、超填工程量，施工附加量，加工、运输损耗量等，所消耗的人工、材料和机械费用，均应摊入相应有效工程量的工程单价内。</w:t>
      </w:r>
    </w:p>
    <w:p>
      <w:pPr>
        <w:spacing w:line="530" w:lineRule="atLeast"/>
        <w:ind w:firstLine="560" w:firstLineChars="200"/>
        <w:rPr>
          <w:rFonts w:eastAsia="仿宋_GB2312"/>
          <w:color w:val="000000"/>
          <w:sz w:val="28"/>
          <w:szCs w:val="32"/>
        </w:rPr>
      </w:pPr>
      <w:r>
        <w:rPr>
          <w:rFonts w:eastAsia="仿宋_GB2312"/>
          <w:color w:val="000000"/>
          <w:sz w:val="28"/>
          <w:szCs w:val="32"/>
        </w:rPr>
        <w:t>3. 投标金额（价格）均应以人民币表示。</w:t>
      </w:r>
    </w:p>
    <w:p>
      <w:pPr>
        <w:spacing w:line="530" w:lineRule="atLeast"/>
        <w:ind w:firstLine="560" w:firstLineChars="200"/>
        <w:rPr>
          <w:rFonts w:eastAsia="仿宋_GB2312"/>
          <w:color w:val="000000"/>
          <w:sz w:val="28"/>
          <w:szCs w:val="32"/>
        </w:rPr>
      </w:pPr>
      <w:r>
        <w:rPr>
          <w:rFonts w:eastAsia="仿宋_GB2312"/>
          <w:color w:val="000000"/>
          <w:sz w:val="28"/>
          <w:szCs w:val="32"/>
        </w:rPr>
        <w:t>4. 投标总价应按工程项目总价表合计金额填写。</w:t>
      </w:r>
    </w:p>
    <w:p>
      <w:pPr>
        <w:spacing w:line="530" w:lineRule="atLeast"/>
        <w:ind w:firstLine="560" w:firstLineChars="200"/>
        <w:rPr>
          <w:rFonts w:eastAsia="仿宋_GB2312"/>
          <w:color w:val="000000"/>
          <w:sz w:val="28"/>
          <w:szCs w:val="32"/>
        </w:rPr>
      </w:pPr>
      <w:r>
        <w:rPr>
          <w:rFonts w:eastAsia="仿宋_GB2312"/>
          <w:color w:val="000000"/>
          <w:sz w:val="28"/>
          <w:szCs w:val="32"/>
        </w:rPr>
        <w:t>5. 工程项目总价表中一级项目名称按招标文件工程项目总价表中的相应名称填写，并按分类分项工程量清单计价表中相应项目合计金额填写。</w:t>
      </w:r>
    </w:p>
    <w:p>
      <w:pPr>
        <w:spacing w:line="530" w:lineRule="atLeast"/>
        <w:ind w:firstLine="560" w:firstLineChars="200"/>
        <w:rPr>
          <w:rFonts w:eastAsia="仿宋_GB2312"/>
          <w:color w:val="000000"/>
          <w:sz w:val="28"/>
          <w:szCs w:val="32"/>
        </w:rPr>
      </w:pPr>
      <w:r>
        <w:rPr>
          <w:rFonts w:eastAsia="仿宋_GB2312"/>
          <w:color w:val="000000"/>
          <w:sz w:val="28"/>
          <w:szCs w:val="32"/>
        </w:rPr>
        <w:t>6. 分类分项工程量清单计价表中的序号、项目编码、项目名称、计量单位、工程数量和合同技术条款章节号，按招标文件分类分项工程量清单计价表中的相应内容填写，并填写相应项目的单价和合价。</w:t>
      </w:r>
    </w:p>
    <w:p>
      <w:pPr>
        <w:spacing w:line="530" w:lineRule="atLeast"/>
        <w:ind w:firstLine="560" w:firstLineChars="200"/>
        <w:rPr>
          <w:rFonts w:eastAsia="仿宋_GB2312"/>
          <w:color w:val="000000"/>
          <w:sz w:val="28"/>
          <w:szCs w:val="32"/>
        </w:rPr>
      </w:pPr>
      <w:r>
        <w:rPr>
          <w:rFonts w:eastAsia="仿宋_GB2312"/>
          <w:color w:val="000000"/>
          <w:sz w:val="28"/>
          <w:szCs w:val="32"/>
        </w:rPr>
        <w:t>7. 措施项目清单计价表中的序号、项目名称按招标文件措施项目清单计价表中的相应内容填写，并填写相应措施项目的金额和合计金额。</w:t>
      </w:r>
    </w:p>
    <w:p>
      <w:pPr>
        <w:spacing w:line="530" w:lineRule="atLeast"/>
        <w:ind w:firstLine="560" w:firstLineChars="200"/>
        <w:rPr>
          <w:rFonts w:eastAsia="仿宋_GB2312"/>
          <w:color w:val="000000"/>
          <w:sz w:val="28"/>
          <w:szCs w:val="32"/>
        </w:rPr>
      </w:pPr>
      <w:r>
        <w:rPr>
          <w:rFonts w:eastAsia="仿宋_GB2312"/>
          <w:color w:val="000000"/>
          <w:sz w:val="28"/>
          <w:szCs w:val="32"/>
        </w:rPr>
        <w:t>8. 其它项目清单计价表中的序号、项目名称、金额，按招标文件其它项目清单计价表中的相应内容填写。</w:t>
      </w:r>
    </w:p>
    <w:p>
      <w:pPr>
        <w:spacing w:line="530" w:lineRule="atLeast"/>
        <w:ind w:firstLine="560" w:firstLineChars="200"/>
        <w:rPr>
          <w:rFonts w:eastAsia="仿宋_GB2312"/>
          <w:b/>
          <w:color w:val="000000"/>
          <w:sz w:val="28"/>
          <w:szCs w:val="32"/>
        </w:rPr>
      </w:pPr>
      <w:r>
        <w:rPr>
          <w:rFonts w:eastAsia="仿宋_GB2312"/>
          <w:color w:val="000000"/>
          <w:sz w:val="28"/>
          <w:szCs w:val="32"/>
        </w:rPr>
        <w:t>9. 计日工项目计价表的序号、人工、材料、机械的名称、型号规格以及计量单位，按招标文件计日工项目计价表中的相应内容填写，并填写相应项目单价。</w:t>
      </w:r>
    </w:p>
    <w:p>
      <w:pPr>
        <w:spacing w:line="530" w:lineRule="atLeast"/>
        <w:ind w:firstLine="560" w:firstLineChars="200"/>
        <w:rPr>
          <w:rFonts w:eastAsia="仿宋_GB2312"/>
          <w:color w:val="000000"/>
          <w:sz w:val="28"/>
          <w:szCs w:val="32"/>
        </w:rPr>
      </w:pPr>
      <w:r>
        <w:rPr>
          <w:rFonts w:eastAsia="仿宋_GB2312"/>
          <w:color w:val="000000"/>
          <w:sz w:val="28"/>
          <w:szCs w:val="32"/>
        </w:rPr>
        <w:t>10. 辅助表格填写：</w:t>
      </w:r>
    </w:p>
    <w:p>
      <w:pPr>
        <w:spacing w:line="530" w:lineRule="atLeast"/>
        <w:ind w:firstLine="560" w:firstLineChars="200"/>
        <w:rPr>
          <w:rFonts w:eastAsia="仿宋_GB2312"/>
          <w:color w:val="000000"/>
          <w:sz w:val="28"/>
          <w:szCs w:val="32"/>
        </w:rPr>
      </w:pPr>
      <w:r>
        <w:rPr>
          <w:rFonts w:eastAsia="仿宋_GB2312"/>
          <w:color w:val="000000"/>
          <w:sz w:val="28"/>
          <w:szCs w:val="32"/>
        </w:rPr>
        <w:t>（1）工程单价汇总表，按工程单价计算表中的相应内容、价格（费率）填写。</w:t>
      </w:r>
    </w:p>
    <w:p>
      <w:pPr>
        <w:spacing w:line="530" w:lineRule="atLeast"/>
        <w:ind w:firstLine="560" w:firstLineChars="200"/>
        <w:rPr>
          <w:rFonts w:eastAsia="仿宋_GB2312"/>
          <w:color w:val="000000"/>
          <w:sz w:val="28"/>
          <w:szCs w:val="32"/>
        </w:rPr>
      </w:pPr>
      <w:r>
        <w:rPr>
          <w:rFonts w:eastAsia="仿宋_GB2312"/>
          <w:color w:val="000000"/>
          <w:sz w:val="28"/>
          <w:szCs w:val="32"/>
        </w:rPr>
        <w:t>（2）工程单价费（税）率汇总表，按工程单价计算表中的相应内容、费（税）率填写。</w:t>
      </w:r>
    </w:p>
    <w:p>
      <w:pPr>
        <w:spacing w:line="530" w:lineRule="atLeast"/>
        <w:ind w:firstLine="560" w:firstLineChars="200"/>
        <w:rPr>
          <w:rFonts w:eastAsia="仿宋_GB2312"/>
          <w:color w:val="000000"/>
          <w:sz w:val="28"/>
          <w:szCs w:val="32"/>
        </w:rPr>
      </w:pPr>
      <w:r>
        <w:rPr>
          <w:rFonts w:eastAsia="仿宋_GB2312"/>
          <w:color w:val="000000"/>
          <w:sz w:val="28"/>
          <w:szCs w:val="32"/>
        </w:rPr>
        <w:t>（3）投标人生产电、风、水、砂石基础单价汇总表，按基础单价分析计算成果的相应内容、价格填写，并附相应基础单价的分析计算书。</w:t>
      </w:r>
    </w:p>
    <w:p>
      <w:pPr>
        <w:spacing w:line="530" w:lineRule="atLeast"/>
        <w:ind w:firstLine="560" w:firstLineChars="200"/>
        <w:rPr>
          <w:rFonts w:eastAsia="仿宋_GB2312"/>
          <w:color w:val="000000"/>
          <w:sz w:val="28"/>
          <w:szCs w:val="32"/>
        </w:rPr>
      </w:pPr>
      <w:r>
        <w:rPr>
          <w:rFonts w:eastAsia="仿宋_GB2312"/>
          <w:color w:val="000000"/>
          <w:sz w:val="28"/>
          <w:szCs w:val="32"/>
        </w:rPr>
        <w:t>（4）投标人生产混凝土配合比材料费表，按表中工程部位、混凝土强度等级（附抗渗、抗冻等级）、水泥强度等级、级配、水灰比、相应材料用量和单价填写，填写的单价必须与工程单价计算表中采用的相应混凝土材料单价一致。</w:t>
      </w:r>
    </w:p>
    <w:p>
      <w:pPr>
        <w:spacing w:line="530" w:lineRule="atLeast"/>
        <w:ind w:firstLine="560" w:firstLineChars="200"/>
        <w:rPr>
          <w:rFonts w:eastAsia="仿宋_GB2312"/>
          <w:color w:val="000000"/>
          <w:sz w:val="28"/>
          <w:szCs w:val="32"/>
        </w:rPr>
      </w:pPr>
      <w:r>
        <w:rPr>
          <w:rFonts w:eastAsia="仿宋_GB2312"/>
          <w:color w:val="000000"/>
          <w:sz w:val="28"/>
          <w:szCs w:val="32"/>
        </w:rPr>
        <w:t>（5）招标人供应材料价格汇总表，按招标人供应的材料名称、型号规格、计量单位和供应价填写，并填写经分析计算后的相应材料预算价格，填写的预算价格必须与工程单价计算表中采用的相应材料预算价格一致（若招标人提供）。</w:t>
      </w:r>
    </w:p>
    <w:p>
      <w:pPr>
        <w:spacing w:line="530" w:lineRule="atLeast"/>
        <w:ind w:firstLine="560" w:firstLineChars="200"/>
        <w:rPr>
          <w:rFonts w:eastAsia="仿宋_GB2312"/>
          <w:color w:val="000000"/>
          <w:sz w:val="28"/>
          <w:szCs w:val="32"/>
        </w:rPr>
      </w:pPr>
      <w:r>
        <w:rPr>
          <w:rFonts w:eastAsia="仿宋_GB2312"/>
          <w:color w:val="000000"/>
          <w:sz w:val="28"/>
          <w:szCs w:val="32"/>
        </w:rPr>
        <w:t>（6）投标人自行采购主要材料预算价格（材料预算价含材料二次转运费）汇总表，按表中的序号、材料名称、型号规格、计量单位和预算价（材料预算价含材料二次转运费）填写，填写的预算价必须与工程单价计算表中采用的相应材料预算价格一致。</w:t>
      </w:r>
    </w:p>
    <w:p>
      <w:pPr>
        <w:spacing w:line="530" w:lineRule="atLeast"/>
        <w:ind w:firstLine="560" w:firstLineChars="200"/>
        <w:rPr>
          <w:rFonts w:eastAsia="仿宋_GB2312"/>
          <w:color w:val="000000"/>
          <w:sz w:val="28"/>
          <w:szCs w:val="32"/>
        </w:rPr>
      </w:pPr>
      <w:r>
        <w:rPr>
          <w:rFonts w:eastAsia="仿宋_GB2312"/>
          <w:color w:val="000000"/>
          <w:sz w:val="28"/>
          <w:szCs w:val="32"/>
        </w:rPr>
        <w:t>（7）招标人提供施工机械台时（班）费汇总表，按招标人提供的机械名称、型号规格和招标人收取的台时（班）折旧费填写；投标人填写的台时（班）费用合计金额必须与工程单价计算表中相应的施工机械台时（班）费单价一致（若招标人提供）。</w:t>
      </w:r>
    </w:p>
    <w:p>
      <w:pPr>
        <w:spacing w:line="530" w:lineRule="atLeast"/>
        <w:ind w:firstLine="560" w:firstLineChars="200"/>
        <w:rPr>
          <w:rFonts w:eastAsia="仿宋_GB2312"/>
          <w:color w:val="000000"/>
          <w:sz w:val="28"/>
          <w:szCs w:val="32"/>
        </w:rPr>
      </w:pPr>
      <w:r>
        <w:rPr>
          <w:rFonts w:eastAsia="仿宋_GB2312"/>
          <w:color w:val="000000"/>
          <w:sz w:val="28"/>
          <w:szCs w:val="32"/>
        </w:rPr>
        <w:t>（8）投标人自备施工机械台时（班） 费汇总表，按表中的序号、机械名称、型号规格、一类费用和二类费用填写，填写的台时（班）费合计金额必须与工程单价计算表中相应的施工机械台时（班）费单价一致。</w:t>
      </w:r>
    </w:p>
    <w:p>
      <w:pPr>
        <w:spacing w:line="530" w:lineRule="atLeast"/>
        <w:ind w:firstLine="560" w:firstLineChars="200"/>
        <w:rPr>
          <w:rFonts w:eastAsia="仿宋_GB2312"/>
          <w:color w:val="000000"/>
          <w:sz w:val="28"/>
          <w:szCs w:val="32"/>
        </w:rPr>
      </w:pPr>
      <w:r>
        <w:rPr>
          <w:rFonts w:eastAsia="仿宋_GB2312"/>
          <w:color w:val="000000"/>
          <w:sz w:val="28"/>
          <w:szCs w:val="32"/>
        </w:rPr>
        <w:t>（9）投标人应参照分类分项工程量清单计价表格式编制总价项目分类分项工程分解表，每个总价项目分类分项工程一份。</w:t>
      </w:r>
    </w:p>
    <w:p>
      <w:pPr>
        <w:spacing w:line="530" w:lineRule="atLeast"/>
        <w:ind w:firstLine="560" w:firstLineChars="200"/>
        <w:rPr>
          <w:rFonts w:eastAsia="仿宋_GB2312"/>
          <w:color w:val="000000"/>
          <w:sz w:val="28"/>
          <w:szCs w:val="32"/>
        </w:rPr>
      </w:pPr>
      <w:r>
        <w:rPr>
          <w:rFonts w:eastAsia="仿宋_GB2312"/>
          <w:color w:val="000000"/>
          <w:sz w:val="28"/>
          <w:szCs w:val="32"/>
        </w:rPr>
        <w:t>（10）投标金额大于或等于投标总标价万分之五的工程项目，必须编报工程单价计算表。工程单价计算表，按表中的施工方法、序号、名称、型号规格、计量单位、数量、单价、合价填写，填写的人工、材料和机械等基础价格，必须与人工费价汇总表、基础材料单价汇总表、主要材料预算价格汇总表及施工机械台时（班）费汇总表中的单价相一致，填写的施工管理费、企业利润和税金等费（税）率必须与工程单价费（税）率汇总表中的费（税）率相一致。</w:t>
      </w:r>
    </w:p>
    <w:p>
      <w:pPr>
        <w:spacing w:line="530" w:lineRule="atLeast"/>
        <w:ind w:firstLine="560" w:firstLineChars="200"/>
        <w:rPr>
          <w:rFonts w:eastAsia="仿宋_GB2312"/>
          <w:color w:val="000000"/>
          <w:sz w:val="28"/>
          <w:szCs w:val="32"/>
        </w:rPr>
      </w:pPr>
      <w:r>
        <w:rPr>
          <w:rFonts w:eastAsia="仿宋_GB2312"/>
          <w:color w:val="000000"/>
          <w:sz w:val="28"/>
          <w:szCs w:val="32"/>
        </w:rPr>
        <w:t>（11）人工费单价汇总表应按人工费单价计算表的内容、价格填写，并附相应的人工费单价计算表。</w:t>
      </w:r>
    </w:p>
    <w:p>
      <w:pPr>
        <w:pStyle w:val="7"/>
        <w:keepNext w:val="0"/>
        <w:keepLines w:val="0"/>
        <w:spacing w:before="0" w:after="0" w:line="530" w:lineRule="atLeast"/>
        <w:ind w:firstLine="562" w:firstLineChars="200"/>
        <w:rPr>
          <w:rFonts w:ascii="Times New Roman" w:hAnsi="Times New Roman" w:eastAsia="楷体_GB2312"/>
          <w:color w:val="000000"/>
          <w:szCs w:val="32"/>
        </w:rPr>
      </w:pPr>
      <w:r>
        <w:rPr>
          <w:rFonts w:ascii="Times New Roman" w:hAnsi="Times New Roman" w:eastAsia="楷体_GB2312"/>
          <w:color w:val="000000"/>
          <w:szCs w:val="32"/>
        </w:rPr>
        <w:t>2.3 其他说明（如有）</w:t>
      </w:r>
    </w:p>
    <w:p>
      <w:pPr>
        <w:spacing w:line="530" w:lineRule="atLeast"/>
        <w:ind w:firstLine="560" w:firstLineChars="200"/>
        <w:rPr>
          <w:rFonts w:eastAsia="仿宋_GB2312"/>
          <w:color w:val="000000"/>
          <w:sz w:val="28"/>
          <w:szCs w:val="32"/>
        </w:rPr>
      </w:pPr>
      <w:r>
        <w:rPr>
          <w:rFonts w:eastAsia="仿宋_GB2312"/>
          <w:color w:val="000000"/>
          <w:sz w:val="28"/>
          <w:szCs w:val="32"/>
        </w:rPr>
        <w:t>…………</w:t>
      </w:r>
    </w:p>
    <w:p>
      <w:pPr>
        <w:adjustRightInd w:val="0"/>
        <w:snapToGrid w:val="0"/>
        <w:spacing w:line="600" w:lineRule="exact"/>
        <w:rPr>
          <w:rFonts w:eastAsia="方正小标宋_GBK"/>
          <w:b/>
          <w:color w:val="000000"/>
          <w:sz w:val="32"/>
        </w:rPr>
      </w:pPr>
      <w:r>
        <w:rPr>
          <w:color w:val="000000"/>
        </w:rPr>
        <w:br w:type="page"/>
      </w:r>
    </w:p>
    <w:p>
      <w:pPr>
        <w:spacing w:line="600" w:lineRule="exact"/>
        <w:rPr>
          <w:rFonts w:eastAsia="方正小标宋_GBK"/>
          <w:b/>
          <w:color w:val="000000"/>
          <w:sz w:val="32"/>
        </w:rPr>
      </w:pPr>
    </w:p>
    <w:p>
      <w:pPr>
        <w:pStyle w:val="106"/>
        <w:jc w:val="center"/>
        <w:rPr>
          <w:rFonts w:hint="eastAsia" w:ascii="方正小标宋简体" w:eastAsia="方正小标宋简体" w:cs="Times New Roman"/>
          <w:sz w:val="72"/>
          <w:szCs w:val="44"/>
        </w:rPr>
      </w:pPr>
      <w:r>
        <w:rPr>
          <w:rFonts w:hint="eastAsia" w:ascii="方正小标宋简体" w:eastAsia="方正小标宋简体" w:cs="Times New Roman"/>
          <w:sz w:val="72"/>
          <w:szCs w:val="44"/>
        </w:rPr>
        <w:t>投  标  总  价</w:t>
      </w:r>
    </w:p>
    <w:p>
      <w:pPr>
        <w:adjustRightInd w:val="0"/>
        <w:snapToGrid w:val="0"/>
        <w:spacing w:line="600" w:lineRule="exact"/>
        <w:rPr>
          <w:rFonts w:eastAsia="方正小标宋_GBK"/>
          <w:b/>
          <w:color w:val="000000"/>
          <w:sz w:val="32"/>
        </w:rPr>
      </w:pPr>
    </w:p>
    <w:p>
      <w:pPr>
        <w:adjustRightInd w:val="0"/>
        <w:snapToGrid w:val="0"/>
        <w:spacing w:line="600" w:lineRule="exact"/>
        <w:rPr>
          <w:rFonts w:eastAsia="方正小标宋_GBK"/>
          <w:b/>
          <w:color w:val="000000"/>
          <w:sz w:val="32"/>
        </w:rPr>
      </w:pPr>
    </w:p>
    <w:p>
      <w:pPr>
        <w:adjustRightInd w:val="0"/>
        <w:snapToGrid w:val="0"/>
        <w:spacing w:line="600" w:lineRule="exact"/>
        <w:rPr>
          <w:rFonts w:eastAsia="方正小标宋_GBK"/>
          <w:b/>
          <w:color w:val="000000"/>
          <w:sz w:val="32"/>
        </w:rPr>
      </w:pPr>
    </w:p>
    <w:p>
      <w:pPr>
        <w:adjustRightInd w:val="0"/>
        <w:snapToGrid w:val="0"/>
        <w:spacing w:line="600" w:lineRule="exact"/>
        <w:rPr>
          <w:rFonts w:eastAsia="方正小标宋_GBK"/>
          <w:b/>
          <w:color w:val="000000"/>
          <w:sz w:val="32"/>
        </w:rPr>
      </w:pPr>
    </w:p>
    <w:p>
      <w:pPr>
        <w:adjustRightInd w:val="0"/>
        <w:snapToGrid w:val="0"/>
        <w:spacing w:line="600" w:lineRule="exact"/>
        <w:rPr>
          <w:rFonts w:eastAsia="方正小标宋_GBK"/>
          <w:b/>
          <w:color w:val="000000"/>
          <w:sz w:val="32"/>
        </w:rPr>
      </w:pPr>
    </w:p>
    <w:p>
      <w:pPr>
        <w:adjustRightInd w:val="0"/>
        <w:snapToGrid w:val="0"/>
        <w:spacing w:line="600" w:lineRule="exact"/>
        <w:rPr>
          <w:rFonts w:eastAsia="方正小标宋_GBK"/>
          <w:b/>
          <w:color w:val="000000"/>
          <w:sz w:val="32"/>
        </w:rPr>
      </w:pPr>
    </w:p>
    <w:p>
      <w:pPr>
        <w:adjustRightInd w:val="0"/>
        <w:snapToGrid w:val="0"/>
        <w:spacing w:line="600" w:lineRule="exact"/>
        <w:rPr>
          <w:rFonts w:eastAsia="方正小标宋_GBK"/>
          <w:b/>
          <w:color w:val="000000"/>
          <w:sz w:val="32"/>
        </w:rPr>
      </w:pPr>
    </w:p>
    <w:p>
      <w:pPr>
        <w:pStyle w:val="106"/>
        <w:spacing w:line="600" w:lineRule="exact"/>
        <w:ind w:firstLine="640" w:firstLineChars="200"/>
        <w:rPr>
          <w:rFonts w:ascii="Times New Roman" w:eastAsia="黑体" w:cs="Times New Roman"/>
          <w:sz w:val="32"/>
          <w:szCs w:val="32"/>
          <w:u w:val="single"/>
        </w:rPr>
      </w:pPr>
      <w:r>
        <w:rPr>
          <w:rFonts w:ascii="Times New Roman" w:eastAsia="黑体" w:cs="Times New Roman"/>
          <w:sz w:val="32"/>
          <w:szCs w:val="32"/>
        </w:rPr>
        <w:t>工  程  名  称</w:t>
      </w:r>
      <w:r>
        <w:rPr>
          <w:rFonts w:hint="eastAsia" w:ascii="Times New Roman" w:eastAsia="黑体" w:cs="Times New Roman"/>
          <w:sz w:val="32"/>
          <w:szCs w:val="32"/>
        </w:rPr>
        <w:t>：</w:t>
      </w:r>
      <w:r>
        <w:rPr>
          <w:rFonts w:ascii="Times New Roman" w:eastAsia="黑体" w:cs="Times New Roman"/>
          <w:sz w:val="32"/>
          <w:szCs w:val="32"/>
          <w:u w:val="single"/>
        </w:rPr>
        <w:t xml:space="preserve">                            </w:t>
      </w:r>
    </w:p>
    <w:p>
      <w:pPr>
        <w:pStyle w:val="106"/>
        <w:spacing w:line="600" w:lineRule="exact"/>
        <w:ind w:firstLine="640" w:firstLineChars="200"/>
        <w:rPr>
          <w:rFonts w:ascii="Times New Roman" w:eastAsia="黑体" w:cs="Times New Roman"/>
          <w:sz w:val="32"/>
          <w:szCs w:val="32"/>
          <w:u w:val="single"/>
        </w:rPr>
      </w:pPr>
      <w:r>
        <w:rPr>
          <w:rFonts w:hint="eastAsia" w:ascii="Times New Roman" w:eastAsia="黑体" w:cs="Times New Roman"/>
          <w:sz w:val="32"/>
          <w:szCs w:val="32"/>
        </w:rPr>
        <w:t>招  标</w:t>
      </w:r>
      <w:r>
        <w:rPr>
          <w:rFonts w:ascii="Times New Roman" w:eastAsia="黑体" w:cs="Times New Roman"/>
          <w:sz w:val="32"/>
          <w:szCs w:val="32"/>
        </w:rPr>
        <w:t xml:space="preserve">  编  号</w:t>
      </w:r>
      <w:r>
        <w:rPr>
          <w:rFonts w:hint="eastAsia" w:ascii="Times New Roman" w:eastAsia="黑体" w:cs="Times New Roman"/>
          <w:sz w:val="32"/>
          <w:szCs w:val="32"/>
        </w:rPr>
        <w:t>：</w:t>
      </w:r>
      <w:r>
        <w:rPr>
          <w:rFonts w:ascii="Times New Roman" w:eastAsia="黑体" w:cs="Times New Roman"/>
          <w:sz w:val="32"/>
          <w:szCs w:val="32"/>
          <w:u w:val="single"/>
        </w:rPr>
        <w:t xml:space="preserve">                            </w:t>
      </w:r>
    </w:p>
    <w:p>
      <w:pPr>
        <w:pStyle w:val="106"/>
        <w:spacing w:line="600" w:lineRule="exact"/>
        <w:ind w:firstLine="640" w:firstLineChars="200"/>
        <w:rPr>
          <w:rFonts w:ascii="Times New Roman" w:eastAsia="黑体" w:cs="Times New Roman"/>
          <w:sz w:val="32"/>
          <w:szCs w:val="32"/>
          <w:u w:val="single"/>
        </w:rPr>
      </w:pPr>
      <w:r>
        <w:rPr>
          <w:rFonts w:ascii="Times New Roman" w:eastAsia="黑体" w:cs="Times New Roman"/>
          <w:sz w:val="32"/>
          <w:szCs w:val="32"/>
        </w:rPr>
        <w:t>投标总价人民币</w:t>
      </w:r>
      <w:r>
        <w:rPr>
          <w:rFonts w:hint="eastAsia" w:ascii="Times New Roman" w:eastAsia="黑体" w:cs="Times New Roman"/>
          <w:sz w:val="32"/>
          <w:szCs w:val="32"/>
        </w:rPr>
        <w:t>：</w:t>
      </w:r>
      <w:r>
        <w:rPr>
          <w:rFonts w:ascii="Times New Roman" w:eastAsia="黑体" w:cs="Times New Roman"/>
          <w:sz w:val="32"/>
          <w:szCs w:val="32"/>
          <w:u w:val="single"/>
        </w:rPr>
        <w:t xml:space="preserve">                      </w:t>
      </w:r>
      <w:r>
        <w:rPr>
          <w:rFonts w:ascii="Times New Roman" w:eastAsia="黑体" w:cs="Times New Roman"/>
          <w:sz w:val="32"/>
          <w:szCs w:val="32"/>
        </w:rPr>
        <w:t>（大写）</w:t>
      </w:r>
    </w:p>
    <w:p>
      <w:pPr>
        <w:pStyle w:val="106"/>
        <w:spacing w:line="600" w:lineRule="exact"/>
        <w:ind w:left="716" w:leftChars="341" w:firstLine="640" w:firstLineChars="200"/>
        <w:rPr>
          <w:rFonts w:ascii="Times New Roman" w:eastAsia="黑体" w:cs="Times New Roman"/>
          <w:sz w:val="32"/>
          <w:szCs w:val="32"/>
          <w:u w:val="single"/>
        </w:rPr>
      </w:pPr>
      <w:r>
        <w:rPr>
          <w:rFonts w:ascii="Times New Roman" w:eastAsia="黑体" w:cs="Times New Roman"/>
          <w:sz w:val="32"/>
          <w:szCs w:val="32"/>
        </w:rPr>
        <w:t xml:space="preserve">    （¥）</w:t>
      </w:r>
      <w:r>
        <w:rPr>
          <w:rFonts w:hint="eastAsia" w:ascii="Times New Roman" w:eastAsia="黑体" w:cs="Times New Roman"/>
          <w:sz w:val="32"/>
          <w:szCs w:val="32"/>
        </w:rPr>
        <w:t>：</w:t>
      </w:r>
      <w:r>
        <w:rPr>
          <w:rFonts w:ascii="Times New Roman" w:eastAsia="黑体" w:cs="Times New Roman"/>
          <w:sz w:val="32"/>
          <w:szCs w:val="32"/>
          <w:u w:val="single"/>
        </w:rPr>
        <w:t xml:space="preserve">                            </w:t>
      </w:r>
    </w:p>
    <w:p>
      <w:pPr>
        <w:pStyle w:val="106"/>
        <w:spacing w:line="600" w:lineRule="exact"/>
        <w:ind w:firstLine="640" w:firstLineChars="200"/>
        <w:rPr>
          <w:rFonts w:ascii="Times New Roman" w:eastAsia="黑体" w:cs="Times New Roman"/>
          <w:sz w:val="32"/>
          <w:szCs w:val="32"/>
        </w:rPr>
      </w:pPr>
      <w:r>
        <w:rPr>
          <w:rFonts w:ascii="Times New Roman" w:eastAsia="黑体" w:cs="Times New Roman"/>
          <w:sz w:val="32"/>
          <w:szCs w:val="32"/>
        </w:rPr>
        <w:t>投    标    人</w:t>
      </w:r>
      <w:r>
        <w:rPr>
          <w:rFonts w:hint="eastAsia" w:ascii="Times New Roman" w:eastAsia="黑体" w:cs="Times New Roman"/>
          <w:sz w:val="32"/>
          <w:szCs w:val="32"/>
        </w:rPr>
        <w:t>：</w:t>
      </w:r>
      <w:r>
        <w:rPr>
          <w:rFonts w:ascii="Times New Roman" w:eastAsia="黑体" w:cs="Times New Roman"/>
          <w:sz w:val="32"/>
          <w:szCs w:val="32"/>
          <w:u w:val="single"/>
        </w:rPr>
        <w:t xml:space="preserve">               </w:t>
      </w:r>
      <w:r>
        <w:rPr>
          <w:rFonts w:ascii="Times New Roman" w:eastAsia="黑体" w:cs="Times New Roman"/>
          <w:sz w:val="32"/>
          <w:szCs w:val="32"/>
        </w:rPr>
        <w:t>（盖单位电子公章）</w:t>
      </w:r>
    </w:p>
    <w:p>
      <w:pPr>
        <w:pStyle w:val="106"/>
        <w:spacing w:line="600" w:lineRule="exact"/>
        <w:ind w:firstLine="640" w:firstLineChars="200"/>
        <w:rPr>
          <w:rFonts w:ascii="Times New Roman" w:eastAsia="黑体" w:cs="Times New Roman"/>
          <w:sz w:val="32"/>
          <w:szCs w:val="32"/>
        </w:rPr>
      </w:pPr>
      <w:r>
        <w:rPr>
          <w:rFonts w:ascii="Times New Roman" w:eastAsia="黑体" w:cs="Times New Roman"/>
          <w:sz w:val="32"/>
          <w:szCs w:val="32"/>
        </w:rPr>
        <w:t>法 定 代 表 人</w:t>
      </w:r>
      <w:r>
        <w:rPr>
          <w:rFonts w:hint="eastAsia" w:ascii="Times New Roman" w:eastAsia="黑体" w:cs="Times New Roman"/>
          <w:sz w:val="32"/>
          <w:szCs w:val="32"/>
        </w:rPr>
        <w:t>：</w:t>
      </w:r>
      <w:r>
        <w:rPr>
          <w:rFonts w:ascii="Times New Roman" w:eastAsia="黑体" w:cs="Times New Roman"/>
          <w:sz w:val="32"/>
          <w:szCs w:val="32"/>
          <w:u w:val="single"/>
        </w:rPr>
        <w:t xml:space="preserve">                     </w:t>
      </w:r>
      <w:r>
        <w:rPr>
          <w:rFonts w:ascii="Times New Roman" w:eastAsia="黑体" w:cs="Times New Roman"/>
          <w:sz w:val="32"/>
          <w:szCs w:val="32"/>
        </w:rPr>
        <w:t>（电子签名）</w:t>
      </w:r>
    </w:p>
    <w:p>
      <w:pPr>
        <w:pStyle w:val="106"/>
        <w:spacing w:line="600" w:lineRule="exact"/>
        <w:ind w:firstLine="640" w:firstLineChars="200"/>
        <w:rPr>
          <w:rFonts w:ascii="Times New Roman" w:eastAsia="黑体" w:cs="Times New Roman"/>
          <w:sz w:val="32"/>
          <w:szCs w:val="32"/>
          <w:u w:val="single"/>
        </w:rPr>
      </w:pPr>
      <w:r>
        <w:rPr>
          <w:rFonts w:ascii="Times New Roman" w:eastAsia="黑体" w:cs="Times New Roman"/>
          <w:sz w:val="32"/>
          <w:szCs w:val="32"/>
        </w:rPr>
        <w:t>编  制  时  间</w:t>
      </w:r>
      <w:r>
        <w:rPr>
          <w:rFonts w:hint="eastAsia" w:ascii="Times New Roman" w:eastAsia="黑体" w:cs="Times New Roman"/>
          <w:sz w:val="32"/>
          <w:szCs w:val="32"/>
        </w:rPr>
        <w:t>：</w:t>
      </w:r>
      <w:r>
        <w:rPr>
          <w:rFonts w:ascii="Times New Roman" w:eastAsia="黑体" w:cs="Times New Roman"/>
          <w:sz w:val="32"/>
          <w:szCs w:val="32"/>
          <w:u w:val="single"/>
        </w:rPr>
        <w:t xml:space="preserve">                           </w:t>
      </w:r>
    </w:p>
    <w:p>
      <w:pPr>
        <w:rPr>
          <w:color w:val="000000"/>
        </w:rPr>
      </w:pPr>
    </w:p>
    <w:p>
      <w:pPr>
        <w:spacing w:line="490" w:lineRule="exact"/>
        <w:rPr>
          <w:rFonts w:eastAsia="方正小标宋_GBK"/>
          <w:color w:val="000000"/>
          <w:sz w:val="40"/>
          <w:szCs w:val="44"/>
        </w:rPr>
      </w:pPr>
      <w:r>
        <w:rPr>
          <w:color w:val="000000"/>
        </w:rPr>
        <w:br w:type="page"/>
      </w:r>
    </w:p>
    <w:p>
      <w:pPr>
        <w:spacing w:line="490" w:lineRule="exact"/>
        <w:jc w:val="center"/>
        <w:rPr>
          <w:rFonts w:hint="eastAsia" w:ascii="方正小标宋简体" w:eastAsia="方正小标宋简体"/>
          <w:color w:val="000000"/>
          <w:sz w:val="40"/>
          <w:szCs w:val="44"/>
        </w:rPr>
      </w:pPr>
      <w:r>
        <w:rPr>
          <w:rFonts w:hint="eastAsia" w:ascii="方正小标宋简体" w:eastAsia="方正小标宋简体"/>
          <w:color w:val="000000"/>
          <w:sz w:val="40"/>
          <w:szCs w:val="44"/>
        </w:rPr>
        <w:t>工程项目总价表</w:t>
      </w:r>
    </w:p>
    <w:p>
      <w:pPr>
        <w:spacing w:line="490" w:lineRule="exact"/>
        <w:rPr>
          <w:rFonts w:eastAsia="方正小标宋_GBK"/>
          <w:color w:val="000000"/>
          <w:sz w:val="40"/>
          <w:szCs w:val="44"/>
        </w:rPr>
      </w:pPr>
    </w:p>
    <w:p>
      <w:pPr>
        <w:spacing w:line="490" w:lineRule="exact"/>
        <w:rPr>
          <w:rFonts w:eastAsia="仿宋_GB2312"/>
          <w:color w:val="000000"/>
          <w:sz w:val="28"/>
          <w:szCs w:val="28"/>
          <w:u w:val="single"/>
        </w:rPr>
      </w:pPr>
      <w:r>
        <w:rPr>
          <w:rFonts w:eastAsia="仿宋_GB2312"/>
          <w:color w:val="000000"/>
          <w:sz w:val="28"/>
          <w:szCs w:val="28"/>
        </w:rPr>
        <w:t>合同编号：</w:t>
      </w:r>
      <w:r>
        <w:rPr>
          <w:rFonts w:eastAsia="仿宋_GB2312"/>
          <w:color w:val="000000"/>
          <w:sz w:val="28"/>
          <w:szCs w:val="28"/>
          <w:u w:val="single"/>
        </w:rPr>
        <w:t xml:space="preserve">      （投标项目合同号）     </w:t>
      </w:r>
    </w:p>
    <w:p>
      <w:pPr>
        <w:spacing w:line="490" w:lineRule="exact"/>
        <w:rPr>
          <w:rFonts w:eastAsia="仿宋_GB2312"/>
          <w:color w:val="000000"/>
          <w:sz w:val="28"/>
          <w:szCs w:val="28"/>
        </w:rPr>
      </w:pPr>
      <w:r>
        <w:rPr>
          <w:rFonts w:eastAsia="仿宋_GB2312"/>
          <w:color w:val="000000"/>
          <w:sz w:val="28"/>
          <w:szCs w:val="28"/>
        </w:rPr>
        <w:t>工程名称：</w:t>
      </w:r>
      <w:r>
        <w:rPr>
          <w:rFonts w:eastAsia="仿宋_GB2312"/>
          <w:color w:val="000000"/>
          <w:sz w:val="28"/>
          <w:szCs w:val="28"/>
          <w:u w:val="single"/>
        </w:rPr>
        <w:t xml:space="preserve">            </w:t>
      </w:r>
      <w:r>
        <w:rPr>
          <w:rFonts w:eastAsia="仿宋_GB2312"/>
          <w:color w:val="000000"/>
          <w:sz w:val="28"/>
          <w:szCs w:val="28"/>
        </w:rPr>
        <w:t>（项目名称）</w:t>
      </w:r>
      <w:r>
        <w:rPr>
          <w:rFonts w:eastAsia="仿宋_GB2312"/>
          <w:color w:val="000000"/>
          <w:sz w:val="28"/>
          <w:szCs w:val="28"/>
          <w:u w:val="single"/>
        </w:rPr>
        <w:t xml:space="preserve">            </w:t>
      </w:r>
      <w:r>
        <w:rPr>
          <w:rFonts w:eastAsia="仿宋_GB2312"/>
          <w:color w:val="000000"/>
          <w:sz w:val="28"/>
          <w:szCs w:val="28"/>
        </w:rPr>
        <w:t>（标段名称）</w:t>
      </w:r>
    </w:p>
    <w:tbl>
      <w:tblPr>
        <w:tblStyle w:val="4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392"/>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188" w:type="dxa"/>
            <w:noWrap w:val="0"/>
            <w:vAlign w:val="center"/>
          </w:tcPr>
          <w:p>
            <w:pPr>
              <w:jc w:val="center"/>
              <w:rPr>
                <w:rFonts w:eastAsia="仿宋"/>
                <w:color w:val="000000"/>
              </w:rPr>
            </w:pPr>
            <w:r>
              <w:rPr>
                <w:rFonts w:eastAsia="仿宋"/>
                <w:color w:val="000000"/>
              </w:rPr>
              <w:t>序 号</w:t>
            </w:r>
          </w:p>
        </w:tc>
        <w:tc>
          <w:tcPr>
            <w:tcW w:w="4392" w:type="dxa"/>
            <w:noWrap w:val="0"/>
            <w:vAlign w:val="center"/>
          </w:tcPr>
          <w:p>
            <w:pPr>
              <w:jc w:val="center"/>
              <w:rPr>
                <w:rFonts w:eastAsia="仿宋"/>
                <w:color w:val="000000"/>
              </w:rPr>
            </w:pPr>
            <w:r>
              <w:rPr>
                <w:rFonts w:eastAsia="仿宋"/>
                <w:color w:val="000000"/>
              </w:rPr>
              <w:t>工程项目名称</w:t>
            </w:r>
          </w:p>
        </w:tc>
        <w:tc>
          <w:tcPr>
            <w:tcW w:w="3420" w:type="dxa"/>
            <w:noWrap w:val="0"/>
            <w:vAlign w:val="center"/>
          </w:tcPr>
          <w:p>
            <w:pPr>
              <w:jc w:val="center"/>
              <w:rPr>
                <w:rFonts w:eastAsia="仿宋"/>
                <w:color w:val="000000"/>
              </w:rPr>
            </w:pPr>
            <w:r>
              <w:rPr>
                <w:rFonts w:eastAsia="仿宋"/>
                <w:color w:val="000000"/>
              </w:rPr>
              <w:t>金 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88" w:type="dxa"/>
            <w:noWrap w:val="0"/>
            <w:vAlign w:val="center"/>
          </w:tcPr>
          <w:p>
            <w:pPr>
              <w:pStyle w:val="106"/>
              <w:jc w:val="center"/>
              <w:rPr>
                <w:rFonts w:ascii="Times New Roman" w:eastAsia="仿宋" w:cs="Times New Roman"/>
                <w:sz w:val="21"/>
                <w:szCs w:val="21"/>
              </w:rPr>
            </w:pPr>
            <w:r>
              <w:rPr>
                <w:rFonts w:ascii="Times New Roman" w:eastAsia="仿宋" w:cs="Times New Roman"/>
                <w:sz w:val="21"/>
                <w:szCs w:val="21"/>
              </w:rPr>
              <w:t>1</w:t>
            </w:r>
          </w:p>
        </w:tc>
        <w:tc>
          <w:tcPr>
            <w:tcW w:w="4392" w:type="dxa"/>
            <w:noWrap w:val="0"/>
            <w:vAlign w:val="center"/>
          </w:tcPr>
          <w:p>
            <w:pPr>
              <w:pStyle w:val="106"/>
              <w:jc w:val="center"/>
              <w:rPr>
                <w:rFonts w:ascii="Times New Roman" w:eastAsia="仿宋" w:cs="Times New Roman"/>
                <w:sz w:val="21"/>
                <w:szCs w:val="21"/>
              </w:rPr>
            </w:pPr>
            <w:r>
              <w:rPr>
                <w:rFonts w:ascii="Times New Roman" w:eastAsia="仿宋" w:cs="Times New Roman"/>
                <w:sz w:val="21"/>
                <w:szCs w:val="21"/>
              </w:rPr>
              <w:t xml:space="preserve">一级 </w:t>
            </w:r>
            <w:r>
              <w:rPr>
                <w:rFonts w:hint="eastAsia"/>
                <w:sz w:val="21"/>
                <w:szCs w:val="21"/>
              </w:rPr>
              <w:t>╳</w:t>
            </w:r>
            <w:r>
              <w:rPr>
                <w:rFonts w:ascii="Times New Roman" w:eastAsia="仿宋" w:cs="Times New Roman"/>
                <w:sz w:val="21"/>
                <w:szCs w:val="21"/>
              </w:rPr>
              <w:t xml:space="preserve"> </w:t>
            </w:r>
            <w:r>
              <w:rPr>
                <w:rFonts w:hint="eastAsia"/>
                <w:sz w:val="21"/>
                <w:szCs w:val="21"/>
              </w:rPr>
              <w:t>╳</w:t>
            </w:r>
            <w:r>
              <w:rPr>
                <w:rFonts w:ascii="Times New Roman" w:eastAsia="仿宋" w:cs="Times New Roman"/>
                <w:sz w:val="21"/>
                <w:szCs w:val="21"/>
              </w:rPr>
              <w:t xml:space="preserve"> </w:t>
            </w:r>
            <w:r>
              <w:rPr>
                <w:rFonts w:hint="eastAsia"/>
                <w:sz w:val="21"/>
                <w:szCs w:val="21"/>
              </w:rPr>
              <w:t>╳</w:t>
            </w:r>
            <w:r>
              <w:rPr>
                <w:rFonts w:ascii="Times New Roman" w:eastAsia="仿宋" w:cs="Times New Roman"/>
                <w:sz w:val="21"/>
                <w:szCs w:val="21"/>
              </w:rPr>
              <w:t xml:space="preserve"> 项目</w:t>
            </w:r>
          </w:p>
        </w:tc>
        <w:tc>
          <w:tcPr>
            <w:tcW w:w="3420" w:type="dxa"/>
            <w:noWrap w:val="0"/>
            <w:vAlign w:val="center"/>
          </w:tcPr>
          <w:p>
            <w:pPr>
              <w:pStyle w:val="106"/>
              <w:jc w:val="center"/>
              <w:rPr>
                <w:rFonts w:ascii="Times New Roman"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88" w:type="dxa"/>
            <w:noWrap w:val="0"/>
            <w:vAlign w:val="center"/>
          </w:tcPr>
          <w:p>
            <w:pPr>
              <w:pStyle w:val="106"/>
              <w:jc w:val="center"/>
              <w:rPr>
                <w:rFonts w:ascii="Times New Roman" w:eastAsia="仿宋" w:cs="Times New Roman"/>
                <w:sz w:val="21"/>
                <w:szCs w:val="21"/>
              </w:rPr>
            </w:pPr>
          </w:p>
        </w:tc>
        <w:tc>
          <w:tcPr>
            <w:tcW w:w="4392" w:type="dxa"/>
            <w:noWrap w:val="0"/>
            <w:vAlign w:val="center"/>
          </w:tcPr>
          <w:p>
            <w:pPr>
              <w:pStyle w:val="106"/>
              <w:jc w:val="center"/>
              <w:rPr>
                <w:rFonts w:ascii="Times New Roman" w:eastAsia="仿宋" w:cs="Times New Roman"/>
                <w:sz w:val="21"/>
                <w:szCs w:val="21"/>
              </w:rPr>
            </w:pPr>
          </w:p>
        </w:tc>
        <w:tc>
          <w:tcPr>
            <w:tcW w:w="3420" w:type="dxa"/>
            <w:noWrap w:val="0"/>
            <w:vAlign w:val="center"/>
          </w:tcPr>
          <w:p>
            <w:pPr>
              <w:pStyle w:val="106"/>
              <w:jc w:val="center"/>
              <w:rPr>
                <w:rFonts w:ascii="Times New Roman"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88" w:type="dxa"/>
            <w:noWrap w:val="0"/>
            <w:vAlign w:val="center"/>
          </w:tcPr>
          <w:p>
            <w:pPr>
              <w:pStyle w:val="106"/>
              <w:jc w:val="center"/>
              <w:rPr>
                <w:rFonts w:ascii="Times New Roman" w:eastAsia="仿宋" w:cs="Times New Roman"/>
                <w:sz w:val="21"/>
                <w:szCs w:val="21"/>
              </w:rPr>
            </w:pPr>
          </w:p>
        </w:tc>
        <w:tc>
          <w:tcPr>
            <w:tcW w:w="4392" w:type="dxa"/>
            <w:noWrap w:val="0"/>
            <w:vAlign w:val="center"/>
          </w:tcPr>
          <w:p>
            <w:pPr>
              <w:pStyle w:val="106"/>
              <w:jc w:val="center"/>
              <w:rPr>
                <w:rFonts w:ascii="Times New Roman" w:eastAsia="仿宋" w:cs="Times New Roman"/>
                <w:sz w:val="21"/>
                <w:szCs w:val="21"/>
              </w:rPr>
            </w:pPr>
          </w:p>
        </w:tc>
        <w:tc>
          <w:tcPr>
            <w:tcW w:w="3420" w:type="dxa"/>
            <w:noWrap w:val="0"/>
            <w:vAlign w:val="center"/>
          </w:tcPr>
          <w:p>
            <w:pPr>
              <w:pStyle w:val="106"/>
              <w:jc w:val="center"/>
              <w:rPr>
                <w:rFonts w:ascii="Times New Roman"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88" w:type="dxa"/>
            <w:noWrap w:val="0"/>
            <w:vAlign w:val="center"/>
          </w:tcPr>
          <w:p>
            <w:pPr>
              <w:pStyle w:val="106"/>
              <w:jc w:val="center"/>
              <w:rPr>
                <w:rFonts w:ascii="Times New Roman" w:eastAsia="仿宋" w:cs="Times New Roman"/>
                <w:sz w:val="21"/>
                <w:szCs w:val="21"/>
              </w:rPr>
            </w:pPr>
            <w:r>
              <w:rPr>
                <w:rFonts w:ascii="Times New Roman" w:eastAsia="仿宋" w:cs="Times New Roman"/>
                <w:sz w:val="21"/>
                <w:szCs w:val="21"/>
              </w:rPr>
              <w:t>2</w:t>
            </w:r>
          </w:p>
        </w:tc>
        <w:tc>
          <w:tcPr>
            <w:tcW w:w="4392" w:type="dxa"/>
            <w:noWrap w:val="0"/>
            <w:vAlign w:val="center"/>
          </w:tcPr>
          <w:p>
            <w:pPr>
              <w:pStyle w:val="106"/>
              <w:jc w:val="center"/>
              <w:rPr>
                <w:rFonts w:ascii="Times New Roman" w:eastAsia="仿宋" w:cs="Times New Roman"/>
                <w:sz w:val="21"/>
                <w:szCs w:val="21"/>
              </w:rPr>
            </w:pPr>
            <w:r>
              <w:rPr>
                <w:rFonts w:ascii="Times New Roman" w:eastAsia="仿宋" w:cs="Times New Roman"/>
                <w:sz w:val="21"/>
                <w:szCs w:val="21"/>
              </w:rPr>
              <w:t xml:space="preserve">一级 </w:t>
            </w:r>
            <w:r>
              <w:rPr>
                <w:rFonts w:hint="eastAsia"/>
                <w:sz w:val="21"/>
                <w:szCs w:val="21"/>
              </w:rPr>
              <w:t>╳</w:t>
            </w:r>
            <w:r>
              <w:rPr>
                <w:rFonts w:ascii="Times New Roman" w:eastAsia="仿宋" w:cs="Times New Roman"/>
                <w:sz w:val="21"/>
                <w:szCs w:val="21"/>
              </w:rPr>
              <w:t xml:space="preserve"> </w:t>
            </w:r>
            <w:r>
              <w:rPr>
                <w:rFonts w:hint="eastAsia"/>
                <w:sz w:val="21"/>
                <w:szCs w:val="21"/>
              </w:rPr>
              <w:t>╳</w:t>
            </w:r>
            <w:r>
              <w:rPr>
                <w:rFonts w:ascii="Times New Roman" w:eastAsia="仿宋" w:cs="Times New Roman"/>
                <w:sz w:val="21"/>
                <w:szCs w:val="21"/>
              </w:rPr>
              <w:t xml:space="preserve"> </w:t>
            </w:r>
            <w:r>
              <w:rPr>
                <w:rFonts w:hint="eastAsia"/>
                <w:sz w:val="21"/>
                <w:szCs w:val="21"/>
              </w:rPr>
              <w:t>╳</w:t>
            </w:r>
            <w:r>
              <w:rPr>
                <w:rFonts w:ascii="Times New Roman" w:eastAsia="仿宋" w:cs="Times New Roman"/>
                <w:sz w:val="21"/>
                <w:szCs w:val="21"/>
              </w:rPr>
              <w:t xml:space="preserve"> 项目</w:t>
            </w:r>
          </w:p>
        </w:tc>
        <w:tc>
          <w:tcPr>
            <w:tcW w:w="3420" w:type="dxa"/>
            <w:noWrap w:val="0"/>
            <w:vAlign w:val="center"/>
          </w:tcPr>
          <w:p>
            <w:pPr>
              <w:pStyle w:val="106"/>
              <w:jc w:val="center"/>
              <w:rPr>
                <w:rFonts w:ascii="Times New Roman"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88" w:type="dxa"/>
            <w:noWrap w:val="0"/>
            <w:vAlign w:val="center"/>
          </w:tcPr>
          <w:p>
            <w:pPr>
              <w:pStyle w:val="106"/>
              <w:jc w:val="center"/>
              <w:rPr>
                <w:rFonts w:ascii="Times New Roman" w:eastAsia="仿宋" w:cs="Times New Roman"/>
                <w:sz w:val="21"/>
                <w:szCs w:val="21"/>
              </w:rPr>
            </w:pPr>
          </w:p>
        </w:tc>
        <w:tc>
          <w:tcPr>
            <w:tcW w:w="4392" w:type="dxa"/>
            <w:noWrap w:val="0"/>
            <w:vAlign w:val="center"/>
          </w:tcPr>
          <w:p>
            <w:pPr>
              <w:pStyle w:val="106"/>
              <w:jc w:val="center"/>
              <w:rPr>
                <w:rFonts w:ascii="Times New Roman" w:eastAsia="仿宋" w:cs="Times New Roman"/>
                <w:sz w:val="21"/>
                <w:szCs w:val="21"/>
              </w:rPr>
            </w:pPr>
          </w:p>
        </w:tc>
        <w:tc>
          <w:tcPr>
            <w:tcW w:w="3420" w:type="dxa"/>
            <w:noWrap w:val="0"/>
            <w:vAlign w:val="center"/>
          </w:tcPr>
          <w:p>
            <w:pPr>
              <w:pStyle w:val="106"/>
              <w:jc w:val="center"/>
              <w:rPr>
                <w:rFonts w:ascii="Times New Roman"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88" w:type="dxa"/>
            <w:noWrap w:val="0"/>
            <w:vAlign w:val="center"/>
          </w:tcPr>
          <w:p>
            <w:pPr>
              <w:pStyle w:val="106"/>
              <w:jc w:val="center"/>
              <w:rPr>
                <w:rFonts w:ascii="Times New Roman" w:eastAsia="仿宋" w:cs="Times New Roman"/>
                <w:sz w:val="21"/>
                <w:szCs w:val="21"/>
              </w:rPr>
            </w:pPr>
          </w:p>
        </w:tc>
        <w:tc>
          <w:tcPr>
            <w:tcW w:w="4392" w:type="dxa"/>
            <w:noWrap w:val="0"/>
            <w:vAlign w:val="center"/>
          </w:tcPr>
          <w:p>
            <w:pPr>
              <w:pStyle w:val="106"/>
              <w:jc w:val="center"/>
              <w:rPr>
                <w:rFonts w:ascii="Times New Roman" w:eastAsia="仿宋" w:cs="Times New Roman"/>
                <w:sz w:val="21"/>
                <w:szCs w:val="21"/>
              </w:rPr>
            </w:pPr>
          </w:p>
        </w:tc>
        <w:tc>
          <w:tcPr>
            <w:tcW w:w="3420" w:type="dxa"/>
            <w:noWrap w:val="0"/>
            <w:vAlign w:val="center"/>
          </w:tcPr>
          <w:p>
            <w:pPr>
              <w:pStyle w:val="106"/>
              <w:jc w:val="center"/>
              <w:rPr>
                <w:rFonts w:ascii="Times New Roman"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88" w:type="dxa"/>
            <w:noWrap w:val="0"/>
            <w:vAlign w:val="center"/>
          </w:tcPr>
          <w:p>
            <w:pPr>
              <w:pStyle w:val="106"/>
              <w:jc w:val="center"/>
              <w:rPr>
                <w:rFonts w:hint="eastAsia" w:ascii="Times New Roman" w:eastAsia="仿宋" w:cs="Times New Roman"/>
                <w:sz w:val="21"/>
                <w:szCs w:val="21"/>
              </w:rPr>
            </w:pPr>
            <w:r>
              <w:rPr>
                <w:rFonts w:hint="eastAsia" w:ascii="Times New Roman" w:eastAsia="仿宋" w:cs="Times New Roman"/>
                <w:sz w:val="21"/>
                <w:szCs w:val="21"/>
              </w:rPr>
              <w:t>3</w:t>
            </w:r>
          </w:p>
        </w:tc>
        <w:tc>
          <w:tcPr>
            <w:tcW w:w="4392" w:type="dxa"/>
            <w:noWrap w:val="0"/>
            <w:vAlign w:val="center"/>
          </w:tcPr>
          <w:p>
            <w:pPr>
              <w:pStyle w:val="106"/>
              <w:jc w:val="center"/>
              <w:rPr>
                <w:rFonts w:ascii="Times New Roman" w:eastAsia="仿宋" w:cs="Times New Roman"/>
                <w:sz w:val="21"/>
                <w:szCs w:val="21"/>
              </w:rPr>
            </w:pPr>
            <w:r>
              <w:rPr>
                <w:rFonts w:ascii="Times New Roman" w:eastAsia="仿宋" w:cs="Times New Roman"/>
                <w:sz w:val="21"/>
                <w:szCs w:val="21"/>
              </w:rPr>
              <w:t>措施项目</w:t>
            </w:r>
          </w:p>
        </w:tc>
        <w:tc>
          <w:tcPr>
            <w:tcW w:w="3420" w:type="dxa"/>
            <w:noWrap w:val="0"/>
            <w:vAlign w:val="center"/>
          </w:tcPr>
          <w:p>
            <w:pPr>
              <w:jc w:val="cente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88" w:type="dxa"/>
            <w:noWrap w:val="0"/>
            <w:vAlign w:val="center"/>
          </w:tcPr>
          <w:p>
            <w:pPr>
              <w:pStyle w:val="106"/>
              <w:jc w:val="center"/>
              <w:rPr>
                <w:rFonts w:ascii="Times New Roman" w:eastAsia="仿宋" w:cs="Times New Roman"/>
                <w:sz w:val="21"/>
                <w:szCs w:val="21"/>
              </w:rPr>
            </w:pPr>
          </w:p>
        </w:tc>
        <w:tc>
          <w:tcPr>
            <w:tcW w:w="4392" w:type="dxa"/>
            <w:noWrap w:val="0"/>
            <w:vAlign w:val="center"/>
          </w:tcPr>
          <w:p>
            <w:pPr>
              <w:pStyle w:val="106"/>
              <w:jc w:val="center"/>
              <w:rPr>
                <w:rFonts w:ascii="Times New Roman" w:eastAsia="仿宋" w:cs="Times New Roman"/>
                <w:sz w:val="21"/>
                <w:szCs w:val="21"/>
              </w:rPr>
            </w:pPr>
          </w:p>
        </w:tc>
        <w:tc>
          <w:tcPr>
            <w:tcW w:w="3420" w:type="dxa"/>
            <w:noWrap w:val="0"/>
            <w:vAlign w:val="center"/>
          </w:tcPr>
          <w:p>
            <w:pPr>
              <w:jc w:val="cente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88" w:type="dxa"/>
            <w:noWrap w:val="0"/>
            <w:vAlign w:val="center"/>
          </w:tcPr>
          <w:p>
            <w:pPr>
              <w:pStyle w:val="106"/>
              <w:jc w:val="center"/>
              <w:rPr>
                <w:rFonts w:hint="eastAsia" w:ascii="Times New Roman" w:eastAsia="仿宋" w:cs="Times New Roman"/>
                <w:sz w:val="21"/>
                <w:szCs w:val="21"/>
              </w:rPr>
            </w:pPr>
            <w:r>
              <w:rPr>
                <w:rFonts w:hint="eastAsia" w:ascii="Times New Roman" w:eastAsia="仿宋" w:cs="Times New Roman"/>
                <w:sz w:val="21"/>
                <w:szCs w:val="21"/>
              </w:rPr>
              <w:t>4</w:t>
            </w:r>
          </w:p>
        </w:tc>
        <w:tc>
          <w:tcPr>
            <w:tcW w:w="4392" w:type="dxa"/>
            <w:noWrap w:val="0"/>
            <w:vAlign w:val="center"/>
          </w:tcPr>
          <w:p>
            <w:pPr>
              <w:pStyle w:val="106"/>
              <w:jc w:val="center"/>
              <w:rPr>
                <w:rFonts w:ascii="Times New Roman" w:eastAsia="仿宋" w:cs="Times New Roman"/>
                <w:sz w:val="21"/>
                <w:szCs w:val="21"/>
              </w:rPr>
            </w:pPr>
            <w:r>
              <w:rPr>
                <w:rFonts w:ascii="Times New Roman" w:eastAsia="仿宋" w:cs="Times New Roman"/>
                <w:sz w:val="21"/>
                <w:szCs w:val="21"/>
              </w:rPr>
              <w:t>其他项目</w:t>
            </w:r>
          </w:p>
        </w:tc>
        <w:tc>
          <w:tcPr>
            <w:tcW w:w="3420" w:type="dxa"/>
            <w:noWrap w:val="0"/>
            <w:vAlign w:val="center"/>
          </w:tcPr>
          <w:p>
            <w:pPr>
              <w:jc w:val="cente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88" w:type="dxa"/>
            <w:noWrap w:val="0"/>
            <w:vAlign w:val="center"/>
          </w:tcPr>
          <w:p>
            <w:pPr>
              <w:pStyle w:val="106"/>
              <w:jc w:val="center"/>
              <w:rPr>
                <w:rFonts w:ascii="Times New Roman" w:eastAsia="仿宋" w:cs="Times New Roman"/>
                <w:sz w:val="21"/>
                <w:szCs w:val="21"/>
              </w:rPr>
            </w:pPr>
          </w:p>
        </w:tc>
        <w:tc>
          <w:tcPr>
            <w:tcW w:w="4392" w:type="dxa"/>
            <w:noWrap w:val="0"/>
            <w:vAlign w:val="center"/>
          </w:tcPr>
          <w:p>
            <w:pPr>
              <w:pStyle w:val="106"/>
              <w:ind w:firstLine="1680" w:firstLineChars="800"/>
              <w:jc w:val="both"/>
              <w:rPr>
                <w:rFonts w:hint="eastAsia" w:ascii="Times New Roman" w:eastAsia="仿宋" w:cs="Times New Roman"/>
                <w:sz w:val="21"/>
                <w:szCs w:val="21"/>
              </w:rPr>
            </w:pPr>
            <w:r>
              <w:rPr>
                <w:rFonts w:hint="eastAsia" w:ascii="Times New Roman" w:eastAsia="仿宋" w:cs="Times New Roman"/>
                <w:sz w:val="21"/>
                <w:szCs w:val="21"/>
              </w:rPr>
              <w:t>安全生产费</w:t>
            </w:r>
          </w:p>
        </w:tc>
        <w:tc>
          <w:tcPr>
            <w:tcW w:w="3420" w:type="dxa"/>
            <w:noWrap w:val="0"/>
            <w:vAlign w:val="center"/>
          </w:tcPr>
          <w:p>
            <w:pPr>
              <w:jc w:val="cente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80" w:type="dxa"/>
            <w:gridSpan w:val="2"/>
            <w:noWrap w:val="0"/>
            <w:vAlign w:val="center"/>
          </w:tcPr>
          <w:p>
            <w:pPr>
              <w:jc w:val="center"/>
              <w:rPr>
                <w:rFonts w:eastAsia="黑体"/>
                <w:color w:val="000000"/>
                <w:szCs w:val="21"/>
              </w:rPr>
            </w:pPr>
            <w:r>
              <w:rPr>
                <w:rFonts w:eastAsia="黑体"/>
                <w:color w:val="000000"/>
                <w:szCs w:val="21"/>
              </w:rPr>
              <w:t>合  计</w:t>
            </w:r>
          </w:p>
        </w:tc>
        <w:tc>
          <w:tcPr>
            <w:tcW w:w="3420" w:type="dxa"/>
            <w:noWrap w:val="0"/>
            <w:vAlign w:val="center"/>
          </w:tcPr>
          <w:p>
            <w:pPr>
              <w:jc w:val="center"/>
              <w:rPr>
                <w:color w:val="000000"/>
              </w:rPr>
            </w:pPr>
          </w:p>
        </w:tc>
      </w:tr>
    </w:tbl>
    <w:p>
      <w:pPr>
        <w:spacing w:line="500" w:lineRule="exact"/>
        <w:ind w:firstLine="560" w:firstLineChars="200"/>
        <w:rPr>
          <w:rFonts w:eastAsia="仿宋_GB2312"/>
          <w:color w:val="000000"/>
          <w:sz w:val="28"/>
          <w:szCs w:val="28"/>
          <w:u w:val="single"/>
        </w:rPr>
      </w:pPr>
    </w:p>
    <w:p>
      <w:pPr>
        <w:spacing w:line="500" w:lineRule="exact"/>
        <w:ind w:firstLine="3710" w:firstLineChars="1325"/>
        <w:rPr>
          <w:rFonts w:eastAsia="仿宋_GB2312"/>
          <w:bCs/>
          <w:color w:val="000000"/>
          <w:sz w:val="28"/>
          <w:szCs w:val="28"/>
          <w:u w:val="single"/>
        </w:rPr>
      </w:pPr>
      <w:r>
        <w:rPr>
          <w:rFonts w:eastAsia="仿宋_GB2312"/>
          <w:bCs/>
          <w:color w:val="000000"/>
          <w:sz w:val="28"/>
          <w:szCs w:val="28"/>
        </w:rPr>
        <w:t>投  标  人：</w:t>
      </w:r>
      <w:r>
        <w:rPr>
          <w:rFonts w:eastAsia="仿宋_GB2312"/>
          <w:bCs/>
          <w:color w:val="000000"/>
          <w:sz w:val="28"/>
          <w:szCs w:val="28"/>
          <w:u w:val="single"/>
        </w:rPr>
        <w:t xml:space="preserve">        （名称）         </w:t>
      </w:r>
    </w:p>
    <w:p>
      <w:pPr>
        <w:ind w:firstLine="6020" w:firstLineChars="2150"/>
        <w:rPr>
          <w:rFonts w:eastAsia="仿宋_GB2312"/>
          <w:bCs/>
          <w:color w:val="000000"/>
          <w:sz w:val="28"/>
          <w:szCs w:val="28"/>
        </w:rPr>
      </w:pPr>
      <w:r>
        <w:rPr>
          <w:rFonts w:eastAsia="仿宋_GB2312"/>
          <w:bCs/>
          <w:color w:val="000000"/>
          <w:sz w:val="28"/>
          <w:szCs w:val="28"/>
        </w:rPr>
        <w:t>（盖单位电子公章）</w:t>
      </w:r>
    </w:p>
    <w:p>
      <w:pPr>
        <w:spacing w:line="500" w:lineRule="exact"/>
        <w:ind w:firstLine="3710" w:firstLineChars="1325"/>
        <w:rPr>
          <w:rFonts w:eastAsia="仿宋_GB2312"/>
          <w:bCs/>
          <w:color w:val="000000"/>
          <w:sz w:val="28"/>
          <w:szCs w:val="28"/>
          <w:u w:val="single"/>
        </w:rPr>
      </w:pPr>
      <w:r>
        <w:rPr>
          <w:rFonts w:eastAsia="仿宋_GB2312"/>
          <w:bCs/>
          <w:color w:val="000000"/>
          <w:sz w:val="28"/>
          <w:szCs w:val="28"/>
        </w:rPr>
        <w:t>法定代表人：</w:t>
      </w:r>
      <w:r>
        <w:rPr>
          <w:rFonts w:eastAsia="仿宋_GB2312"/>
          <w:bCs/>
          <w:color w:val="000000"/>
          <w:sz w:val="28"/>
          <w:szCs w:val="28"/>
          <w:u w:val="single"/>
        </w:rPr>
        <w:t xml:space="preserve">       （电子签名）      </w:t>
      </w:r>
    </w:p>
    <w:p>
      <w:pPr>
        <w:spacing w:line="500" w:lineRule="exact"/>
        <w:ind w:firstLine="3710" w:firstLineChars="1325"/>
        <w:rPr>
          <w:rFonts w:eastAsia="仿宋_GB2312"/>
          <w:bCs/>
          <w:color w:val="000000"/>
          <w:sz w:val="28"/>
          <w:szCs w:val="28"/>
          <w:u w:val="single"/>
        </w:rPr>
      </w:pPr>
    </w:p>
    <w:p>
      <w:pPr>
        <w:spacing w:line="490" w:lineRule="exact"/>
        <w:ind w:firstLine="3710" w:firstLineChars="1325"/>
        <w:jc w:val="left"/>
        <w:rPr>
          <w:rFonts w:eastAsia="方正小标宋_GBK"/>
          <w:b/>
          <w:color w:val="000000"/>
          <w:sz w:val="40"/>
          <w:szCs w:val="44"/>
        </w:rPr>
      </w:pPr>
      <w:r>
        <w:rPr>
          <w:rFonts w:eastAsia="仿宋_GB2312"/>
          <w:color w:val="000000"/>
          <w:sz w:val="28"/>
          <w:szCs w:val="28"/>
        </w:rPr>
        <w:t>日      期：</w:t>
      </w:r>
      <w:r>
        <w:rPr>
          <w:rFonts w:eastAsia="仿宋_GB2312"/>
          <w:color w:val="000000"/>
          <w:sz w:val="28"/>
          <w:szCs w:val="28"/>
          <w:u w:val="single"/>
        </w:rPr>
        <w:t xml:space="preserve">         </w:t>
      </w:r>
      <w:r>
        <w:rPr>
          <w:rFonts w:eastAsia="仿宋_GB2312"/>
          <w:color w:val="000000"/>
          <w:sz w:val="28"/>
          <w:szCs w:val="28"/>
        </w:rPr>
        <w:t>年</w:t>
      </w:r>
      <w:r>
        <w:rPr>
          <w:rFonts w:eastAsia="仿宋_GB2312"/>
          <w:color w:val="000000"/>
          <w:sz w:val="28"/>
          <w:szCs w:val="28"/>
          <w:u w:val="single"/>
        </w:rPr>
        <w:t xml:space="preserve">      </w:t>
      </w:r>
      <w:r>
        <w:rPr>
          <w:rFonts w:eastAsia="仿宋_GB2312"/>
          <w:color w:val="000000"/>
          <w:sz w:val="28"/>
          <w:szCs w:val="28"/>
        </w:rPr>
        <w:t>月</w:t>
      </w:r>
      <w:r>
        <w:rPr>
          <w:rFonts w:eastAsia="仿宋_GB2312"/>
          <w:color w:val="000000"/>
          <w:sz w:val="28"/>
          <w:szCs w:val="28"/>
          <w:u w:val="single"/>
        </w:rPr>
        <w:t xml:space="preserve">      </w:t>
      </w:r>
      <w:r>
        <w:rPr>
          <w:rFonts w:eastAsia="仿宋_GB2312"/>
          <w:color w:val="000000"/>
          <w:sz w:val="28"/>
          <w:szCs w:val="28"/>
        </w:rPr>
        <w:t>日</w:t>
      </w:r>
      <w:r>
        <w:rPr>
          <w:color w:val="000000"/>
        </w:rPr>
        <w:br w:type="page"/>
      </w:r>
    </w:p>
    <w:p>
      <w:pPr>
        <w:spacing w:line="490" w:lineRule="exact"/>
        <w:jc w:val="center"/>
        <w:rPr>
          <w:rFonts w:hint="eastAsia" w:ascii="方正小标宋简体" w:eastAsia="方正小标宋简体"/>
          <w:color w:val="000000"/>
          <w:sz w:val="40"/>
          <w:szCs w:val="44"/>
        </w:rPr>
      </w:pPr>
      <w:r>
        <w:rPr>
          <w:rFonts w:hint="eastAsia" w:ascii="方正小标宋简体" w:eastAsia="方正小标宋简体"/>
          <w:color w:val="000000"/>
          <w:sz w:val="40"/>
          <w:szCs w:val="44"/>
        </w:rPr>
        <w:t>分类分项工程量清单计价表</w:t>
      </w:r>
    </w:p>
    <w:p>
      <w:pPr>
        <w:spacing w:line="490" w:lineRule="exact"/>
        <w:jc w:val="center"/>
        <w:rPr>
          <w:rFonts w:eastAsia="方正小标宋_GBK"/>
          <w:b/>
          <w:color w:val="000000"/>
          <w:sz w:val="40"/>
          <w:szCs w:val="44"/>
        </w:rPr>
      </w:pPr>
    </w:p>
    <w:p>
      <w:pPr>
        <w:spacing w:line="560" w:lineRule="exact"/>
        <w:rPr>
          <w:rFonts w:eastAsia="仿宋_GB2312"/>
          <w:color w:val="000000"/>
          <w:sz w:val="28"/>
          <w:szCs w:val="28"/>
          <w:u w:val="single"/>
        </w:rPr>
      </w:pPr>
      <w:r>
        <w:rPr>
          <w:rFonts w:eastAsia="仿宋_GB2312"/>
          <w:color w:val="000000"/>
          <w:sz w:val="28"/>
          <w:szCs w:val="28"/>
        </w:rPr>
        <w:t>合同编号：</w:t>
      </w:r>
      <w:r>
        <w:rPr>
          <w:rFonts w:eastAsia="仿宋_GB2312"/>
          <w:color w:val="000000"/>
          <w:sz w:val="28"/>
          <w:szCs w:val="28"/>
          <w:u w:val="single"/>
        </w:rPr>
        <w:t xml:space="preserve">  （投标项目合同号）  </w:t>
      </w:r>
    </w:p>
    <w:p>
      <w:pPr>
        <w:spacing w:line="560" w:lineRule="exact"/>
        <w:rPr>
          <w:rFonts w:eastAsia="仿宋_GB2312"/>
          <w:color w:val="000000"/>
          <w:sz w:val="28"/>
          <w:szCs w:val="28"/>
        </w:rPr>
      </w:pPr>
      <w:r>
        <w:rPr>
          <w:rFonts w:eastAsia="仿宋_GB2312"/>
          <w:color w:val="000000"/>
          <w:sz w:val="28"/>
          <w:szCs w:val="28"/>
        </w:rPr>
        <w:t>工程名称：</w:t>
      </w:r>
      <w:r>
        <w:rPr>
          <w:rFonts w:eastAsia="仿宋_GB2312"/>
          <w:color w:val="000000"/>
          <w:sz w:val="28"/>
          <w:szCs w:val="28"/>
          <w:u w:val="single"/>
        </w:rPr>
        <w:t xml:space="preserve">          </w:t>
      </w:r>
      <w:r>
        <w:rPr>
          <w:rFonts w:eastAsia="仿宋_GB2312"/>
          <w:color w:val="000000"/>
          <w:sz w:val="28"/>
          <w:szCs w:val="28"/>
        </w:rPr>
        <w:t>（项目名称）</w:t>
      </w:r>
      <w:r>
        <w:rPr>
          <w:rFonts w:eastAsia="仿宋_GB2312"/>
          <w:color w:val="000000"/>
          <w:sz w:val="28"/>
          <w:szCs w:val="28"/>
          <w:u w:val="single"/>
        </w:rPr>
        <w:t xml:space="preserve">          </w:t>
      </w:r>
      <w:r>
        <w:rPr>
          <w:rFonts w:eastAsia="仿宋_GB2312"/>
          <w:color w:val="000000"/>
          <w:sz w:val="28"/>
          <w:szCs w:val="28"/>
        </w:rPr>
        <w:t>（标段名称）</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2309"/>
        <w:gridCol w:w="1598"/>
        <w:gridCol w:w="722"/>
        <w:gridCol w:w="722"/>
        <w:gridCol w:w="722"/>
        <w:gridCol w:w="722"/>
        <w:gridCol w:w="871"/>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90" w:type="dxa"/>
            <w:noWrap w:val="0"/>
            <w:vAlign w:val="center"/>
          </w:tcPr>
          <w:p>
            <w:pPr>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序号</w:t>
            </w:r>
          </w:p>
        </w:tc>
        <w:tc>
          <w:tcPr>
            <w:tcW w:w="2309" w:type="dxa"/>
            <w:noWrap w:val="0"/>
            <w:vAlign w:val="center"/>
          </w:tcPr>
          <w:p>
            <w:pPr>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项目编码</w:t>
            </w:r>
          </w:p>
        </w:tc>
        <w:tc>
          <w:tcPr>
            <w:tcW w:w="1598" w:type="dxa"/>
            <w:noWrap w:val="0"/>
            <w:vAlign w:val="center"/>
          </w:tcPr>
          <w:p>
            <w:pPr>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项目名称</w:t>
            </w:r>
          </w:p>
        </w:tc>
        <w:tc>
          <w:tcPr>
            <w:tcW w:w="722" w:type="dxa"/>
            <w:noWrap w:val="0"/>
            <w:vAlign w:val="center"/>
          </w:tcPr>
          <w:p>
            <w:pPr>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计量单位</w:t>
            </w:r>
          </w:p>
        </w:tc>
        <w:tc>
          <w:tcPr>
            <w:tcW w:w="722" w:type="dxa"/>
            <w:noWrap w:val="0"/>
            <w:vAlign w:val="center"/>
          </w:tcPr>
          <w:p>
            <w:pPr>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工程数量</w:t>
            </w:r>
          </w:p>
        </w:tc>
        <w:tc>
          <w:tcPr>
            <w:tcW w:w="722" w:type="dxa"/>
            <w:noWrap w:val="0"/>
            <w:vAlign w:val="top"/>
          </w:tcPr>
          <w:p>
            <w:pPr>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单价（元）</w:t>
            </w:r>
          </w:p>
        </w:tc>
        <w:tc>
          <w:tcPr>
            <w:tcW w:w="722" w:type="dxa"/>
            <w:noWrap w:val="0"/>
            <w:vAlign w:val="top"/>
          </w:tcPr>
          <w:p>
            <w:pPr>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合价（元）</w:t>
            </w:r>
          </w:p>
        </w:tc>
        <w:tc>
          <w:tcPr>
            <w:tcW w:w="871" w:type="dxa"/>
            <w:noWrap w:val="0"/>
            <w:vAlign w:val="center"/>
          </w:tcPr>
          <w:p>
            <w:pPr>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技术条款编码</w:t>
            </w:r>
          </w:p>
        </w:tc>
        <w:tc>
          <w:tcPr>
            <w:tcW w:w="930" w:type="dxa"/>
            <w:noWrap w:val="0"/>
            <w:vAlign w:val="center"/>
          </w:tcPr>
          <w:p>
            <w:pPr>
              <w:jc w:val="center"/>
              <w:rPr>
                <w:rFonts w:hint="eastAsia" w:ascii="仿宋_GB2312" w:eastAsia="仿宋_GB2312"/>
                <w:bCs/>
                <w:color w:val="000000"/>
                <w:kern w:val="0"/>
                <w:sz w:val="18"/>
                <w:szCs w:val="18"/>
              </w:rPr>
            </w:pPr>
            <w:r>
              <w:rPr>
                <w:rFonts w:hint="eastAsia" w:ascii="仿宋_GB2312" w:eastAsia="仿宋_GB2312"/>
                <w:bCs/>
                <w:color w:val="000000"/>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0" w:type="dxa"/>
            <w:noWrap w:val="0"/>
            <w:vAlign w:val="center"/>
          </w:tcPr>
          <w:p>
            <w:pPr>
              <w:jc w:val="center"/>
              <w:rPr>
                <w:rFonts w:eastAsia="仿宋"/>
                <w:color w:val="000000"/>
                <w:sz w:val="18"/>
                <w:szCs w:val="18"/>
              </w:rPr>
            </w:pPr>
            <w:r>
              <w:rPr>
                <w:rFonts w:eastAsia="仿宋"/>
                <w:color w:val="000000"/>
                <w:sz w:val="18"/>
                <w:szCs w:val="18"/>
              </w:rPr>
              <w:t>1</w:t>
            </w:r>
          </w:p>
        </w:tc>
        <w:tc>
          <w:tcPr>
            <w:tcW w:w="2309" w:type="dxa"/>
            <w:noWrap w:val="0"/>
            <w:vAlign w:val="center"/>
          </w:tcPr>
          <w:p>
            <w:pPr>
              <w:jc w:val="center"/>
              <w:rPr>
                <w:rFonts w:eastAsia="仿宋"/>
                <w:color w:val="000000"/>
                <w:sz w:val="18"/>
                <w:szCs w:val="18"/>
              </w:rPr>
            </w:pPr>
          </w:p>
        </w:tc>
        <w:tc>
          <w:tcPr>
            <w:tcW w:w="1598" w:type="dxa"/>
            <w:noWrap w:val="0"/>
            <w:vAlign w:val="center"/>
          </w:tcPr>
          <w:p>
            <w:pPr>
              <w:jc w:val="center"/>
              <w:rPr>
                <w:rFonts w:eastAsia="仿宋"/>
                <w:color w:val="000000"/>
                <w:sz w:val="18"/>
                <w:szCs w:val="18"/>
              </w:rPr>
            </w:pPr>
            <w:r>
              <w:rPr>
                <w:rFonts w:eastAsia="仿宋"/>
                <w:color w:val="000000"/>
                <w:sz w:val="18"/>
                <w:szCs w:val="18"/>
              </w:rPr>
              <w:t>一级××项目</w:t>
            </w:r>
          </w:p>
        </w:tc>
        <w:tc>
          <w:tcPr>
            <w:tcW w:w="722" w:type="dxa"/>
            <w:noWrap w:val="0"/>
            <w:vAlign w:val="center"/>
          </w:tcPr>
          <w:p>
            <w:pPr>
              <w:jc w:val="center"/>
              <w:rPr>
                <w:rFonts w:eastAsia="仿宋"/>
                <w:b/>
                <w:bCs/>
                <w:color w:val="000000"/>
                <w:sz w:val="18"/>
                <w:szCs w:val="18"/>
              </w:rPr>
            </w:pPr>
          </w:p>
        </w:tc>
        <w:tc>
          <w:tcPr>
            <w:tcW w:w="722" w:type="dxa"/>
            <w:noWrap w:val="0"/>
            <w:vAlign w:val="center"/>
          </w:tcPr>
          <w:p>
            <w:pPr>
              <w:jc w:val="center"/>
              <w:rPr>
                <w:rFonts w:eastAsia="仿宋"/>
                <w:b/>
                <w:bCs/>
                <w:color w:val="000000"/>
                <w:sz w:val="18"/>
                <w:szCs w:val="18"/>
              </w:rPr>
            </w:pPr>
          </w:p>
        </w:tc>
        <w:tc>
          <w:tcPr>
            <w:tcW w:w="722" w:type="dxa"/>
            <w:noWrap w:val="0"/>
            <w:vAlign w:val="center"/>
          </w:tcPr>
          <w:p>
            <w:pPr>
              <w:jc w:val="center"/>
              <w:rPr>
                <w:rFonts w:eastAsia="仿宋"/>
                <w:b/>
                <w:bCs/>
                <w:color w:val="000000"/>
                <w:kern w:val="0"/>
                <w:sz w:val="18"/>
                <w:szCs w:val="18"/>
              </w:rPr>
            </w:pPr>
          </w:p>
        </w:tc>
        <w:tc>
          <w:tcPr>
            <w:tcW w:w="722" w:type="dxa"/>
            <w:noWrap w:val="0"/>
            <w:vAlign w:val="center"/>
          </w:tcPr>
          <w:p>
            <w:pPr>
              <w:jc w:val="center"/>
              <w:rPr>
                <w:rFonts w:eastAsia="仿宋"/>
                <w:b/>
                <w:bCs/>
                <w:color w:val="000000"/>
                <w:kern w:val="0"/>
                <w:sz w:val="18"/>
                <w:szCs w:val="18"/>
              </w:rPr>
            </w:pPr>
          </w:p>
        </w:tc>
        <w:tc>
          <w:tcPr>
            <w:tcW w:w="871" w:type="dxa"/>
            <w:noWrap w:val="0"/>
            <w:vAlign w:val="center"/>
          </w:tcPr>
          <w:p>
            <w:pPr>
              <w:jc w:val="center"/>
              <w:rPr>
                <w:rFonts w:eastAsia="仿宋"/>
                <w:b/>
                <w:bCs/>
                <w:color w:val="000000"/>
                <w:sz w:val="18"/>
                <w:szCs w:val="18"/>
              </w:rPr>
            </w:pPr>
          </w:p>
        </w:tc>
        <w:tc>
          <w:tcPr>
            <w:tcW w:w="930" w:type="dxa"/>
            <w:noWrap w:val="0"/>
            <w:vAlign w:val="center"/>
          </w:tcPr>
          <w:p>
            <w:pPr>
              <w:jc w:val="center"/>
              <w:rPr>
                <w:rFonts w:eastAsia="仿宋"/>
                <w:b/>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0" w:type="dxa"/>
            <w:noWrap w:val="0"/>
            <w:vAlign w:val="center"/>
          </w:tcPr>
          <w:p>
            <w:pPr>
              <w:jc w:val="center"/>
              <w:rPr>
                <w:rFonts w:eastAsia="仿宋"/>
                <w:color w:val="000000"/>
                <w:sz w:val="18"/>
                <w:szCs w:val="18"/>
              </w:rPr>
            </w:pPr>
            <w:r>
              <w:rPr>
                <w:rFonts w:eastAsia="仿宋"/>
                <w:color w:val="000000"/>
                <w:sz w:val="18"/>
                <w:szCs w:val="18"/>
              </w:rPr>
              <w:t>1.1</w:t>
            </w:r>
          </w:p>
        </w:tc>
        <w:tc>
          <w:tcPr>
            <w:tcW w:w="2309" w:type="dxa"/>
            <w:noWrap w:val="0"/>
            <w:vAlign w:val="center"/>
          </w:tcPr>
          <w:p>
            <w:pPr>
              <w:jc w:val="center"/>
              <w:rPr>
                <w:rFonts w:eastAsia="仿宋"/>
                <w:color w:val="000000"/>
                <w:sz w:val="18"/>
                <w:szCs w:val="18"/>
              </w:rPr>
            </w:pPr>
          </w:p>
        </w:tc>
        <w:tc>
          <w:tcPr>
            <w:tcW w:w="1598" w:type="dxa"/>
            <w:noWrap w:val="0"/>
            <w:vAlign w:val="center"/>
          </w:tcPr>
          <w:p>
            <w:pPr>
              <w:jc w:val="center"/>
              <w:rPr>
                <w:rFonts w:eastAsia="仿宋"/>
                <w:color w:val="000000"/>
                <w:sz w:val="18"/>
                <w:szCs w:val="18"/>
              </w:rPr>
            </w:pPr>
            <w:r>
              <w:rPr>
                <w:rFonts w:eastAsia="仿宋"/>
                <w:color w:val="000000"/>
                <w:sz w:val="18"/>
                <w:szCs w:val="18"/>
              </w:rPr>
              <w:t>二级××项目</w:t>
            </w:r>
          </w:p>
        </w:tc>
        <w:tc>
          <w:tcPr>
            <w:tcW w:w="722"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kern w:val="0"/>
                <w:sz w:val="18"/>
                <w:szCs w:val="18"/>
              </w:rPr>
            </w:pPr>
          </w:p>
        </w:tc>
        <w:tc>
          <w:tcPr>
            <w:tcW w:w="722" w:type="dxa"/>
            <w:noWrap w:val="0"/>
            <w:vAlign w:val="center"/>
          </w:tcPr>
          <w:p>
            <w:pPr>
              <w:jc w:val="center"/>
              <w:rPr>
                <w:rFonts w:eastAsia="仿宋"/>
                <w:color w:val="000000"/>
                <w:kern w:val="0"/>
                <w:sz w:val="18"/>
                <w:szCs w:val="18"/>
              </w:rPr>
            </w:pPr>
          </w:p>
        </w:tc>
        <w:tc>
          <w:tcPr>
            <w:tcW w:w="871" w:type="dxa"/>
            <w:noWrap w:val="0"/>
            <w:vAlign w:val="center"/>
          </w:tcPr>
          <w:p>
            <w:pPr>
              <w:jc w:val="center"/>
              <w:rPr>
                <w:rFonts w:eastAsia="仿宋"/>
                <w:color w:val="000000"/>
                <w:sz w:val="18"/>
                <w:szCs w:val="18"/>
              </w:rPr>
            </w:pPr>
          </w:p>
        </w:tc>
        <w:tc>
          <w:tcPr>
            <w:tcW w:w="930" w:type="dxa"/>
            <w:noWrap w:val="0"/>
            <w:vAlign w:val="center"/>
          </w:tcPr>
          <w:p>
            <w:pPr>
              <w:jc w:val="center"/>
              <w:rPr>
                <w:rFonts w:eastAsia="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0" w:type="dxa"/>
            <w:noWrap w:val="0"/>
            <w:vAlign w:val="center"/>
          </w:tcPr>
          <w:p>
            <w:pPr>
              <w:jc w:val="center"/>
              <w:rPr>
                <w:rFonts w:eastAsia="仿宋"/>
                <w:color w:val="000000"/>
                <w:sz w:val="18"/>
                <w:szCs w:val="18"/>
              </w:rPr>
            </w:pPr>
            <w:r>
              <w:rPr>
                <w:rFonts w:eastAsia="仿宋"/>
                <w:color w:val="000000"/>
                <w:sz w:val="18"/>
                <w:szCs w:val="18"/>
              </w:rPr>
              <w:t>1.1.1</w:t>
            </w:r>
          </w:p>
        </w:tc>
        <w:tc>
          <w:tcPr>
            <w:tcW w:w="2309" w:type="dxa"/>
            <w:noWrap w:val="0"/>
            <w:vAlign w:val="center"/>
          </w:tcPr>
          <w:p>
            <w:pPr>
              <w:jc w:val="center"/>
              <w:rPr>
                <w:rFonts w:eastAsia="仿宋"/>
                <w:color w:val="000000"/>
                <w:sz w:val="18"/>
                <w:szCs w:val="18"/>
              </w:rPr>
            </w:pPr>
          </w:p>
        </w:tc>
        <w:tc>
          <w:tcPr>
            <w:tcW w:w="1598" w:type="dxa"/>
            <w:noWrap w:val="0"/>
            <w:vAlign w:val="center"/>
          </w:tcPr>
          <w:p>
            <w:pPr>
              <w:jc w:val="center"/>
              <w:rPr>
                <w:rFonts w:eastAsia="仿宋"/>
                <w:color w:val="000000"/>
                <w:sz w:val="18"/>
                <w:szCs w:val="18"/>
              </w:rPr>
            </w:pPr>
            <w:r>
              <w:rPr>
                <w:rFonts w:eastAsia="仿宋"/>
                <w:color w:val="000000"/>
                <w:sz w:val="18"/>
                <w:szCs w:val="18"/>
              </w:rPr>
              <w:t>三级××项目</w:t>
            </w:r>
          </w:p>
        </w:tc>
        <w:tc>
          <w:tcPr>
            <w:tcW w:w="722"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kern w:val="0"/>
                <w:sz w:val="18"/>
                <w:szCs w:val="18"/>
              </w:rPr>
            </w:pPr>
          </w:p>
        </w:tc>
        <w:tc>
          <w:tcPr>
            <w:tcW w:w="722" w:type="dxa"/>
            <w:noWrap w:val="0"/>
            <w:vAlign w:val="center"/>
          </w:tcPr>
          <w:p>
            <w:pPr>
              <w:jc w:val="center"/>
              <w:rPr>
                <w:rFonts w:eastAsia="仿宋"/>
                <w:color w:val="000000"/>
                <w:kern w:val="0"/>
                <w:sz w:val="18"/>
                <w:szCs w:val="18"/>
              </w:rPr>
            </w:pPr>
          </w:p>
        </w:tc>
        <w:tc>
          <w:tcPr>
            <w:tcW w:w="871" w:type="dxa"/>
            <w:noWrap w:val="0"/>
            <w:vAlign w:val="center"/>
          </w:tcPr>
          <w:p>
            <w:pPr>
              <w:jc w:val="center"/>
              <w:rPr>
                <w:rFonts w:eastAsia="仿宋"/>
                <w:color w:val="000000"/>
                <w:sz w:val="18"/>
                <w:szCs w:val="18"/>
              </w:rPr>
            </w:pPr>
          </w:p>
        </w:tc>
        <w:tc>
          <w:tcPr>
            <w:tcW w:w="930" w:type="dxa"/>
            <w:noWrap w:val="0"/>
            <w:vAlign w:val="center"/>
          </w:tcPr>
          <w:p>
            <w:pPr>
              <w:jc w:val="center"/>
              <w:rPr>
                <w:rFonts w:eastAsia="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0" w:type="dxa"/>
            <w:noWrap w:val="0"/>
            <w:vAlign w:val="center"/>
          </w:tcPr>
          <w:p>
            <w:pPr>
              <w:jc w:val="center"/>
              <w:rPr>
                <w:rFonts w:eastAsia="仿宋"/>
                <w:color w:val="000000"/>
                <w:sz w:val="18"/>
                <w:szCs w:val="18"/>
              </w:rPr>
            </w:pPr>
          </w:p>
        </w:tc>
        <w:tc>
          <w:tcPr>
            <w:tcW w:w="2309" w:type="dxa"/>
            <w:noWrap w:val="0"/>
            <w:vAlign w:val="center"/>
          </w:tcPr>
          <w:p>
            <w:pPr>
              <w:jc w:val="center"/>
              <w:rPr>
                <w:rFonts w:eastAsia="仿宋"/>
                <w:color w:val="000000"/>
                <w:sz w:val="18"/>
                <w:szCs w:val="18"/>
              </w:rPr>
            </w:pPr>
          </w:p>
        </w:tc>
        <w:tc>
          <w:tcPr>
            <w:tcW w:w="1598"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kern w:val="0"/>
                <w:sz w:val="18"/>
                <w:szCs w:val="18"/>
              </w:rPr>
            </w:pPr>
          </w:p>
        </w:tc>
        <w:tc>
          <w:tcPr>
            <w:tcW w:w="722" w:type="dxa"/>
            <w:noWrap w:val="0"/>
            <w:vAlign w:val="center"/>
          </w:tcPr>
          <w:p>
            <w:pPr>
              <w:jc w:val="center"/>
              <w:rPr>
                <w:rFonts w:eastAsia="仿宋"/>
                <w:color w:val="000000"/>
                <w:kern w:val="0"/>
                <w:sz w:val="18"/>
                <w:szCs w:val="18"/>
              </w:rPr>
            </w:pPr>
          </w:p>
        </w:tc>
        <w:tc>
          <w:tcPr>
            <w:tcW w:w="871" w:type="dxa"/>
            <w:noWrap w:val="0"/>
            <w:vAlign w:val="center"/>
          </w:tcPr>
          <w:p>
            <w:pPr>
              <w:jc w:val="center"/>
              <w:rPr>
                <w:rFonts w:eastAsia="仿宋"/>
                <w:color w:val="000000"/>
                <w:sz w:val="18"/>
                <w:szCs w:val="18"/>
              </w:rPr>
            </w:pPr>
          </w:p>
        </w:tc>
        <w:tc>
          <w:tcPr>
            <w:tcW w:w="930" w:type="dxa"/>
            <w:noWrap w:val="0"/>
            <w:vAlign w:val="center"/>
          </w:tcPr>
          <w:p>
            <w:pPr>
              <w:jc w:val="center"/>
              <w:rPr>
                <w:rFonts w:eastAsia="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0" w:type="dxa"/>
            <w:noWrap w:val="0"/>
            <w:vAlign w:val="center"/>
          </w:tcPr>
          <w:p>
            <w:pPr>
              <w:jc w:val="center"/>
              <w:rPr>
                <w:rFonts w:eastAsia="仿宋"/>
                <w:color w:val="000000"/>
                <w:sz w:val="18"/>
                <w:szCs w:val="18"/>
              </w:rPr>
            </w:pPr>
          </w:p>
        </w:tc>
        <w:tc>
          <w:tcPr>
            <w:tcW w:w="2309" w:type="dxa"/>
            <w:noWrap w:val="0"/>
            <w:vAlign w:val="center"/>
          </w:tcPr>
          <w:p>
            <w:pPr>
              <w:jc w:val="center"/>
              <w:rPr>
                <w:rFonts w:eastAsia="仿宋"/>
                <w:color w:val="000000"/>
                <w:sz w:val="18"/>
                <w:szCs w:val="18"/>
              </w:rPr>
            </w:pPr>
          </w:p>
        </w:tc>
        <w:tc>
          <w:tcPr>
            <w:tcW w:w="1598"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kern w:val="0"/>
                <w:sz w:val="18"/>
                <w:szCs w:val="18"/>
              </w:rPr>
            </w:pPr>
          </w:p>
        </w:tc>
        <w:tc>
          <w:tcPr>
            <w:tcW w:w="722" w:type="dxa"/>
            <w:noWrap w:val="0"/>
            <w:vAlign w:val="center"/>
          </w:tcPr>
          <w:p>
            <w:pPr>
              <w:jc w:val="center"/>
              <w:rPr>
                <w:rFonts w:eastAsia="仿宋"/>
                <w:color w:val="000000"/>
                <w:kern w:val="0"/>
                <w:sz w:val="18"/>
                <w:szCs w:val="18"/>
              </w:rPr>
            </w:pPr>
          </w:p>
        </w:tc>
        <w:tc>
          <w:tcPr>
            <w:tcW w:w="871" w:type="dxa"/>
            <w:noWrap w:val="0"/>
            <w:vAlign w:val="center"/>
          </w:tcPr>
          <w:p>
            <w:pPr>
              <w:jc w:val="center"/>
              <w:rPr>
                <w:rFonts w:eastAsia="仿宋"/>
                <w:color w:val="000000"/>
                <w:sz w:val="18"/>
                <w:szCs w:val="18"/>
              </w:rPr>
            </w:pPr>
          </w:p>
        </w:tc>
        <w:tc>
          <w:tcPr>
            <w:tcW w:w="930" w:type="dxa"/>
            <w:noWrap w:val="0"/>
            <w:vAlign w:val="center"/>
          </w:tcPr>
          <w:p>
            <w:pPr>
              <w:jc w:val="center"/>
              <w:rPr>
                <w:rFonts w:eastAsia="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0" w:type="dxa"/>
            <w:noWrap w:val="0"/>
            <w:vAlign w:val="center"/>
          </w:tcPr>
          <w:p>
            <w:pPr>
              <w:jc w:val="center"/>
              <w:rPr>
                <w:rFonts w:eastAsia="仿宋"/>
                <w:color w:val="000000"/>
                <w:sz w:val="18"/>
                <w:szCs w:val="18"/>
              </w:rPr>
            </w:pPr>
          </w:p>
        </w:tc>
        <w:tc>
          <w:tcPr>
            <w:tcW w:w="2309" w:type="dxa"/>
            <w:noWrap w:val="0"/>
            <w:vAlign w:val="center"/>
          </w:tcPr>
          <w:p>
            <w:pPr>
              <w:jc w:val="center"/>
              <w:rPr>
                <w:rFonts w:eastAsia="仿宋"/>
                <w:color w:val="000000"/>
                <w:sz w:val="18"/>
                <w:szCs w:val="18"/>
              </w:rPr>
            </w:pPr>
            <w:r>
              <w:rPr>
                <w:rFonts w:eastAsia="仿宋"/>
                <w:color w:val="000000"/>
                <w:sz w:val="18"/>
                <w:szCs w:val="18"/>
              </w:rPr>
              <w:t>50××××××××××</w:t>
            </w:r>
          </w:p>
        </w:tc>
        <w:tc>
          <w:tcPr>
            <w:tcW w:w="1598" w:type="dxa"/>
            <w:noWrap w:val="0"/>
            <w:vAlign w:val="center"/>
          </w:tcPr>
          <w:p>
            <w:pPr>
              <w:jc w:val="center"/>
              <w:rPr>
                <w:rFonts w:eastAsia="仿宋"/>
                <w:color w:val="000000"/>
                <w:sz w:val="18"/>
                <w:szCs w:val="18"/>
              </w:rPr>
            </w:pPr>
            <w:r>
              <w:rPr>
                <w:rFonts w:eastAsia="仿宋"/>
                <w:color w:val="000000"/>
                <w:sz w:val="18"/>
                <w:szCs w:val="18"/>
              </w:rPr>
              <w:t>最末一级项目</w:t>
            </w:r>
          </w:p>
        </w:tc>
        <w:tc>
          <w:tcPr>
            <w:tcW w:w="722"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kern w:val="0"/>
                <w:sz w:val="18"/>
                <w:szCs w:val="18"/>
              </w:rPr>
            </w:pPr>
          </w:p>
        </w:tc>
        <w:tc>
          <w:tcPr>
            <w:tcW w:w="722" w:type="dxa"/>
            <w:noWrap w:val="0"/>
            <w:vAlign w:val="center"/>
          </w:tcPr>
          <w:p>
            <w:pPr>
              <w:jc w:val="center"/>
              <w:rPr>
                <w:rFonts w:eastAsia="仿宋"/>
                <w:color w:val="000000"/>
                <w:kern w:val="0"/>
                <w:sz w:val="18"/>
                <w:szCs w:val="18"/>
              </w:rPr>
            </w:pPr>
          </w:p>
        </w:tc>
        <w:tc>
          <w:tcPr>
            <w:tcW w:w="871" w:type="dxa"/>
            <w:noWrap w:val="0"/>
            <w:vAlign w:val="center"/>
          </w:tcPr>
          <w:p>
            <w:pPr>
              <w:jc w:val="center"/>
              <w:rPr>
                <w:rFonts w:eastAsia="仿宋"/>
                <w:color w:val="000000"/>
                <w:sz w:val="18"/>
                <w:szCs w:val="18"/>
              </w:rPr>
            </w:pPr>
          </w:p>
        </w:tc>
        <w:tc>
          <w:tcPr>
            <w:tcW w:w="930" w:type="dxa"/>
            <w:noWrap w:val="0"/>
            <w:vAlign w:val="center"/>
          </w:tcPr>
          <w:p>
            <w:pPr>
              <w:jc w:val="center"/>
              <w:rPr>
                <w:rFonts w:eastAsia="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0" w:type="dxa"/>
            <w:noWrap w:val="0"/>
            <w:vAlign w:val="center"/>
          </w:tcPr>
          <w:p>
            <w:pPr>
              <w:jc w:val="center"/>
              <w:rPr>
                <w:rFonts w:eastAsia="仿宋"/>
                <w:color w:val="000000"/>
                <w:sz w:val="18"/>
                <w:szCs w:val="18"/>
              </w:rPr>
            </w:pPr>
          </w:p>
        </w:tc>
        <w:tc>
          <w:tcPr>
            <w:tcW w:w="2309" w:type="dxa"/>
            <w:noWrap w:val="0"/>
            <w:vAlign w:val="center"/>
          </w:tcPr>
          <w:p>
            <w:pPr>
              <w:jc w:val="center"/>
              <w:rPr>
                <w:rFonts w:eastAsia="仿宋"/>
                <w:color w:val="000000"/>
                <w:sz w:val="18"/>
                <w:szCs w:val="18"/>
              </w:rPr>
            </w:pPr>
          </w:p>
        </w:tc>
        <w:tc>
          <w:tcPr>
            <w:tcW w:w="1598"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kern w:val="0"/>
                <w:sz w:val="18"/>
                <w:szCs w:val="18"/>
              </w:rPr>
            </w:pPr>
          </w:p>
        </w:tc>
        <w:tc>
          <w:tcPr>
            <w:tcW w:w="722" w:type="dxa"/>
            <w:noWrap w:val="0"/>
            <w:vAlign w:val="center"/>
          </w:tcPr>
          <w:p>
            <w:pPr>
              <w:jc w:val="center"/>
              <w:rPr>
                <w:rFonts w:eastAsia="仿宋"/>
                <w:color w:val="000000"/>
                <w:kern w:val="0"/>
                <w:sz w:val="18"/>
                <w:szCs w:val="18"/>
              </w:rPr>
            </w:pPr>
          </w:p>
        </w:tc>
        <w:tc>
          <w:tcPr>
            <w:tcW w:w="871" w:type="dxa"/>
            <w:noWrap w:val="0"/>
            <w:vAlign w:val="center"/>
          </w:tcPr>
          <w:p>
            <w:pPr>
              <w:jc w:val="center"/>
              <w:rPr>
                <w:rFonts w:eastAsia="仿宋"/>
                <w:color w:val="000000"/>
                <w:sz w:val="18"/>
                <w:szCs w:val="18"/>
              </w:rPr>
            </w:pPr>
          </w:p>
        </w:tc>
        <w:tc>
          <w:tcPr>
            <w:tcW w:w="930" w:type="dxa"/>
            <w:noWrap w:val="0"/>
            <w:vAlign w:val="center"/>
          </w:tcPr>
          <w:p>
            <w:pPr>
              <w:jc w:val="center"/>
              <w:rPr>
                <w:rFonts w:eastAsia="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0" w:type="dxa"/>
            <w:noWrap w:val="0"/>
            <w:vAlign w:val="center"/>
          </w:tcPr>
          <w:p>
            <w:pPr>
              <w:jc w:val="center"/>
              <w:rPr>
                <w:rFonts w:eastAsia="仿宋"/>
                <w:color w:val="000000"/>
                <w:sz w:val="18"/>
                <w:szCs w:val="18"/>
              </w:rPr>
            </w:pPr>
            <w:r>
              <w:rPr>
                <w:rFonts w:eastAsia="仿宋"/>
                <w:color w:val="000000"/>
                <w:sz w:val="18"/>
                <w:szCs w:val="18"/>
              </w:rPr>
              <w:t>1.1.2</w:t>
            </w:r>
          </w:p>
        </w:tc>
        <w:tc>
          <w:tcPr>
            <w:tcW w:w="2309" w:type="dxa"/>
            <w:noWrap w:val="0"/>
            <w:vAlign w:val="center"/>
          </w:tcPr>
          <w:p>
            <w:pPr>
              <w:jc w:val="center"/>
              <w:rPr>
                <w:rFonts w:eastAsia="仿宋"/>
                <w:color w:val="000000"/>
                <w:sz w:val="18"/>
                <w:szCs w:val="18"/>
              </w:rPr>
            </w:pPr>
          </w:p>
        </w:tc>
        <w:tc>
          <w:tcPr>
            <w:tcW w:w="1598"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kern w:val="0"/>
                <w:sz w:val="18"/>
                <w:szCs w:val="18"/>
              </w:rPr>
            </w:pPr>
          </w:p>
        </w:tc>
        <w:tc>
          <w:tcPr>
            <w:tcW w:w="722" w:type="dxa"/>
            <w:noWrap w:val="0"/>
            <w:vAlign w:val="center"/>
          </w:tcPr>
          <w:p>
            <w:pPr>
              <w:jc w:val="center"/>
              <w:rPr>
                <w:rFonts w:eastAsia="仿宋"/>
                <w:color w:val="000000"/>
                <w:kern w:val="0"/>
                <w:sz w:val="18"/>
                <w:szCs w:val="18"/>
              </w:rPr>
            </w:pPr>
          </w:p>
        </w:tc>
        <w:tc>
          <w:tcPr>
            <w:tcW w:w="871" w:type="dxa"/>
            <w:noWrap w:val="0"/>
            <w:vAlign w:val="center"/>
          </w:tcPr>
          <w:p>
            <w:pPr>
              <w:jc w:val="center"/>
              <w:rPr>
                <w:rFonts w:eastAsia="仿宋"/>
                <w:color w:val="000000"/>
                <w:sz w:val="18"/>
                <w:szCs w:val="18"/>
              </w:rPr>
            </w:pPr>
          </w:p>
        </w:tc>
        <w:tc>
          <w:tcPr>
            <w:tcW w:w="930" w:type="dxa"/>
            <w:noWrap w:val="0"/>
            <w:vAlign w:val="center"/>
          </w:tcPr>
          <w:p>
            <w:pPr>
              <w:jc w:val="center"/>
              <w:rPr>
                <w:rFonts w:eastAsia="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0" w:type="dxa"/>
            <w:noWrap w:val="0"/>
            <w:vAlign w:val="center"/>
          </w:tcPr>
          <w:p>
            <w:pPr>
              <w:jc w:val="center"/>
              <w:rPr>
                <w:rFonts w:eastAsia="仿宋"/>
                <w:color w:val="000000"/>
                <w:sz w:val="18"/>
                <w:szCs w:val="18"/>
              </w:rPr>
            </w:pPr>
          </w:p>
        </w:tc>
        <w:tc>
          <w:tcPr>
            <w:tcW w:w="2309" w:type="dxa"/>
            <w:noWrap w:val="0"/>
            <w:vAlign w:val="center"/>
          </w:tcPr>
          <w:p>
            <w:pPr>
              <w:jc w:val="center"/>
              <w:rPr>
                <w:rFonts w:eastAsia="仿宋"/>
                <w:color w:val="000000"/>
                <w:sz w:val="18"/>
                <w:szCs w:val="18"/>
              </w:rPr>
            </w:pPr>
          </w:p>
        </w:tc>
        <w:tc>
          <w:tcPr>
            <w:tcW w:w="1598"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kern w:val="0"/>
                <w:sz w:val="18"/>
                <w:szCs w:val="18"/>
              </w:rPr>
            </w:pPr>
          </w:p>
        </w:tc>
        <w:tc>
          <w:tcPr>
            <w:tcW w:w="722" w:type="dxa"/>
            <w:noWrap w:val="0"/>
            <w:vAlign w:val="center"/>
          </w:tcPr>
          <w:p>
            <w:pPr>
              <w:jc w:val="center"/>
              <w:rPr>
                <w:rFonts w:eastAsia="仿宋"/>
                <w:color w:val="000000"/>
                <w:kern w:val="0"/>
                <w:sz w:val="18"/>
                <w:szCs w:val="18"/>
              </w:rPr>
            </w:pPr>
          </w:p>
        </w:tc>
        <w:tc>
          <w:tcPr>
            <w:tcW w:w="871" w:type="dxa"/>
            <w:noWrap w:val="0"/>
            <w:vAlign w:val="center"/>
          </w:tcPr>
          <w:p>
            <w:pPr>
              <w:jc w:val="center"/>
              <w:rPr>
                <w:rFonts w:eastAsia="仿宋"/>
                <w:color w:val="000000"/>
                <w:sz w:val="18"/>
                <w:szCs w:val="18"/>
              </w:rPr>
            </w:pPr>
          </w:p>
        </w:tc>
        <w:tc>
          <w:tcPr>
            <w:tcW w:w="930" w:type="dxa"/>
            <w:noWrap w:val="0"/>
            <w:vAlign w:val="center"/>
          </w:tcPr>
          <w:p>
            <w:pPr>
              <w:jc w:val="center"/>
              <w:rPr>
                <w:rFonts w:eastAsia="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0" w:type="dxa"/>
            <w:noWrap w:val="0"/>
            <w:vAlign w:val="center"/>
          </w:tcPr>
          <w:p>
            <w:pPr>
              <w:jc w:val="center"/>
              <w:rPr>
                <w:rFonts w:eastAsia="仿宋"/>
                <w:color w:val="000000"/>
                <w:sz w:val="18"/>
                <w:szCs w:val="18"/>
              </w:rPr>
            </w:pPr>
          </w:p>
        </w:tc>
        <w:tc>
          <w:tcPr>
            <w:tcW w:w="2309" w:type="dxa"/>
            <w:noWrap w:val="0"/>
            <w:vAlign w:val="center"/>
          </w:tcPr>
          <w:p>
            <w:pPr>
              <w:jc w:val="center"/>
              <w:rPr>
                <w:rFonts w:eastAsia="仿宋"/>
                <w:color w:val="000000"/>
                <w:sz w:val="18"/>
                <w:szCs w:val="18"/>
              </w:rPr>
            </w:pPr>
          </w:p>
        </w:tc>
        <w:tc>
          <w:tcPr>
            <w:tcW w:w="1598"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kern w:val="0"/>
                <w:sz w:val="18"/>
                <w:szCs w:val="18"/>
              </w:rPr>
            </w:pPr>
          </w:p>
        </w:tc>
        <w:tc>
          <w:tcPr>
            <w:tcW w:w="722" w:type="dxa"/>
            <w:noWrap w:val="0"/>
            <w:vAlign w:val="center"/>
          </w:tcPr>
          <w:p>
            <w:pPr>
              <w:jc w:val="center"/>
              <w:rPr>
                <w:rFonts w:eastAsia="仿宋"/>
                <w:color w:val="000000"/>
                <w:kern w:val="0"/>
                <w:sz w:val="18"/>
                <w:szCs w:val="18"/>
              </w:rPr>
            </w:pPr>
          </w:p>
        </w:tc>
        <w:tc>
          <w:tcPr>
            <w:tcW w:w="871" w:type="dxa"/>
            <w:noWrap w:val="0"/>
            <w:vAlign w:val="center"/>
          </w:tcPr>
          <w:p>
            <w:pPr>
              <w:jc w:val="center"/>
              <w:rPr>
                <w:rFonts w:eastAsia="仿宋"/>
                <w:color w:val="000000"/>
                <w:sz w:val="18"/>
                <w:szCs w:val="18"/>
              </w:rPr>
            </w:pPr>
          </w:p>
        </w:tc>
        <w:tc>
          <w:tcPr>
            <w:tcW w:w="930" w:type="dxa"/>
            <w:noWrap w:val="0"/>
            <w:vAlign w:val="center"/>
          </w:tcPr>
          <w:p>
            <w:pPr>
              <w:jc w:val="center"/>
              <w:rPr>
                <w:rFonts w:eastAsia="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0" w:type="dxa"/>
            <w:noWrap w:val="0"/>
            <w:vAlign w:val="center"/>
          </w:tcPr>
          <w:p>
            <w:pPr>
              <w:jc w:val="center"/>
              <w:rPr>
                <w:rFonts w:eastAsia="仿宋"/>
                <w:color w:val="000000"/>
                <w:sz w:val="18"/>
                <w:szCs w:val="18"/>
              </w:rPr>
            </w:pPr>
            <w:r>
              <w:rPr>
                <w:rFonts w:eastAsia="仿宋"/>
                <w:color w:val="000000"/>
                <w:sz w:val="18"/>
                <w:szCs w:val="18"/>
              </w:rPr>
              <w:t>2</w:t>
            </w:r>
          </w:p>
        </w:tc>
        <w:tc>
          <w:tcPr>
            <w:tcW w:w="2309" w:type="dxa"/>
            <w:noWrap w:val="0"/>
            <w:vAlign w:val="center"/>
          </w:tcPr>
          <w:p>
            <w:pPr>
              <w:jc w:val="center"/>
              <w:rPr>
                <w:rFonts w:eastAsia="仿宋"/>
                <w:color w:val="000000"/>
                <w:sz w:val="18"/>
                <w:szCs w:val="18"/>
              </w:rPr>
            </w:pPr>
          </w:p>
        </w:tc>
        <w:tc>
          <w:tcPr>
            <w:tcW w:w="1598" w:type="dxa"/>
            <w:noWrap w:val="0"/>
            <w:vAlign w:val="center"/>
          </w:tcPr>
          <w:p>
            <w:pPr>
              <w:jc w:val="center"/>
              <w:rPr>
                <w:rFonts w:eastAsia="仿宋"/>
                <w:color w:val="000000"/>
                <w:sz w:val="18"/>
                <w:szCs w:val="18"/>
              </w:rPr>
            </w:pPr>
            <w:r>
              <w:rPr>
                <w:rFonts w:eastAsia="仿宋"/>
                <w:color w:val="000000"/>
                <w:sz w:val="18"/>
                <w:szCs w:val="18"/>
              </w:rPr>
              <w:t>一级××项目</w:t>
            </w:r>
          </w:p>
        </w:tc>
        <w:tc>
          <w:tcPr>
            <w:tcW w:w="722"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kern w:val="0"/>
                <w:sz w:val="18"/>
                <w:szCs w:val="18"/>
              </w:rPr>
            </w:pPr>
          </w:p>
        </w:tc>
        <w:tc>
          <w:tcPr>
            <w:tcW w:w="722" w:type="dxa"/>
            <w:noWrap w:val="0"/>
            <w:vAlign w:val="center"/>
          </w:tcPr>
          <w:p>
            <w:pPr>
              <w:jc w:val="center"/>
              <w:rPr>
                <w:rFonts w:eastAsia="仿宋"/>
                <w:color w:val="000000"/>
                <w:kern w:val="0"/>
                <w:sz w:val="18"/>
                <w:szCs w:val="18"/>
              </w:rPr>
            </w:pPr>
          </w:p>
        </w:tc>
        <w:tc>
          <w:tcPr>
            <w:tcW w:w="871" w:type="dxa"/>
            <w:noWrap w:val="0"/>
            <w:vAlign w:val="center"/>
          </w:tcPr>
          <w:p>
            <w:pPr>
              <w:jc w:val="center"/>
              <w:rPr>
                <w:rFonts w:eastAsia="仿宋"/>
                <w:color w:val="000000"/>
                <w:sz w:val="18"/>
                <w:szCs w:val="18"/>
              </w:rPr>
            </w:pPr>
          </w:p>
        </w:tc>
        <w:tc>
          <w:tcPr>
            <w:tcW w:w="930" w:type="dxa"/>
            <w:noWrap w:val="0"/>
            <w:vAlign w:val="center"/>
          </w:tcPr>
          <w:p>
            <w:pPr>
              <w:jc w:val="center"/>
              <w:rPr>
                <w:rFonts w:eastAsia="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0" w:type="dxa"/>
            <w:noWrap w:val="0"/>
            <w:vAlign w:val="center"/>
          </w:tcPr>
          <w:p>
            <w:pPr>
              <w:jc w:val="center"/>
              <w:rPr>
                <w:rFonts w:eastAsia="仿宋"/>
                <w:color w:val="000000"/>
                <w:sz w:val="18"/>
                <w:szCs w:val="18"/>
              </w:rPr>
            </w:pPr>
            <w:r>
              <w:rPr>
                <w:rFonts w:eastAsia="仿宋"/>
                <w:color w:val="000000"/>
                <w:sz w:val="18"/>
                <w:szCs w:val="18"/>
              </w:rPr>
              <w:t>2.1</w:t>
            </w:r>
          </w:p>
        </w:tc>
        <w:tc>
          <w:tcPr>
            <w:tcW w:w="2309" w:type="dxa"/>
            <w:noWrap w:val="0"/>
            <w:vAlign w:val="center"/>
          </w:tcPr>
          <w:p>
            <w:pPr>
              <w:jc w:val="center"/>
              <w:rPr>
                <w:rFonts w:eastAsia="仿宋"/>
                <w:color w:val="000000"/>
                <w:sz w:val="18"/>
                <w:szCs w:val="18"/>
              </w:rPr>
            </w:pPr>
          </w:p>
        </w:tc>
        <w:tc>
          <w:tcPr>
            <w:tcW w:w="1598" w:type="dxa"/>
            <w:noWrap w:val="0"/>
            <w:vAlign w:val="center"/>
          </w:tcPr>
          <w:p>
            <w:pPr>
              <w:jc w:val="center"/>
              <w:rPr>
                <w:rFonts w:eastAsia="仿宋"/>
                <w:color w:val="000000"/>
                <w:sz w:val="18"/>
                <w:szCs w:val="18"/>
              </w:rPr>
            </w:pPr>
            <w:r>
              <w:rPr>
                <w:rFonts w:eastAsia="仿宋"/>
                <w:color w:val="000000"/>
                <w:sz w:val="18"/>
                <w:szCs w:val="18"/>
              </w:rPr>
              <w:t>二级××项目</w:t>
            </w:r>
          </w:p>
        </w:tc>
        <w:tc>
          <w:tcPr>
            <w:tcW w:w="722"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kern w:val="0"/>
                <w:sz w:val="18"/>
                <w:szCs w:val="18"/>
              </w:rPr>
            </w:pPr>
          </w:p>
        </w:tc>
        <w:tc>
          <w:tcPr>
            <w:tcW w:w="722" w:type="dxa"/>
            <w:noWrap w:val="0"/>
            <w:vAlign w:val="center"/>
          </w:tcPr>
          <w:p>
            <w:pPr>
              <w:jc w:val="center"/>
              <w:rPr>
                <w:rFonts w:eastAsia="仿宋"/>
                <w:color w:val="000000"/>
                <w:kern w:val="0"/>
                <w:sz w:val="18"/>
                <w:szCs w:val="18"/>
              </w:rPr>
            </w:pPr>
          </w:p>
        </w:tc>
        <w:tc>
          <w:tcPr>
            <w:tcW w:w="871" w:type="dxa"/>
            <w:noWrap w:val="0"/>
            <w:vAlign w:val="center"/>
          </w:tcPr>
          <w:p>
            <w:pPr>
              <w:jc w:val="center"/>
              <w:rPr>
                <w:rFonts w:eastAsia="仿宋"/>
                <w:color w:val="000000"/>
                <w:sz w:val="18"/>
                <w:szCs w:val="18"/>
              </w:rPr>
            </w:pPr>
          </w:p>
        </w:tc>
        <w:tc>
          <w:tcPr>
            <w:tcW w:w="930" w:type="dxa"/>
            <w:noWrap w:val="0"/>
            <w:vAlign w:val="center"/>
          </w:tcPr>
          <w:p>
            <w:pPr>
              <w:jc w:val="center"/>
              <w:rPr>
                <w:rFonts w:eastAsia="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0" w:type="dxa"/>
            <w:noWrap w:val="0"/>
            <w:vAlign w:val="center"/>
          </w:tcPr>
          <w:p>
            <w:pPr>
              <w:jc w:val="center"/>
              <w:rPr>
                <w:rFonts w:eastAsia="仿宋"/>
                <w:color w:val="000000"/>
                <w:sz w:val="18"/>
                <w:szCs w:val="18"/>
              </w:rPr>
            </w:pPr>
            <w:r>
              <w:rPr>
                <w:rFonts w:eastAsia="仿宋"/>
                <w:color w:val="000000"/>
                <w:sz w:val="18"/>
                <w:szCs w:val="18"/>
              </w:rPr>
              <w:t>2.1.1</w:t>
            </w:r>
          </w:p>
        </w:tc>
        <w:tc>
          <w:tcPr>
            <w:tcW w:w="2309" w:type="dxa"/>
            <w:noWrap w:val="0"/>
            <w:vAlign w:val="center"/>
          </w:tcPr>
          <w:p>
            <w:pPr>
              <w:jc w:val="center"/>
              <w:rPr>
                <w:rFonts w:eastAsia="仿宋"/>
                <w:color w:val="000000"/>
                <w:sz w:val="18"/>
                <w:szCs w:val="18"/>
              </w:rPr>
            </w:pPr>
          </w:p>
        </w:tc>
        <w:tc>
          <w:tcPr>
            <w:tcW w:w="1598" w:type="dxa"/>
            <w:noWrap w:val="0"/>
            <w:vAlign w:val="center"/>
          </w:tcPr>
          <w:p>
            <w:pPr>
              <w:jc w:val="center"/>
              <w:rPr>
                <w:rFonts w:eastAsia="仿宋"/>
                <w:color w:val="000000"/>
                <w:sz w:val="18"/>
                <w:szCs w:val="18"/>
              </w:rPr>
            </w:pPr>
            <w:r>
              <w:rPr>
                <w:rFonts w:eastAsia="仿宋"/>
                <w:color w:val="000000"/>
                <w:sz w:val="18"/>
                <w:szCs w:val="18"/>
              </w:rPr>
              <w:t>三级××项目</w:t>
            </w:r>
          </w:p>
        </w:tc>
        <w:tc>
          <w:tcPr>
            <w:tcW w:w="722"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kern w:val="0"/>
                <w:sz w:val="18"/>
                <w:szCs w:val="18"/>
              </w:rPr>
            </w:pPr>
          </w:p>
        </w:tc>
        <w:tc>
          <w:tcPr>
            <w:tcW w:w="722" w:type="dxa"/>
            <w:noWrap w:val="0"/>
            <w:vAlign w:val="center"/>
          </w:tcPr>
          <w:p>
            <w:pPr>
              <w:jc w:val="center"/>
              <w:rPr>
                <w:rFonts w:eastAsia="仿宋"/>
                <w:color w:val="000000"/>
                <w:kern w:val="0"/>
                <w:sz w:val="18"/>
                <w:szCs w:val="18"/>
              </w:rPr>
            </w:pPr>
          </w:p>
        </w:tc>
        <w:tc>
          <w:tcPr>
            <w:tcW w:w="871" w:type="dxa"/>
            <w:noWrap w:val="0"/>
            <w:vAlign w:val="center"/>
          </w:tcPr>
          <w:p>
            <w:pPr>
              <w:jc w:val="center"/>
              <w:rPr>
                <w:rFonts w:eastAsia="仿宋"/>
                <w:color w:val="000000"/>
                <w:sz w:val="18"/>
                <w:szCs w:val="18"/>
              </w:rPr>
            </w:pPr>
          </w:p>
        </w:tc>
        <w:tc>
          <w:tcPr>
            <w:tcW w:w="930" w:type="dxa"/>
            <w:noWrap w:val="0"/>
            <w:vAlign w:val="center"/>
          </w:tcPr>
          <w:p>
            <w:pPr>
              <w:jc w:val="center"/>
              <w:rPr>
                <w:rFonts w:eastAsia="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0" w:type="dxa"/>
            <w:noWrap w:val="0"/>
            <w:vAlign w:val="center"/>
          </w:tcPr>
          <w:p>
            <w:pPr>
              <w:jc w:val="center"/>
              <w:rPr>
                <w:rFonts w:eastAsia="仿宋"/>
                <w:color w:val="000000"/>
                <w:sz w:val="18"/>
                <w:szCs w:val="18"/>
              </w:rPr>
            </w:pPr>
          </w:p>
        </w:tc>
        <w:tc>
          <w:tcPr>
            <w:tcW w:w="2309" w:type="dxa"/>
            <w:noWrap w:val="0"/>
            <w:vAlign w:val="center"/>
          </w:tcPr>
          <w:p>
            <w:pPr>
              <w:jc w:val="center"/>
              <w:rPr>
                <w:rFonts w:eastAsia="仿宋"/>
                <w:color w:val="000000"/>
                <w:sz w:val="18"/>
                <w:szCs w:val="18"/>
              </w:rPr>
            </w:pPr>
          </w:p>
        </w:tc>
        <w:tc>
          <w:tcPr>
            <w:tcW w:w="1598"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kern w:val="0"/>
                <w:sz w:val="18"/>
                <w:szCs w:val="18"/>
              </w:rPr>
            </w:pPr>
          </w:p>
        </w:tc>
        <w:tc>
          <w:tcPr>
            <w:tcW w:w="722" w:type="dxa"/>
            <w:noWrap w:val="0"/>
            <w:vAlign w:val="center"/>
          </w:tcPr>
          <w:p>
            <w:pPr>
              <w:jc w:val="center"/>
              <w:rPr>
                <w:rFonts w:eastAsia="仿宋"/>
                <w:color w:val="000000"/>
                <w:kern w:val="0"/>
                <w:sz w:val="18"/>
                <w:szCs w:val="18"/>
              </w:rPr>
            </w:pPr>
          </w:p>
        </w:tc>
        <w:tc>
          <w:tcPr>
            <w:tcW w:w="871" w:type="dxa"/>
            <w:noWrap w:val="0"/>
            <w:vAlign w:val="center"/>
          </w:tcPr>
          <w:p>
            <w:pPr>
              <w:jc w:val="center"/>
              <w:rPr>
                <w:rFonts w:eastAsia="仿宋"/>
                <w:color w:val="000000"/>
                <w:sz w:val="18"/>
                <w:szCs w:val="18"/>
              </w:rPr>
            </w:pPr>
          </w:p>
        </w:tc>
        <w:tc>
          <w:tcPr>
            <w:tcW w:w="930" w:type="dxa"/>
            <w:noWrap w:val="0"/>
            <w:vAlign w:val="center"/>
          </w:tcPr>
          <w:p>
            <w:pPr>
              <w:jc w:val="center"/>
              <w:rPr>
                <w:rFonts w:eastAsia="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0" w:type="dxa"/>
            <w:noWrap w:val="0"/>
            <w:vAlign w:val="center"/>
          </w:tcPr>
          <w:p>
            <w:pPr>
              <w:jc w:val="center"/>
              <w:rPr>
                <w:rFonts w:eastAsia="仿宋"/>
                <w:color w:val="000000"/>
                <w:sz w:val="18"/>
                <w:szCs w:val="18"/>
              </w:rPr>
            </w:pPr>
          </w:p>
        </w:tc>
        <w:tc>
          <w:tcPr>
            <w:tcW w:w="2309" w:type="dxa"/>
            <w:noWrap w:val="0"/>
            <w:vAlign w:val="center"/>
          </w:tcPr>
          <w:p>
            <w:pPr>
              <w:jc w:val="center"/>
              <w:rPr>
                <w:rFonts w:eastAsia="仿宋"/>
                <w:color w:val="000000"/>
                <w:sz w:val="18"/>
                <w:szCs w:val="18"/>
              </w:rPr>
            </w:pPr>
          </w:p>
        </w:tc>
        <w:tc>
          <w:tcPr>
            <w:tcW w:w="1598"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kern w:val="0"/>
                <w:sz w:val="18"/>
                <w:szCs w:val="18"/>
              </w:rPr>
            </w:pPr>
          </w:p>
        </w:tc>
        <w:tc>
          <w:tcPr>
            <w:tcW w:w="722" w:type="dxa"/>
            <w:noWrap w:val="0"/>
            <w:vAlign w:val="center"/>
          </w:tcPr>
          <w:p>
            <w:pPr>
              <w:jc w:val="center"/>
              <w:rPr>
                <w:rFonts w:eastAsia="仿宋"/>
                <w:color w:val="000000"/>
                <w:kern w:val="0"/>
                <w:sz w:val="18"/>
                <w:szCs w:val="18"/>
              </w:rPr>
            </w:pPr>
          </w:p>
        </w:tc>
        <w:tc>
          <w:tcPr>
            <w:tcW w:w="871" w:type="dxa"/>
            <w:noWrap w:val="0"/>
            <w:vAlign w:val="center"/>
          </w:tcPr>
          <w:p>
            <w:pPr>
              <w:jc w:val="center"/>
              <w:rPr>
                <w:rFonts w:eastAsia="仿宋"/>
                <w:color w:val="000000"/>
                <w:sz w:val="18"/>
                <w:szCs w:val="18"/>
              </w:rPr>
            </w:pPr>
          </w:p>
        </w:tc>
        <w:tc>
          <w:tcPr>
            <w:tcW w:w="930" w:type="dxa"/>
            <w:noWrap w:val="0"/>
            <w:vAlign w:val="center"/>
          </w:tcPr>
          <w:p>
            <w:pPr>
              <w:jc w:val="center"/>
              <w:rPr>
                <w:rFonts w:eastAsia="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0" w:type="dxa"/>
            <w:noWrap w:val="0"/>
            <w:vAlign w:val="center"/>
          </w:tcPr>
          <w:p>
            <w:pPr>
              <w:jc w:val="center"/>
              <w:rPr>
                <w:rFonts w:eastAsia="仿宋"/>
                <w:color w:val="000000"/>
                <w:sz w:val="18"/>
                <w:szCs w:val="18"/>
              </w:rPr>
            </w:pPr>
          </w:p>
        </w:tc>
        <w:tc>
          <w:tcPr>
            <w:tcW w:w="2309" w:type="dxa"/>
            <w:noWrap w:val="0"/>
            <w:vAlign w:val="center"/>
          </w:tcPr>
          <w:p>
            <w:pPr>
              <w:jc w:val="center"/>
              <w:rPr>
                <w:rFonts w:eastAsia="仿宋"/>
                <w:color w:val="000000"/>
                <w:sz w:val="18"/>
                <w:szCs w:val="18"/>
              </w:rPr>
            </w:pPr>
            <w:r>
              <w:rPr>
                <w:rFonts w:eastAsia="仿宋"/>
                <w:color w:val="000000"/>
                <w:sz w:val="18"/>
                <w:szCs w:val="18"/>
              </w:rPr>
              <w:t>50××××××××××</w:t>
            </w:r>
          </w:p>
        </w:tc>
        <w:tc>
          <w:tcPr>
            <w:tcW w:w="1598" w:type="dxa"/>
            <w:noWrap w:val="0"/>
            <w:vAlign w:val="center"/>
          </w:tcPr>
          <w:p>
            <w:pPr>
              <w:jc w:val="center"/>
              <w:rPr>
                <w:rFonts w:eastAsia="仿宋"/>
                <w:color w:val="000000"/>
                <w:sz w:val="18"/>
                <w:szCs w:val="18"/>
              </w:rPr>
            </w:pPr>
            <w:r>
              <w:rPr>
                <w:rFonts w:eastAsia="仿宋"/>
                <w:color w:val="000000"/>
                <w:sz w:val="18"/>
                <w:szCs w:val="18"/>
              </w:rPr>
              <w:t>最末一级项目</w:t>
            </w:r>
          </w:p>
        </w:tc>
        <w:tc>
          <w:tcPr>
            <w:tcW w:w="722"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kern w:val="0"/>
                <w:sz w:val="18"/>
                <w:szCs w:val="18"/>
              </w:rPr>
            </w:pPr>
          </w:p>
        </w:tc>
        <w:tc>
          <w:tcPr>
            <w:tcW w:w="722" w:type="dxa"/>
            <w:noWrap w:val="0"/>
            <w:vAlign w:val="center"/>
          </w:tcPr>
          <w:p>
            <w:pPr>
              <w:jc w:val="center"/>
              <w:rPr>
                <w:rFonts w:eastAsia="仿宋"/>
                <w:color w:val="000000"/>
                <w:kern w:val="0"/>
                <w:sz w:val="18"/>
                <w:szCs w:val="18"/>
              </w:rPr>
            </w:pPr>
          </w:p>
        </w:tc>
        <w:tc>
          <w:tcPr>
            <w:tcW w:w="871" w:type="dxa"/>
            <w:noWrap w:val="0"/>
            <w:vAlign w:val="center"/>
          </w:tcPr>
          <w:p>
            <w:pPr>
              <w:jc w:val="center"/>
              <w:rPr>
                <w:rFonts w:eastAsia="仿宋"/>
                <w:color w:val="000000"/>
                <w:sz w:val="18"/>
                <w:szCs w:val="18"/>
              </w:rPr>
            </w:pPr>
          </w:p>
        </w:tc>
        <w:tc>
          <w:tcPr>
            <w:tcW w:w="930" w:type="dxa"/>
            <w:noWrap w:val="0"/>
            <w:vAlign w:val="center"/>
          </w:tcPr>
          <w:p>
            <w:pPr>
              <w:jc w:val="center"/>
              <w:rPr>
                <w:rFonts w:eastAsia="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0" w:type="dxa"/>
            <w:noWrap w:val="0"/>
            <w:vAlign w:val="center"/>
          </w:tcPr>
          <w:p>
            <w:pPr>
              <w:jc w:val="center"/>
              <w:rPr>
                <w:rFonts w:eastAsia="仿宋"/>
                <w:color w:val="000000"/>
                <w:sz w:val="18"/>
                <w:szCs w:val="18"/>
              </w:rPr>
            </w:pPr>
          </w:p>
        </w:tc>
        <w:tc>
          <w:tcPr>
            <w:tcW w:w="2309" w:type="dxa"/>
            <w:noWrap w:val="0"/>
            <w:vAlign w:val="center"/>
          </w:tcPr>
          <w:p>
            <w:pPr>
              <w:jc w:val="center"/>
              <w:rPr>
                <w:rFonts w:eastAsia="仿宋"/>
                <w:color w:val="000000"/>
                <w:sz w:val="18"/>
                <w:szCs w:val="18"/>
              </w:rPr>
            </w:pPr>
          </w:p>
        </w:tc>
        <w:tc>
          <w:tcPr>
            <w:tcW w:w="1598"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kern w:val="0"/>
                <w:sz w:val="18"/>
                <w:szCs w:val="18"/>
              </w:rPr>
            </w:pPr>
          </w:p>
        </w:tc>
        <w:tc>
          <w:tcPr>
            <w:tcW w:w="722" w:type="dxa"/>
            <w:noWrap w:val="0"/>
            <w:vAlign w:val="center"/>
          </w:tcPr>
          <w:p>
            <w:pPr>
              <w:jc w:val="center"/>
              <w:rPr>
                <w:rFonts w:eastAsia="仿宋"/>
                <w:color w:val="000000"/>
                <w:kern w:val="0"/>
                <w:sz w:val="18"/>
                <w:szCs w:val="18"/>
              </w:rPr>
            </w:pPr>
          </w:p>
        </w:tc>
        <w:tc>
          <w:tcPr>
            <w:tcW w:w="871" w:type="dxa"/>
            <w:noWrap w:val="0"/>
            <w:vAlign w:val="center"/>
          </w:tcPr>
          <w:p>
            <w:pPr>
              <w:jc w:val="center"/>
              <w:rPr>
                <w:rFonts w:eastAsia="仿宋"/>
                <w:color w:val="000000"/>
                <w:sz w:val="18"/>
                <w:szCs w:val="18"/>
              </w:rPr>
            </w:pPr>
          </w:p>
        </w:tc>
        <w:tc>
          <w:tcPr>
            <w:tcW w:w="930" w:type="dxa"/>
            <w:noWrap w:val="0"/>
            <w:vAlign w:val="center"/>
          </w:tcPr>
          <w:p>
            <w:pPr>
              <w:jc w:val="center"/>
              <w:rPr>
                <w:rFonts w:eastAsia="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0" w:type="dxa"/>
            <w:noWrap w:val="0"/>
            <w:vAlign w:val="center"/>
          </w:tcPr>
          <w:p>
            <w:pPr>
              <w:jc w:val="center"/>
              <w:rPr>
                <w:rFonts w:eastAsia="仿宋"/>
                <w:color w:val="000000"/>
                <w:sz w:val="18"/>
                <w:szCs w:val="18"/>
              </w:rPr>
            </w:pPr>
            <w:r>
              <w:rPr>
                <w:rFonts w:eastAsia="仿宋"/>
                <w:color w:val="000000"/>
                <w:sz w:val="18"/>
                <w:szCs w:val="18"/>
              </w:rPr>
              <w:t>2.1.2</w:t>
            </w:r>
          </w:p>
        </w:tc>
        <w:tc>
          <w:tcPr>
            <w:tcW w:w="2309" w:type="dxa"/>
            <w:noWrap w:val="0"/>
            <w:vAlign w:val="center"/>
          </w:tcPr>
          <w:p>
            <w:pPr>
              <w:jc w:val="center"/>
              <w:rPr>
                <w:rFonts w:eastAsia="仿宋"/>
                <w:color w:val="000000"/>
                <w:sz w:val="18"/>
                <w:szCs w:val="18"/>
              </w:rPr>
            </w:pPr>
          </w:p>
        </w:tc>
        <w:tc>
          <w:tcPr>
            <w:tcW w:w="1598"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kern w:val="0"/>
                <w:sz w:val="18"/>
                <w:szCs w:val="18"/>
              </w:rPr>
            </w:pPr>
          </w:p>
        </w:tc>
        <w:tc>
          <w:tcPr>
            <w:tcW w:w="722" w:type="dxa"/>
            <w:noWrap w:val="0"/>
            <w:vAlign w:val="center"/>
          </w:tcPr>
          <w:p>
            <w:pPr>
              <w:jc w:val="center"/>
              <w:rPr>
                <w:rFonts w:eastAsia="仿宋"/>
                <w:color w:val="000000"/>
                <w:kern w:val="0"/>
                <w:sz w:val="18"/>
                <w:szCs w:val="18"/>
              </w:rPr>
            </w:pPr>
          </w:p>
        </w:tc>
        <w:tc>
          <w:tcPr>
            <w:tcW w:w="871" w:type="dxa"/>
            <w:noWrap w:val="0"/>
            <w:vAlign w:val="center"/>
          </w:tcPr>
          <w:p>
            <w:pPr>
              <w:jc w:val="center"/>
              <w:rPr>
                <w:rFonts w:eastAsia="仿宋"/>
                <w:color w:val="000000"/>
                <w:sz w:val="18"/>
                <w:szCs w:val="18"/>
              </w:rPr>
            </w:pPr>
          </w:p>
        </w:tc>
        <w:tc>
          <w:tcPr>
            <w:tcW w:w="930" w:type="dxa"/>
            <w:noWrap w:val="0"/>
            <w:vAlign w:val="center"/>
          </w:tcPr>
          <w:p>
            <w:pPr>
              <w:jc w:val="center"/>
              <w:rPr>
                <w:rFonts w:eastAsia="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0" w:type="dxa"/>
            <w:noWrap w:val="0"/>
            <w:vAlign w:val="center"/>
          </w:tcPr>
          <w:p>
            <w:pPr>
              <w:jc w:val="center"/>
              <w:rPr>
                <w:rFonts w:eastAsia="仿宋"/>
                <w:color w:val="000000"/>
                <w:sz w:val="18"/>
                <w:szCs w:val="18"/>
              </w:rPr>
            </w:pPr>
          </w:p>
        </w:tc>
        <w:tc>
          <w:tcPr>
            <w:tcW w:w="2309" w:type="dxa"/>
            <w:noWrap w:val="0"/>
            <w:vAlign w:val="center"/>
          </w:tcPr>
          <w:p>
            <w:pPr>
              <w:jc w:val="center"/>
              <w:rPr>
                <w:rFonts w:eastAsia="仿宋"/>
                <w:color w:val="000000"/>
                <w:sz w:val="18"/>
                <w:szCs w:val="18"/>
              </w:rPr>
            </w:pPr>
          </w:p>
        </w:tc>
        <w:tc>
          <w:tcPr>
            <w:tcW w:w="1598"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kern w:val="0"/>
                <w:sz w:val="18"/>
                <w:szCs w:val="18"/>
              </w:rPr>
            </w:pPr>
          </w:p>
        </w:tc>
        <w:tc>
          <w:tcPr>
            <w:tcW w:w="722" w:type="dxa"/>
            <w:noWrap w:val="0"/>
            <w:vAlign w:val="center"/>
          </w:tcPr>
          <w:p>
            <w:pPr>
              <w:jc w:val="center"/>
              <w:rPr>
                <w:rFonts w:eastAsia="仿宋"/>
                <w:color w:val="000000"/>
                <w:kern w:val="0"/>
                <w:sz w:val="18"/>
                <w:szCs w:val="18"/>
              </w:rPr>
            </w:pPr>
          </w:p>
        </w:tc>
        <w:tc>
          <w:tcPr>
            <w:tcW w:w="871" w:type="dxa"/>
            <w:noWrap w:val="0"/>
            <w:vAlign w:val="center"/>
          </w:tcPr>
          <w:p>
            <w:pPr>
              <w:jc w:val="center"/>
              <w:rPr>
                <w:rFonts w:eastAsia="仿宋"/>
                <w:color w:val="000000"/>
                <w:sz w:val="18"/>
                <w:szCs w:val="18"/>
              </w:rPr>
            </w:pPr>
          </w:p>
        </w:tc>
        <w:tc>
          <w:tcPr>
            <w:tcW w:w="930" w:type="dxa"/>
            <w:noWrap w:val="0"/>
            <w:vAlign w:val="center"/>
          </w:tcPr>
          <w:p>
            <w:pPr>
              <w:jc w:val="center"/>
              <w:rPr>
                <w:rFonts w:eastAsia="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0" w:type="dxa"/>
            <w:noWrap w:val="0"/>
            <w:vAlign w:val="center"/>
          </w:tcPr>
          <w:p>
            <w:pPr>
              <w:jc w:val="center"/>
              <w:rPr>
                <w:rFonts w:eastAsia="仿宋"/>
                <w:color w:val="000000"/>
                <w:sz w:val="18"/>
                <w:szCs w:val="18"/>
              </w:rPr>
            </w:pPr>
          </w:p>
        </w:tc>
        <w:tc>
          <w:tcPr>
            <w:tcW w:w="2309" w:type="dxa"/>
            <w:noWrap w:val="0"/>
            <w:vAlign w:val="center"/>
          </w:tcPr>
          <w:p>
            <w:pPr>
              <w:jc w:val="center"/>
              <w:rPr>
                <w:rFonts w:eastAsia="仿宋"/>
                <w:color w:val="000000"/>
                <w:sz w:val="18"/>
                <w:szCs w:val="18"/>
              </w:rPr>
            </w:pPr>
          </w:p>
        </w:tc>
        <w:tc>
          <w:tcPr>
            <w:tcW w:w="1598"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kern w:val="0"/>
                <w:sz w:val="18"/>
                <w:szCs w:val="18"/>
              </w:rPr>
            </w:pPr>
          </w:p>
        </w:tc>
        <w:tc>
          <w:tcPr>
            <w:tcW w:w="722" w:type="dxa"/>
            <w:noWrap w:val="0"/>
            <w:vAlign w:val="center"/>
          </w:tcPr>
          <w:p>
            <w:pPr>
              <w:jc w:val="center"/>
              <w:rPr>
                <w:rFonts w:eastAsia="仿宋"/>
                <w:color w:val="000000"/>
                <w:kern w:val="0"/>
                <w:sz w:val="18"/>
                <w:szCs w:val="18"/>
              </w:rPr>
            </w:pPr>
          </w:p>
        </w:tc>
        <w:tc>
          <w:tcPr>
            <w:tcW w:w="871" w:type="dxa"/>
            <w:noWrap w:val="0"/>
            <w:vAlign w:val="center"/>
          </w:tcPr>
          <w:p>
            <w:pPr>
              <w:jc w:val="center"/>
              <w:rPr>
                <w:rFonts w:eastAsia="仿宋"/>
                <w:color w:val="000000"/>
                <w:sz w:val="18"/>
                <w:szCs w:val="18"/>
              </w:rPr>
            </w:pPr>
          </w:p>
        </w:tc>
        <w:tc>
          <w:tcPr>
            <w:tcW w:w="930" w:type="dxa"/>
            <w:noWrap w:val="0"/>
            <w:vAlign w:val="center"/>
          </w:tcPr>
          <w:p>
            <w:pPr>
              <w:jc w:val="center"/>
              <w:rPr>
                <w:rFonts w:eastAsia="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0" w:type="dxa"/>
            <w:noWrap w:val="0"/>
            <w:vAlign w:val="center"/>
          </w:tcPr>
          <w:p>
            <w:pPr>
              <w:jc w:val="center"/>
              <w:rPr>
                <w:rFonts w:eastAsia="仿宋"/>
                <w:b/>
                <w:bCs/>
                <w:color w:val="000000"/>
                <w:sz w:val="18"/>
                <w:szCs w:val="18"/>
              </w:rPr>
            </w:pPr>
          </w:p>
        </w:tc>
        <w:tc>
          <w:tcPr>
            <w:tcW w:w="2309" w:type="dxa"/>
            <w:noWrap w:val="0"/>
            <w:vAlign w:val="center"/>
          </w:tcPr>
          <w:p>
            <w:pPr>
              <w:jc w:val="center"/>
              <w:rPr>
                <w:rFonts w:eastAsia="仿宋"/>
                <w:color w:val="000000"/>
                <w:sz w:val="18"/>
                <w:szCs w:val="18"/>
              </w:rPr>
            </w:pPr>
          </w:p>
        </w:tc>
        <w:tc>
          <w:tcPr>
            <w:tcW w:w="1598" w:type="dxa"/>
            <w:noWrap w:val="0"/>
            <w:vAlign w:val="center"/>
          </w:tcPr>
          <w:p>
            <w:pPr>
              <w:jc w:val="center"/>
              <w:rPr>
                <w:rFonts w:eastAsia="仿宋"/>
                <w:b/>
                <w:bCs/>
                <w:color w:val="000000"/>
                <w:sz w:val="18"/>
                <w:szCs w:val="18"/>
              </w:rPr>
            </w:pPr>
          </w:p>
        </w:tc>
        <w:tc>
          <w:tcPr>
            <w:tcW w:w="722"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sz w:val="18"/>
                <w:szCs w:val="18"/>
              </w:rPr>
            </w:pPr>
          </w:p>
        </w:tc>
        <w:tc>
          <w:tcPr>
            <w:tcW w:w="722" w:type="dxa"/>
            <w:noWrap w:val="0"/>
            <w:vAlign w:val="center"/>
          </w:tcPr>
          <w:p>
            <w:pPr>
              <w:jc w:val="center"/>
              <w:rPr>
                <w:rFonts w:eastAsia="仿宋"/>
                <w:color w:val="000000"/>
                <w:kern w:val="0"/>
                <w:sz w:val="18"/>
                <w:szCs w:val="18"/>
              </w:rPr>
            </w:pPr>
          </w:p>
        </w:tc>
        <w:tc>
          <w:tcPr>
            <w:tcW w:w="722" w:type="dxa"/>
            <w:noWrap w:val="0"/>
            <w:vAlign w:val="center"/>
          </w:tcPr>
          <w:p>
            <w:pPr>
              <w:jc w:val="center"/>
              <w:rPr>
                <w:rFonts w:eastAsia="仿宋"/>
                <w:color w:val="000000"/>
                <w:kern w:val="0"/>
                <w:sz w:val="18"/>
                <w:szCs w:val="18"/>
              </w:rPr>
            </w:pPr>
          </w:p>
        </w:tc>
        <w:tc>
          <w:tcPr>
            <w:tcW w:w="871" w:type="dxa"/>
            <w:noWrap w:val="0"/>
            <w:vAlign w:val="center"/>
          </w:tcPr>
          <w:p>
            <w:pPr>
              <w:jc w:val="center"/>
              <w:rPr>
                <w:rFonts w:eastAsia="仿宋"/>
                <w:color w:val="000000"/>
                <w:sz w:val="18"/>
                <w:szCs w:val="18"/>
              </w:rPr>
            </w:pPr>
          </w:p>
        </w:tc>
        <w:tc>
          <w:tcPr>
            <w:tcW w:w="930" w:type="dxa"/>
            <w:noWrap w:val="0"/>
            <w:vAlign w:val="center"/>
          </w:tcPr>
          <w:p>
            <w:pPr>
              <w:jc w:val="center"/>
              <w:rPr>
                <w:rFonts w:eastAsia="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4597" w:type="dxa"/>
            <w:gridSpan w:val="3"/>
            <w:noWrap w:val="0"/>
            <w:vAlign w:val="center"/>
          </w:tcPr>
          <w:p>
            <w:pPr>
              <w:jc w:val="center"/>
              <w:textAlignment w:val="center"/>
              <w:rPr>
                <w:rFonts w:eastAsia="仿宋"/>
                <w:b/>
                <w:color w:val="000000"/>
                <w:sz w:val="18"/>
                <w:szCs w:val="18"/>
              </w:rPr>
            </w:pPr>
            <w:r>
              <w:rPr>
                <w:rFonts w:eastAsia="仿宋"/>
                <w:b/>
                <w:color w:val="000000"/>
                <w:kern w:val="0"/>
                <w:sz w:val="18"/>
                <w:szCs w:val="18"/>
              </w:rPr>
              <w:t>合        计</w:t>
            </w:r>
          </w:p>
        </w:tc>
        <w:tc>
          <w:tcPr>
            <w:tcW w:w="722" w:type="dxa"/>
            <w:noWrap w:val="0"/>
            <w:vAlign w:val="top"/>
          </w:tcPr>
          <w:p>
            <w:pPr>
              <w:jc w:val="center"/>
              <w:textAlignment w:val="center"/>
              <w:rPr>
                <w:rFonts w:eastAsia="仿宋"/>
                <w:b/>
                <w:color w:val="000000"/>
                <w:kern w:val="0"/>
                <w:sz w:val="18"/>
                <w:szCs w:val="18"/>
              </w:rPr>
            </w:pPr>
          </w:p>
        </w:tc>
        <w:tc>
          <w:tcPr>
            <w:tcW w:w="3967" w:type="dxa"/>
            <w:gridSpan w:val="5"/>
            <w:noWrap w:val="0"/>
            <w:vAlign w:val="center"/>
          </w:tcPr>
          <w:p>
            <w:pPr>
              <w:jc w:val="center"/>
              <w:textAlignment w:val="center"/>
              <w:rPr>
                <w:rFonts w:hint="eastAsia" w:eastAsia="仿宋"/>
                <w:b/>
                <w:color w:val="000000"/>
                <w:kern w:val="0"/>
                <w:sz w:val="18"/>
                <w:szCs w:val="18"/>
              </w:rPr>
            </w:pPr>
            <w:r>
              <w:rPr>
                <w:rFonts w:eastAsia="仿宋"/>
                <w:b/>
                <w:color w:val="000000"/>
                <w:kern w:val="0"/>
                <w:sz w:val="18"/>
                <w:szCs w:val="18"/>
                <w:u w:val="single"/>
              </w:rPr>
              <w:t xml:space="preserve">                  </w:t>
            </w:r>
            <w:r>
              <w:rPr>
                <w:rFonts w:eastAsia="仿宋"/>
                <w:b/>
                <w:color w:val="000000"/>
                <w:kern w:val="0"/>
                <w:sz w:val="18"/>
                <w:szCs w:val="18"/>
              </w:rPr>
              <w:t>元</w:t>
            </w:r>
          </w:p>
          <w:p>
            <w:pPr>
              <w:jc w:val="center"/>
              <w:textAlignment w:val="center"/>
              <w:rPr>
                <w:rFonts w:eastAsia="仿宋"/>
                <w:color w:val="000000"/>
                <w:sz w:val="18"/>
                <w:szCs w:val="18"/>
              </w:rPr>
            </w:pPr>
            <w:r>
              <w:rPr>
                <w:rFonts w:eastAsia="仿宋"/>
                <w:b/>
                <w:color w:val="000000"/>
                <w:kern w:val="0"/>
                <w:sz w:val="18"/>
                <w:szCs w:val="18"/>
              </w:rPr>
              <w:t xml:space="preserve">   汇入工程项目总价表</w:t>
            </w:r>
          </w:p>
        </w:tc>
      </w:tr>
    </w:tbl>
    <w:p>
      <w:pPr>
        <w:rPr>
          <w:rFonts w:eastAsia="仿宋"/>
          <w:bCs/>
          <w:color w:val="000000"/>
        </w:rPr>
      </w:pPr>
      <w:r>
        <w:rPr>
          <w:rFonts w:eastAsia="仿宋"/>
          <w:color w:val="000000"/>
        </w:rPr>
        <w:t>注：项目编码应遵守</w:t>
      </w:r>
      <w:r>
        <w:rPr>
          <w:rFonts w:eastAsia="仿宋"/>
          <w:color w:val="000000"/>
          <w:u w:val="single"/>
        </w:rPr>
        <w:t>《水利工程工程量清单计价规范》（GB50501-2007）</w:t>
      </w:r>
      <w:r>
        <w:rPr>
          <w:rFonts w:eastAsia="仿宋"/>
          <w:color w:val="000000"/>
        </w:rPr>
        <w:t>。</w:t>
      </w:r>
    </w:p>
    <w:p>
      <w:pPr>
        <w:spacing w:line="560" w:lineRule="exact"/>
        <w:rPr>
          <w:rFonts w:eastAsia="仿宋_GB2312"/>
          <w:color w:val="000000"/>
          <w:sz w:val="28"/>
          <w:szCs w:val="28"/>
        </w:rPr>
      </w:pPr>
    </w:p>
    <w:p>
      <w:pPr>
        <w:spacing w:line="560" w:lineRule="exact"/>
        <w:ind w:firstLine="3626" w:firstLineChars="1295"/>
        <w:rPr>
          <w:rFonts w:eastAsia="仿宋_GB2312"/>
          <w:bCs/>
          <w:color w:val="000000"/>
          <w:sz w:val="28"/>
          <w:szCs w:val="28"/>
          <w:u w:val="single"/>
        </w:rPr>
      </w:pPr>
      <w:r>
        <w:rPr>
          <w:rFonts w:eastAsia="仿宋_GB2312"/>
          <w:bCs/>
          <w:color w:val="000000"/>
          <w:sz w:val="28"/>
          <w:szCs w:val="28"/>
        </w:rPr>
        <w:t>投  标  人：</w:t>
      </w:r>
      <w:r>
        <w:rPr>
          <w:rFonts w:eastAsia="仿宋_GB2312"/>
          <w:bCs/>
          <w:color w:val="000000"/>
          <w:sz w:val="28"/>
          <w:szCs w:val="28"/>
          <w:u w:val="single"/>
        </w:rPr>
        <w:t xml:space="preserve">       （名称）         </w:t>
      </w:r>
    </w:p>
    <w:p>
      <w:pPr>
        <w:rPr>
          <w:color w:val="000000"/>
        </w:rPr>
      </w:pPr>
      <w:r>
        <w:rPr>
          <w:color w:val="000000"/>
        </w:rPr>
        <w:t xml:space="preserve">                </w:t>
      </w:r>
      <w:r>
        <w:rPr>
          <w:rFonts w:eastAsia="仿宋_GB2312"/>
          <w:bCs/>
          <w:color w:val="000000"/>
          <w:sz w:val="28"/>
          <w:szCs w:val="28"/>
        </w:rPr>
        <w:t xml:space="preserve">                            （盖单位电子公章）</w:t>
      </w:r>
    </w:p>
    <w:p>
      <w:pPr>
        <w:spacing w:line="560" w:lineRule="exact"/>
        <w:ind w:firstLine="3626" w:firstLineChars="1295"/>
        <w:rPr>
          <w:rFonts w:eastAsia="仿宋_GB2312"/>
          <w:bCs/>
          <w:color w:val="000000"/>
          <w:sz w:val="28"/>
          <w:szCs w:val="28"/>
          <w:u w:val="single"/>
        </w:rPr>
      </w:pPr>
      <w:r>
        <w:rPr>
          <w:rFonts w:eastAsia="仿宋_GB2312"/>
          <w:bCs/>
          <w:color w:val="000000"/>
          <w:sz w:val="28"/>
          <w:szCs w:val="28"/>
        </w:rPr>
        <w:t>法定代表人：</w:t>
      </w:r>
      <w:r>
        <w:rPr>
          <w:rFonts w:eastAsia="仿宋_GB2312"/>
          <w:bCs/>
          <w:color w:val="000000"/>
          <w:sz w:val="28"/>
          <w:szCs w:val="28"/>
          <w:u w:val="single"/>
        </w:rPr>
        <w:t xml:space="preserve">      （电子签名）      </w:t>
      </w:r>
    </w:p>
    <w:p>
      <w:pPr>
        <w:spacing w:line="560" w:lineRule="exact"/>
        <w:ind w:firstLine="3626" w:firstLineChars="1295"/>
        <w:rPr>
          <w:rFonts w:eastAsia="方正小标宋_GBK"/>
          <w:b/>
          <w:color w:val="000000"/>
          <w:sz w:val="44"/>
          <w:szCs w:val="44"/>
        </w:rPr>
      </w:pPr>
      <w:r>
        <w:rPr>
          <w:rFonts w:eastAsia="仿宋_GB2312"/>
          <w:color w:val="000000"/>
          <w:sz w:val="28"/>
          <w:szCs w:val="28"/>
        </w:rPr>
        <w:t>日      期：</w:t>
      </w:r>
      <w:r>
        <w:rPr>
          <w:rFonts w:eastAsia="仿宋_GB2312"/>
          <w:color w:val="000000"/>
          <w:sz w:val="28"/>
          <w:szCs w:val="28"/>
          <w:u w:val="single"/>
        </w:rPr>
        <w:t xml:space="preserve">        </w:t>
      </w:r>
      <w:r>
        <w:rPr>
          <w:rFonts w:eastAsia="仿宋_GB2312"/>
          <w:color w:val="000000"/>
          <w:sz w:val="28"/>
          <w:szCs w:val="28"/>
        </w:rPr>
        <w:t>年</w:t>
      </w:r>
      <w:r>
        <w:rPr>
          <w:rFonts w:eastAsia="仿宋_GB2312"/>
          <w:color w:val="000000"/>
          <w:sz w:val="28"/>
          <w:szCs w:val="28"/>
          <w:u w:val="single"/>
        </w:rPr>
        <w:t xml:space="preserve">     </w:t>
      </w:r>
      <w:r>
        <w:rPr>
          <w:rFonts w:eastAsia="仿宋_GB2312"/>
          <w:color w:val="000000"/>
          <w:sz w:val="28"/>
          <w:szCs w:val="28"/>
        </w:rPr>
        <w:t>月</w:t>
      </w:r>
      <w:r>
        <w:rPr>
          <w:rFonts w:eastAsia="仿宋_GB2312"/>
          <w:color w:val="000000"/>
          <w:sz w:val="28"/>
          <w:szCs w:val="28"/>
          <w:u w:val="single"/>
        </w:rPr>
        <w:t xml:space="preserve">     </w:t>
      </w:r>
      <w:r>
        <w:rPr>
          <w:rFonts w:eastAsia="仿宋_GB2312"/>
          <w:color w:val="000000"/>
          <w:sz w:val="28"/>
          <w:szCs w:val="28"/>
        </w:rPr>
        <w:t>日</w:t>
      </w:r>
      <w:r>
        <w:rPr>
          <w:rFonts w:eastAsia="仿宋_GB2312"/>
          <w:color w:val="000000"/>
          <w:sz w:val="28"/>
          <w:szCs w:val="28"/>
        </w:rPr>
        <w:br w:type="page"/>
      </w:r>
    </w:p>
    <w:p>
      <w:pPr>
        <w:spacing w:line="600" w:lineRule="exact"/>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措施项目清单计价表</w:t>
      </w:r>
    </w:p>
    <w:p>
      <w:pPr>
        <w:spacing w:line="600" w:lineRule="exact"/>
        <w:jc w:val="center"/>
        <w:rPr>
          <w:rFonts w:eastAsia="方正小标宋_GBK"/>
          <w:b/>
          <w:color w:val="000000"/>
          <w:sz w:val="36"/>
          <w:szCs w:val="36"/>
        </w:rPr>
      </w:pPr>
    </w:p>
    <w:p>
      <w:pPr>
        <w:spacing w:line="600" w:lineRule="exact"/>
        <w:rPr>
          <w:rFonts w:eastAsia="仿宋_GB2312"/>
          <w:color w:val="000000"/>
          <w:sz w:val="28"/>
          <w:szCs w:val="28"/>
          <w:u w:val="single"/>
        </w:rPr>
      </w:pPr>
      <w:r>
        <w:rPr>
          <w:rFonts w:eastAsia="仿宋_GB2312"/>
          <w:color w:val="000000"/>
          <w:sz w:val="28"/>
          <w:szCs w:val="28"/>
        </w:rPr>
        <w:t>合同编号：</w:t>
      </w:r>
      <w:r>
        <w:rPr>
          <w:rFonts w:eastAsia="仿宋_GB2312"/>
          <w:color w:val="000000"/>
          <w:sz w:val="28"/>
          <w:szCs w:val="28"/>
          <w:u w:val="single"/>
        </w:rPr>
        <w:t xml:space="preserve">  （投标项目合同号）  </w:t>
      </w:r>
    </w:p>
    <w:p>
      <w:pPr>
        <w:spacing w:line="600" w:lineRule="exact"/>
        <w:rPr>
          <w:rFonts w:eastAsia="仿宋_GB2312"/>
          <w:color w:val="000000"/>
          <w:sz w:val="28"/>
          <w:szCs w:val="28"/>
        </w:rPr>
      </w:pPr>
      <w:r>
        <w:rPr>
          <w:rFonts w:eastAsia="仿宋_GB2312"/>
          <w:color w:val="000000"/>
          <w:sz w:val="28"/>
          <w:szCs w:val="28"/>
        </w:rPr>
        <w:t>工程名称：</w:t>
      </w:r>
      <w:r>
        <w:rPr>
          <w:rFonts w:eastAsia="仿宋_GB2312"/>
          <w:color w:val="000000"/>
          <w:sz w:val="28"/>
          <w:szCs w:val="28"/>
          <w:u w:val="single"/>
        </w:rPr>
        <w:t xml:space="preserve">          </w:t>
      </w:r>
      <w:r>
        <w:rPr>
          <w:rFonts w:eastAsia="仿宋_GB2312"/>
          <w:color w:val="000000"/>
          <w:sz w:val="28"/>
          <w:szCs w:val="28"/>
        </w:rPr>
        <w:t>（项目名称）</w:t>
      </w:r>
      <w:r>
        <w:rPr>
          <w:rFonts w:eastAsia="仿宋_GB2312"/>
          <w:color w:val="000000"/>
          <w:sz w:val="28"/>
          <w:szCs w:val="28"/>
          <w:u w:val="single"/>
        </w:rPr>
        <w:t xml:space="preserve">          </w:t>
      </w:r>
      <w:r>
        <w:rPr>
          <w:rFonts w:eastAsia="仿宋_GB2312"/>
          <w:color w:val="000000"/>
          <w:sz w:val="28"/>
          <w:szCs w:val="28"/>
        </w:rPr>
        <w:t>（标段名称）</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3953"/>
        <w:gridCol w:w="3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jc w:val="center"/>
        </w:trPr>
        <w:tc>
          <w:tcPr>
            <w:tcW w:w="1261" w:type="dxa"/>
            <w:noWrap w:val="0"/>
            <w:vAlign w:val="center"/>
          </w:tcPr>
          <w:p>
            <w:pPr>
              <w:jc w:val="center"/>
              <w:rPr>
                <w:b/>
                <w:bCs/>
                <w:color w:val="000000"/>
                <w:sz w:val="22"/>
                <w:szCs w:val="22"/>
              </w:rPr>
            </w:pPr>
          </w:p>
        </w:tc>
        <w:tc>
          <w:tcPr>
            <w:tcW w:w="3953" w:type="dxa"/>
            <w:noWrap w:val="0"/>
            <w:vAlign w:val="center"/>
          </w:tcPr>
          <w:p>
            <w:pPr>
              <w:jc w:val="center"/>
              <w:rPr>
                <w:b/>
                <w:bCs/>
                <w:color w:val="000000"/>
                <w:sz w:val="22"/>
                <w:szCs w:val="22"/>
              </w:rPr>
            </w:pPr>
          </w:p>
        </w:tc>
        <w:tc>
          <w:tcPr>
            <w:tcW w:w="3678"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jc w:val="center"/>
        </w:trPr>
        <w:tc>
          <w:tcPr>
            <w:tcW w:w="1261" w:type="dxa"/>
            <w:noWrap w:val="0"/>
            <w:vAlign w:val="center"/>
          </w:tcPr>
          <w:p>
            <w:pPr>
              <w:jc w:val="center"/>
              <w:rPr>
                <w:color w:val="000000"/>
                <w:sz w:val="22"/>
                <w:szCs w:val="22"/>
              </w:rPr>
            </w:pPr>
          </w:p>
        </w:tc>
        <w:tc>
          <w:tcPr>
            <w:tcW w:w="3953" w:type="dxa"/>
            <w:noWrap w:val="0"/>
            <w:vAlign w:val="center"/>
          </w:tcPr>
          <w:p>
            <w:pPr>
              <w:jc w:val="center"/>
              <w:rPr>
                <w:color w:val="000000"/>
                <w:szCs w:val="21"/>
              </w:rPr>
            </w:pPr>
          </w:p>
        </w:tc>
        <w:tc>
          <w:tcPr>
            <w:tcW w:w="3678"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jc w:val="center"/>
        </w:trPr>
        <w:tc>
          <w:tcPr>
            <w:tcW w:w="1261" w:type="dxa"/>
            <w:noWrap w:val="0"/>
            <w:vAlign w:val="center"/>
          </w:tcPr>
          <w:p>
            <w:pPr>
              <w:jc w:val="center"/>
              <w:rPr>
                <w:color w:val="000000"/>
                <w:sz w:val="22"/>
                <w:szCs w:val="22"/>
              </w:rPr>
            </w:pPr>
          </w:p>
        </w:tc>
        <w:tc>
          <w:tcPr>
            <w:tcW w:w="3953" w:type="dxa"/>
            <w:noWrap w:val="0"/>
            <w:vAlign w:val="center"/>
          </w:tcPr>
          <w:p>
            <w:pPr>
              <w:jc w:val="center"/>
              <w:rPr>
                <w:color w:val="000000"/>
                <w:szCs w:val="21"/>
              </w:rPr>
            </w:pPr>
          </w:p>
        </w:tc>
        <w:tc>
          <w:tcPr>
            <w:tcW w:w="3678"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jc w:val="center"/>
        </w:trPr>
        <w:tc>
          <w:tcPr>
            <w:tcW w:w="1261" w:type="dxa"/>
            <w:noWrap w:val="0"/>
            <w:vAlign w:val="center"/>
          </w:tcPr>
          <w:p>
            <w:pPr>
              <w:jc w:val="center"/>
              <w:rPr>
                <w:color w:val="000000"/>
                <w:sz w:val="22"/>
                <w:szCs w:val="22"/>
              </w:rPr>
            </w:pPr>
          </w:p>
        </w:tc>
        <w:tc>
          <w:tcPr>
            <w:tcW w:w="3953" w:type="dxa"/>
            <w:noWrap w:val="0"/>
            <w:vAlign w:val="center"/>
          </w:tcPr>
          <w:p>
            <w:pPr>
              <w:jc w:val="center"/>
              <w:rPr>
                <w:color w:val="000000"/>
                <w:szCs w:val="21"/>
              </w:rPr>
            </w:pPr>
          </w:p>
        </w:tc>
        <w:tc>
          <w:tcPr>
            <w:tcW w:w="3678"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jc w:val="center"/>
        </w:trPr>
        <w:tc>
          <w:tcPr>
            <w:tcW w:w="1261" w:type="dxa"/>
            <w:noWrap w:val="0"/>
            <w:vAlign w:val="center"/>
          </w:tcPr>
          <w:p>
            <w:pPr>
              <w:jc w:val="center"/>
              <w:rPr>
                <w:color w:val="000000"/>
                <w:sz w:val="22"/>
                <w:szCs w:val="22"/>
              </w:rPr>
            </w:pPr>
          </w:p>
        </w:tc>
        <w:tc>
          <w:tcPr>
            <w:tcW w:w="3953" w:type="dxa"/>
            <w:noWrap w:val="0"/>
            <w:vAlign w:val="center"/>
          </w:tcPr>
          <w:p>
            <w:pPr>
              <w:jc w:val="center"/>
              <w:rPr>
                <w:color w:val="000000"/>
                <w:szCs w:val="21"/>
              </w:rPr>
            </w:pPr>
          </w:p>
        </w:tc>
        <w:tc>
          <w:tcPr>
            <w:tcW w:w="3678"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jc w:val="center"/>
        </w:trPr>
        <w:tc>
          <w:tcPr>
            <w:tcW w:w="1261" w:type="dxa"/>
            <w:noWrap w:val="0"/>
            <w:vAlign w:val="center"/>
          </w:tcPr>
          <w:p>
            <w:pPr>
              <w:jc w:val="center"/>
              <w:rPr>
                <w:color w:val="000000"/>
                <w:sz w:val="22"/>
                <w:szCs w:val="22"/>
              </w:rPr>
            </w:pPr>
          </w:p>
        </w:tc>
        <w:tc>
          <w:tcPr>
            <w:tcW w:w="3953" w:type="dxa"/>
            <w:noWrap w:val="0"/>
            <w:vAlign w:val="center"/>
          </w:tcPr>
          <w:p>
            <w:pPr>
              <w:jc w:val="center"/>
              <w:rPr>
                <w:color w:val="000000"/>
                <w:sz w:val="22"/>
                <w:szCs w:val="22"/>
              </w:rPr>
            </w:pPr>
          </w:p>
        </w:tc>
        <w:tc>
          <w:tcPr>
            <w:tcW w:w="3678"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jc w:val="center"/>
        </w:trPr>
        <w:tc>
          <w:tcPr>
            <w:tcW w:w="1261" w:type="dxa"/>
            <w:noWrap w:val="0"/>
            <w:vAlign w:val="center"/>
          </w:tcPr>
          <w:p>
            <w:pPr>
              <w:jc w:val="center"/>
              <w:rPr>
                <w:b/>
                <w:bCs/>
                <w:color w:val="000000"/>
                <w:szCs w:val="21"/>
              </w:rPr>
            </w:pPr>
          </w:p>
        </w:tc>
        <w:tc>
          <w:tcPr>
            <w:tcW w:w="3953" w:type="dxa"/>
            <w:noWrap w:val="0"/>
            <w:vAlign w:val="center"/>
          </w:tcPr>
          <w:p>
            <w:pPr>
              <w:jc w:val="center"/>
              <w:rPr>
                <w:b/>
                <w:bCs/>
                <w:color w:val="000000"/>
                <w:szCs w:val="21"/>
              </w:rPr>
            </w:pPr>
          </w:p>
        </w:tc>
        <w:tc>
          <w:tcPr>
            <w:tcW w:w="3678"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jc w:val="center"/>
        </w:trPr>
        <w:tc>
          <w:tcPr>
            <w:tcW w:w="1261" w:type="dxa"/>
            <w:noWrap w:val="0"/>
            <w:vAlign w:val="center"/>
          </w:tcPr>
          <w:p>
            <w:pPr>
              <w:jc w:val="center"/>
              <w:rPr>
                <w:b/>
                <w:bCs/>
                <w:color w:val="000000"/>
                <w:szCs w:val="21"/>
              </w:rPr>
            </w:pPr>
          </w:p>
        </w:tc>
        <w:tc>
          <w:tcPr>
            <w:tcW w:w="3953" w:type="dxa"/>
            <w:noWrap w:val="0"/>
            <w:vAlign w:val="center"/>
          </w:tcPr>
          <w:p>
            <w:pPr>
              <w:jc w:val="center"/>
              <w:rPr>
                <w:b/>
                <w:bCs/>
                <w:color w:val="000000"/>
                <w:szCs w:val="21"/>
              </w:rPr>
            </w:pPr>
          </w:p>
        </w:tc>
        <w:tc>
          <w:tcPr>
            <w:tcW w:w="3678"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jc w:val="center"/>
        </w:trPr>
        <w:tc>
          <w:tcPr>
            <w:tcW w:w="1261" w:type="dxa"/>
            <w:noWrap w:val="0"/>
            <w:vAlign w:val="center"/>
          </w:tcPr>
          <w:p>
            <w:pPr>
              <w:jc w:val="center"/>
              <w:rPr>
                <w:b/>
                <w:bCs/>
                <w:color w:val="000000"/>
                <w:szCs w:val="21"/>
              </w:rPr>
            </w:pPr>
          </w:p>
        </w:tc>
        <w:tc>
          <w:tcPr>
            <w:tcW w:w="3953" w:type="dxa"/>
            <w:noWrap w:val="0"/>
            <w:vAlign w:val="center"/>
          </w:tcPr>
          <w:p>
            <w:pPr>
              <w:jc w:val="center"/>
              <w:rPr>
                <w:b/>
                <w:bCs/>
                <w:color w:val="000000"/>
                <w:szCs w:val="21"/>
              </w:rPr>
            </w:pPr>
          </w:p>
        </w:tc>
        <w:tc>
          <w:tcPr>
            <w:tcW w:w="3678"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jc w:val="center"/>
        </w:trPr>
        <w:tc>
          <w:tcPr>
            <w:tcW w:w="1261" w:type="dxa"/>
            <w:noWrap w:val="0"/>
            <w:vAlign w:val="center"/>
          </w:tcPr>
          <w:p>
            <w:pPr>
              <w:jc w:val="center"/>
              <w:rPr>
                <w:b/>
                <w:bCs/>
                <w:color w:val="000000"/>
                <w:szCs w:val="21"/>
              </w:rPr>
            </w:pPr>
          </w:p>
        </w:tc>
        <w:tc>
          <w:tcPr>
            <w:tcW w:w="3953" w:type="dxa"/>
            <w:noWrap w:val="0"/>
            <w:vAlign w:val="center"/>
          </w:tcPr>
          <w:p>
            <w:pPr>
              <w:jc w:val="center"/>
              <w:rPr>
                <w:b/>
                <w:bCs/>
                <w:color w:val="000000"/>
                <w:szCs w:val="21"/>
              </w:rPr>
            </w:pPr>
          </w:p>
        </w:tc>
        <w:tc>
          <w:tcPr>
            <w:tcW w:w="3678"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jc w:val="center"/>
        </w:trPr>
        <w:tc>
          <w:tcPr>
            <w:tcW w:w="1261" w:type="dxa"/>
            <w:noWrap w:val="0"/>
            <w:vAlign w:val="center"/>
          </w:tcPr>
          <w:p>
            <w:pPr>
              <w:jc w:val="center"/>
              <w:rPr>
                <w:b/>
                <w:bCs/>
                <w:color w:val="000000"/>
                <w:szCs w:val="21"/>
              </w:rPr>
            </w:pPr>
          </w:p>
        </w:tc>
        <w:tc>
          <w:tcPr>
            <w:tcW w:w="3953" w:type="dxa"/>
            <w:noWrap w:val="0"/>
            <w:vAlign w:val="center"/>
          </w:tcPr>
          <w:p>
            <w:pPr>
              <w:jc w:val="center"/>
              <w:rPr>
                <w:b/>
                <w:bCs/>
                <w:color w:val="000000"/>
                <w:szCs w:val="21"/>
              </w:rPr>
            </w:pPr>
          </w:p>
        </w:tc>
        <w:tc>
          <w:tcPr>
            <w:tcW w:w="3678"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jc w:val="center"/>
        </w:trPr>
        <w:tc>
          <w:tcPr>
            <w:tcW w:w="1261" w:type="dxa"/>
            <w:noWrap w:val="0"/>
            <w:vAlign w:val="center"/>
          </w:tcPr>
          <w:p>
            <w:pPr>
              <w:jc w:val="center"/>
              <w:rPr>
                <w:b/>
                <w:bCs/>
                <w:color w:val="000000"/>
                <w:szCs w:val="21"/>
              </w:rPr>
            </w:pPr>
            <w:r>
              <w:rPr>
                <w:b/>
                <w:bCs/>
                <w:color w:val="000000"/>
                <w:szCs w:val="21"/>
              </w:rPr>
              <w:t>………</w:t>
            </w:r>
          </w:p>
        </w:tc>
        <w:tc>
          <w:tcPr>
            <w:tcW w:w="3953" w:type="dxa"/>
            <w:noWrap w:val="0"/>
            <w:vAlign w:val="center"/>
          </w:tcPr>
          <w:p>
            <w:pPr>
              <w:jc w:val="center"/>
              <w:rPr>
                <w:b/>
                <w:bCs/>
                <w:color w:val="000000"/>
                <w:szCs w:val="21"/>
              </w:rPr>
            </w:pPr>
            <w:r>
              <w:rPr>
                <w:b/>
                <w:bCs/>
                <w:color w:val="000000"/>
                <w:szCs w:val="21"/>
              </w:rPr>
              <w:t>………</w:t>
            </w:r>
          </w:p>
        </w:tc>
        <w:tc>
          <w:tcPr>
            <w:tcW w:w="3678"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exact"/>
          <w:jc w:val="center"/>
        </w:trPr>
        <w:tc>
          <w:tcPr>
            <w:tcW w:w="5214" w:type="dxa"/>
            <w:gridSpan w:val="2"/>
            <w:noWrap w:val="0"/>
            <w:vAlign w:val="center"/>
          </w:tcPr>
          <w:p>
            <w:pPr>
              <w:jc w:val="center"/>
              <w:rPr>
                <w:color w:val="000000"/>
              </w:rPr>
            </w:pPr>
            <w:r>
              <w:rPr>
                <w:color w:val="000000"/>
              </w:rPr>
              <w:t>合  计</w:t>
            </w:r>
          </w:p>
        </w:tc>
        <w:tc>
          <w:tcPr>
            <w:tcW w:w="3678" w:type="dxa"/>
            <w:noWrap w:val="0"/>
            <w:vAlign w:val="center"/>
          </w:tcPr>
          <w:p>
            <w:pPr>
              <w:jc w:val="center"/>
              <w:rPr>
                <w:color w:val="000000"/>
                <w:kern w:val="0"/>
                <w:sz w:val="20"/>
                <w:szCs w:val="20"/>
              </w:rPr>
            </w:pPr>
            <w:r>
              <w:rPr>
                <w:color w:val="000000"/>
                <w:kern w:val="0"/>
                <w:sz w:val="20"/>
                <w:szCs w:val="20"/>
                <w:u w:val="single"/>
              </w:rPr>
              <w:t xml:space="preserve">                 </w:t>
            </w:r>
            <w:r>
              <w:rPr>
                <w:color w:val="000000"/>
                <w:kern w:val="0"/>
                <w:sz w:val="20"/>
                <w:szCs w:val="20"/>
              </w:rPr>
              <w:t>元</w:t>
            </w:r>
          </w:p>
          <w:p>
            <w:pPr>
              <w:jc w:val="center"/>
              <w:rPr>
                <w:color w:val="000000"/>
              </w:rPr>
            </w:pPr>
            <w:r>
              <w:rPr>
                <w:color w:val="000000"/>
                <w:kern w:val="0"/>
                <w:sz w:val="20"/>
                <w:szCs w:val="20"/>
              </w:rPr>
              <w:t>汇入工程项目总价表</w:t>
            </w:r>
          </w:p>
        </w:tc>
      </w:tr>
    </w:tbl>
    <w:p>
      <w:pPr>
        <w:rPr>
          <w:color w:val="000000"/>
        </w:rPr>
      </w:pPr>
    </w:p>
    <w:p>
      <w:pPr>
        <w:spacing w:line="600" w:lineRule="exact"/>
        <w:ind w:firstLine="3486" w:firstLineChars="1245"/>
        <w:rPr>
          <w:rFonts w:eastAsia="仿宋_GB2312"/>
          <w:bCs/>
          <w:color w:val="000000"/>
          <w:sz w:val="28"/>
          <w:szCs w:val="28"/>
          <w:u w:val="single"/>
        </w:rPr>
      </w:pPr>
      <w:r>
        <w:rPr>
          <w:rFonts w:eastAsia="仿宋_GB2312"/>
          <w:bCs/>
          <w:color w:val="000000"/>
          <w:sz w:val="28"/>
          <w:szCs w:val="28"/>
        </w:rPr>
        <w:t>投  标  人：</w:t>
      </w:r>
      <w:r>
        <w:rPr>
          <w:rFonts w:eastAsia="仿宋_GB2312"/>
          <w:bCs/>
          <w:color w:val="000000"/>
          <w:sz w:val="28"/>
          <w:szCs w:val="28"/>
          <w:u w:val="single"/>
        </w:rPr>
        <w:t xml:space="preserve">        （名称）         </w:t>
      </w:r>
    </w:p>
    <w:p>
      <w:pPr>
        <w:spacing w:line="600" w:lineRule="exact"/>
        <w:ind w:firstLine="3486" w:firstLineChars="1245"/>
        <w:rPr>
          <w:rFonts w:eastAsia="仿宋_GB2312"/>
          <w:color w:val="000000"/>
          <w:sz w:val="28"/>
          <w:szCs w:val="28"/>
        </w:rPr>
      </w:pPr>
      <w:r>
        <w:rPr>
          <w:rFonts w:eastAsia="仿宋_GB2312"/>
          <w:color w:val="000000"/>
          <w:sz w:val="28"/>
          <w:szCs w:val="28"/>
        </w:rPr>
        <w:t xml:space="preserve">               （盖单位电子公章）</w:t>
      </w:r>
    </w:p>
    <w:p>
      <w:pPr>
        <w:spacing w:line="600" w:lineRule="exact"/>
        <w:ind w:firstLine="3486" w:firstLineChars="1245"/>
        <w:rPr>
          <w:rFonts w:eastAsia="仿宋_GB2312"/>
          <w:bCs/>
          <w:color w:val="000000"/>
          <w:sz w:val="28"/>
          <w:szCs w:val="28"/>
          <w:u w:val="single"/>
        </w:rPr>
      </w:pPr>
      <w:r>
        <w:rPr>
          <w:rFonts w:eastAsia="仿宋_GB2312"/>
          <w:bCs/>
          <w:color w:val="000000"/>
          <w:sz w:val="28"/>
          <w:szCs w:val="28"/>
        </w:rPr>
        <w:t>法定代表人：</w:t>
      </w:r>
      <w:r>
        <w:rPr>
          <w:rFonts w:eastAsia="仿宋_GB2312"/>
          <w:bCs/>
          <w:color w:val="000000"/>
          <w:sz w:val="28"/>
          <w:szCs w:val="28"/>
          <w:u w:val="single"/>
        </w:rPr>
        <w:t xml:space="preserve">        （电子签名）      </w:t>
      </w:r>
    </w:p>
    <w:p>
      <w:pPr>
        <w:spacing w:line="600" w:lineRule="exact"/>
        <w:ind w:firstLine="3486" w:firstLineChars="1245"/>
        <w:rPr>
          <w:b/>
          <w:color w:val="000000"/>
          <w:sz w:val="28"/>
          <w:szCs w:val="28"/>
        </w:rPr>
      </w:pPr>
      <w:r>
        <w:rPr>
          <w:rFonts w:eastAsia="仿宋_GB2312"/>
          <w:color w:val="000000"/>
          <w:sz w:val="28"/>
          <w:szCs w:val="28"/>
        </w:rPr>
        <w:t>日      期：</w:t>
      </w:r>
      <w:r>
        <w:rPr>
          <w:rFonts w:eastAsia="仿宋_GB2312"/>
          <w:color w:val="000000"/>
          <w:sz w:val="28"/>
          <w:szCs w:val="28"/>
          <w:u w:val="single"/>
        </w:rPr>
        <w:t xml:space="preserve">         </w:t>
      </w:r>
      <w:r>
        <w:rPr>
          <w:rFonts w:eastAsia="仿宋_GB2312"/>
          <w:color w:val="000000"/>
          <w:sz w:val="28"/>
          <w:szCs w:val="28"/>
        </w:rPr>
        <w:t>年</w:t>
      </w:r>
      <w:r>
        <w:rPr>
          <w:rFonts w:eastAsia="仿宋_GB2312"/>
          <w:color w:val="000000"/>
          <w:sz w:val="28"/>
          <w:szCs w:val="28"/>
          <w:u w:val="single"/>
        </w:rPr>
        <w:t xml:space="preserve">      </w:t>
      </w:r>
      <w:r>
        <w:rPr>
          <w:rFonts w:eastAsia="仿宋_GB2312"/>
          <w:color w:val="000000"/>
          <w:sz w:val="28"/>
          <w:szCs w:val="28"/>
        </w:rPr>
        <w:t>月</w:t>
      </w:r>
      <w:r>
        <w:rPr>
          <w:rFonts w:eastAsia="仿宋_GB2312"/>
          <w:color w:val="000000"/>
          <w:sz w:val="28"/>
          <w:szCs w:val="28"/>
          <w:u w:val="single"/>
        </w:rPr>
        <w:t xml:space="preserve">      </w:t>
      </w:r>
      <w:r>
        <w:rPr>
          <w:rFonts w:eastAsia="仿宋_GB2312"/>
          <w:color w:val="000000"/>
          <w:sz w:val="28"/>
          <w:szCs w:val="28"/>
        </w:rPr>
        <w:t>日</w:t>
      </w:r>
      <w:r>
        <w:rPr>
          <w:b/>
          <w:color w:val="000000"/>
          <w:sz w:val="28"/>
          <w:szCs w:val="28"/>
        </w:rPr>
        <w:br w:type="page"/>
      </w:r>
    </w:p>
    <w:p>
      <w:pPr>
        <w:spacing w:line="600" w:lineRule="exact"/>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其它项目清单计价表</w:t>
      </w:r>
    </w:p>
    <w:p>
      <w:pPr>
        <w:spacing w:line="600" w:lineRule="exact"/>
        <w:jc w:val="center"/>
        <w:rPr>
          <w:rFonts w:eastAsia="仿宋_GB2312"/>
          <w:b/>
          <w:color w:val="000000"/>
          <w:sz w:val="28"/>
          <w:szCs w:val="28"/>
        </w:rPr>
      </w:pPr>
    </w:p>
    <w:p>
      <w:pPr>
        <w:spacing w:line="490" w:lineRule="exact"/>
        <w:rPr>
          <w:rFonts w:eastAsia="仿宋_GB2312"/>
          <w:color w:val="000000"/>
          <w:sz w:val="28"/>
          <w:szCs w:val="28"/>
          <w:u w:val="single"/>
        </w:rPr>
      </w:pPr>
      <w:r>
        <w:rPr>
          <w:rFonts w:eastAsia="仿宋_GB2312"/>
          <w:color w:val="000000"/>
          <w:sz w:val="28"/>
          <w:szCs w:val="28"/>
        </w:rPr>
        <w:t>合同编号：</w:t>
      </w:r>
      <w:r>
        <w:rPr>
          <w:rFonts w:eastAsia="仿宋_GB2312"/>
          <w:color w:val="000000"/>
          <w:sz w:val="28"/>
          <w:szCs w:val="28"/>
          <w:u w:val="single"/>
        </w:rPr>
        <w:t xml:space="preserve">  （投标项目合同号）  </w:t>
      </w:r>
    </w:p>
    <w:p>
      <w:pPr>
        <w:spacing w:line="490" w:lineRule="exact"/>
        <w:rPr>
          <w:rFonts w:eastAsia="仿宋_GB2312"/>
          <w:color w:val="000000"/>
          <w:sz w:val="28"/>
          <w:szCs w:val="28"/>
        </w:rPr>
      </w:pPr>
      <w:r>
        <w:rPr>
          <w:rFonts w:eastAsia="仿宋_GB2312"/>
          <w:color w:val="000000"/>
          <w:sz w:val="28"/>
          <w:szCs w:val="28"/>
        </w:rPr>
        <w:t>工程名称：</w:t>
      </w:r>
      <w:r>
        <w:rPr>
          <w:rFonts w:eastAsia="仿宋_GB2312"/>
          <w:color w:val="000000"/>
          <w:sz w:val="28"/>
          <w:szCs w:val="28"/>
          <w:u w:val="single"/>
        </w:rPr>
        <w:t xml:space="preserve">          </w:t>
      </w:r>
      <w:r>
        <w:rPr>
          <w:rFonts w:eastAsia="仿宋_GB2312"/>
          <w:color w:val="000000"/>
          <w:sz w:val="28"/>
          <w:szCs w:val="28"/>
        </w:rPr>
        <w:t>（项目名称）</w:t>
      </w:r>
      <w:r>
        <w:rPr>
          <w:rFonts w:eastAsia="仿宋_GB2312"/>
          <w:color w:val="000000"/>
          <w:sz w:val="28"/>
          <w:szCs w:val="28"/>
          <w:u w:val="single"/>
        </w:rPr>
        <w:t xml:space="preserve">          </w:t>
      </w:r>
      <w:r>
        <w:rPr>
          <w:rFonts w:eastAsia="仿宋_GB2312"/>
          <w:color w:val="000000"/>
          <w:sz w:val="28"/>
          <w:szCs w:val="28"/>
        </w:rPr>
        <w:t>（标段名称）</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2268"/>
        <w:gridCol w:w="2268"/>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noWrap w:val="0"/>
            <w:vAlign w:val="center"/>
          </w:tcPr>
          <w:p>
            <w:pPr>
              <w:jc w:val="center"/>
              <w:rPr>
                <w:rFonts w:eastAsia="黑体"/>
                <w:color w:val="000000"/>
              </w:rPr>
            </w:pPr>
            <w:r>
              <w:rPr>
                <w:rFonts w:eastAsia="黑体"/>
                <w:color w:val="000000"/>
              </w:rPr>
              <w:t>序号</w:t>
            </w:r>
          </w:p>
        </w:tc>
        <w:tc>
          <w:tcPr>
            <w:tcW w:w="2268" w:type="dxa"/>
            <w:noWrap w:val="0"/>
            <w:vAlign w:val="center"/>
          </w:tcPr>
          <w:p>
            <w:pPr>
              <w:jc w:val="center"/>
              <w:rPr>
                <w:rFonts w:eastAsia="黑体"/>
                <w:color w:val="000000"/>
              </w:rPr>
            </w:pPr>
            <w:r>
              <w:rPr>
                <w:rFonts w:eastAsia="黑体"/>
                <w:color w:val="000000"/>
              </w:rPr>
              <w:t>项目名称</w:t>
            </w:r>
          </w:p>
        </w:tc>
        <w:tc>
          <w:tcPr>
            <w:tcW w:w="2268" w:type="dxa"/>
            <w:noWrap w:val="0"/>
            <w:vAlign w:val="center"/>
          </w:tcPr>
          <w:p>
            <w:pPr>
              <w:jc w:val="center"/>
              <w:rPr>
                <w:rFonts w:eastAsia="黑体"/>
                <w:color w:val="000000"/>
              </w:rPr>
            </w:pPr>
            <w:r>
              <w:rPr>
                <w:rFonts w:eastAsia="黑体"/>
                <w:color w:val="000000"/>
              </w:rPr>
              <w:t>金额（元）</w:t>
            </w:r>
          </w:p>
        </w:tc>
        <w:tc>
          <w:tcPr>
            <w:tcW w:w="2268" w:type="dxa"/>
            <w:noWrap w:val="0"/>
            <w:vAlign w:val="center"/>
          </w:tcPr>
          <w:p>
            <w:pPr>
              <w:jc w:val="center"/>
              <w:rPr>
                <w:rFonts w:eastAsia="黑体"/>
                <w:color w:val="000000"/>
              </w:rPr>
            </w:pPr>
            <w:r>
              <w:rPr>
                <w:rFonts w:eastAsia="黑体"/>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noWrap w:val="0"/>
            <w:vAlign w:val="center"/>
          </w:tcPr>
          <w:p>
            <w:pPr>
              <w:jc w:val="center"/>
              <w:rPr>
                <w:rFonts w:eastAsia="仿宋"/>
                <w:color w:val="000000"/>
                <w:szCs w:val="21"/>
              </w:rPr>
            </w:pPr>
            <w:r>
              <w:rPr>
                <w:rFonts w:eastAsia="仿宋"/>
                <w:color w:val="000000"/>
                <w:szCs w:val="21"/>
              </w:rPr>
              <w:t>1</w:t>
            </w:r>
          </w:p>
        </w:tc>
        <w:tc>
          <w:tcPr>
            <w:tcW w:w="2268" w:type="dxa"/>
            <w:noWrap w:val="0"/>
            <w:vAlign w:val="center"/>
          </w:tcPr>
          <w:p>
            <w:pPr>
              <w:jc w:val="center"/>
              <w:rPr>
                <w:rFonts w:eastAsia="仿宋"/>
                <w:color w:val="000000"/>
                <w:szCs w:val="21"/>
              </w:rPr>
            </w:pPr>
            <w:r>
              <w:rPr>
                <w:rFonts w:eastAsia="仿宋"/>
                <w:color w:val="000000"/>
                <w:szCs w:val="21"/>
              </w:rPr>
              <w:t>安全生产费用</w:t>
            </w:r>
          </w:p>
        </w:tc>
        <w:tc>
          <w:tcPr>
            <w:tcW w:w="2268" w:type="dxa"/>
            <w:noWrap w:val="0"/>
            <w:vAlign w:val="center"/>
          </w:tcPr>
          <w:p>
            <w:pPr>
              <w:jc w:val="center"/>
              <w:rPr>
                <w:rFonts w:eastAsia="仿宋"/>
                <w:b/>
                <w:color w:val="000000"/>
                <w:szCs w:val="21"/>
              </w:rPr>
            </w:pPr>
          </w:p>
        </w:tc>
        <w:tc>
          <w:tcPr>
            <w:tcW w:w="2268" w:type="dxa"/>
            <w:noWrap w:val="0"/>
            <w:vAlign w:val="center"/>
          </w:tcPr>
          <w:p>
            <w:pPr>
              <w:jc w:val="cente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noWrap w:val="0"/>
            <w:vAlign w:val="center"/>
          </w:tcPr>
          <w:p>
            <w:pPr>
              <w:jc w:val="center"/>
              <w:rPr>
                <w:rFonts w:eastAsia="仿宋"/>
                <w:b/>
                <w:color w:val="000000"/>
                <w:szCs w:val="21"/>
              </w:rPr>
            </w:pPr>
            <w:r>
              <w:rPr>
                <w:rFonts w:eastAsia="仿宋"/>
                <w:b/>
                <w:color w:val="000000"/>
                <w:szCs w:val="21"/>
              </w:rPr>
              <w:t>……</w:t>
            </w:r>
          </w:p>
        </w:tc>
        <w:tc>
          <w:tcPr>
            <w:tcW w:w="2268" w:type="dxa"/>
            <w:noWrap w:val="0"/>
            <w:vAlign w:val="center"/>
          </w:tcPr>
          <w:p>
            <w:pPr>
              <w:jc w:val="center"/>
              <w:rPr>
                <w:rFonts w:eastAsia="仿宋"/>
                <w:b/>
                <w:color w:val="000000"/>
                <w:szCs w:val="21"/>
              </w:rPr>
            </w:pPr>
            <w:r>
              <w:rPr>
                <w:rFonts w:eastAsia="仿宋"/>
                <w:b/>
                <w:color w:val="000000"/>
                <w:szCs w:val="21"/>
              </w:rPr>
              <w:t>……</w:t>
            </w:r>
          </w:p>
        </w:tc>
        <w:tc>
          <w:tcPr>
            <w:tcW w:w="2268" w:type="dxa"/>
            <w:noWrap w:val="0"/>
            <w:vAlign w:val="center"/>
          </w:tcPr>
          <w:p>
            <w:pPr>
              <w:jc w:val="center"/>
              <w:rPr>
                <w:rFonts w:eastAsia="仿宋"/>
                <w:b/>
                <w:color w:val="000000"/>
                <w:szCs w:val="21"/>
              </w:rPr>
            </w:pPr>
          </w:p>
        </w:tc>
        <w:tc>
          <w:tcPr>
            <w:tcW w:w="2268" w:type="dxa"/>
            <w:noWrap w:val="0"/>
            <w:vAlign w:val="center"/>
          </w:tcPr>
          <w:p>
            <w:pPr>
              <w:jc w:val="center"/>
              <w:rPr>
                <w:rFonts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noWrap w:val="0"/>
            <w:vAlign w:val="center"/>
          </w:tcPr>
          <w:p>
            <w:pPr>
              <w:jc w:val="center"/>
              <w:rPr>
                <w:rFonts w:eastAsia="仿宋"/>
                <w:b/>
                <w:color w:val="000000"/>
                <w:szCs w:val="21"/>
              </w:rPr>
            </w:pPr>
          </w:p>
        </w:tc>
        <w:tc>
          <w:tcPr>
            <w:tcW w:w="2268" w:type="dxa"/>
            <w:noWrap w:val="0"/>
            <w:vAlign w:val="center"/>
          </w:tcPr>
          <w:p>
            <w:pPr>
              <w:jc w:val="center"/>
              <w:rPr>
                <w:rFonts w:eastAsia="仿宋"/>
                <w:b/>
                <w:color w:val="000000"/>
                <w:szCs w:val="21"/>
              </w:rPr>
            </w:pPr>
          </w:p>
        </w:tc>
        <w:tc>
          <w:tcPr>
            <w:tcW w:w="2268" w:type="dxa"/>
            <w:noWrap w:val="0"/>
            <w:vAlign w:val="center"/>
          </w:tcPr>
          <w:p>
            <w:pPr>
              <w:jc w:val="center"/>
              <w:rPr>
                <w:rFonts w:eastAsia="仿宋"/>
                <w:b/>
                <w:color w:val="000000"/>
                <w:szCs w:val="21"/>
              </w:rPr>
            </w:pPr>
          </w:p>
        </w:tc>
        <w:tc>
          <w:tcPr>
            <w:tcW w:w="2268" w:type="dxa"/>
            <w:noWrap w:val="0"/>
            <w:vAlign w:val="center"/>
          </w:tcPr>
          <w:p>
            <w:pPr>
              <w:jc w:val="center"/>
              <w:rPr>
                <w:rFonts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noWrap w:val="0"/>
            <w:vAlign w:val="center"/>
          </w:tcPr>
          <w:p>
            <w:pPr>
              <w:jc w:val="center"/>
              <w:rPr>
                <w:rFonts w:eastAsia="仿宋"/>
                <w:color w:val="000000"/>
                <w:szCs w:val="21"/>
              </w:rPr>
            </w:pPr>
          </w:p>
        </w:tc>
        <w:tc>
          <w:tcPr>
            <w:tcW w:w="2268" w:type="dxa"/>
            <w:noWrap w:val="0"/>
            <w:vAlign w:val="center"/>
          </w:tcPr>
          <w:p>
            <w:pPr>
              <w:jc w:val="center"/>
              <w:rPr>
                <w:rFonts w:eastAsia="仿宋"/>
                <w:color w:val="000000"/>
                <w:szCs w:val="21"/>
              </w:rPr>
            </w:pPr>
          </w:p>
        </w:tc>
        <w:tc>
          <w:tcPr>
            <w:tcW w:w="2268" w:type="dxa"/>
            <w:noWrap w:val="0"/>
            <w:vAlign w:val="center"/>
          </w:tcPr>
          <w:p>
            <w:pPr>
              <w:jc w:val="center"/>
              <w:rPr>
                <w:rFonts w:eastAsia="仿宋"/>
                <w:b/>
                <w:color w:val="000000"/>
                <w:szCs w:val="21"/>
              </w:rPr>
            </w:pPr>
          </w:p>
        </w:tc>
        <w:tc>
          <w:tcPr>
            <w:tcW w:w="2268" w:type="dxa"/>
            <w:noWrap w:val="0"/>
            <w:vAlign w:val="top"/>
          </w:tcPr>
          <w:p>
            <w:pP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noWrap w:val="0"/>
            <w:vAlign w:val="top"/>
          </w:tcPr>
          <w:p>
            <w:pPr>
              <w:rPr>
                <w:rFonts w:eastAsia="仿宋"/>
                <w:color w:val="000000"/>
              </w:rPr>
            </w:pPr>
          </w:p>
        </w:tc>
        <w:tc>
          <w:tcPr>
            <w:tcW w:w="2268" w:type="dxa"/>
            <w:noWrap w:val="0"/>
            <w:vAlign w:val="top"/>
          </w:tcPr>
          <w:p>
            <w:pPr>
              <w:rPr>
                <w:rFonts w:eastAsia="仿宋"/>
                <w:color w:val="000000"/>
              </w:rPr>
            </w:pPr>
          </w:p>
        </w:tc>
        <w:tc>
          <w:tcPr>
            <w:tcW w:w="2268" w:type="dxa"/>
            <w:noWrap w:val="0"/>
            <w:vAlign w:val="top"/>
          </w:tcPr>
          <w:p>
            <w:pPr>
              <w:rPr>
                <w:rFonts w:eastAsia="仿宋"/>
                <w:color w:val="000000"/>
              </w:rPr>
            </w:pPr>
          </w:p>
        </w:tc>
        <w:tc>
          <w:tcPr>
            <w:tcW w:w="2268" w:type="dxa"/>
            <w:noWrap w:val="0"/>
            <w:vAlign w:val="top"/>
          </w:tcPr>
          <w:p>
            <w:pP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6" w:type="dxa"/>
            <w:gridSpan w:val="2"/>
            <w:noWrap w:val="0"/>
            <w:vAlign w:val="center"/>
          </w:tcPr>
          <w:p>
            <w:pPr>
              <w:jc w:val="center"/>
              <w:rPr>
                <w:rFonts w:eastAsia="仿宋"/>
                <w:color w:val="000000"/>
              </w:rPr>
            </w:pPr>
            <w:r>
              <w:rPr>
                <w:rFonts w:eastAsia="仿宋"/>
                <w:color w:val="000000"/>
              </w:rPr>
              <w:t>合    计</w:t>
            </w:r>
          </w:p>
        </w:tc>
        <w:tc>
          <w:tcPr>
            <w:tcW w:w="2268" w:type="dxa"/>
            <w:noWrap w:val="0"/>
            <w:vAlign w:val="top"/>
          </w:tcPr>
          <w:p>
            <w:pPr>
              <w:rPr>
                <w:rFonts w:eastAsia="仿宋"/>
                <w:color w:val="000000"/>
                <w:kern w:val="0"/>
                <w:sz w:val="20"/>
                <w:szCs w:val="20"/>
              </w:rPr>
            </w:pPr>
            <w:r>
              <w:rPr>
                <w:rFonts w:eastAsia="仿宋"/>
                <w:color w:val="000000"/>
                <w:kern w:val="0"/>
                <w:sz w:val="20"/>
                <w:szCs w:val="20"/>
                <w:u w:val="single"/>
              </w:rPr>
              <w:t xml:space="preserve">                 </w:t>
            </w:r>
            <w:r>
              <w:rPr>
                <w:rFonts w:eastAsia="仿宋"/>
                <w:color w:val="000000"/>
                <w:kern w:val="0"/>
                <w:sz w:val="20"/>
                <w:szCs w:val="20"/>
              </w:rPr>
              <w:t>元</w:t>
            </w:r>
          </w:p>
          <w:p>
            <w:pPr>
              <w:rPr>
                <w:rFonts w:eastAsia="仿宋"/>
                <w:color w:val="000000"/>
              </w:rPr>
            </w:pPr>
            <w:r>
              <w:rPr>
                <w:rFonts w:eastAsia="仿宋"/>
                <w:color w:val="000000"/>
                <w:kern w:val="0"/>
                <w:sz w:val="20"/>
                <w:szCs w:val="20"/>
              </w:rPr>
              <w:t>汇入工程项目总价表</w:t>
            </w:r>
          </w:p>
        </w:tc>
        <w:tc>
          <w:tcPr>
            <w:tcW w:w="2268" w:type="dxa"/>
            <w:noWrap w:val="0"/>
            <w:vAlign w:val="top"/>
          </w:tcPr>
          <w:p>
            <w:pPr>
              <w:rPr>
                <w:rFonts w:eastAsia="仿宋"/>
                <w:color w:val="000000"/>
              </w:rPr>
            </w:pPr>
          </w:p>
        </w:tc>
      </w:tr>
    </w:tbl>
    <w:p>
      <w:pPr>
        <w:spacing w:line="360" w:lineRule="auto"/>
        <w:ind w:firstLine="482" w:firstLineChars="200"/>
        <w:rPr>
          <w:rFonts w:hint="eastAsia" w:eastAsia="仿宋"/>
          <w:b/>
          <w:color w:val="000000"/>
          <w:sz w:val="24"/>
        </w:rPr>
      </w:pPr>
      <w:r>
        <w:rPr>
          <w:rFonts w:eastAsia="仿宋"/>
          <w:b/>
          <w:color w:val="000000"/>
          <w:sz w:val="24"/>
        </w:rPr>
        <w:t>注：安全生产费用严格按财政部 安全监管总局</w:t>
      </w:r>
      <w:r>
        <w:rPr>
          <w:rFonts w:hint="eastAsia" w:eastAsia="仿宋"/>
          <w:b/>
          <w:color w:val="000000"/>
          <w:sz w:val="24"/>
        </w:rPr>
        <w:t>《应急管理部办公厅关于征求《企业安全费用提取和使用管理办法（征求意见稿）》意见的函》（应急厅函〔2019〕428号）提取和使用。</w:t>
      </w:r>
    </w:p>
    <w:p>
      <w:pPr>
        <w:spacing w:line="360" w:lineRule="auto"/>
        <w:ind w:firstLine="482" w:firstLineChars="200"/>
        <w:rPr>
          <w:rFonts w:eastAsia="仿宋"/>
          <w:b/>
          <w:color w:val="000000"/>
          <w:sz w:val="24"/>
        </w:rPr>
      </w:pPr>
      <w:r>
        <w:rPr>
          <w:rFonts w:eastAsia="仿宋"/>
          <w:b/>
          <w:color w:val="000000"/>
          <w:sz w:val="24"/>
        </w:rPr>
        <w:t>安全生产费用以招标人最高投标限价（不含安全生产费用及建筑工程一切险和第三者责任险等保险费用）的2.0％标准计取，并在招标文件《其它项目清单计价表》中以固定值单列，投标人投标文件中均以该固定值报价，不得作为竞争性报价。安全生产费用应用于施工安全防护用具及设施的采购和更新、安全施工措施的落实、安全生产条件的改善、安全生产文明宣传培训等，不得挪作他用。招标人按实计量支付。</w:t>
      </w:r>
    </w:p>
    <w:p>
      <w:pPr>
        <w:rPr>
          <w:color w:val="000000"/>
          <w:u w:val="single"/>
        </w:rPr>
      </w:pPr>
    </w:p>
    <w:p>
      <w:pPr>
        <w:rPr>
          <w:color w:val="000000"/>
          <w:u w:val="single"/>
        </w:rPr>
      </w:pPr>
    </w:p>
    <w:p>
      <w:pPr>
        <w:rPr>
          <w:color w:val="000000"/>
          <w:u w:val="single"/>
        </w:rPr>
      </w:pPr>
    </w:p>
    <w:p>
      <w:pPr>
        <w:spacing w:line="600" w:lineRule="exact"/>
        <w:ind w:firstLine="3402" w:firstLineChars="1215"/>
        <w:rPr>
          <w:rFonts w:eastAsia="仿宋_GB2312"/>
          <w:bCs/>
          <w:color w:val="000000"/>
          <w:sz w:val="28"/>
          <w:szCs w:val="28"/>
          <w:u w:val="single"/>
        </w:rPr>
      </w:pPr>
      <w:r>
        <w:rPr>
          <w:rFonts w:eastAsia="仿宋_GB2312"/>
          <w:bCs/>
          <w:color w:val="000000"/>
          <w:sz w:val="28"/>
          <w:szCs w:val="28"/>
        </w:rPr>
        <w:t>投  标  人：</w:t>
      </w:r>
      <w:r>
        <w:rPr>
          <w:rFonts w:eastAsia="仿宋_GB2312"/>
          <w:bCs/>
          <w:color w:val="000000"/>
          <w:sz w:val="28"/>
          <w:szCs w:val="28"/>
          <w:u w:val="single"/>
        </w:rPr>
        <w:t xml:space="preserve">         （名称）        </w:t>
      </w:r>
    </w:p>
    <w:p>
      <w:pPr>
        <w:spacing w:line="600" w:lineRule="exact"/>
        <w:ind w:firstLine="3402" w:firstLineChars="1215"/>
        <w:rPr>
          <w:rFonts w:eastAsia="仿宋_GB2312"/>
          <w:color w:val="000000"/>
          <w:sz w:val="28"/>
          <w:szCs w:val="28"/>
        </w:rPr>
      </w:pPr>
      <w:r>
        <w:rPr>
          <w:rFonts w:eastAsia="仿宋_GB2312"/>
          <w:color w:val="000000"/>
          <w:sz w:val="28"/>
          <w:szCs w:val="28"/>
        </w:rPr>
        <w:t xml:space="preserve">                （盖单位电子公章）</w:t>
      </w:r>
    </w:p>
    <w:p>
      <w:pPr>
        <w:spacing w:line="600" w:lineRule="exact"/>
        <w:ind w:firstLine="3402" w:firstLineChars="1215"/>
        <w:rPr>
          <w:rFonts w:eastAsia="仿宋_GB2312"/>
          <w:bCs/>
          <w:color w:val="000000"/>
          <w:sz w:val="28"/>
          <w:szCs w:val="28"/>
          <w:u w:val="single"/>
        </w:rPr>
      </w:pPr>
      <w:r>
        <w:rPr>
          <w:rFonts w:eastAsia="仿宋_GB2312"/>
          <w:bCs/>
          <w:color w:val="000000"/>
          <w:sz w:val="28"/>
          <w:szCs w:val="28"/>
        </w:rPr>
        <w:t>法定代表人：</w:t>
      </w:r>
      <w:r>
        <w:rPr>
          <w:rFonts w:eastAsia="仿宋_GB2312"/>
          <w:bCs/>
          <w:color w:val="000000"/>
          <w:sz w:val="28"/>
          <w:szCs w:val="28"/>
          <w:u w:val="single"/>
        </w:rPr>
        <w:t xml:space="preserve">        （电子签名）     </w:t>
      </w:r>
    </w:p>
    <w:p>
      <w:pPr>
        <w:spacing w:line="600" w:lineRule="exact"/>
        <w:ind w:firstLine="3402" w:firstLineChars="1215"/>
        <w:rPr>
          <w:rFonts w:eastAsia="仿宋_GB2312"/>
          <w:color w:val="000000"/>
          <w:sz w:val="28"/>
          <w:szCs w:val="28"/>
        </w:rPr>
      </w:pPr>
      <w:r>
        <w:rPr>
          <w:rFonts w:eastAsia="仿宋_GB2312"/>
          <w:color w:val="000000"/>
          <w:sz w:val="28"/>
          <w:szCs w:val="28"/>
        </w:rPr>
        <w:t>日      期：</w:t>
      </w:r>
      <w:r>
        <w:rPr>
          <w:rFonts w:eastAsia="仿宋_GB2312"/>
          <w:color w:val="000000"/>
          <w:sz w:val="28"/>
          <w:szCs w:val="28"/>
          <w:u w:val="single"/>
        </w:rPr>
        <w:t xml:space="preserve">        </w:t>
      </w:r>
      <w:r>
        <w:rPr>
          <w:rFonts w:eastAsia="仿宋_GB2312"/>
          <w:color w:val="000000"/>
          <w:sz w:val="28"/>
          <w:szCs w:val="28"/>
        </w:rPr>
        <w:t>年</w:t>
      </w:r>
      <w:r>
        <w:rPr>
          <w:rFonts w:eastAsia="仿宋_GB2312"/>
          <w:color w:val="000000"/>
          <w:sz w:val="28"/>
          <w:szCs w:val="28"/>
          <w:u w:val="single"/>
        </w:rPr>
        <w:t xml:space="preserve">      </w:t>
      </w:r>
      <w:r>
        <w:rPr>
          <w:rFonts w:eastAsia="仿宋_GB2312"/>
          <w:color w:val="000000"/>
          <w:sz w:val="28"/>
          <w:szCs w:val="28"/>
        </w:rPr>
        <w:t>月</w:t>
      </w:r>
      <w:r>
        <w:rPr>
          <w:rFonts w:eastAsia="仿宋_GB2312"/>
          <w:color w:val="000000"/>
          <w:sz w:val="28"/>
          <w:szCs w:val="28"/>
          <w:u w:val="single"/>
        </w:rPr>
        <w:t xml:space="preserve">      </w:t>
      </w:r>
      <w:r>
        <w:rPr>
          <w:rFonts w:eastAsia="仿宋_GB2312"/>
          <w:color w:val="000000"/>
          <w:sz w:val="28"/>
          <w:szCs w:val="28"/>
        </w:rPr>
        <w:t>日</w:t>
      </w:r>
    </w:p>
    <w:p>
      <w:pPr>
        <w:spacing w:line="490" w:lineRule="exact"/>
        <w:jc w:val="center"/>
        <w:rPr>
          <w:color w:val="000000"/>
          <w:sz w:val="20"/>
        </w:rPr>
      </w:pPr>
      <w:r>
        <w:rPr>
          <w:color w:val="000000"/>
        </w:rPr>
        <w:br w:type="page"/>
      </w:r>
    </w:p>
    <w:p>
      <w:pPr>
        <w:spacing w:line="490" w:lineRule="exact"/>
        <w:jc w:val="center"/>
        <w:rPr>
          <w:rFonts w:hint="eastAsia" w:ascii="方正小标宋简体" w:eastAsia="方正小标宋简体"/>
          <w:color w:val="000000"/>
          <w:sz w:val="40"/>
          <w:szCs w:val="44"/>
        </w:rPr>
      </w:pPr>
      <w:r>
        <w:rPr>
          <w:rFonts w:hint="eastAsia" w:ascii="方正小标宋简体" w:eastAsia="方正小标宋简体"/>
          <w:color w:val="000000"/>
          <w:sz w:val="40"/>
          <w:szCs w:val="44"/>
        </w:rPr>
        <w:t>计日工项目计价表</w:t>
      </w:r>
    </w:p>
    <w:p>
      <w:pPr>
        <w:spacing w:line="490" w:lineRule="exact"/>
        <w:jc w:val="center"/>
        <w:rPr>
          <w:rFonts w:eastAsia="方正小标宋_GBK"/>
          <w:b/>
          <w:color w:val="000000"/>
          <w:sz w:val="40"/>
          <w:szCs w:val="44"/>
        </w:rPr>
      </w:pPr>
    </w:p>
    <w:p>
      <w:pPr>
        <w:spacing w:line="500" w:lineRule="exact"/>
        <w:ind w:firstLine="425" w:firstLineChars="152"/>
        <w:rPr>
          <w:rFonts w:eastAsia="仿宋_GB2312"/>
          <w:color w:val="000000"/>
          <w:sz w:val="28"/>
          <w:szCs w:val="28"/>
          <w:u w:val="single"/>
        </w:rPr>
      </w:pPr>
      <w:r>
        <w:rPr>
          <w:rFonts w:eastAsia="仿宋_GB2312"/>
          <w:color w:val="000000"/>
          <w:sz w:val="28"/>
          <w:szCs w:val="28"/>
        </w:rPr>
        <w:t>合同编号：</w:t>
      </w:r>
      <w:r>
        <w:rPr>
          <w:rFonts w:eastAsia="仿宋_GB2312"/>
          <w:color w:val="000000"/>
          <w:sz w:val="28"/>
          <w:szCs w:val="28"/>
          <w:u w:val="single"/>
        </w:rPr>
        <w:t xml:space="preserve">  （投标项目合同号）  </w:t>
      </w:r>
    </w:p>
    <w:p>
      <w:pPr>
        <w:spacing w:line="500" w:lineRule="exact"/>
        <w:ind w:firstLine="425" w:firstLineChars="152"/>
        <w:rPr>
          <w:rFonts w:eastAsia="仿宋_GB2312"/>
          <w:color w:val="000000"/>
          <w:sz w:val="28"/>
          <w:szCs w:val="28"/>
        </w:rPr>
      </w:pPr>
      <w:r>
        <w:rPr>
          <w:rFonts w:eastAsia="仿宋_GB2312"/>
          <w:color w:val="000000"/>
          <w:sz w:val="28"/>
          <w:szCs w:val="28"/>
        </w:rPr>
        <w:t>工程名称：</w:t>
      </w:r>
      <w:r>
        <w:rPr>
          <w:rFonts w:eastAsia="仿宋_GB2312"/>
          <w:color w:val="000000"/>
          <w:sz w:val="28"/>
          <w:szCs w:val="28"/>
          <w:u w:val="single"/>
        </w:rPr>
        <w:t xml:space="preserve">          </w:t>
      </w:r>
      <w:r>
        <w:rPr>
          <w:rFonts w:eastAsia="仿宋_GB2312"/>
          <w:color w:val="000000"/>
          <w:sz w:val="28"/>
          <w:szCs w:val="28"/>
        </w:rPr>
        <w:t>（项目名称）</w:t>
      </w:r>
      <w:r>
        <w:rPr>
          <w:rFonts w:eastAsia="仿宋_GB2312"/>
          <w:color w:val="000000"/>
          <w:sz w:val="28"/>
          <w:szCs w:val="28"/>
          <w:u w:val="single"/>
        </w:rPr>
        <w:t xml:space="preserve">          </w:t>
      </w:r>
      <w:r>
        <w:rPr>
          <w:rFonts w:eastAsia="仿宋_GB2312"/>
          <w:color w:val="000000"/>
          <w:sz w:val="28"/>
          <w:szCs w:val="28"/>
        </w:rPr>
        <w:t>（标段名称）</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1359"/>
        <w:gridCol w:w="1359"/>
        <w:gridCol w:w="1359"/>
        <w:gridCol w:w="1594"/>
        <w:gridCol w:w="1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blHeader/>
          <w:jc w:val="center"/>
        </w:trPr>
        <w:tc>
          <w:tcPr>
            <w:tcW w:w="1358" w:type="dxa"/>
            <w:noWrap w:val="0"/>
            <w:vAlign w:val="center"/>
          </w:tcPr>
          <w:p>
            <w:pPr>
              <w:pStyle w:val="106"/>
              <w:jc w:val="center"/>
              <w:rPr>
                <w:rFonts w:ascii="Times New Roman" w:eastAsia="黑体" w:cs="Times New Roman"/>
                <w:sz w:val="21"/>
                <w:szCs w:val="21"/>
              </w:rPr>
            </w:pPr>
            <w:r>
              <w:rPr>
                <w:rFonts w:ascii="Times New Roman" w:eastAsia="黑体" w:cs="Times New Roman"/>
                <w:sz w:val="21"/>
                <w:szCs w:val="21"/>
              </w:rPr>
              <w:t>序号</w:t>
            </w:r>
          </w:p>
        </w:tc>
        <w:tc>
          <w:tcPr>
            <w:tcW w:w="1359" w:type="dxa"/>
            <w:noWrap w:val="0"/>
            <w:vAlign w:val="center"/>
          </w:tcPr>
          <w:p>
            <w:pPr>
              <w:pStyle w:val="106"/>
              <w:jc w:val="center"/>
              <w:rPr>
                <w:rFonts w:ascii="Times New Roman" w:eastAsia="黑体" w:cs="Times New Roman"/>
                <w:sz w:val="21"/>
                <w:szCs w:val="21"/>
              </w:rPr>
            </w:pPr>
            <w:r>
              <w:rPr>
                <w:rFonts w:ascii="Times New Roman" w:eastAsia="黑体" w:cs="Times New Roman"/>
                <w:sz w:val="21"/>
                <w:szCs w:val="21"/>
              </w:rPr>
              <w:t>名称</w:t>
            </w:r>
          </w:p>
        </w:tc>
        <w:tc>
          <w:tcPr>
            <w:tcW w:w="1359" w:type="dxa"/>
            <w:noWrap w:val="0"/>
            <w:vAlign w:val="center"/>
          </w:tcPr>
          <w:p>
            <w:pPr>
              <w:pStyle w:val="106"/>
              <w:jc w:val="center"/>
              <w:rPr>
                <w:rFonts w:ascii="Times New Roman" w:eastAsia="黑体" w:cs="Times New Roman"/>
                <w:sz w:val="21"/>
                <w:szCs w:val="21"/>
              </w:rPr>
            </w:pPr>
            <w:r>
              <w:rPr>
                <w:rFonts w:ascii="Times New Roman" w:eastAsia="黑体" w:cs="Times New Roman"/>
                <w:sz w:val="21"/>
                <w:szCs w:val="21"/>
              </w:rPr>
              <w:t>型号规格</w:t>
            </w:r>
          </w:p>
        </w:tc>
        <w:tc>
          <w:tcPr>
            <w:tcW w:w="1359" w:type="dxa"/>
            <w:noWrap w:val="0"/>
            <w:vAlign w:val="center"/>
          </w:tcPr>
          <w:p>
            <w:pPr>
              <w:pStyle w:val="106"/>
              <w:jc w:val="center"/>
              <w:rPr>
                <w:rFonts w:ascii="Times New Roman" w:eastAsia="黑体" w:cs="Times New Roman"/>
                <w:sz w:val="21"/>
                <w:szCs w:val="21"/>
              </w:rPr>
            </w:pPr>
            <w:r>
              <w:rPr>
                <w:rFonts w:ascii="Times New Roman" w:eastAsia="黑体" w:cs="Times New Roman"/>
                <w:sz w:val="21"/>
                <w:szCs w:val="21"/>
              </w:rPr>
              <w:t>计量单位</w:t>
            </w:r>
          </w:p>
        </w:tc>
        <w:tc>
          <w:tcPr>
            <w:tcW w:w="1594" w:type="dxa"/>
            <w:noWrap w:val="0"/>
            <w:vAlign w:val="center"/>
          </w:tcPr>
          <w:p>
            <w:pPr>
              <w:pStyle w:val="106"/>
              <w:jc w:val="center"/>
              <w:rPr>
                <w:rFonts w:ascii="Times New Roman" w:eastAsia="黑体" w:cs="Times New Roman"/>
                <w:sz w:val="21"/>
                <w:szCs w:val="21"/>
              </w:rPr>
            </w:pPr>
            <w:r>
              <w:rPr>
                <w:rFonts w:ascii="Times New Roman" w:eastAsia="黑体" w:cs="Times New Roman"/>
                <w:sz w:val="21"/>
                <w:szCs w:val="21"/>
              </w:rPr>
              <w:t>单价（元）</w:t>
            </w:r>
          </w:p>
        </w:tc>
        <w:tc>
          <w:tcPr>
            <w:tcW w:w="1359" w:type="dxa"/>
            <w:noWrap w:val="0"/>
            <w:vAlign w:val="center"/>
          </w:tcPr>
          <w:p>
            <w:pPr>
              <w:pStyle w:val="106"/>
              <w:jc w:val="center"/>
              <w:rPr>
                <w:rFonts w:ascii="Times New Roman" w:eastAsia="黑体" w:cs="Times New Roman"/>
                <w:sz w:val="21"/>
                <w:szCs w:val="21"/>
              </w:rPr>
            </w:pPr>
            <w:r>
              <w:rPr>
                <w:rFonts w:ascii="Times New Roman" w:eastAsia="黑体" w:cs="Times New Roman"/>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358" w:type="dxa"/>
            <w:noWrap w:val="0"/>
            <w:vAlign w:val="center"/>
          </w:tcPr>
          <w:p>
            <w:pPr>
              <w:jc w:val="center"/>
              <w:rPr>
                <w:rFonts w:eastAsia="仿宋"/>
                <w:bCs/>
                <w:color w:val="000000"/>
                <w:szCs w:val="21"/>
              </w:rPr>
            </w:pPr>
            <w:r>
              <w:rPr>
                <w:rFonts w:eastAsia="仿宋"/>
                <w:bCs/>
                <w:color w:val="000000"/>
                <w:szCs w:val="21"/>
              </w:rPr>
              <w:t>1</w:t>
            </w:r>
          </w:p>
        </w:tc>
        <w:tc>
          <w:tcPr>
            <w:tcW w:w="1359" w:type="dxa"/>
            <w:noWrap w:val="0"/>
            <w:vAlign w:val="center"/>
          </w:tcPr>
          <w:p>
            <w:pPr>
              <w:jc w:val="center"/>
              <w:rPr>
                <w:rFonts w:eastAsia="仿宋"/>
                <w:bCs/>
                <w:color w:val="000000"/>
                <w:szCs w:val="21"/>
              </w:rPr>
            </w:pPr>
            <w:r>
              <w:rPr>
                <w:rFonts w:eastAsia="仿宋"/>
                <w:bCs/>
                <w:color w:val="000000"/>
                <w:szCs w:val="21"/>
              </w:rPr>
              <w:t>人工</w:t>
            </w:r>
          </w:p>
        </w:tc>
        <w:tc>
          <w:tcPr>
            <w:tcW w:w="1359" w:type="dxa"/>
            <w:noWrap w:val="0"/>
            <w:vAlign w:val="center"/>
          </w:tcPr>
          <w:p>
            <w:pPr>
              <w:jc w:val="center"/>
              <w:rPr>
                <w:rFonts w:eastAsia="仿宋"/>
                <w:bCs/>
                <w:color w:val="000000"/>
                <w:szCs w:val="21"/>
              </w:rPr>
            </w:pPr>
          </w:p>
        </w:tc>
        <w:tc>
          <w:tcPr>
            <w:tcW w:w="1359" w:type="dxa"/>
            <w:noWrap w:val="0"/>
            <w:vAlign w:val="center"/>
          </w:tcPr>
          <w:p>
            <w:pPr>
              <w:jc w:val="center"/>
              <w:rPr>
                <w:rFonts w:eastAsia="仿宋"/>
                <w:color w:val="000000"/>
                <w:szCs w:val="21"/>
              </w:rPr>
            </w:pPr>
          </w:p>
        </w:tc>
        <w:tc>
          <w:tcPr>
            <w:tcW w:w="1594" w:type="dxa"/>
            <w:noWrap w:val="0"/>
            <w:vAlign w:val="center"/>
          </w:tcPr>
          <w:p>
            <w:pPr>
              <w:pStyle w:val="23"/>
              <w:jc w:val="center"/>
              <w:rPr>
                <w:rFonts w:ascii="Times New Roman" w:hAnsi="Times New Roman" w:eastAsia="仿宋"/>
                <w:color w:val="000000"/>
                <w:lang w:val="en-US" w:eastAsia="zh-CN"/>
              </w:rPr>
            </w:pPr>
          </w:p>
        </w:tc>
        <w:tc>
          <w:tcPr>
            <w:tcW w:w="1359" w:type="dxa"/>
            <w:noWrap w:val="0"/>
            <w:vAlign w:val="center"/>
          </w:tcPr>
          <w:p>
            <w:pPr>
              <w:pStyle w:val="23"/>
              <w:jc w:val="center"/>
              <w:rPr>
                <w:rFonts w:ascii="Times New Roman" w:hAnsi="Times New Roman" w:eastAsia="仿宋"/>
                <w:color w:val="00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358" w:type="dxa"/>
            <w:noWrap w:val="0"/>
            <w:vAlign w:val="center"/>
          </w:tcPr>
          <w:p>
            <w:pPr>
              <w:jc w:val="center"/>
              <w:rPr>
                <w:rFonts w:eastAsia="仿宋"/>
                <w:color w:val="000000"/>
                <w:szCs w:val="21"/>
              </w:rPr>
            </w:pPr>
          </w:p>
        </w:tc>
        <w:tc>
          <w:tcPr>
            <w:tcW w:w="1359" w:type="dxa"/>
            <w:noWrap w:val="0"/>
            <w:vAlign w:val="center"/>
          </w:tcPr>
          <w:p>
            <w:pPr>
              <w:jc w:val="center"/>
              <w:rPr>
                <w:rFonts w:eastAsia="仿宋"/>
                <w:color w:val="000000"/>
                <w:szCs w:val="21"/>
              </w:rPr>
            </w:pPr>
          </w:p>
        </w:tc>
        <w:tc>
          <w:tcPr>
            <w:tcW w:w="1359" w:type="dxa"/>
            <w:noWrap w:val="0"/>
            <w:vAlign w:val="center"/>
          </w:tcPr>
          <w:p>
            <w:pPr>
              <w:jc w:val="center"/>
              <w:rPr>
                <w:rFonts w:eastAsia="仿宋"/>
                <w:color w:val="000000"/>
                <w:szCs w:val="21"/>
              </w:rPr>
            </w:pPr>
          </w:p>
        </w:tc>
        <w:tc>
          <w:tcPr>
            <w:tcW w:w="1359" w:type="dxa"/>
            <w:noWrap w:val="0"/>
            <w:vAlign w:val="center"/>
          </w:tcPr>
          <w:p>
            <w:pPr>
              <w:jc w:val="center"/>
              <w:rPr>
                <w:rFonts w:eastAsia="仿宋"/>
                <w:color w:val="000000"/>
                <w:szCs w:val="21"/>
              </w:rPr>
            </w:pPr>
          </w:p>
        </w:tc>
        <w:tc>
          <w:tcPr>
            <w:tcW w:w="1594" w:type="dxa"/>
            <w:noWrap w:val="0"/>
            <w:vAlign w:val="center"/>
          </w:tcPr>
          <w:p>
            <w:pPr>
              <w:pStyle w:val="23"/>
              <w:jc w:val="center"/>
              <w:rPr>
                <w:rFonts w:ascii="Times New Roman" w:hAnsi="Times New Roman" w:eastAsia="仿宋"/>
                <w:color w:val="000000"/>
                <w:lang w:val="en-US" w:eastAsia="zh-CN"/>
              </w:rPr>
            </w:pPr>
          </w:p>
        </w:tc>
        <w:tc>
          <w:tcPr>
            <w:tcW w:w="1359" w:type="dxa"/>
            <w:noWrap w:val="0"/>
            <w:vAlign w:val="center"/>
          </w:tcPr>
          <w:p>
            <w:pPr>
              <w:pStyle w:val="23"/>
              <w:jc w:val="center"/>
              <w:rPr>
                <w:rFonts w:ascii="Times New Roman" w:hAnsi="Times New Roman" w:eastAsia="仿宋"/>
                <w:color w:val="00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358" w:type="dxa"/>
            <w:noWrap w:val="0"/>
            <w:vAlign w:val="center"/>
          </w:tcPr>
          <w:p>
            <w:pPr>
              <w:jc w:val="center"/>
              <w:rPr>
                <w:rFonts w:eastAsia="仿宋"/>
                <w:color w:val="000000"/>
                <w:szCs w:val="21"/>
              </w:rPr>
            </w:pPr>
          </w:p>
        </w:tc>
        <w:tc>
          <w:tcPr>
            <w:tcW w:w="1359" w:type="dxa"/>
            <w:noWrap w:val="0"/>
            <w:vAlign w:val="center"/>
          </w:tcPr>
          <w:p>
            <w:pPr>
              <w:jc w:val="center"/>
              <w:rPr>
                <w:rFonts w:eastAsia="仿宋"/>
                <w:color w:val="000000"/>
                <w:szCs w:val="21"/>
              </w:rPr>
            </w:pPr>
          </w:p>
        </w:tc>
        <w:tc>
          <w:tcPr>
            <w:tcW w:w="1359" w:type="dxa"/>
            <w:noWrap w:val="0"/>
            <w:vAlign w:val="center"/>
          </w:tcPr>
          <w:p>
            <w:pPr>
              <w:jc w:val="center"/>
              <w:rPr>
                <w:rFonts w:eastAsia="仿宋"/>
                <w:color w:val="000000"/>
                <w:szCs w:val="21"/>
              </w:rPr>
            </w:pPr>
          </w:p>
        </w:tc>
        <w:tc>
          <w:tcPr>
            <w:tcW w:w="1359" w:type="dxa"/>
            <w:noWrap w:val="0"/>
            <w:vAlign w:val="center"/>
          </w:tcPr>
          <w:p>
            <w:pPr>
              <w:jc w:val="center"/>
              <w:rPr>
                <w:rFonts w:eastAsia="仿宋"/>
                <w:color w:val="000000"/>
                <w:szCs w:val="21"/>
              </w:rPr>
            </w:pPr>
          </w:p>
        </w:tc>
        <w:tc>
          <w:tcPr>
            <w:tcW w:w="1594" w:type="dxa"/>
            <w:noWrap w:val="0"/>
            <w:vAlign w:val="center"/>
          </w:tcPr>
          <w:p>
            <w:pPr>
              <w:pStyle w:val="23"/>
              <w:jc w:val="center"/>
              <w:rPr>
                <w:rFonts w:ascii="Times New Roman" w:hAnsi="Times New Roman" w:eastAsia="仿宋"/>
                <w:color w:val="000000"/>
                <w:lang w:val="en-US" w:eastAsia="zh-CN"/>
              </w:rPr>
            </w:pPr>
          </w:p>
        </w:tc>
        <w:tc>
          <w:tcPr>
            <w:tcW w:w="1359" w:type="dxa"/>
            <w:noWrap w:val="0"/>
            <w:vAlign w:val="center"/>
          </w:tcPr>
          <w:p>
            <w:pPr>
              <w:pStyle w:val="23"/>
              <w:jc w:val="center"/>
              <w:rPr>
                <w:rFonts w:ascii="Times New Roman" w:hAnsi="Times New Roman" w:eastAsia="仿宋"/>
                <w:color w:val="00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358" w:type="dxa"/>
            <w:noWrap w:val="0"/>
            <w:vAlign w:val="center"/>
          </w:tcPr>
          <w:p>
            <w:pPr>
              <w:jc w:val="center"/>
              <w:rPr>
                <w:rFonts w:eastAsia="仿宋"/>
                <w:color w:val="000000"/>
                <w:szCs w:val="21"/>
              </w:rPr>
            </w:pPr>
          </w:p>
        </w:tc>
        <w:tc>
          <w:tcPr>
            <w:tcW w:w="1359" w:type="dxa"/>
            <w:noWrap w:val="0"/>
            <w:vAlign w:val="center"/>
          </w:tcPr>
          <w:p>
            <w:pPr>
              <w:jc w:val="center"/>
              <w:rPr>
                <w:rFonts w:eastAsia="仿宋"/>
                <w:color w:val="000000"/>
                <w:szCs w:val="21"/>
              </w:rPr>
            </w:pPr>
          </w:p>
        </w:tc>
        <w:tc>
          <w:tcPr>
            <w:tcW w:w="1359" w:type="dxa"/>
            <w:noWrap w:val="0"/>
            <w:vAlign w:val="center"/>
          </w:tcPr>
          <w:p>
            <w:pPr>
              <w:jc w:val="center"/>
              <w:rPr>
                <w:rFonts w:eastAsia="仿宋"/>
                <w:color w:val="000000"/>
                <w:szCs w:val="21"/>
              </w:rPr>
            </w:pPr>
          </w:p>
        </w:tc>
        <w:tc>
          <w:tcPr>
            <w:tcW w:w="1359" w:type="dxa"/>
            <w:noWrap w:val="0"/>
            <w:vAlign w:val="center"/>
          </w:tcPr>
          <w:p>
            <w:pPr>
              <w:jc w:val="center"/>
              <w:rPr>
                <w:rFonts w:eastAsia="仿宋"/>
                <w:color w:val="000000"/>
                <w:szCs w:val="21"/>
              </w:rPr>
            </w:pPr>
          </w:p>
        </w:tc>
        <w:tc>
          <w:tcPr>
            <w:tcW w:w="1594" w:type="dxa"/>
            <w:noWrap w:val="0"/>
            <w:vAlign w:val="center"/>
          </w:tcPr>
          <w:p>
            <w:pPr>
              <w:pStyle w:val="23"/>
              <w:jc w:val="center"/>
              <w:rPr>
                <w:rFonts w:ascii="Times New Roman" w:hAnsi="Times New Roman" w:eastAsia="仿宋"/>
                <w:color w:val="000000"/>
                <w:lang w:val="en-US" w:eastAsia="zh-CN"/>
              </w:rPr>
            </w:pPr>
          </w:p>
        </w:tc>
        <w:tc>
          <w:tcPr>
            <w:tcW w:w="1359" w:type="dxa"/>
            <w:noWrap w:val="0"/>
            <w:vAlign w:val="center"/>
          </w:tcPr>
          <w:p>
            <w:pPr>
              <w:pStyle w:val="23"/>
              <w:jc w:val="center"/>
              <w:rPr>
                <w:rFonts w:ascii="Times New Roman" w:hAnsi="Times New Roman" w:eastAsia="仿宋"/>
                <w:color w:val="00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358" w:type="dxa"/>
            <w:noWrap w:val="0"/>
            <w:vAlign w:val="center"/>
          </w:tcPr>
          <w:p>
            <w:pPr>
              <w:jc w:val="center"/>
              <w:rPr>
                <w:rFonts w:eastAsia="仿宋"/>
                <w:color w:val="000000"/>
                <w:szCs w:val="21"/>
              </w:rPr>
            </w:pPr>
          </w:p>
        </w:tc>
        <w:tc>
          <w:tcPr>
            <w:tcW w:w="1359" w:type="dxa"/>
            <w:noWrap w:val="0"/>
            <w:vAlign w:val="center"/>
          </w:tcPr>
          <w:p>
            <w:pPr>
              <w:jc w:val="center"/>
              <w:rPr>
                <w:rFonts w:eastAsia="仿宋"/>
                <w:color w:val="000000"/>
                <w:szCs w:val="21"/>
              </w:rPr>
            </w:pPr>
          </w:p>
        </w:tc>
        <w:tc>
          <w:tcPr>
            <w:tcW w:w="1359" w:type="dxa"/>
            <w:noWrap w:val="0"/>
            <w:vAlign w:val="center"/>
          </w:tcPr>
          <w:p>
            <w:pPr>
              <w:jc w:val="center"/>
              <w:rPr>
                <w:rFonts w:eastAsia="仿宋"/>
                <w:color w:val="000000"/>
                <w:szCs w:val="21"/>
              </w:rPr>
            </w:pPr>
          </w:p>
        </w:tc>
        <w:tc>
          <w:tcPr>
            <w:tcW w:w="1359" w:type="dxa"/>
            <w:noWrap w:val="0"/>
            <w:vAlign w:val="center"/>
          </w:tcPr>
          <w:p>
            <w:pPr>
              <w:jc w:val="center"/>
              <w:rPr>
                <w:rFonts w:eastAsia="仿宋"/>
                <w:color w:val="000000"/>
                <w:szCs w:val="21"/>
              </w:rPr>
            </w:pPr>
          </w:p>
        </w:tc>
        <w:tc>
          <w:tcPr>
            <w:tcW w:w="1594" w:type="dxa"/>
            <w:noWrap w:val="0"/>
            <w:vAlign w:val="center"/>
          </w:tcPr>
          <w:p>
            <w:pPr>
              <w:pStyle w:val="106"/>
              <w:jc w:val="center"/>
              <w:rPr>
                <w:rFonts w:ascii="Times New Roman" w:eastAsia="仿宋" w:cs="Times New Roman"/>
                <w:sz w:val="21"/>
                <w:szCs w:val="21"/>
              </w:rPr>
            </w:pPr>
          </w:p>
        </w:tc>
        <w:tc>
          <w:tcPr>
            <w:tcW w:w="1359" w:type="dxa"/>
            <w:noWrap w:val="0"/>
            <w:vAlign w:val="center"/>
          </w:tcPr>
          <w:p>
            <w:pPr>
              <w:pStyle w:val="106"/>
              <w:jc w:val="center"/>
              <w:rPr>
                <w:rFonts w:ascii="Times New Roman"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358" w:type="dxa"/>
            <w:noWrap w:val="0"/>
            <w:vAlign w:val="center"/>
          </w:tcPr>
          <w:p>
            <w:pPr>
              <w:jc w:val="center"/>
              <w:rPr>
                <w:rFonts w:eastAsia="仿宋"/>
                <w:bCs/>
                <w:color w:val="000000"/>
                <w:szCs w:val="21"/>
              </w:rPr>
            </w:pPr>
            <w:r>
              <w:rPr>
                <w:rFonts w:eastAsia="仿宋"/>
                <w:bCs/>
                <w:color w:val="000000"/>
                <w:szCs w:val="21"/>
              </w:rPr>
              <w:t>2</w:t>
            </w:r>
          </w:p>
        </w:tc>
        <w:tc>
          <w:tcPr>
            <w:tcW w:w="1359" w:type="dxa"/>
            <w:noWrap w:val="0"/>
            <w:vAlign w:val="center"/>
          </w:tcPr>
          <w:p>
            <w:pPr>
              <w:jc w:val="center"/>
              <w:rPr>
                <w:rFonts w:eastAsia="仿宋"/>
                <w:bCs/>
                <w:color w:val="000000"/>
                <w:szCs w:val="21"/>
              </w:rPr>
            </w:pPr>
            <w:r>
              <w:rPr>
                <w:rFonts w:eastAsia="仿宋"/>
                <w:bCs/>
                <w:color w:val="000000"/>
                <w:szCs w:val="21"/>
              </w:rPr>
              <w:t>材料</w:t>
            </w:r>
          </w:p>
        </w:tc>
        <w:tc>
          <w:tcPr>
            <w:tcW w:w="1359" w:type="dxa"/>
            <w:noWrap w:val="0"/>
            <w:vAlign w:val="center"/>
          </w:tcPr>
          <w:p>
            <w:pPr>
              <w:jc w:val="center"/>
              <w:rPr>
                <w:rFonts w:eastAsia="仿宋"/>
                <w:bCs/>
                <w:color w:val="000000"/>
                <w:szCs w:val="21"/>
              </w:rPr>
            </w:pPr>
          </w:p>
        </w:tc>
        <w:tc>
          <w:tcPr>
            <w:tcW w:w="1359" w:type="dxa"/>
            <w:noWrap w:val="0"/>
            <w:vAlign w:val="center"/>
          </w:tcPr>
          <w:p>
            <w:pPr>
              <w:jc w:val="center"/>
              <w:rPr>
                <w:rFonts w:eastAsia="仿宋"/>
                <w:color w:val="000000"/>
                <w:szCs w:val="21"/>
              </w:rPr>
            </w:pPr>
          </w:p>
        </w:tc>
        <w:tc>
          <w:tcPr>
            <w:tcW w:w="1594" w:type="dxa"/>
            <w:noWrap w:val="0"/>
            <w:vAlign w:val="center"/>
          </w:tcPr>
          <w:p>
            <w:pPr>
              <w:pStyle w:val="106"/>
              <w:jc w:val="center"/>
              <w:rPr>
                <w:rFonts w:ascii="Times New Roman" w:eastAsia="仿宋" w:cs="Times New Roman"/>
                <w:sz w:val="21"/>
                <w:szCs w:val="21"/>
              </w:rPr>
            </w:pPr>
          </w:p>
        </w:tc>
        <w:tc>
          <w:tcPr>
            <w:tcW w:w="1359" w:type="dxa"/>
            <w:noWrap w:val="0"/>
            <w:vAlign w:val="center"/>
          </w:tcPr>
          <w:p>
            <w:pPr>
              <w:pStyle w:val="106"/>
              <w:jc w:val="center"/>
              <w:rPr>
                <w:rFonts w:ascii="Times New Roman"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358" w:type="dxa"/>
            <w:noWrap w:val="0"/>
            <w:vAlign w:val="center"/>
          </w:tcPr>
          <w:p>
            <w:pPr>
              <w:jc w:val="center"/>
              <w:rPr>
                <w:rFonts w:eastAsia="仿宋"/>
                <w:color w:val="000000"/>
                <w:szCs w:val="21"/>
              </w:rPr>
            </w:pPr>
          </w:p>
        </w:tc>
        <w:tc>
          <w:tcPr>
            <w:tcW w:w="1359" w:type="dxa"/>
            <w:noWrap w:val="0"/>
            <w:vAlign w:val="center"/>
          </w:tcPr>
          <w:p>
            <w:pPr>
              <w:jc w:val="center"/>
              <w:rPr>
                <w:rFonts w:eastAsia="仿宋"/>
                <w:color w:val="000000"/>
                <w:sz w:val="24"/>
              </w:rPr>
            </w:pPr>
          </w:p>
        </w:tc>
        <w:tc>
          <w:tcPr>
            <w:tcW w:w="1359" w:type="dxa"/>
            <w:noWrap w:val="0"/>
            <w:vAlign w:val="center"/>
          </w:tcPr>
          <w:p>
            <w:pPr>
              <w:jc w:val="center"/>
              <w:rPr>
                <w:rFonts w:eastAsia="仿宋"/>
                <w:color w:val="000000"/>
                <w:sz w:val="24"/>
              </w:rPr>
            </w:pPr>
          </w:p>
        </w:tc>
        <w:tc>
          <w:tcPr>
            <w:tcW w:w="1359" w:type="dxa"/>
            <w:noWrap w:val="0"/>
            <w:vAlign w:val="center"/>
          </w:tcPr>
          <w:p>
            <w:pPr>
              <w:jc w:val="center"/>
              <w:rPr>
                <w:rFonts w:eastAsia="仿宋"/>
                <w:color w:val="000000"/>
                <w:sz w:val="24"/>
              </w:rPr>
            </w:pPr>
          </w:p>
        </w:tc>
        <w:tc>
          <w:tcPr>
            <w:tcW w:w="1594" w:type="dxa"/>
            <w:noWrap w:val="0"/>
            <w:vAlign w:val="center"/>
          </w:tcPr>
          <w:p>
            <w:pPr>
              <w:jc w:val="center"/>
              <w:rPr>
                <w:rFonts w:eastAsia="仿宋"/>
                <w:color w:val="000000"/>
                <w:sz w:val="24"/>
              </w:rPr>
            </w:pPr>
          </w:p>
        </w:tc>
        <w:tc>
          <w:tcPr>
            <w:tcW w:w="1359" w:type="dxa"/>
            <w:noWrap w:val="0"/>
            <w:vAlign w:val="center"/>
          </w:tcPr>
          <w:p>
            <w:pPr>
              <w:jc w:val="center"/>
              <w:rPr>
                <w:rFonts w:eastAsia="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358" w:type="dxa"/>
            <w:noWrap w:val="0"/>
            <w:vAlign w:val="center"/>
          </w:tcPr>
          <w:p>
            <w:pPr>
              <w:jc w:val="center"/>
              <w:rPr>
                <w:rFonts w:eastAsia="仿宋"/>
                <w:color w:val="000000"/>
                <w:szCs w:val="21"/>
              </w:rPr>
            </w:pPr>
          </w:p>
        </w:tc>
        <w:tc>
          <w:tcPr>
            <w:tcW w:w="1359" w:type="dxa"/>
            <w:noWrap w:val="0"/>
            <w:vAlign w:val="center"/>
          </w:tcPr>
          <w:p>
            <w:pPr>
              <w:jc w:val="center"/>
              <w:rPr>
                <w:rFonts w:eastAsia="仿宋"/>
                <w:color w:val="000000"/>
                <w:sz w:val="24"/>
              </w:rPr>
            </w:pPr>
          </w:p>
        </w:tc>
        <w:tc>
          <w:tcPr>
            <w:tcW w:w="1359" w:type="dxa"/>
            <w:noWrap w:val="0"/>
            <w:vAlign w:val="center"/>
          </w:tcPr>
          <w:p>
            <w:pPr>
              <w:jc w:val="center"/>
              <w:rPr>
                <w:rFonts w:eastAsia="仿宋"/>
                <w:color w:val="000000"/>
                <w:sz w:val="20"/>
                <w:szCs w:val="20"/>
              </w:rPr>
            </w:pPr>
          </w:p>
        </w:tc>
        <w:tc>
          <w:tcPr>
            <w:tcW w:w="1359" w:type="dxa"/>
            <w:noWrap w:val="0"/>
            <w:vAlign w:val="center"/>
          </w:tcPr>
          <w:p>
            <w:pPr>
              <w:jc w:val="center"/>
              <w:rPr>
                <w:rFonts w:eastAsia="仿宋"/>
                <w:color w:val="000000"/>
                <w:sz w:val="20"/>
                <w:szCs w:val="20"/>
              </w:rPr>
            </w:pPr>
          </w:p>
        </w:tc>
        <w:tc>
          <w:tcPr>
            <w:tcW w:w="1594" w:type="dxa"/>
            <w:noWrap w:val="0"/>
            <w:vAlign w:val="center"/>
          </w:tcPr>
          <w:p>
            <w:pPr>
              <w:jc w:val="center"/>
              <w:rPr>
                <w:rFonts w:eastAsia="仿宋"/>
                <w:color w:val="000000"/>
                <w:sz w:val="24"/>
              </w:rPr>
            </w:pPr>
          </w:p>
        </w:tc>
        <w:tc>
          <w:tcPr>
            <w:tcW w:w="1359" w:type="dxa"/>
            <w:noWrap w:val="0"/>
            <w:vAlign w:val="center"/>
          </w:tcPr>
          <w:p>
            <w:pPr>
              <w:jc w:val="center"/>
              <w:rPr>
                <w:rFonts w:eastAsia="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358" w:type="dxa"/>
            <w:noWrap w:val="0"/>
            <w:vAlign w:val="center"/>
          </w:tcPr>
          <w:p>
            <w:pPr>
              <w:jc w:val="center"/>
              <w:rPr>
                <w:rFonts w:eastAsia="仿宋"/>
                <w:color w:val="000000"/>
                <w:szCs w:val="21"/>
              </w:rPr>
            </w:pPr>
          </w:p>
        </w:tc>
        <w:tc>
          <w:tcPr>
            <w:tcW w:w="1359" w:type="dxa"/>
            <w:noWrap w:val="0"/>
            <w:vAlign w:val="center"/>
          </w:tcPr>
          <w:p>
            <w:pPr>
              <w:jc w:val="center"/>
              <w:rPr>
                <w:rFonts w:eastAsia="仿宋"/>
                <w:color w:val="000000"/>
                <w:sz w:val="24"/>
              </w:rPr>
            </w:pPr>
          </w:p>
        </w:tc>
        <w:tc>
          <w:tcPr>
            <w:tcW w:w="1359" w:type="dxa"/>
            <w:noWrap w:val="0"/>
            <w:vAlign w:val="center"/>
          </w:tcPr>
          <w:p>
            <w:pPr>
              <w:jc w:val="center"/>
              <w:rPr>
                <w:rFonts w:eastAsia="仿宋"/>
                <w:color w:val="000000"/>
                <w:sz w:val="20"/>
                <w:szCs w:val="20"/>
              </w:rPr>
            </w:pPr>
          </w:p>
        </w:tc>
        <w:tc>
          <w:tcPr>
            <w:tcW w:w="1359" w:type="dxa"/>
            <w:noWrap w:val="0"/>
            <w:vAlign w:val="center"/>
          </w:tcPr>
          <w:p>
            <w:pPr>
              <w:jc w:val="center"/>
              <w:rPr>
                <w:rFonts w:eastAsia="仿宋"/>
                <w:color w:val="000000"/>
                <w:sz w:val="20"/>
                <w:szCs w:val="20"/>
              </w:rPr>
            </w:pPr>
          </w:p>
        </w:tc>
        <w:tc>
          <w:tcPr>
            <w:tcW w:w="1594" w:type="dxa"/>
            <w:noWrap w:val="0"/>
            <w:vAlign w:val="center"/>
          </w:tcPr>
          <w:p>
            <w:pPr>
              <w:jc w:val="center"/>
              <w:rPr>
                <w:rFonts w:eastAsia="仿宋"/>
                <w:color w:val="000000"/>
                <w:sz w:val="24"/>
              </w:rPr>
            </w:pPr>
          </w:p>
        </w:tc>
        <w:tc>
          <w:tcPr>
            <w:tcW w:w="1359" w:type="dxa"/>
            <w:noWrap w:val="0"/>
            <w:vAlign w:val="center"/>
          </w:tcPr>
          <w:p>
            <w:pPr>
              <w:jc w:val="center"/>
              <w:rPr>
                <w:rFonts w:eastAsia="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358" w:type="dxa"/>
            <w:noWrap w:val="0"/>
            <w:vAlign w:val="center"/>
          </w:tcPr>
          <w:p>
            <w:pPr>
              <w:jc w:val="center"/>
              <w:rPr>
                <w:rFonts w:eastAsia="仿宋"/>
                <w:color w:val="000000"/>
                <w:szCs w:val="21"/>
              </w:rPr>
            </w:pPr>
          </w:p>
        </w:tc>
        <w:tc>
          <w:tcPr>
            <w:tcW w:w="1359" w:type="dxa"/>
            <w:noWrap w:val="0"/>
            <w:vAlign w:val="center"/>
          </w:tcPr>
          <w:p>
            <w:pPr>
              <w:jc w:val="center"/>
              <w:rPr>
                <w:rFonts w:eastAsia="仿宋"/>
                <w:color w:val="000000"/>
                <w:sz w:val="24"/>
              </w:rPr>
            </w:pPr>
          </w:p>
        </w:tc>
        <w:tc>
          <w:tcPr>
            <w:tcW w:w="1359" w:type="dxa"/>
            <w:noWrap w:val="0"/>
            <w:vAlign w:val="center"/>
          </w:tcPr>
          <w:p>
            <w:pPr>
              <w:jc w:val="center"/>
              <w:rPr>
                <w:rFonts w:eastAsia="仿宋"/>
                <w:color w:val="000000"/>
                <w:sz w:val="20"/>
                <w:szCs w:val="20"/>
              </w:rPr>
            </w:pPr>
          </w:p>
        </w:tc>
        <w:tc>
          <w:tcPr>
            <w:tcW w:w="1359" w:type="dxa"/>
            <w:noWrap w:val="0"/>
            <w:vAlign w:val="center"/>
          </w:tcPr>
          <w:p>
            <w:pPr>
              <w:jc w:val="center"/>
              <w:rPr>
                <w:rFonts w:eastAsia="仿宋"/>
                <w:color w:val="000000"/>
                <w:sz w:val="20"/>
                <w:szCs w:val="20"/>
              </w:rPr>
            </w:pPr>
          </w:p>
        </w:tc>
        <w:tc>
          <w:tcPr>
            <w:tcW w:w="1594" w:type="dxa"/>
            <w:noWrap w:val="0"/>
            <w:vAlign w:val="center"/>
          </w:tcPr>
          <w:p>
            <w:pPr>
              <w:jc w:val="center"/>
              <w:rPr>
                <w:rFonts w:eastAsia="仿宋"/>
                <w:color w:val="000000"/>
                <w:sz w:val="24"/>
              </w:rPr>
            </w:pPr>
          </w:p>
        </w:tc>
        <w:tc>
          <w:tcPr>
            <w:tcW w:w="1359" w:type="dxa"/>
            <w:noWrap w:val="0"/>
            <w:vAlign w:val="center"/>
          </w:tcPr>
          <w:p>
            <w:pPr>
              <w:jc w:val="center"/>
              <w:rPr>
                <w:rFonts w:eastAsia="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358" w:type="dxa"/>
            <w:noWrap w:val="0"/>
            <w:vAlign w:val="center"/>
          </w:tcPr>
          <w:p>
            <w:pPr>
              <w:jc w:val="center"/>
              <w:rPr>
                <w:rFonts w:eastAsia="仿宋"/>
                <w:color w:val="000000"/>
                <w:szCs w:val="21"/>
              </w:rPr>
            </w:pPr>
          </w:p>
        </w:tc>
        <w:tc>
          <w:tcPr>
            <w:tcW w:w="1359" w:type="dxa"/>
            <w:noWrap w:val="0"/>
            <w:vAlign w:val="center"/>
          </w:tcPr>
          <w:p>
            <w:pPr>
              <w:rPr>
                <w:rFonts w:eastAsia="仿宋"/>
                <w:color w:val="000000"/>
              </w:rPr>
            </w:pPr>
          </w:p>
        </w:tc>
        <w:tc>
          <w:tcPr>
            <w:tcW w:w="1359" w:type="dxa"/>
            <w:noWrap w:val="0"/>
            <w:vAlign w:val="center"/>
          </w:tcPr>
          <w:p>
            <w:pPr>
              <w:jc w:val="center"/>
              <w:rPr>
                <w:rFonts w:eastAsia="仿宋"/>
                <w:color w:val="000000"/>
              </w:rPr>
            </w:pPr>
          </w:p>
        </w:tc>
        <w:tc>
          <w:tcPr>
            <w:tcW w:w="1359" w:type="dxa"/>
            <w:noWrap w:val="0"/>
            <w:vAlign w:val="center"/>
          </w:tcPr>
          <w:p>
            <w:pPr>
              <w:jc w:val="center"/>
              <w:rPr>
                <w:rFonts w:eastAsia="仿宋"/>
                <w:color w:val="000000"/>
              </w:rPr>
            </w:pPr>
          </w:p>
        </w:tc>
        <w:tc>
          <w:tcPr>
            <w:tcW w:w="1594" w:type="dxa"/>
            <w:noWrap w:val="0"/>
            <w:vAlign w:val="center"/>
          </w:tcPr>
          <w:p>
            <w:pPr>
              <w:jc w:val="center"/>
              <w:rPr>
                <w:rFonts w:eastAsia="仿宋"/>
                <w:color w:val="000000"/>
                <w:sz w:val="24"/>
              </w:rPr>
            </w:pPr>
          </w:p>
        </w:tc>
        <w:tc>
          <w:tcPr>
            <w:tcW w:w="1359" w:type="dxa"/>
            <w:noWrap w:val="0"/>
            <w:vAlign w:val="center"/>
          </w:tcPr>
          <w:p>
            <w:pPr>
              <w:jc w:val="center"/>
              <w:rPr>
                <w:rFonts w:eastAsia="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358" w:type="dxa"/>
            <w:noWrap w:val="0"/>
            <w:vAlign w:val="center"/>
          </w:tcPr>
          <w:p>
            <w:pPr>
              <w:jc w:val="center"/>
              <w:rPr>
                <w:rFonts w:eastAsia="仿宋"/>
                <w:bCs/>
                <w:color w:val="000000"/>
                <w:szCs w:val="21"/>
              </w:rPr>
            </w:pPr>
            <w:r>
              <w:rPr>
                <w:rFonts w:eastAsia="仿宋"/>
                <w:bCs/>
                <w:color w:val="000000"/>
                <w:szCs w:val="21"/>
              </w:rPr>
              <w:t>3</w:t>
            </w:r>
          </w:p>
        </w:tc>
        <w:tc>
          <w:tcPr>
            <w:tcW w:w="1359" w:type="dxa"/>
            <w:noWrap w:val="0"/>
            <w:vAlign w:val="center"/>
          </w:tcPr>
          <w:p>
            <w:pPr>
              <w:jc w:val="center"/>
              <w:rPr>
                <w:rFonts w:eastAsia="仿宋"/>
                <w:bCs/>
                <w:color w:val="000000"/>
                <w:szCs w:val="21"/>
              </w:rPr>
            </w:pPr>
            <w:r>
              <w:rPr>
                <w:rFonts w:eastAsia="仿宋"/>
                <w:bCs/>
                <w:color w:val="000000"/>
                <w:szCs w:val="21"/>
              </w:rPr>
              <w:t>机械</w:t>
            </w:r>
          </w:p>
        </w:tc>
        <w:tc>
          <w:tcPr>
            <w:tcW w:w="1359" w:type="dxa"/>
            <w:noWrap w:val="0"/>
            <w:vAlign w:val="center"/>
          </w:tcPr>
          <w:p>
            <w:pPr>
              <w:jc w:val="center"/>
              <w:rPr>
                <w:rFonts w:eastAsia="仿宋"/>
                <w:color w:val="000000"/>
              </w:rPr>
            </w:pPr>
          </w:p>
        </w:tc>
        <w:tc>
          <w:tcPr>
            <w:tcW w:w="1359" w:type="dxa"/>
            <w:noWrap w:val="0"/>
            <w:vAlign w:val="center"/>
          </w:tcPr>
          <w:p>
            <w:pPr>
              <w:jc w:val="center"/>
              <w:rPr>
                <w:rFonts w:eastAsia="仿宋"/>
                <w:color w:val="000000"/>
              </w:rPr>
            </w:pPr>
          </w:p>
        </w:tc>
        <w:tc>
          <w:tcPr>
            <w:tcW w:w="1594" w:type="dxa"/>
            <w:noWrap w:val="0"/>
            <w:vAlign w:val="center"/>
          </w:tcPr>
          <w:p>
            <w:pPr>
              <w:jc w:val="center"/>
              <w:rPr>
                <w:rFonts w:eastAsia="仿宋"/>
                <w:color w:val="000000"/>
                <w:sz w:val="24"/>
              </w:rPr>
            </w:pPr>
          </w:p>
        </w:tc>
        <w:tc>
          <w:tcPr>
            <w:tcW w:w="1359" w:type="dxa"/>
            <w:noWrap w:val="0"/>
            <w:vAlign w:val="center"/>
          </w:tcPr>
          <w:p>
            <w:pPr>
              <w:jc w:val="center"/>
              <w:rPr>
                <w:rFonts w:eastAsia="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358" w:type="dxa"/>
            <w:noWrap w:val="0"/>
            <w:vAlign w:val="center"/>
          </w:tcPr>
          <w:p>
            <w:pPr>
              <w:pStyle w:val="106"/>
              <w:jc w:val="center"/>
              <w:rPr>
                <w:rFonts w:ascii="Times New Roman" w:eastAsia="仿宋" w:cs="Times New Roman"/>
                <w:sz w:val="21"/>
                <w:szCs w:val="21"/>
              </w:rPr>
            </w:pPr>
          </w:p>
        </w:tc>
        <w:tc>
          <w:tcPr>
            <w:tcW w:w="1359" w:type="dxa"/>
            <w:noWrap w:val="0"/>
            <w:vAlign w:val="center"/>
          </w:tcPr>
          <w:p>
            <w:pPr>
              <w:rPr>
                <w:rFonts w:eastAsia="仿宋"/>
                <w:color w:val="000000"/>
                <w:sz w:val="20"/>
                <w:szCs w:val="20"/>
              </w:rPr>
            </w:pPr>
          </w:p>
        </w:tc>
        <w:tc>
          <w:tcPr>
            <w:tcW w:w="1359" w:type="dxa"/>
            <w:noWrap w:val="0"/>
            <w:vAlign w:val="center"/>
          </w:tcPr>
          <w:p>
            <w:pPr>
              <w:jc w:val="center"/>
              <w:rPr>
                <w:rFonts w:eastAsia="仿宋"/>
                <w:color w:val="000000"/>
              </w:rPr>
            </w:pPr>
          </w:p>
        </w:tc>
        <w:tc>
          <w:tcPr>
            <w:tcW w:w="1359" w:type="dxa"/>
            <w:noWrap w:val="0"/>
            <w:vAlign w:val="center"/>
          </w:tcPr>
          <w:p>
            <w:pPr>
              <w:jc w:val="center"/>
              <w:rPr>
                <w:rFonts w:eastAsia="仿宋"/>
                <w:color w:val="000000"/>
              </w:rPr>
            </w:pPr>
          </w:p>
        </w:tc>
        <w:tc>
          <w:tcPr>
            <w:tcW w:w="1594" w:type="dxa"/>
            <w:noWrap w:val="0"/>
            <w:vAlign w:val="center"/>
          </w:tcPr>
          <w:p>
            <w:pPr>
              <w:jc w:val="center"/>
              <w:rPr>
                <w:rFonts w:eastAsia="仿宋"/>
                <w:color w:val="000000"/>
                <w:sz w:val="24"/>
              </w:rPr>
            </w:pPr>
          </w:p>
        </w:tc>
        <w:tc>
          <w:tcPr>
            <w:tcW w:w="1359" w:type="dxa"/>
            <w:noWrap w:val="0"/>
            <w:vAlign w:val="center"/>
          </w:tcPr>
          <w:p>
            <w:pPr>
              <w:jc w:val="center"/>
              <w:rPr>
                <w:rFonts w:eastAsia="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358" w:type="dxa"/>
            <w:noWrap w:val="0"/>
            <w:vAlign w:val="center"/>
          </w:tcPr>
          <w:p>
            <w:pPr>
              <w:pStyle w:val="106"/>
              <w:jc w:val="center"/>
              <w:rPr>
                <w:rFonts w:ascii="Times New Roman" w:eastAsia="仿宋" w:cs="Times New Roman"/>
                <w:sz w:val="21"/>
                <w:szCs w:val="21"/>
              </w:rPr>
            </w:pPr>
          </w:p>
        </w:tc>
        <w:tc>
          <w:tcPr>
            <w:tcW w:w="1359" w:type="dxa"/>
            <w:noWrap w:val="0"/>
            <w:vAlign w:val="center"/>
          </w:tcPr>
          <w:p>
            <w:pPr>
              <w:rPr>
                <w:rFonts w:eastAsia="仿宋"/>
                <w:color w:val="000000"/>
                <w:sz w:val="20"/>
                <w:szCs w:val="20"/>
              </w:rPr>
            </w:pPr>
          </w:p>
        </w:tc>
        <w:tc>
          <w:tcPr>
            <w:tcW w:w="1359" w:type="dxa"/>
            <w:noWrap w:val="0"/>
            <w:vAlign w:val="center"/>
          </w:tcPr>
          <w:p>
            <w:pPr>
              <w:jc w:val="center"/>
              <w:rPr>
                <w:rFonts w:eastAsia="仿宋"/>
                <w:color w:val="000000"/>
              </w:rPr>
            </w:pPr>
          </w:p>
        </w:tc>
        <w:tc>
          <w:tcPr>
            <w:tcW w:w="1359" w:type="dxa"/>
            <w:noWrap w:val="0"/>
            <w:vAlign w:val="center"/>
          </w:tcPr>
          <w:p>
            <w:pPr>
              <w:jc w:val="center"/>
              <w:rPr>
                <w:rFonts w:eastAsia="仿宋"/>
                <w:color w:val="000000"/>
              </w:rPr>
            </w:pPr>
          </w:p>
        </w:tc>
        <w:tc>
          <w:tcPr>
            <w:tcW w:w="1594" w:type="dxa"/>
            <w:noWrap w:val="0"/>
            <w:vAlign w:val="center"/>
          </w:tcPr>
          <w:p>
            <w:pPr>
              <w:jc w:val="center"/>
              <w:rPr>
                <w:rFonts w:eastAsia="仿宋"/>
                <w:color w:val="000000"/>
                <w:sz w:val="24"/>
              </w:rPr>
            </w:pPr>
          </w:p>
        </w:tc>
        <w:tc>
          <w:tcPr>
            <w:tcW w:w="1359" w:type="dxa"/>
            <w:noWrap w:val="0"/>
            <w:vAlign w:val="center"/>
          </w:tcPr>
          <w:p>
            <w:pPr>
              <w:jc w:val="center"/>
              <w:rPr>
                <w:rFonts w:eastAsia="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358" w:type="dxa"/>
            <w:noWrap w:val="0"/>
            <w:vAlign w:val="center"/>
          </w:tcPr>
          <w:p>
            <w:pPr>
              <w:pStyle w:val="106"/>
              <w:jc w:val="center"/>
              <w:rPr>
                <w:rFonts w:ascii="Times New Roman" w:eastAsia="仿宋" w:cs="Times New Roman"/>
                <w:sz w:val="21"/>
                <w:szCs w:val="21"/>
              </w:rPr>
            </w:pPr>
          </w:p>
        </w:tc>
        <w:tc>
          <w:tcPr>
            <w:tcW w:w="1359" w:type="dxa"/>
            <w:noWrap w:val="0"/>
            <w:vAlign w:val="center"/>
          </w:tcPr>
          <w:p>
            <w:pPr>
              <w:rPr>
                <w:rFonts w:eastAsia="仿宋"/>
                <w:color w:val="000000"/>
                <w:sz w:val="20"/>
                <w:szCs w:val="20"/>
              </w:rPr>
            </w:pPr>
          </w:p>
        </w:tc>
        <w:tc>
          <w:tcPr>
            <w:tcW w:w="1359" w:type="dxa"/>
            <w:noWrap w:val="0"/>
            <w:vAlign w:val="center"/>
          </w:tcPr>
          <w:p>
            <w:pPr>
              <w:jc w:val="center"/>
              <w:rPr>
                <w:rFonts w:eastAsia="仿宋"/>
                <w:color w:val="000000"/>
              </w:rPr>
            </w:pPr>
          </w:p>
        </w:tc>
        <w:tc>
          <w:tcPr>
            <w:tcW w:w="1359" w:type="dxa"/>
            <w:noWrap w:val="0"/>
            <w:vAlign w:val="center"/>
          </w:tcPr>
          <w:p>
            <w:pPr>
              <w:jc w:val="center"/>
              <w:rPr>
                <w:rFonts w:eastAsia="仿宋"/>
                <w:color w:val="000000"/>
              </w:rPr>
            </w:pPr>
          </w:p>
        </w:tc>
        <w:tc>
          <w:tcPr>
            <w:tcW w:w="1594" w:type="dxa"/>
            <w:noWrap w:val="0"/>
            <w:vAlign w:val="center"/>
          </w:tcPr>
          <w:p>
            <w:pPr>
              <w:jc w:val="center"/>
              <w:rPr>
                <w:rFonts w:eastAsia="仿宋"/>
                <w:color w:val="000000"/>
                <w:sz w:val="24"/>
              </w:rPr>
            </w:pPr>
          </w:p>
        </w:tc>
        <w:tc>
          <w:tcPr>
            <w:tcW w:w="1359" w:type="dxa"/>
            <w:noWrap w:val="0"/>
            <w:vAlign w:val="center"/>
          </w:tcPr>
          <w:p>
            <w:pPr>
              <w:jc w:val="center"/>
              <w:rPr>
                <w:rFonts w:eastAsia="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358" w:type="dxa"/>
            <w:noWrap w:val="0"/>
            <w:vAlign w:val="center"/>
          </w:tcPr>
          <w:p>
            <w:pPr>
              <w:pStyle w:val="106"/>
              <w:jc w:val="center"/>
              <w:rPr>
                <w:rFonts w:ascii="Times New Roman" w:eastAsia="仿宋" w:cs="Times New Roman"/>
                <w:sz w:val="21"/>
                <w:szCs w:val="21"/>
              </w:rPr>
            </w:pPr>
          </w:p>
        </w:tc>
        <w:tc>
          <w:tcPr>
            <w:tcW w:w="1359" w:type="dxa"/>
            <w:noWrap w:val="0"/>
            <w:vAlign w:val="center"/>
          </w:tcPr>
          <w:p>
            <w:pPr>
              <w:rPr>
                <w:rFonts w:eastAsia="仿宋"/>
                <w:color w:val="000000"/>
                <w:sz w:val="20"/>
                <w:szCs w:val="20"/>
              </w:rPr>
            </w:pPr>
          </w:p>
        </w:tc>
        <w:tc>
          <w:tcPr>
            <w:tcW w:w="1359" w:type="dxa"/>
            <w:noWrap w:val="0"/>
            <w:vAlign w:val="center"/>
          </w:tcPr>
          <w:p>
            <w:pPr>
              <w:jc w:val="center"/>
              <w:rPr>
                <w:rFonts w:eastAsia="仿宋"/>
                <w:color w:val="000000"/>
              </w:rPr>
            </w:pPr>
          </w:p>
        </w:tc>
        <w:tc>
          <w:tcPr>
            <w:tcW w:w="1359" w:type="dxa"/>
            <w:noWrap w:val="0"/>
            <w:vAlign w:val="center"/>
          </w:tcPr>
          <w:p>
            <w:pPr>
              <w:jc w:val="center"/>
              <w:rPr>
                <w:rFonts w:eastAsia="仿宋"/>
                <w:color w:val="000000"/>
              </w:rPr>
            </w:pPr>
          </w:p>
        </w:tc>
        <w:tc>
          <w:tcPr>
            <w:tcW w:w="1594" w:type="dxa"/>
            <w:noWrap w:val="0"/>
            <w:vAlign w:val="center"/>
          </w:tcPr>
          <w:p>
            <w:pPr>
              <w:jc w:val="center"/>
              <w:rPr>
                <w:rFonts w:eastAsia="仿宋"/>
                <w:color w:val="000000"/>
                <w:sz w:val="24"/>
              </w:rPr>
            </w:pPr>
          </w:p>
        </w:tc>
        <w:tc>
          <w:tcPr>
            <w:tcW w:w="1359" w:type="dxa"/>
            <w:noWrap w:val="0"/>
            <w:vAlign w:val="center"/>
          </w:tcPr>
          <w:p>
            <w:pPr>
              <w:jc w:val="center"/>
              <w:rPr>
                <w:rFonts w:eastAsia="仿宋"/>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358" w:type="dxa"/>
            <w:noWrap w:val="0"/>
            <w:vAlign w:val="center"/>
          </w:tcPr>
          <w:p>
            <w:pPr>
              <w:pStyle w:val="106"/>
              <w:jc w:val="center"/>
              <w:rPr>
                <w:rFonts w:ascii="Times New Roman" w:eastAsia="仿宋" w:cs="Times New Roman"/>
                <w:sz w:val="21"/>
                <w:szCs w:val="21"/>
              </w:rPr>
            </w:pPr>
          </w:p>
        </w:tc>
        <w:tc>
          <w:tcPr>
            <w:tcW w:w="1359" w:type="dxa"/>
            <w:noWrap w:val="0"/>
            <w:vAlign w:val="center"/>
          </w:tcPr>
          <w:p>
            <w:pPr>
              <w:rPr>
                <w:rFonts w:eastAsia="仿宋"/>
                <w:color w:val="000000"/>
                <w:sz w:val="20"/>
                <w:szCs w:val="20"/>
              </w:rPr>
            </w:pPr>
          </w:p>
        </w:tc>
        <w:tc>
          <w:tcPr>
            <w:tcW w:w="1359" w:type="dxa"/>
            <w:noWrap w:val="0"/>
            <w:vAlign w:val="center"/>
          </w:tcPr>
          <w:p>
            <w:pPr>
              <w:jc w:val="center"/>
              <w:rPr>
                <w:rFonts w:eastAsia="仿宋"/>
                <w:color w:val="000000"/>
              </w:rPr>
            </w:pPr>
          </w:p>
        </w:tc>
        <w:tc>
          <w:tcPr>
            <w:tcW w:w="1359" w:type="dxa"/>
            <w:noWrap w:val="0"/>
            <w:vAlign w:val="center"/>
          </w:tcPr>
          <w:p>
            <w:pPr>
              <w:jc w:val="center"/>
              <w:rPr>
                <w:rFonts w:eastAsia="仿宋"/>
                <w:color w:val="000000"/>
              </w:rPr>
            </w:pPr>
          </w:p>
        </w:tc>
        <w:tc>
          <w:tcPr>
            <w:tcW w:w="1594" w:type="dxa"/>
            <w:noWrap w:val="0"/>
            <w:vAlign w:val="center"/>
          </w:tcPr>
          <w:p>
            <w:pPr>
              <w:jc w:val="center"/>
              <w:rPr>
                <w:rFonts w:eastAsia="仿宋"/>
                <w:color w:val="000000"/>
                <w:sz w:val="24"/>
              </w:rPr>
            </w:pPr>
          </w:p>
        </w:tc>
        <w:tc>
          <w:tcPr>
            <w:tcW w:w="1359" w:type="dxa"/>
            <w:noWrap w:val="0"/>
            <w:vAlign w:val="center"/>
          </w:tcPr>
          <w:p>
            <w:pPr>
              <w:jc w:val="center"/>
              <w:rPr>
                <w:rFonts w:eastAsia="仿宋"/>
                <w:color w:val="000000"/>
                <w:sz w:val="18"/>
                <w:szCs w:val="18"/>
              </w:rPr>
            </w:pPr>
          </w:p>
        </w:tc>
      </w:tr>
    </w:tbl>
    <w:p>
      <w:pPr>
        <w:spacing w:line="600" w:lineRule="exact"/>
        <w:ind w:firstLine="560" w:firstLineChars="200"/>
        <w:rPr>
          <w:rFonts w:eastAsia="仿宋_GB2312"/>
          <w:bCs/>
          <w:color w:val="000000"/>
          <w:sz w:val="28"/>
          <w:szCs w:val="28"/>
        </w:rPr>
      </w:pPr>
    </w:p>
    <w:p>
      <w:pPr>
        <w:spacing w:line="600" w:lineRule="exact"/>
        <w:ind w:firstLine="3164" w:firstLineChars="1130"/>
        <w:rPr>
          <w:rFonts w:eastAsia="仿宋_GB2312"/>
          <w:bCs/>
          <w:color w:val="000000"/>
          <w:sz w:val="28"/>
          <w:szCs w:val="28"/>
          <w:u w:val="single"/>
        </w:rPr>
      </w:pPr>
      <w:r>
        <w:rPr>
          <w:rFonts w:eastAsia="仿宋_GB2312"/>
          <w:bCs/>
          <w:color w:val="000000"/>
          <w:sz w:val="28"/>
          <w:szCs w:val="28"/>
        </w:rPr>
        <w:t>投  标  人：</w:t>
      </w:r>
      <w:r>
        <w:rPr>
          <w:rFonts w:eastAsia="仿宋_GB2312"/>
          <w:bCs/>
          <w:color w:val="000000"/>
          <w:sz w:val="28"/>
          <w:szCs w:val="28"/>
          <w:u w:val="single"/>
        </w:rPr>
        <w:t xml:space="preserve">        （名称）         </w:t>
      </w:r>
    </w:p>
    <w:p>
      <w:pPr>
        <w:spacing w:line="600" w:lineRule="exact"/>
        <w:ind w:firstLine="5460" w:firstLineChars="1950"/>
        <w:rPr>
          <w:rFonts w:eastAsia="仿宋_GB2312"/>
          <w:color w:val="000000"/>
          <w:sz w:val="28"/>
          <w:szCs w:val="28"/>
        </w:rPr>
      </w:pPr>
      <w:r>
        <w:rPr>
          <w:rFonts w:eastAsia="仿宋_GB2312"/>
          <w:color w:val="000000"/>
          <w:sz w:val="28"/>
          <w:szCs w:val="28"/>
        </w:rPr>
        <w:t>（盖单位电子公章）</w:t>
      </w:r>
    </w:p>
    <w:p>
      <w:pPr>
        <w:spacing w:line="600" w:lineRule="exact"/>
        <w:ind w:firstLine="3164" w:firstLineChars="1130"/>
        <w:rPr>
          <w:rFonts w:eastAsia="仿宋_GB2312"/>
          <w:bCs/>
          <w:color w:val="000000"/>
          <w:sz w:val="28"/>
          <w:szCs w:val="28"/>
          <w:u w:val="single"/>
        </w:rPr>
      </w:pPr>
      <w:r>
        <w:rPr>
          <w:rFonts w:eastAsia="仿宋_GB2312"/>
          <w:bCs/>
          <w:color w:val="000000"/>
          <w:sz w:val="28"/>
          <w:szCs w:val="28"/>
        </w:rPr>
        <w:t>法定代表人：</w:t>
      </w:r>
      <w:r>
        <w:rPr>
          <w:rFonts w:eastAsia="仿宋_GB2312"/>
          <w:bCs/>
          <w:color w:val="000000"/>
          <w:sz w:val="28"/>
          <w:szCs w:val="28"/>
          <w:u w:val="single"/>
        </w:rPr>
        <w:t xml:space="preserve">        （电子签名）     </w:t>
      </w:r>
    </w:p>
    <w:p>
      <w:pPr>
        <w:spacing w:line="600" w:lineRule="exact"/>
        <w:ind w:firstLine="3164" w:firstLineChars="1130"/>
        <w:rPr>
          <w:color w:val="000000"/>
        </w:rPr>
      </w:pPr>
      <w:r>
        <w:rPr>
          <w:rFonts w:eastAsia="仿宋_GB2312"/>
          <w:color w:val="000000"/>
          <w:sz w:val="28"/>
          <w:szCs w:val="28"/>
        </w:rPr>
        <w:t>日      期：</w:t>
      </w:r>
      <w:r>
        <w:rPr>
          <w:rFonts w:eastAsia="仿宋_GB2312"/>
          <w:color w:val="000000"/>
          <w:sz w:val="28"/>
          <w:szCs w:val="28"/>
          <w:u w:val="single"/>
        </w:rPr>
        <w:t xml:space="preserve">         </w:t>
      </w:r>
      <w:r>
        <w:rPr>
          <w:rFonts w:eastAsia="仿宋_GB2312"/>
          <w:color w:val="000000"/>
          <w:sz w:val="28"/>
          <w:szCs w:val="28"/>
        </w:rPr>
        <w:t>年</w:t>
      </w:r>
      <w:r>
        <w:rPr>
          <w:rFonts w:eastAsia="仿宋_GB2312"/>
          <w:color w:val="000000"/>
          <w:sz w:val="28"/>
          <w:szCs w:val="28"/>
          <w:u w:val="single"/>
        </w:rPr>
        <w:t xml:space="preserve">      </w:t>
      </w:r>
      <w:r>
        <w:rPr>
          <w:rFonts w:eastAsia="仿宋_GB2312"/>
          <w:color w:val="000000"/>
          <w:sz w:val="28"/>
          <w:szCs w:val="28"/>
        </w:rPr>
        <w:t>月</w:t>
      </w:r>
      <w:r>
        <w:rPr>
          <w:rFonts w:eastAsia="仿宋_GB2312"/>
          <w:color w:val="000000"/>
          <w:sz w:val="28"/>
          <w:szCs w:val="28"/>
          <w:u w:val="single"/>
        </w:rPr>
        <w:t xml:space="preserve">      </w:t>
      </w:r>
      <w:r>
        <w:rPr>
          <w:rFonts w:eastAsia="仿宋_GB2312"/>
          <w:color w:val="000000"/>
          <w:sz w:val="28"/>
          <w:szCs w:val="28"/>
        </w:rPr>
        <w:t>日</w:t>
      </w:r>
    </w:p>
    <w:p>
      <w:pPr>
        <w:spacing w:line="360" w:lineRule="auto"/>
        <w:ind w:left="2520" w:leftChars="1200" w:firstLine="1155" w:firstLineChars="550"/>
        <w:rPr>
          <w:color w:val="000000"/>
        </w:rPr>
      </w:pPr>
    </w:p>
    <w:p>
      <w:pPr>
        <w:spacing w:line="360" w:lineRule="auto"/>
        <w:ind w:left="2520" w:leftChars="1200" w:firstLine="1155" w:firstLineChars="550"/>
        <w:jc w:val="center"/>
        <w:rPr>
          <w:color w:val="000000"/>
        </w:rPr>
        <w:sectPr>
          <w:footerReference r:id="rId17" w:type="default"/>
          <w:pgSz w:w="11906" w:h="16838"/>
          <w:pgMar w:top="1701" w:right="1361" w:bottom="1701" w:left="1474" w:header="1021" w:footer="1021" w:gutter="0"/>
          <w:cols w:space="720" w:num="1"/>
          <w:docGrid w:linePitch="312" w:charSpace="0"/>
        </w:sectPr>
      </w:pPr>
    </w:p>
    <w:p>
      <w:pPr>
        <w:spacing w:line="490" w:lineRule="exact"/>
        <w:jc w:val="center"/>
        <w:rPr>
          <w:rFonts w:eastAsia="方正小标宋_GBK"/>
          <w:b/>
          <w:color w:val="000000"/>
          <w:sz w:val="40"/>
          <w:szCs w:val="44"/>
        </w:rPr>
      </w:pPr>
    </w:p>
    <w:p>
      <w:pPr>
        <w:spacing w:line="490" w:lineRule="exact"/>
        <w:jc w:val="center"/>
        <w:rPr>
          <w:rFonts w:hint="eastAsia" w:ascii="方正小标宋简体" w:eastAsia="方正小标宋简体"/>
          <w:color w:val="000000"/>
          <w:sz w:val="40"/>
          <w:szCs w:val="44"/>
        </w:rPr>
      </w:pPr>
      <w:r>
        <w:rPr>
          <w:rFonts w:hint="eastAsia" w:ascii="方正小标宋简体" w:eastAsia="方正小标宋简体"/>
          <w:color w:val="000000"/>
          <w:sz w:val="40"/>
          <w:szCs w:val="44"/>
        </w:rPr>
        <w:t>工程单价汇总表</w:t>
      </w:r>
    </w:p>
    <w:p>
      <w:pPr>
        <w:spacing w:line="490" w:lineRule="exact"/>
        <w:jc w:val="center"/>
        <w:rPr>
          <w:rFonts w:eastAsia="方正小标宋_GBK"/>
          <w:b/>
          <w:color w:val="000000"/>
          <w:sz w:val="40"/>
          <w:szCs w:val="44"/>
        </w:rPr>
      </w:pPr>
    </w:p>
    <w:p>
      <w:pPr>
        <w:spacing w:line="490" w:lineRule="exact"/>
        <w:rPr>
          <w:rFonts w:eastAsia="仿宋_GB2312"/>
          <w:color w:val="000000"/>
          <w:sz w:val="28"/>
          <w:szCs w:val="28"/>
          <w:u w:val="single"/>
        </w:rPr>
      </w:pPr>
      <w:r>
        <w:rPr>
          <w:rFonts w:eastAsia="仿宋_GB2312"/>
          <w:color w:val="000000"/>
          <w:sz w:val="28"/>
          <w:szCs w:val="28"/>
        </w:rPr>
        <w:t>合同编号：</w:t>
      </w:r>
      <w:r>
        <w:rPr>
          <w:rFonts w:eastAsia="仿宋_GB2312"/>
          <w:color w:val="000000"/>
          <w:sz w:val="28"/>
          <w:szCs w:val="28"/>
          <w:u w:val="single"/>
        </w:rPr>
        <w:t xml:space="preserve">  （投标项目合同号）  </w:t>
      </w:r>
    </w:p>
    <w:p>
      <w:pPr>
        <w:spacing w:line="490" w:lineRule="exact"/>
        <w:rPr>
          <w:rFonts w:eastAsia="仿宋_GB2312"/>
          <w:color w:val="000000"/>
          <w:sz w:val="28"/>
          <w:szCs w:val="28"/>
        </w:rPr>
      </w:pPr>
      <w:r>
        <w:rPr>
          <w:rFonts w:eastAsia="仿宋_GB2312"/>
          <w:color w:val="000000"/>
          <w:sz w:val="28"/>
          <w:szCs w:val="28"/>
        </w:rPr>
        <w:t>工程名称：</w:t>
      </w:r>
      <w:r>
        <w:rPr>
          <w:rFonts w:eastAsia="仿宋_GB2312"/>
          <w:color w:val="000000"/>
          <w:sz w:val="28"/>
          <w:szCs w:val="28"/>
          <w:u w:val="single"/>
        </w:rPr>
        <w:t xml:space="preserve">          </w:t>
      </w:r>
      <w:r>
        <w:rPr>
          <w:rFonts w:eastAsia="仿宋_GB2312"/>
          <w:color w:val="000000"/>
          <w:sz w:val="28"/>
          <w:szCs w:val="28"/>
        </w:rPr>
        <w:t>（项目名称）</w:t>
      </w:r>
      <w:r>
        <w:rPr>
          <w:rFonts w:eastAsia="仿宋_GB2312"/>
          <w:color w:val="000000"/>
          <w:sz w:val="28"/>
          <w:szCs w:val="28"/>
          <w:u w:val="single"/>
        </w:rPr>
        <w:t xml:space="preserve">          </w:t>
      </w:r>
      <w:r>
        <w:rPr>
          <w:rFonts w:eastAsia="仿宋_GB2312"/>
          <w:color w:val="000000"/>
          <w:sz w:val="28"/>
          <w:szCs w:val="28"/>
        </w:rPr>
        <w:t>（标段名称）</w:t>
      </w:r>
    </w:p>
    <w:tbl>
      <w:tblPr>
        <w:tblStyle w:val="47"/>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891"/>
        <w:gridCol w:w="1092"/>
        <w:gridCol w:w="704"/>
        <w:gridCol w:w="593"/>
        <w:gridCol w:w="431"/>
        <w:gridCol w:w="709"/>
        <w:gridCol w:w="708"/>
        <w:gridCol w:w="709"/>
        <w:gridCol w:w="709"/>
        <w:gridCol w:w="709"/>
        <w:gridCol w:w="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noWrap w:val="0"/>
            <w:vAlign w:val="center"/>
          </w:tcPr>
          <w:p>
            <w:pPr>
              <w:jc w:val="center"/>
              <w:rPr>
                <w:rFonts w:eastAsia="黑体"/>
                <w:color w:val="000000"/>
              </w:rPr>
            </w:pPr>
            <w:r>
              <w:rPr>
                <w:rFonts w:eastAsia="黑体"/>
                <w:color w:val="000000"/>
              </w:rPr>
              <w:t>序号</w:t>
            </w:r>
          </w:p>
        </w:tc>
        <w:tc>
          <w:tcPr>
            <w:tcW w:w="1891" w:type="dxa"/>
            <w:noWrap w:val="0"/>
            <w:vAlign w:val="center"/>
          </w:tcPr>
          <w:p>
            <w:pPr>
              <w:jc w:val="center"/>
              <w:rPr>
                <w:rFonts w:eastAsia="黑体"/>
                <w:color w:val="000000"/>
              </w:rPr>
            </w:pPr>
            <w:r>
              <w:rPr>
                <w:rFonts w:eastAsia="黑体"/>
                <w:color w:val="000000"/>
              </w:rPr>
              <w:t>项目编码</w:t>
            </w:r>
          </w:p>
        </w:tc>
        <w:tc>
          <w:tcPr>
            <w:tcW w:w="1092" w:type="dxa"/>
            <w:noWrap w:val="0"/>
            <w:vAlign w:val="center"/>
          </w:tcPr>
          <w:p>
            <w:pPr>
              <w:jc w:val="center"/>
              <w:rPr>
                <w:rFonts w:eastAsia="黑体"/>
                <w:color w:val="000000"/>
              </w:rPr>
            </w:pPr>
            <w:r>
              <w:rPr>
                <w:rFonts w:eastAsia="黑体"/>
                <w:color w:val="000000"/>
              </w:rPr>
              <w:t>项目名称</w:t>
            </w:r>
          </w:p>
        </w:tc>
        <w:tc>
          <w:tcPr>
            <w:tcW w:w="704" w:type="dxa"/>
            <w:noWrap w:val="0"/>
            <w:vAlign w:val="center"/>
          </w:tcPr>
          <w:p>
            <w:pPr>
              <w:jc w:val="center"/>
              <w:rPr>
                <w:rFonts w:eastAsia="黑体"/>
                <w:color w:val="000000"/>
              </w:rPr>
            </w:pPr>
            <w:r>
              <w:rPr>
                <w:rFonts w:eastAsia="黑体"/>
                <w:color w:val="000000"/>
              </w:rPr>
              <w:t>计量单位</w:t>
            </w:r>
          </w:p>
        </w:tc>
        <w:tc>
          <w:tcPr>
            <w:tcW w:w="593" w:type="dxa"/>
            <w:noWrap w:val="0"/>
            <w:vAlign w:val="center"/>
          </w:tcPr>
          <w:p>
            <w:pPr>
              <w:jc w:val="center"/>
              <w:rPr>
                <w:rFonts w:eastAsia="黑体"/>
                <w:color w:val="000000"/>
              </w:rPr>
            </w:pPr>
            <w:r>
              <w:rPr>
                <w:rFonts w:eastAsia="黑体"/>
                <w:color w:val="000000"/>
              </w:rPr>
              <w:t>人工费</w:t>
            </w:r>
          </w:p>
        </w:tc>
        <w:tc>
          <w:tcPr>
            <w:tcW w:w="431" w:type="dxa"/>
            <w:noWrap w:val="0"/>
            <w:vAlign w:val="center"/>
          </w:tcPr>
          <w:p>
            <w:pPr>
              <w:jc w:val="center"/>
              <w:rPr>
                <w:rFonts w:eastAsia="黑体"/>
                <w:color w:val="000000"/>
              </w:rPr>
            </w:pPr>
            <w:r>
              <w:rPr>
                <w:rFonts w:eastAsia="黑体"/>
                <w:color w:val="000000"/>
              </w:rPr>
              <w:t>材料费</w:t>
            </w:r>
          </w:p>
        </w:tc>
        <w:tc>
          <w:tcPr>
            <w:tcW w:w="709" w:type="dxa"/>
            <w:noWrap w:val="0"/>
            <w:vAlign w:val="center"/>
          </w:tcPr>
          <w:p>
            <w:pPr>
              <w:jc w:val="center"/>
              <w:rPr>
                <w:rFonts w:eastAsia="黑体"/>
                <w:color w:val="000000"/>
              </w:rPr>
            </w:pPr>
            <w:r>
              <w:rPr>
                <w:rFonts w:eastAsia="黑体"/>
                <w:color w:val="000000"/>
              </w:rPr>
              <w:t>机械使用费</w:t>
            </w:r>
          </w:p>
        </w:tc>
        <w:tc>
          <w:tcPr>
            <w:tcW w:w="708" w:type="dxa"/>
            <w:noWrap w:val="0"/>
            <w:vAlign w:val="center"/>
          </w:tcPr>
          <w:p>
            <w:pPr>
              <w:jc w:val="center"/>
              <w:rPr>
                <w:rFonts w:eastAsia="黑体"/>
                <w:color w:val="000000"/>
              </w:rPr>
            </w:pPr>
            <w:r>
              <w:rPr>
                <w:rFonts w:eastAsia="黑体"/>
                <w:color w:val="000000"/>
              </w:rPr>
              <w:t>……</w:t>
            </w:r>
          </w:p>
        </w:tc>
        <w:tc>
          <w:tcPr>
            <w:tcW w:w="709" w:type="dxa"/>
            <w:noWrap w:val="0"/>
            <w:vAlign w:val="center"/>
          </w:tcPr>
          <w:p>
            <w:pPr>
              <w:jc w:val="center"/>
              <w:rPr>
                <w:rFonts w:eastAsia="黑体"/>
                <w:color w:val="000000"/>
              </w:rPr>
            </w:pPr>
            <w:r>
              <w:rPr>
                <w:rFonts w:eastAsia="黑体"/>
                <w:color w:val="000000"/>
              </w:rPr>
              <w:t>施工管理费</w:t>
            </w:r>
          </w:p>
        </w:tc>
        <w:tc>
          <w:tcPr>
            <w:tcW w:w="709" w:type="dxa"/>
            <w:noWrap w:val="0"/>
            <w:vAlign w:val="center"/>
          </w:tcPr>
          <w:p>
            <w:pPr>
              <w:jc w:val="center"/>
              <w:rPr>
                <w:rFonts w:eastAsia="黑体"/>
                <w:color w:val="000000"/>
              </w:rPr>
            </w:pPr>
            <w:r>
              <w:rPr>
                <w:rFonts w:eastAsia="黑体"/>
                <w:color w:val="000000"/>
              </w:rPr>
              <w:t>企业利润</w:t>
            </w:r>
          </w:p>
        </w:tc>
        <w:tc>
          <w:tcPr>
            <w:tcW w:w="709" w:type="dxa"/>
            <w:noWrap w:val="0"/>
            <w:vAlign w:val="center"/>
          </w:tcPr>
          <w:p>
            <w:pPr>
              <w:jc w:val="center"/>
              <w:rPr>
                <w:rFonts w:eastAsia="黑体"/>
                <w:color w:val="000000"/>
              </w:rPr>
            </w:pPr>
            <w:r>
              <w:rPr>
                <w:rFonts w:eastAsia="黑体"/>
                <w:color w:val="000000"/>
              </w:rPr>
              <w:t>税金</w:t>
            </w:r>
          </w:p>
        </w:tc>
        <w:tc>
          <w:tcPr>
            <w:tcW w:w="425" w:type="dxa"/>
            <w:noWrap w:val="0"/>
            <w:vAlign w:val="center"/>
          </w:tcPr>
          <w:p>
            <w:pPr>
              <w:jc w:val="center"/>
              <w:rPr>
                <w:rFonts w:eastAsia="黑体"/>
                <w:color w:val="000000"/>
              </w:rPr>
            </w:pPr>
            <w:r>
              <w:rPr>
                <w:rFonts w:eastAsia="黑体"/>
                <w:color w:val="000000"/>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noWrap w:val="0"/>
            <w:vAlign w:val="center"/>
          </w:tcPr>
          <w:p>
            <w:pPr>
              <w:jc w:val="center"/>
              <w:rPr>
                <w:rFonts w:eastAsia="仿宋"/>
                <w:color w:val="000000"/>
              </w:rPr>
            </w:pPr>
            <w:r>
              <w:rPr>
                <w:rFonts w:eastAsia="仿宋"/>
                <w:color w:val="000000"/>
              </w:rPr>
              <w:t>1</w:t>
            </w:r>
          </w:p>
        </w:tc>
        <w:tc>
          <w:tcPr>
            <w:tcW w:w="1891" w:type="dxa"/>
            <w:noWrap w:val="0"/>
            <w:vAlign w:val="center"/>
          </w:tcPr>
          <w:p>
            <w:pPr>
              <w:rPr>
                <w:rFonts w:eastAsia="仿宋"/>
                <w:color w:val="000000"/>
              </w:rPr>
            </w:pPr>
          </w:p>
        </w:tc>
        <w:tc>
          <w:tcPr>
            <w:tcW w:w="1092" w:type="dxa"/>
            <w:noWrap w:val="0"/>
            <w:vAlign w:val="center"/>
          </w:tcPr>
          <w:p>
            <w:pPr>
              <w:rPr>
                <w:rFonts w:eastAsia="仿宋"/>
                <w:color w:val="000000"/>
              </w:rPr>
            </w:pPr>
            <w:r>
              <w:rPr>
                <w:rFonts w:eastAsia="仿宋"/>
                <w:color w:val="000000"/>
              </w:rPr>
              <w:t>建筑工程</w:t>
            </w:r>
          </w:p>
        </w:tc>
        <w:tc>
          <w:tcPr>
            <w:tcW w:w="704" w:type="dxa"/>
            <w:noWrap w:val="0"/>
            <w:vAlign w:val="center"/>
          </w:tcPr>
          <w:p>
            <w:pPr>
              <w:rPr>
                <w:rFonts w:eastAsia="仿宋"/>
                <w:color w:val="000000"/>
              </w:rPr>
            </w:pPr>
          </w:p>
        </w:tc>
        <w:tc>
          <w:tcPr>
            <w:tcW w:w="593" w:type="dxa"/>
            <w:noWrap w:val="0"/>
            <w:vAlign w:val="center"/>
          </w:tcPr>
          <w:p>
            <w:pPr>
              <w:rPr>
                <w:rFonts w:eastAsia="仿宋"/>
                <w:color w:val="000000"/>
              </w:rPr>
            </w:pPr>
          </w:p>
        </w:tc>
        <w:tc>
          <w:tcPr>
            <w:tcW w:w="431" w:type="dxa"/>
            <w:noWrap w:val="0"/>
            <w:vAlign w:val="center"/>
          </w:tcPr>
          <w:p>
            <w:pPr>
              <w:rPr>
                <w:rFonts w:eastAsia="仿宋"/>
                <w:color w:val="000000"/>
              </w:rPr>
            </w:pPr>
          </w:p>
        </w:tc>
        <w:tc>
          <w:tcPr>
            <w:tcW w:w="709" w:type="dxa"/>
            <w:noWrap w:val="0"/>
            <w:vAlign w:val="center"/>
          </w:tcPr>
          <w:p>
            <w:pPr>
              <w:rPr>
                <w:rFonts w:eastAsia="仿宋"/>
                <w:color w:val="000000"/>
              </w:rPr>
            </w:pPr>
          </w:p>
        </w:tc>
        <w:tc>
          <w:tcPr>
            <w:tcW w:w="708" w:type="dxa"/>
            <w:noWrap w:val="0"/>
            <w:vAlign w:val="center"/>
          </w:tcPr>
          <w:p>
            <w:pPr>
              <w:jc w:val="center"/>
              <w:rPr>
                <w:rFonts w:eastAsia="仿宋"/>
                <w:color w:val="000000"/>
              </w:rPr>
            </w:pPr>
          </w:p>
        </w:tc>
        <w:tc>
          <w:tcPr>
            <w:tcW w:w="709" w:type="dxa"/>
            <w:noWrap w:val="0"/>
            <w:vAlign w:val="center"/>
          </w:tcPr>
          <w:p>
            <w:pPr>
              <w:rPr>
                <w:rFonts w:eastAsia="仿宋"/>
                <w:color w:val="000000"/>
              </w:rPr>
            </w:pPr>
          </w:p>
        </w:tc>
        <w:tc>
          <w:tcPr>
            <w:tcW w:w="709" w:type="dxa"/>
            <w:noWrap w:val="0"/>
            <w:vAlign w:val="center"/>
          </w:tcPr>
          <w:p>
            <w:pPr>
              <w:rPr>
                <w:rFonts w:eastAsia="仿宋"/>
                <w:color w:val="000000"/>
              </w:rPr>
            </w:pPr>
          </w:p>
        </w:tc>
        <w:tc>
          <w:tcPr>
            <w:tcW w:w="709" w:type="dxa"/>
            <w:noWrap w:val="0"/>
            <w:vAlign w:val="center"/>
          </w:tcPr>
          <w:p>
            <w:pPr>
              <w:rPr>
                <w:rFonts w:eastAsia="仿宋"/>
                <w:color w:val="000000"/>
              </w:rPr>
            </w:pPr>
          </w:p>
        </w:tc>
        <w:tc>
          <w:tcPr>
            <w:tcW w:w="425" w:type="dxa"/>
            <w:noWrap w:val="0"/>
            <w:vAlign w:val="center"/>
          </w:tcPr>
          <w:p>
            <w:pP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noWrap w:val="0"/>
            <w:vAlign w:val="center"/>
          </w:tcPr>
          <w:p>
            <w:pPr>
              <w:jc w:val="center"/>
              <w:rPr>
                <w:rFonts w:eastAsia="仿宋"/>
                <w:color w:val="000000"/>
              </w:rPr>
            </w:pPr>
            <w:r>
              <w:rPr>
                <w:rFonts w:eastAsia="仿宋"/>
                <w:color w:val="000000"/>
              </w:rPr>
              <w:t>1.1</w:t>
            </w:r>
          </w:p>
        </w:tc>
        <w:tc>
          <w:tcPr>
            <w:tcW w:w="1891" w:type="dxa"/>
            <w:noWrap w:val="0"/>
            <w:vAlign w:val="center"/>
          </w:tcPr>
          <w:p>
            <w:pPr>
              <w:rPr>
                <w:rFonts w:eastAsia="仿宋"/>
                <w:color w:val="000000"/>
              </w:rPr>
            </w:pPr>
          </w:p>
        </w:tc>
        <w:tc>
          <w:tcPr>
            <w:tcW w:w="1092" w:type="dxa"/>
            <w:noWrap w:val="0"/>
            <w:vAlign w:val="center"/>
          </w:tcPr>
          <w:p>
            <w:pPr>
              <w:rPr>
                <w:rFonts w:eastAsia="仿宋"/>
                <w:color w:val="000000"/>
              </w:rPr>
            </w:pPr>
            <w:r>
              <w:rPr>
                <w:rFonts w:eastAsia="仿宋"/>
                <w:color w:val="000000"/>
              </w:rPr>
              <w:t>土方开挖工程</w:t>
            </w:r>
          </w:p>
        </w:tc>
        <w:tc>
          <w:tcPr>
            <w:tcW w:w="704" w:type="dxa"/>
            <w:noWrap w:val="0"/>
            <w:vAlign w:val="center"/>
          </w:tcPr>
          <w:p>
            <w:pPr>
              <w:rPr>
                <w:rFonts w:eastAsia="仿宋"/>
                <w:color w:val="000000"/>
              </w:rPr>
            </w:pPr>
          </w:p>
        </w:tc>
        <w:tc>
          <w:tcPr>
            <w:tcW w:w="593" w:type="dxa"/>
            <w:noWrap w:val="0"/>
            <w:vAlign w:val="center"/>
          </w:tcPr>
          <w:p>
            <w:pPr>
              <w:rPr>
                <w:rFonts w:eastAsia="仿宋"/>
                <w:color w:val="000000"/>
              </w:rPr>
            </w:pPr>
          </w:p>
        </w:tc>
        <w:tc>
          <w:tcPr>
            <w:tcW w:w="431" w:type="dxa"/>
            <w:noWrap w:val="0"/>
            <w:vAlign w:val="center"/>
          </w:tcPr>
          <w:p>
            <w:pPr>
              <w:rPr>
                <w:rFonts w:eastAsia="仿宋"/>
                <w:color w:val="000000"/>
              </w:rPr>
            </w:pPr>
          </w:p>
        </w:tc>
        <w:tc>
          <w:tcPr>
            <w:tcW w:w="709" w:type="dxa"/>
            <w:noWrap w:val="0"/>
            <w:vAlign w:val="center"/>
          </w:tcPr>
          <w:p>
            <w:pPr>
              <w:rPr>
                <w:rFonts w:eastAsia="仿宋"/>
                <w:color w:val="000000"/>
              </w:rPr>
            </w:pPr>
          </w:p>
        </w:tc>
        <w:tc>
          <w:tcPr>
            <w:tcW w:w="708" w:type="dxa"/>
            <w:noWrap w:val="0"/>
            <w:vAlign w:val="center"/>
          </w:tcPr>
          <w:p>
            <w:pPr>
              <w:jc w:val="center"/>
              <w:rPr>
                <w:rFonts w:eastAsia="仿宋"/>
                <w:color w:val="000000"/>
              </w:rPr>
            </w:pPr>
          </w:p>
        </w:tc>
        <w:tc>
          <w:tcPr>
            <w:tcW w:w="709" w:type="dxa"/>
            <w:noWrap w:val="0"/>
            <w:vAlign w:val="center"/>
          </w:tcPr>
          <w:p>
            <w:pPr>
              <w:rPr>
                <w:rFonts w:eastAsia="仿宋"/>
                <w:color w:val="000000"/>
              </w:rPr>
            </w:pPr>
          </w:p>
        </w:tc>
        <w:tc>
          <w:tcPr>
            <w:tcW w:w="709" w:type="dxa"/>
            <w:noWrap w:val="0"/>
            <w:vAlign w:val="center"/>
          </w:tcPr>
          <w:p>
            <w:pPr>
              <w:rPr>
                <w:rFonts w:eastAsia="仿宋"/>
                <w:color w:val="000000"/>
              </w:rPr>
            </w:pPr>
          </w:p>
        </w:tc>
        <w:tc>
          <w:tcPr>
            <w:tcW w:w="709" w:type="dxa"/>
            <w:noWrap w:val="0"/>
            <w:vAlign w:val="center"/>
          </w:tcPr>
          <w:p>
            <w:pPr>
              <w:rPr>
                <w:rFonts w:eastAsia="仿宋"/>
                <w:color w:val="000000"/>
              </w:rPr>
            </w:pPr>
          </w:p>
        </w:tc>
        <w:tc>
          <w:tcPr>
            <w:tcW w:w="425" w:type="dxa"/>
            <w:noWrap w:val="0"/>
            <w:vAlign w:val="center"/>
          </w:tcPr>
          <w:p>
            <w:pP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noWrap w:val="0"/>
            <w:vAlign w:val="center"/>
          </w:tcPr>
          <w:p>
            <w:pPr>
              <w:jc w:val="center"/>
              <w:rPr>
                <w:rFonts w:eastAsia="仿宋"/>
                <w:color w:val="000000"/>
              </w:rPr>
            </w:pPr>
            <w:r>
              <w:rPr>
                <w:rFonts w:eastAsia="仿宋"/>
                <w:color w:val="000000"/>
              </w:rPr>
              <w:t>1.1.1</w:t>
            </w:r>
          </w:p>
        </w:tc>
        <w:tc>
          <w:tcPr>
            <w:tcW w:w="1891" w:type="dxa"/>
            <w:noWrap w:val="0"/>
            <w:vAlign w:val="center"/>
          </w:tcPr>
          <w:p>
            <w:pPr>
              <w:rPr>
                <w:rFonts w:eastAsia="仿宋"/>
                <w:color w:val="000000"/>
              </w:rPr>
            </w:pPr>
            <w:r>
              <w:rPr>
                <w:rFonts w:eastAsia="仿宋"/>
                <w:color w:val="000000"/>
              </w:rPr>
              <w:t>500101××××××</w:t>
            </w:r>
          </w:p>
        </w:tc>
        <w:tc>
          <w:tcPr>
            <w:tcW w:w="1092" w:type="dxa"/>
            <w:noWrap w:val="0"/>
            <w:vAlign w:val="center"/>
          </w:tcPr>
          <w:p>
            <w:pPr>
              <w:rPr>
                <w:rFonts w:eastAsia="仿宋"/>
                <w:color w:val="000000"/>
              </w:rPr>
            </w:pPr>
          </w:p>
        </w:tc>
        <w:tc>
          <w:tcPr>
            <w:tcW w:w="704" w:type="dxa"/>
            <w:noWrap w:val="0"/>
            <w:vAlign w:val="center"/>
          </w:tcPr>
          <w:p>
            <w:pPr>
              <w:rPr>
                <w:rFonts w:eastAsia="仿宋"/>
                <w:color w:val="000000"/>
              </w:rPr>
            </w:pPr>
          </w:p>
        </w:tc>
        <w:tc>
          <w:tcPr>
            <w:tcW w:w="593" w:type="dxa"/>
            <w:noWrap w:val="0"/>
            <w:vAlign w:val="center"/>
          </w:tcPr>
          <w:p>
            <w:pPr>
              <w:rPr>
                <w:rFonts w:eastAsia="仿宋"/>
                <w:color w:val="000000"/>
              </w:rPr>
            </w:pPr>
          </w:p>
        </w:tc>
        <w:tc>
          <w:tcPr>
            <w:tcW w:w="431" w:type="dxa"/>
            <w:noWrap w:val="0"/>
            <w:vAlign w:val="center"/>
          </w:tcPr>
          <w:p>
            <w:pPr>
              <w:rPr>
                <w:rFonts w:eastAsia="仿宋"/>
                <w:color w:val="000000"/>
              </w:rPr>
            </w:pPr>
          </w:p>
        </w:tc>
        <w:tc>
          <w:tcPr>
            <w:tcW w:w="709" w:type="dxa"/>
            <w:noWrap w:val="0"/>
            <w:vAlign w:val="center"/>
          </w:tcPr>
          <w:p>
            <w:pPr>
              <w:rPr>
                <w:rFonts w:eastAsia="仿宋"/>
                <w:color w:val="000000"/>
              </w:rPr>
            </w:pPr>
          </w:p>
        </w:tc>
        <w:tc>
          <w:tcPr>
            <w:tcW w:w="708" w:type="dxa"/>
            <w:noWrap w:val="0"/>
            <w:vAlign w:val="center"/>
          </w:tcPr>
          <w:p>
            <w:pPr>
              <w:jc w:val="center"/>
              <w:rPr>
                <w:rFonts w:eastAsia="仿宋"/>
                <w:color w:val="000000"/>
              </w:rPr>
            </w:pPr>
          </w:p>
        </w:tc>
        <w:tc>
          <w:tcPr>
            <w:tcW w:w="709" w:type="dxa"/>
            <w:noWrap w:val="0"/>
            <w:vAlign w:val="center"/>
          </w:tcPr>
          <w:p>
            <w:pPr>
              <w:rPr>
                <w:rFonts w:eastAsia="仿宋"/>
                <w:color w:val="000000"/>
              </w:rPr>
            </w:pPr>
          </w:p>
        </w:tc>
        <w:tc>
          <w:tcPr>
            <w:tcW w:w="709" w:type="dxa"/>
            <w:noWrap w:val="0"/>
            <w:vAlign w:val="center"/>
          </w:tcPr>
          <w:p>
            <w:pPr>
              <w:rPr>
                <w:rFonts w:eastAsia="仿宋"/>
                <w:color w:val="000000"/>
              </w:rPr>
            </w:pPr>
          </w:p>
        </w:tc>
        <w:tc>
          <w:tcPr>
            <w:tcW w:w="709" w:type="dxa"/>
            <w:noWrap w:val="0"/>
            <w:vAlign w:val="center"/>
          </w:tcPr>
          <w:p>
            <w:pPr>
              <w:rPr>
                <w:rFonts w:eastAsia="仿宋"/>
                <w:color w:val="000000"/>
              </w:rPr>
            </w:pPr>
          </w:p>
        </w:tc>
        <w:tc>
          <w:tcPr>
            <w:tcW w:w="425" w:type="dxa"/>
            <w:noWrap w:val="0"/>
            <w:vAlign w:val="center"/>
          </w:tcPr>
          <w:p>
            <w:pP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noWrap w:val="0"/>
            <w:vAlign w:val="center"/>
          </w:tcPr>
          <w:p>
            <w:pPr>
              <w:jc w:val="center"/>
              <w:rPr>
                <w:rFonts w:eastAsia="仿宋"/>
                <w:color w:val="000000"/>
              </w:rPr>
            </w:pPr>
            <w:r>
              <w:rPr>
                <w:rFonts w:eastAsia="仿宋"/>
                <w:color w:val="000000"/>
              </w:rPr>
              <w:t>1.1.2</w:t>
            </w:r>
          </w:p>
        </w:tc>
        <w:tc>
          <w:tcPr>
            <w:tcW w:w="1891" w:type="dxa"/>
            <w:noWrap w:val="0"/>
            <w:vAlign w:val="center"/>
          </w:tcPr>
          <w:p>
            <w:pPr>
              <w:rPr>
                <w:rFonts w:eastAsia="仿宋"/>
                <w:color w:val="000000"/>
              </w:rPr>
            </w:pPr>
          </w:p>
        </w:tc>
        <w:tc>
          <w:tcPr>
            <w:tcW w:w="1092" w:type="dxa"/>
            <w:noWrap w:val="0"/>
            <w:vAlign w:val="center"/>
          </w:tcPr>
          <w:p>
            <w:pPr>
              <w:rPr>
                <w:rFonts w:eastAsia="仿宋"/>
                <w:color w:val="000000"/>
              </w:rPr>
            </w:pPr>
          </w:p>
        </w:tc>
        <w:tc>
          <w:tcPr>
            <w:tcW w:w="704" w:type="dxa"/>
            <w:noWrap w:val="0"/>
            <w:vAlign w:val="center"/>
          </w:tcPr>
          <w:p>
            <w:pPr>
              <w:rPr>
                <w:rFonts w:eastAsia="仿宋"/>
                <w:color w:val="000000"/>
              </w:rPr>
            </w:pPr>
          </w:p>
        </w:tc>
        <w:tc>
          <w:tcPr>
            <w:tcW w:w="593" w:type="dxa"/>
            <w:noWrap w:val="0"/>
            <w:vAlign w:val="center"/>
          </w:tcPr>
          <w:p>
            <w:pPr>
              <w:rPr>
                <w:rFonts w:eastAsia="仿宋"/>
                <w:color w:val="000000"/>
              </w:rPr>
            </w:pPr>
          </w:p>
        </w:tc>
        <w:tc>
          <w:tcPr>
            <w:tcW w:w="431" w:type="dxa"/>
            <w:noWrap w:val="0"/>
            <w:vAlign w:val="center"/>
          </w:tcPr>
          <w:p>
            <w:pPr>
              <w:rPr>
                <w:rFonts w:eastAsia="仿宋"/>
                <w:color w:val="000000"/>
              </w:rPr>
            </w:pPr>
          </w:p>
        </w:tc>
        <w:tc>
          <w:tcPr>
            <w:tcW w:w="709" w:type="dxa"/>
            <w:noWrap w:val="0"/>
            <w:vAlign w:val="center"/>
          </w:tcPr>
          <w:p>
            <w:pPr>
              <w:rPr>
                <w:rFonts w:eastAsia="仿宋"/>
                <w:color w:val="000000"/>
              </w:rPr>
            </w:pPr>
          </w:p>
        </w:tc>
        <w:tc>
          <w:tcPr>
            <w:tcW w:w="708" w:type="dxa"/>
            <w:noWrap w:val="0"/>
            <w:vAlign w:val="center"/>
          </w:tcPr>
          <w:p>
            <w:pPr>
              <w:jc w:val="center"/>
              <w:rPr>
                <w:rFonts w:eastAsia="仿宋"/>
                <w:color w:val="000000"/>
              </w:rPr>
            </w:pPr>
          </w:p>
        </w:tc>
        <w:tc>
          <w:tcPr>
            <w:tcW w:w="709" w:type="dxa"/>
            <w:noWrap w:val="0"/>
            <w:vAlign w:val="center"/>
          </w:tcPr>
          <w:p>
            <w:pPr>
              <w:rPr>
                <w:rFonts w:eastAsia="仿宋"/>
                <w:color w:val="000000"/>
              </w:rPr>
            </w:pPr>
          </w:p>
        </w:tc>
        <w:tc>
          <w:tcPr>
            <w:tcW w:w="709" w:type="dxa"/>
            <w:noWrap w:val="0"/>
            <w:vAlign w:val="center"/>
          </w:tcPr>
          <w:p>
            <w:pPr>
              <w:rPr>
                <w:rFonts w:eastAsia="仿宋"/>
                <w:color w:val="000000"/>
              </w:rPr>
            </w:pPr>
          </w:p>
        </w:tc>
        <w:tc>
          <w:tcPr>
            <w:tcW w:w="709" w:type="dxa"/>
            <w:noWrap w:val="0"/>
            <w:vAlign w:val="center"/>
          </w:tcPr>
          <w:p>
            <w:pPr>
              <w:rPr>
                <w:rFonts w:eastAsia="仿宋"/>
                <w:color w:val="000000"/>
              </w:rPr>
            </w:pPr>
          </w:p>
        </w:tc>
        <w:tc>
          <w:tcPr>
            <w:tcW w:w="425" w:type="dxa"/>
            <w:noWrap w:val="0"/>
            <w:vAlign w:val="center"/>
          </w:tcPr>
          <w:p>
            <w:pP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noWrap w:val="0"/>
            <w:vAlign w:val="center"/>
          </w:tcPr>
          <w:p>
            <w:pPr>
              <w:jc w:val="center"/>
              <w:rPr>
                <w:rFonts w:eastAsia="仿宋"/>
                <w:color w:val="000000"/>
              </w:rPr>
            </w:pPr>
          </w:p>
        </w:tc>
        <w:tc>
          <w:tcPr>
            <w:tcW w:w="1891" w:type="dxa"/>
            <w:noWrap w:val="0"/>
            <w:vAlign w:val="center"/>
          </w:tcPr>
          <w:p>
            <w:pPr>
              <w:rPr>
                <w:rFonts w:eastAsia="仿宋"/>
                <w:color w:val="000000"/>
              </w:rPr>
            </w:pPr>
          </w:p>
        </w:tc>
        <w:tc>
          <w:tcPr>
            <w:tcW w:w="1092" w:type="dxa"/>
            <w:noWrap w:val="0"/>
            <w:vAlign w:val="center"/>
          </w:tcPr>
          <w:p>
            <w:pPr>
              <w:rPr>
                <w:rFonts w:eastAsia="仿宋"/>
                <w:color w:val="000000"/>
              </w:rPr>
            </w:pPr>
          </w:p>
        </w:tc>
        <w:tc>
          <w:tcPr>
            <w:tcW w:w="704" w:type="dxa"/>
            <w:noWrap w:val="0"/>
            <w:vAlign w:val="center"/>
          </w:tcPr>
          <w:p>
            <w:pPr>
              <w:rPr>
                <w:rFonts w:eastAsia="仿宋"/>
                <w:color w:val="000000"/>
              </w:rPr>
            </w:pPr>
          </w:p>
        </w:tc>
        <w:tc>
          <w:tcPr>
            <w:tcW w:w="593" w:type="dxa"/>
            <w:noWrap w:val="0"/>
            <w:vAlign w:val="center"/>
          </w:tcPr>
          <w:p>
            <w:pPr>
              <w:rPr>
                <w:rFonts w:eastAsia="仿宋"/>
                <w:color w:val="000000"/>
              </w:rPr>
            </w:pPr>
          </w:p>
        </w:tc>
        <w:tc>
          <w:tcPr>
            <w:tcW w:w="431" w:type="dxa"/>
            <w:noWrap w:val="0"/>
            <w:vAlign w:val="center"/>
          </w:tcPr>
          <w:p>
            <w:pPr>
              <w:rPr>
                <w:rFonts w:eastAsia="仿宋"/>
                <w:color w:val="000000"/>
              </w:rPr>
            </w:pPr>
          </w:p>
        </w:tc>
        <w:tc>
          <w:tcPr>
            <w:tcW w:w="709" w:type="dxa"/>
            <w:noWrap w:val="0"/>
            <w:vAlign w:val="center"/>
          </w:tcPr>
          <w:p>
            <w:pPr>
              <w:rPr>
                <w:rFonts w:eastAsia="仿宋"/>
                <w:color w:val="000000"/>
              </w:rPr>
            </w:pPr>
          </w:p>
        </w:tc>
        <w:tc>
          <w:tcPr>
            <w:tcW w:w="708" w:type="dxa"/>
            <w:noWrap w:val="0"/>
            <w:vAlign w:val="center"/>
          </w:tcPr>
          <w:p>
            <w:pPr>
              <w:jc w:val="center"/>
              <w:rPr>
                <w:rFonts w:eastAsia="仿宋"/>
                <w:color w:val="000000"/>
              </w:rPr>
            </w:pPr>
          </w:p>
        </w:tc>
        <w:tc>
          <w:tcPr>
            <w:tcW w:w="709" w:type="dxa"/>
            <w:noWrap w:val="0"/>
            <w:vAlign w:val="center"/>
          </w:tcPr>
          <w:p>
            <w:pPr>
              <w:rPr>
                <w:rFonts w:eastAsia="仿宋"/>
                <w:color w:val="000000"/>
              </w:rPr>
            </w:pPr>
          </w:p>
        </w:tc>
        <w:tc>
          <w:tcPr>
            <w:tcW w:w="709" w:type="dxa"/>
            <w:noWrap w:val="0"/>
            <w:vAlign w:val="center"/>
          </w:tcPr>
          <w:p>
            <w:pPr>
              <w:rPr>
                <w:rFonts w:eastAsia="仿宋"/>
                <w:color w:val="000000"/>
              </w:rPr>
            </w:pPr>
          </w:p>
        </w:tc>
        <w:tc>
          <w:tcPr>
            <w:tcW w:w="709" w:type="dxa"/>
            <w:noWrap w:val="0"/>
            <w:vAlign w:val="center"/>
          </w:tcPr>
          <w:p>
            <w:pPr>
              <w:rPr>
                <w:rFonts w:eastAsia="仿宋"/>
                <w:color w:val="000000"/>
              </w:rPr>
            </w:pPr>
          </w:p>
        </w:tc>
        <w:tc>
          <w:tcPr>
            <w:tcW w:w="425" w:type="dxa"/>
            <w:noWrap w:val="0"/>
            <w:vAlign w:val="center"/>
          </w:tcPr>
          <w:p>
            <w:pP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noWrap w:val="0"/>
            <w:vAlign w:val="center"/>
          </w:tcPr>
          <w:p>
            <w:pPr>
              <w:jc w:val="center"/>
              <w:rPr>
                <w:rFonts w:eastAsia="仿宋"/>
                <w:color w:val="000000"/>
              </w:rPr>
            </w:pPr>
            <w:r>
              <w:rPr>
                <w:rFonts w:eastAsia="仿宋"/>
                <w:color w:val="000000"/>
              </w:rPr>
              <w:t>2</w:t>
            </w:r>
          </w:p>
        </w:tc>
        <w:tc>
          <w:tcPr>
            <w:tcW w:w="1891" w:type="dxa"/>
            <w:noWrap w:val="0"/>
            <w:vAlign w:val="center"/>
          </w:tcPr>
          <w:p>
            <w:pPr>
              <w:rPr>
                <w:rFonts w:eastAsia="仿宋"/>
                <w:color w:val="000000"/>
              </w:rPr>
            </w:pPr>
          </w:p>
        </w:tc>
        <w:tc>
          <w:tcPr>
            <w:tcW w:w="1092" w:type="dxa"/>
            <w:noWrap w:val="0"/>
            <w:vAlign w:val="center"/>
          </w:tcPr>
          <w:p>
            <w:pPr>
              <w:rPr>
                <w:rFonts w:eastAsia="仿宋"/>
                <w:color w:val="000000"/>
              </w:rPr>
            </w:pPr>
            <w:r>
              <w:rPr>
                <w:rFonts w:eastAsia="仿宋"/>
                <w:color w:val="000000"/>
              </w:rPr>
              <w:t>安装工程</w:t>
            </w:r>
          </w:p>
        </w:tc>
        <w:tc>
          <w:tcPr>
            <w:tcW w:w="704" w:type="dxa"/>
            <w:noWrap w:val="0"/>
            <w:vAlign w:val="center"/>
          </w:tcPr>
          <w:p>
            <w:pPr>
              <w:rPr>
                <w:rFonts w:eastAsia="仿宋"/>
                <w:color w:val="000000"/>
              </w:rPr>
            </w:pPr>
          </w:p>
        </w:tc>
        <w:tc>
          <w:tcPr>
            <w:tcW w:w="593" w:type="dxa"/>
            <w:noWrap w:val="0"/>
            <w:vAlign w:val="center"/>
          </w:tcPr>
          <w:p>
            <w:pPr>
              <w:rPr>
                <w:rFonts w:eastAsia="仿宋"/>
                <w:color w:val="000000"/>
              </w:rPr>
            </w:pPr>
          </w:p>
        </w:tc>
        <w:tc>
          <w:tcPr>
            <w:tcW w:w="431" w:type="dxa"/>
            <w:noWrap w:val="0"/>
            <w:vAlign w:val="center"/>
          </w:tcPr>
          <w:p>
            <w:pPr>
              <w:rPr>
                <w:rFonts w:eastAsia="仿宋"/>
                <w:color w:val="000000"/>
              </w:rPr>
            </w:pPr>
          </w:p>
        </w:tc>
        <w:tc>
          <w:tcPr>
            <w:tcW w:w="709" w:type="dxa"/>
            <w:noWrap w:val="0"/>
            <w:vAlign w:val="center"/>
          </w:tcPr>
          <w:p>
            <w:pPr>
              <w:rPr>
                <w:rFonts w:eastAsia="仿宋"/>
                <w:color w:val="000000"/>
              </w:rPr>
            </w:pPr>
          </w:p>
        </w:tc>
        <w:tc>
          <w:tcPr>
            <w:tcW w:w="708" w:type="dxa"/>
            <w:noWrap w:val="0"/>
            <w:vAlign w:val="center"/>
          </w:tcPr>
          <w:p>
            <w:pPr>
              <w:jc w:val="center"/>
              <w:rPr>
                <w:rFonts w:eastAsia="仿宋"/>
                <w:color w:val="000000"/>
              </w:rPr>
            </w:pPr>
          </w:p>
        </w:tc>
        <w:tc>
          <w:tcPr>
            <w:tcW w:w="709" w:type="dxa"/>
            <w:noWrap w:val="0"/>
            <w:vAlign w:val="center"/>
          </w:tcPr>
          <w:p>
            <w:pPr>
              <w:rPr>
                <w:rFonts w:eastAsia="仿宋"/>
                <w:color w:val="000000"/>
              </w:rPr>
            </w:pPr>
          </w:p>
        </w:tc>
        <w:tc>
          <w:tcPr>
            <w:tcW w:w="709" w:type="dxa"/>
            <w:noWrap w:val="0"/>
            <w:vAlign w:val="center"/>
          </w:tcPr>
          <w:p>
            <w:pPr>
              <w:rPr>
                <w:rFonts w:eastAsia="仿宋"/>
                <w:color w:val="000000"/>
              </w:rPr>
            </w:pPr>
          </w:p>
        </w:tc>
        <w:tc>
          <w:tcPr>
            <w:tcW w:w="709" w:type="dxa"/>
            <w:noWrap w:val="0"/>
            <w:vAlign w:val="center"/>
          </w:tcPr>
          <w:p>
            <w:pPr>
              <w:rPr>
                <w:rFonts w:eastAsia="仿宋"/>
                <w:color w:val="000000"/>
              </w:rPr>
            </w:pPr>
          </w:p>
        </w:tc>
        <w:tc>
          <w:tcPr>
            <w:tcW w:w="425" w:type="dxa"/>
            <w:noWrap w:val="0"/>
            <w:vAlign w:val="center"/>
          </w:tcPr>
          <w:p>
            <w:pP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noWrap w:val="0"/>
            <w:vAlign w:val="center"/>
          </w:tcPr>
          <w:p>
            <w:pPr>
              <w:jc w:val="center"/>
              <w:rPr>
                <w:rFonts w:eastAsia="仿宋"/>
                <w:color w:val="000000"/>
              </w:rPr>
            </w:pPr>
            <w:r>
              <w:rPr>
                <w:rFonts w:eastAsia="仿宋"/>
                <w:color w:val="000000"/>
              </w:rPr>
              <w:t>2.1</w:t>
            </w:r>
          </w:p>
        </w:tc>
        <w:tc>
          <w:tcPr>
            <w:tcW w:w="1891" w:type="dxa"/>
            <w:noWrap w:val="0"/>
            <w:vAlign w:val="center"/>
          </w:tcPr>
          <w:p>
            <w:pPr>
              <w:rPr>
                <w:rFonts w:eastAsia="仿宋"/>
                <w:color w:val="000000"/>
              </w:rPr>
            </w:pPr>
          </w:p>
        </w:tc>
        <w:tc>
          <w:tcPr>
            <w:tcW w:w="1092" w:type="dxa"/>
            <w:noWrap w:val="0"/>
            <w:vAlign w:val="center"/>
          </w:tcPr>
          <w:p>
            <w:pPr>
              <w:rPr>
                <w:rFonts w:eastAsia="仿宋"/>
                <w:color w:val="000000"/>
              </w:rPr>
            </w:pPr>
            <w:r>
              <w:rPr>
                <w:rFonts w:eastAsia="仿宋"/>
                <w:color w:val="000000"/>
              </w:rPr>
              <w:t>机电设备安装工程</w:t>
            </w:r>
          </w:p>
        </w:tc>
        <w:tc>
          <w:tcPr>
            <w:tcW w:w="704" w:type="dxa"/>
            <w:noWrap w:val="0"/>
            <w:vAlign w:val="center"/>
          </w:tcPr>
          <w:p>
            <w:pPr>
              <w:rPr>
                <w:rFonts w:eastAsia="仿宋"/>
                <w:color w:val="000000"/>
              </w:rPr>
            </w:pPr>
          </w:p>
        </w:tc>
        <w:tc>
          <w:tcPr>
            <w:tcW w:w="593" w:type="dxa"/>
            <w:noWrap w:val="0"/>
            <w:vAlign w:val="center"/>
          </w:tcPr>
          <w:p>
            <w:pPr>
              <w:rPr>
                <w:rFonts w:eastAsia="仿宋"/>
                <w:color w:val="000000"/>
              </w:rPr>
            </w:pPr>
          </w:p>
        </w:tc>
        <w:tc>
          <w:tcPr>
            <w:tcW w:w="431" w:type="dxa"/>
            <w:noWrap w:val="0"/>
            <w:vAlign w:val="center"/>
          </w:tcPr>
          <w:p>
            <w:pPr>
              <w:rPr>
                <w:rFonts w:eastAsia="仿宋"/>
                <w:color w:val="000000"/>
              </w:rPr>
            </w:pPr>
          </w:p>
        </w:tc>
        <w:tc>
          <w:tcPr>
            <w:tcW w:w="709" w:type="dxa"/>
            <w:noWrap w:val="0"/>
            <w:vAlign w:val="center"/>
          </w:tcPr>
          <w:p>
            <w:pPr>
              <w:rPr>
                <w:rFonts w:eastAsia="仿宋"/>
                <w:color w:val="000000"/>
              </w:rPr>
            </w:pPr>
          </w:p>
        </w:tc>
        <w:tc>
          <w:tcPr>
            <w:tcW w:w="708" w:type="dxa"/>
            <w:noWrap w:val="0"/>
            <w:vAlign w:val="center"/>
          </w:tcPr>
          <w:p>
            <w:pPr>
              <w:jc w:val="center"/>
              <w:rPr>
                <w:rFonts w:eastAsia="仿宋"/>
                <w:color w:val="000000"/>
              </w:rPr>
            </w:pPr>
          </w:p>
        </w:tc>
        <w:tc>
          <w:tcPr>
            <w:tcW w:w="709" w:type="dxa"/>
            <w:noWrap w:val="0"/>
            <w:vAlign w:val="center"/>
          </w:tcPr>
          <w:p>
            <w:pPr>
              <w:rPr>
                <w:rFonts w:eastAsia="仿宋"/>
                <w:color w:val="000000"/>
              </w:rPr>
            </w:pPr>
          </w:p>
        </w:tc>
        <w:tc>
          <w:tcPr>
            <w:tcW w:w="709" w:type="dxa"/>
            <w:noWrap w:val="0"/>
            <w:vAlign w:val="center"/>
          </w:tcPr>
          <w:p>
            <w:pPr>
              <w:rPr>
                <w:rFonts w:eastAsia="仿宋"/>
                <w:color w:val="000000"/>
              </w:rPr>
            </w:pPr>
          </w:p>
        </w:tc>
        <w:tc>
          <w:tcPr>
            <w:tcW w:w="709" w:type="dxa"/>
            <w:noWrap w:val="0"/>
            <w:vAlign w:val="center"/>
          </w:tcPr>
          <w:p>
            <w:pPr>
              <w:rPr>
                <w:rFonts w:eastAsia="仿宋"/>
                <w:color w:val="000000"/>
              </w:rPr>
            </w:pPr>
          </w:p>
        </w:tc>
        <w:tc>
          <w:tcPr>
            <w:tcW w:w="425" w:type="dxa"/>
            <w:noWrap w:val="0"/>
            <w:vAlign w:val="center"/>
          </w:tcPr>
          <w:p>
            <w:pP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noWrap w:val="0"/>
            <w:vAlign w:val="center"/>
          </w:tcPr>
          <w:p>
            <w:pPr>
              <w:jc w:val="center"/>
              <w:rPr>
                <w:rFonts w:eastAsia="仿宋"/>
                <w:color w:val="000000"/>
              </w:rPr>
            </w:pPr>
            <w:r>
              <w:rPr>
                <w:rFonts w:eastAsia="仿宋"/>
                <w:color w:val="000000"/>
              </w:rPr>
              <w:t>2.1.1</w:t>
            </w:r>
          </w:p>
        </w:tc>
        <w:tc>
          <w:tcPr>
            <w:tcW w:w="1891" w:type="dxa"/>
            <w:noWrap w:val="0"/>
            <w:vAlign w:val="center"/>
          </w:tcPr>
          <w:p>
            <w:pPr>
              <w:rPr>
                <w:rFonts w:eastAsia="仿宋"/>
                <w:color w:val="000000"/>
              </w:rPr>
            </w:pPr>
            <w:r>
              <w:rPr>
                <w:rFonts w:eastAsia="仿宋"/>
                <w:color w:val="000000"/>
              </w:rPr>
              <w:t>500201××××××</w:t>
            </w:r>
          </w:p>
        </w:tc>
        <w:tc>
          <w:tcPr>
            <w:tcW w:w="1092" w:type="dxa"/>
            <w:noWrap w:val="0"/>
            <w:vAlign w:val="center"/>
          </w:tcPr>
          <w:p>
            <w:pPr>
              <w:rPr>
                <w:rFonts w:eastAsia="仿宋"/>
                <w:color w:val="000000"/>
              </w:rPr>
            </w:pPr>
          </w:p>
        </w:tc>
        <w:tc>
          <w:tcPr>
            <w:tcW w:w="704" w:type="dxa"/>
            <w:noWrap w:val="0"/>
            <w:vAlign w:val="center"/>
          </w:tcPr>
          <w:p>
            <w:pPr>
              <w:rPr>
                <w:rFonts w:eastAsia="仿宋"/>
                <w:color w:val="000000"/>
              </w:rPr>
            </w:pPr>
          </w:p>
        </w:tc>
        <w:tc>
          <w:tcPr>
            <w:tcW w:w="593" w:type="dxa"/>
            <w:noWrap w:val="0"/>
            <w:vAlign w:val="center"/>
          </w:tcPr>
          <w:p>
            <w:pPr>
              <w:rPr>
                <w:rFonts w:eastAsia="仿宋"/>
                <w:color w:val="000000"/>
              </w:rPr>
            </w:pPr>
          </w:p>
        </w:tc>
        <w:tc>
          <w:tcPr>
            <w:tcW w:w="431" w:type="dxa"/>
            <w:noWrap w:val="0"/>
            <w:vAlign w:val="center"/>
          </w:tcPr>
          <w:p>
            <w:pPr>
              <w:rPr>
                <w:rFonts w:eastAsia="仿宋"/>
                <w:color w:val="000000"/>
              </w:rPr>
            </w:pPr>
          </w:p>
        </w:tc>
        <w:tc>
          <w:tcPr>
            <w:tcW w:w="709" w:type="dxa"/>
            <w:noWrap w:val="0"/>
            <w:vAlign w:val="center"/>
          </w:tcPr>
          <w:p>
            <w:pPr>
              <w:rPr>
                <w:rFonts w:eastAsia="仿宋"/>
                <w:color w:val="000000"/>
              </w:rPr>
            </w:pPr>
          </w:p>
        </w:tc>
        <w:tc>
          <w:tcPr>
            <w:tcW w:w="708" w:type="dxa"/>
            <w:noWrap w:val="0"/>
            <w:vAlign w:val="center"/>
          </w:tcPr>
          <w:p>
            <w:pPr>
              <w:jc w:val="center"/>
              <w:rPr>
                <w:rFonts w:eastAsia="仿宋"/>
                <w:color w:val="000000"/>
              </w:rPr>
            </w:pPr>
          </w:p>
        </w:tc>
        <w:tc>
          <w:tcPr>
            <w:tcW w:w="709" w:type="dxa"/>
            <w:noWrap w:val="0"/>
            <w:vAlign w:val="center"/>
          </w:tcPr>
          <w:p>
            <w:pPr>
              <w:rPr>
                <w:rFonts w:eastAsia="仿宋"/>
                <w:color w:val="000000"/>
              </w:rPr>
            </w:pPr>
          </w:p>
        </w:tc>
        <w:tc>
          <w:tcPr>
            <w:tcW w:w="709" w:type="dxa"/>
            <w:noWrap w:val="0"/>
            <w:vAlign w:val="center"/>
          </w:tcPr>
          <w:p>
            <w:pPr>
              <w:rPr>
                <w:rFonts w:eastAsia="仿宋"/>
                <w:color w:val="000000"/>
              </w:rPr>
            </w:pPr>
          </w:p>
        </w:tc>
        <w:tc>
          <w:tcPr>
            <w:tcW w:w="709" w:type="dxa"/>
            <w:noWrap w:val="0"/>
            <w:vAlign w:val="center"/>
          </w:tcPr>
          <w:p>
            <w:pPr>
              <w:rPr>
                <w:rFonts w:eastAsia="仿宋"/>
                <w:color w:val="000000"/>
              </w:rPr>
            </w:pPr>
          </w:p>
        </w:tc>
        <w:tc>
          <w:tcPr>
            <w:tcW w:w="425" w:type="dxa"/>
            <w:noWrap w:val="0"/>
            <w:vAlign w:val="center"/>
          </w:tcPr>
          <w:p>
            <w:pP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noWrap w:val="0"/>
            <w:vAlign w:val="center"/>
          </w:tcPr>
          <w:p>
            <w:pPr>
              <w:jc w:val="center"/>
              <w:rPr>
                <w:rFonts w:eastAsia="仿宋"/>
                <w:color w:val="000000"/>
              </w:rPr>
            </w:pPr>
            <w:r>
              <w:rPr>
                <w:rFonts w:eastAsia="仿宋"/>
                <w:color w:val="000000"/>
              </w:rPr>
              <w:t>2.1.2</w:t>
            </w:r>
          </w:p>
        </w:tc>
        <w:tc>
          <w:tcPr>
            <w:tcW w:w="1891" w:type="dxa"/>
            <w:noWrap w:val="0"/>
            <w:vAlign w:val="center"/>
          </w:tcPr>
          <w:p>
            <w:pPr>
              <w:rPr>
                <w:rFonts w:eastAsia="仿宋"/>
                <w:color w:val="000000"/>
              </w:rPr>
            </w:pPr>
          </w:p>
        </w:tc>
        <w:tc>
          <w:tcPr>
            <w:tcW w:w="1092" w:type="dxa"/>
            <w:noWrap w:val="0"/>
            <w:vAlign w:val="center"/>
          </w:tcPr>
          <w:p>
            <w:pPr>
              <w:rPr>
                <w:rFonts w:eastAsia="仿宋"/>
                <w:color w:val="000000"/>
              </w:rPr>
            </w:pPr>
          </w:p>
        </w:tc>
        <w:tc>
          <w:tcPr>
            <w:tcW w:w="704" w:type="dxa"/>
            <w:noWrap w:val="0"/>
            <w:vAlign w:val="center"/>
          </w:tcPr>
          <w:p>
            <w:pPr>
              <w:rPr>
                <w:rFonts w:eastAsia="仿宋"/>
                <w:color w:val="000000"/>
              </w:rPr>
            </w:pPr>
          </w:p>
        </w:tc>
        <w:tc>
          <w:tcPr>
            <w:tcW w:w="593" w:type="dxa"/>
            <w:noWrap w:val="0"/>
            <w:vAlign w:val="center"/>
          </w:tcPr>
          <w:p>
            <w:pPr>
              <w:rPr>
                <w:rFonts w:eastAsia="仿宋"/>
                <w:color w:val="000000"/>
              </w:rPr>
            </w:pPr>
          </w:p>
        </w:tc>
        <w:tc>
          <w:tcPr>
            <w:tcW w:w="431" w:type="dxa"/>
            <w:noWrap w:val="0"/>
            <w:vAlign w:val="center"/>
          </w:tcPr>
          <w:p>
            <w:pPr>
              <w:rPr>
                <w:rFonts w:eastAsia="仿宋"/>
                <w:color w:val="000000"/>
              </w:rPr>
            </w:pPr>
          </w:p>
        </w:tc>
        <w:tc>
          <w:tcPr>
            <w:tcW w:w="709" w:type="dxa"/>
            <w:noWrap w:val="0"/>
            <w:vAlign w:val="center"/>
          </w:tcPr>
          <w:p>
            <w:pPr>
              <w:rPr>
                <w:rFonts w:eastAsia="仿宋"/>
                <w:color w:val="000000"/>
              </w:rPr>
            </w:pPr>
          </w:p>
        </w:tc>
        <w:tc>
          <w:tcPr>
            <w:tcW w:w="708" w:type="dxa"/>
            <w:noWrap w:val="0"/>
            <w:vAlign w:val="center"/>
          </w:tcPr>
          <w:p>
            <w:pPr>
              <w:jc w:val="center"/>
              <w:rPr>
                <w:rFonts w:eastAsia="仿宋"/>
                <w:color w:val="000000"/>
              </w:rPr>
            </w:pPr>
          </w:p>
        </w:tc>
        <w:tc>
          <w:tcPr>
            <w:tcW w:w="709" w:type="dxa"/>
            <w:noWrap w:val="0"/>
            <w:vAlign w:val="center"/>
          </w:tcPr>
          <w:p>
            <w:pPr>
              <w:rPr>
                <w:rFonts w:eastAsia="仿宋"/>
                <w:color w:val="000000"/>
              </w:rPr>
            </w:pPr>
          </w:p>
        </w:tc>
        <w:tc>
          <w:tcPr>
            <w:tcW w:w="709" w:type="dxa"/>
            <w:noWrap w:val="0"/>
            <w:vAlign w:val="center"/>
          </w:tcPr>
          <w:p>
            <w:pPr>
              <w:rPr>
                <w:rFonts w:eastAsia="仿宋"/>
                <w:color w:val="000000"/>
              </w:rPr>
            </w:pPr>
          </w:p>
        </w:tc>
        <w:tc>
          <w:tcPr>
            <w:tcW w:w="709" w:type="dxa"/>
            <w:noWrap w:val="0"/>
            <w:vAlign w:val="center"/>
          </w:tcPr>
          <w:p>
            <w:pPr>
              <w:rPr>
                <w:rFonts w:eastAsia="仿宋"/>
                <w:color w:val="000000"/>
              </w:rPr>
            </w:pPr>
          </w:p>
        </w:tc>
        <w:tc>
          <w:tcPr>
            <w:tcW w:w="425" w:type="dxa"/>
            <w:noWrap w:val="0"/>
            <w:vAlign w:val="center"/>
          </w:tcPr>
          <w:p>
            <w:pPr>
              <w:rPr>
                <w:rFonts w:eastAsia="仿宋"/>
                <w:color w:val="000000"/>
              </w:rPr>
            </w:pPr>
          </w:p>
        </w:tc>
      </w:tr>
    </w:tbl>
    <w:p>
      <w:pPr>
        <w:ind w:firstLine="1155" w:firstLineChars="550"/>
        <w:rPr>
          <w:bCs/>
          <w:color w:val="000000"/>
        </w:rPr>
      </w:pPr>
    </w:p>
    <w:p>
      <w:pPr>
        <w:ind w:firstLine="1155" w:firstLineChars="550"/>
        <w:rPr>
          <w:bCs/>
          <w:color w:val="000000"/>
        </w:rPr>
      </w:pPr>
    </w:p>
    <w:p>
      <w:pPr>
        <w:rPr>
          <w:color w:val="000000"/>
        </w:rPr>
      </w:pPr>
    </w:p>
    <w:p>
      <w:pPr>
        <w:rPr>
          <w:color w:val="000000"/>
        </w:rPr>
      </w:pPr>
    </w:p>
    <w:p>
      <w:pPr>
        <w:spacing w:line="490" w:lineRule="exact"/>
        <w:jc w:val="center"/>
        <w:rPr>
          <w:color w:val="000000"/>
          <w:sz w:val="20"/>
        </w:rPr>
      </w:pPr>
      <w:r>
        <w:rPr>
          <w:color w:val="000000"/>
        </w:rPr>
        <w:br w:type="page"/>
      </w:r>
    </w:p>
    <w:p>
      <w:pPr>
        <w:spacing w:line="490" w:lineRule="exact"/>
        <w:jc w:val="center"/>
        <w:rPr>
          <w:rFonts w:hint="eastAsia" w:ascii="方正小标宋简体" w:eastAsia="方正小标宋简体"/>
          <w:color w:val="000000"/>
          <w:sz w:val="40"/>
          <w:szCs w:val="44"/>
        </w:rPr>
      </w:pPr>
      <w:r>
        <w:rPr>
          <w:rFonts w:hint="eastAsia" w:ascii="方正小标宋简体" w:eastAsia="方正小标宋简体"/>
          <w:color w:val="000000"/>
          <w:sz w:val="40"/>
          <w:szCs w:val="44"/>
        </w:rPr>
        <w:t>工程单价费（税）率汇总表</w:t>
      </w:r>
    </w:p>
    <w:p>
      <w:pPr>
        <w:spacing w:line="490" w:lineRule="exact"/>
        <w:jc w:val="center"/>
        <w:rPr>
          <w:rFonts w:eastAsia="方正小标宋_GBK"/>
          <w:b/>
          <w:color w:val="000000"/>
          <w:sz w:val="40"/>
          <w:szCs w:val="44"/>
        </w:rPr>
      </w:pPr>
    </w:p>
    <w:p>
      <w:pPr>
        <w:spacing w:line="490" w:lineRule="exact"/>
        <w:rPr>
          <w:rFonts w:eastAsia="仿宋_GB2312"/>
          <w:color w:val="000000"/>
          <w:sz w:val="28"/>
          <w:szCs w:val="28"/>
          <w:u w:val="single"/>
        </w:rPr>
      </w:pPr>
      <w:r>
        <w:rPr>
          <w:rFonts w:eastAsia="仿宋_GB2312"/>
          <w:color w:val="000000"/>
          <w:sz w:val="28"/>
          <w:szCs w:val="28"/>
        </w:rPr>
        <w:t>合同编号：</w:t>
      </w:r>
      <w:r>
        <w:rPr>
          <w:rFonts w:eastAsia="仿宋_GB2312"/>
          <w:color w:val="000000"/>
          <w:sz w:val="28"/>
          <w:szCs w:val="28"/>
          <w:u w:val="single"/>
        </w:rPr>
        <w:t xml:space="preserve">  （投标项目合同号）  </w:t>
      </w:r>
    </w:p>
    <w:p>
      <w:pPr>
        <w:spacing w:line="490" w:lineRule="exact"/>
        <w:rPr>
          <w:rFonts w:eastAsia="仿宋_GB2312"/>
          <w:color w:val="000000"/>
          <w:sz w:val="28"/>
          <w:szCs w:val="28"/>
        </w:rPr>
      </w:pPr>
      <w:r>
        <w:rPr>
          <w:rFonts w:eastAsia="仿宋_GB2312"/>
          <w:color w:val="000000"/>
          <w:sz w:val="28"/>
          <w:szCs w:val="28"/>
        </w:rPr>
        <w:t>工程名称：</w:t>
      </w:r>
      <w:r>
        <w:rPr>
          <w:rFonts w:eastAsia="仿宋_GB2312"/>
          <w:color w:val="000000"/>
          <w:sz w:val="28"/>
          <w:szCs w:val="28"/>
          <w:u w:val="single"/>
        </w:rPr>
        <w:t xml:space="preserve">          </w:t>
      </w:r>
      <w:r>
        <w:rPr>
          <w:rFonts w:eastAsia="仿宋_GB2312"/>
          <w:color w:val="000000"/>
          <w:sz w:val="28"/>
          <w:szCs w:val="28"/>
        </w:rPr>
        <w:t>（项目名称）</w:t>
      </w:r>
      <w:r>
        <w:rPr>
          <w:rFonts w:eastAsia="仿宋_GB2312"/>
          <w:color w:val="000000"/>
          <w:sz w:val="28"/>
          <w:szCs w:val="28"/>
          <w:u w:val="single"/>
        </w:rPr>
        <w:t xml:space="preserve">          </w:t>
      </w:r>
      <w:r>
        <w:rPr>
          <w:rFonts w:eastAsia="仿宋_GB2312"/>
          <w:color w:val="000000"/>
          <w:sz w:val="28"/>
          <w:szCs w:val="28"/>
        </w:rPr>
        <w:t>（标段名称）</w:t>
      </w:r>
    </w:p>
    <w:tbl>
      <w:tblPr>
        <w:tblStyle w:val="4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2180"/>
        <w:gridCol w:w="1591"/>
        <w:gridCol w:w="1591"/>
        <w:gridCol w:w="1436"/>
        <w:gridCol w:w="1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35" w:type="dxa"/>
            <w:vMerge w:val="restart"/>
            <w:noWrap w:val="0"/>
            <w:vAlign w:val="center"/>
          </w:tcPr>
          <w:p>
            <w:pPr>
              <w:jc w:val="center"/>
              <w:rPr>
                <w:rFonts w:eastAsia="黑体"/>
                <w:color w:val="000000"/>
              </w:rPr>
            </w:pPr>
            <w:r>
              <w:rPr>
                <w:rFonts w:eastAsia="黑体"/>
                <w:color w:val="000000"/>
              </w:rPr>
              <w:t>序号</w:t>
            </w:r>
          </w:p>
        </w:tc>
        <w:tc>
          <w:tcPr>
            <w:tcW w:w="2180" w:type="dxa"/>
            <w:vMerge w:val="restart"/>
            <w:noWrap w:val="0"/>
            <w:vAlign w:val="center"/>
          </w:tcPr>
          <w:p>
            <w:pPr>
              <w:jc w:val="center"/>
              <w:rPr>
                <w:rFonts w:eastAsia="黑体"/>
                <w:color w:val="000000"/>
              </w:rPr>
            </w:pPr>
            <w:r>
              <w:rPr>
                <w:rFonts w:eastAsia="黑体"/>
                <w:color w:val="000000"/>
              </w:rPr>
              <w:t>工程类别</w:t>
            </w:r>
          </w:p>
        </w:tc>
        <w:tc>
          <w:tcPr>
            <w:tcW w:w="4618" w:type="dxa"/>
            <w:gridSpan w:val="3"/>
            <w:noWrap w:val="0"/>
            <w:vAlign w:val="center"/>
          </w:tcPr>
          <w:p>
            <w:pPr>
              <w:jc w:val="center"/>
              <w:rPr>
                <w:rFonts w:eastAsia="黑体"/>
                <w:color w:val="000000"/>
              </w:rPr>
            </w:pPr>
            <w:r>
              <w:rPr>
                <w:rFonts w:eastAsia="黑体"/>
                <w:color w:val="000000"/>
              </w:rPr>
              <w:t>工程单价（税）率（％）</w:t>
            </w:r>
          </w:p>
        </w:tc>
        <w:tc>
          <w:tcPr>
            <w:tcW w:w="1445" w:type="dxa"/>
            <w:vMerge w:val="restart"/>
            <w:noWrap w:val="0"/>
            <w:vAlign w:val="center"/>
          </w:tcPr>
          <w:p>
            <w:pPr>
              <w:jc w:val="center"/>
              <w:rPr>
                <w:rFonts w:eastAsia="黑体"/>
                <w:color w:val="000000"/>
              </w:rPr>
            </w:pPr>
            <w:r>
              <w:rPr>
                <w:rFonts w:eastAsia="黑体"/>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5" w:type="dxa"/>
            <w:vMerge w:val="continue"/>
            <w:noWrap w:val="0"/>
            <w:vAlign w:val="center"/>
          </w:tcPr>
          <w:p>
            <w:pPr>
              <w:jc w:val="center"/>
              <w:rPr>
                <w:rFonts w:eastAsia="黑体"/>
                <w:color w:val="000000"/>
              </w:rPr>
            </w:pPr>
          </w:p>
        </w:tc>
        <w:tc>
          <w:tcPr>
            <w:tcW w:w="2180" w:type="dxa"/>
            <w:vMerge w:val="continue"/>
            <w:noWrap w:val="0"/>
            <w:vAlign w:val="center"/>
          </w:tcPr>
          <w:p>
            <w:pPr>
              <w:jc w:val="center"/>
              <w:rPr>
                <w:rFonts w:eastAsia="黑体"/>
                <w:color w:val="000000"/>
              </w:rPr>
            </w:pPr>
          </w:p>
        </w:tc>
        <w:tc>
          <w:tcPr>
            <w:tcW w:w="1591" w:type="dxa"/>
            <w:noWrap w:val="0"/>
            <w:vAlign w:val="center"/>
          </w:tcPr>
          <w:p>
            <w:pPr>
              <w:jc w:val="center"/>
              <w:rPr>
                <w:rFonts w:eastAsia="黑体"/>
                <w:color w:val="000000"/>
              </w:rPr>
            </w:pPr>
            <w:r>
              <w:rPr>
                <w:rFonts w:eastAsia="黑体"/>
                <w:color w:val="000000"/>
              </w:rPr>
              <w:t>施工管理费</w:t>
            </w:r>
          </w:p>
        </w:tc>
        <w:tc>
          <w:tcPr>
            <w:tcW w:w="1591" w:type="dxa"/>
            <w:noWrap w:val="0"/>
            <w:vAlign w:val="center"/>
          </w:tcPr>
          <w:p>
            <w:pPr>
              <w:jc w:val="center"/>
              <w:rPr>
                <w:rFonts w:eastAsia="黑体"/>
                <w:color w:val="000000"/>
              </w:rPr>
            </w:pPr>
            <w:r>
              <w:rPr>
                <w:rFonts w:eastAsia="黑体"/>
                <w:color w:val="000000"/>
              </w:rPr>
              <w:t>企业利润</w:t>
            </w:r>
          </w:p>
        </w:tc>
        <w:tc>
          <w:tcPr>
            <w:tcW w:w="1436" w:type="dxa"/>
            <w:noWrap w:val="0"/>
            <w:vAlign w:val="center"/>
          </w:tcPr>
          <w:p>
            <w:pPr>
              <w:jc w:val="center"/>
              <w:rPr>
                <w:rFonts w:eastAsia="黑体"/>
                <w:color w:val="000000"/>
              </w:rPr>
            </w:pPr>
            <w:r>
              <w:rPr>
                <w:rFonts w:eastAsia="黑体"/>
                <w:color w:val="000000"/>
              </w:rPr>
              <w:t>税金</w:t>
            </w:r>
          </w:p>
        </w:tc>
        <w:tc>
          <w:tcPr>
            <w:tcW w:w="1445" w:type="dxa"/>
            <w:vMerge w:val="continue"/>
            <w:noWrap w:val="0"/>
            <w:vAlign w:val="center"/>
          </w:tcPr>
          <w:p>
            <w:pPr>
              <w:jc w:val="center"/>
              <w:rPr>
                <w:rFonts w:eastAsia="黑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5" w:type="dxa"/>
            <w:noWrap w:val="0"/>
            <w:vAlign w:val="center"/>
          </w:tcPr>
          <w:p>
            <w:pPr>
              <w:jc w:val="center"/>
              <w:rPr>
                <w:rFonts w:eastAsia="仿宋"/>
                <w:color w:val="000000"/>
              </w:rPr>
            </w:pPr>
            <w:r>
              <w:rPr>
                <w:rFonts w:eastAsia="仿宋"/>
                <w:color w:val="000000"/>
              </w:rPr>
              <w:t>一</w:t>
            </w:r>
          </w:p>
        </w:tc>
        <w:tc>
          <w:tcPr>
            <w:tcW w:w="2180" w:type="dxa"/>
            <w:noWrap w:val="0"/>
            <w:vAlign w:val="center"/>
          </w:tcPr>
          <w:p>
            <w:pPr>
              <w:jc w:val="center"/>
              <w:rPr>
                <w:rFonts w:eastAsia="仿宋"/>
                <w:color w:val="000000"/>
              </w:rPr>
            </w:pPr>
            <w:r>
              <w:rPr>
                <w:rFonts w:eastAsia="仿宋"/>
                <w:color w:val="000000"/>
              </w:rPr>
              <w:t>建筑工程</w:t>
            </w:r>
          </w:p>
        </w:tc>
        <w:tc>
          <w:tcPr>
            <w:tcW w:w="1591" w:type="dxa"/>
            <w:noWrap w:val="0"/>
            <w:vAlign w:val="center"/>
          </w:tcPr>
          <w:p>
            <w:pPr>
              <w:jc w:val="center"/>
              <w:rPr>
                <w:rFonts w:eastAsia="仿宋"/>
                <w:color w:val="000000"/>
              </w:rPr>
            </w:pPr>
          </w:p>
        </w:tc>
        <w:tc>
          <w:tcPr>
            <w:tcW w:w="1591" w:type="dxa"/>
            <w:noWrap w:val="0"/>
            <w:vAlign w:val="center"/>
          </w:tcPr>
          <w:p>
            <w:pPr>
              <w:jc w:val="center"/>
              <w:rPr>
                <w:rFonts w:eastAsia="仿宋"/>
                <w:color w:val="000000"/>
              </w:rPr>
            </w:pPr>
          </w:p>
        </w:tc>
        <w:tc>
          <w:tcPr>
            <w:tcW w:w="1436" w:type="dxa"/>
            <w:noWrap w:val="0"/>
            <w:vAlign w:val="center"/>
          </w:tcPr>
          <w:p>
            <w:pPr>
              <w:jc w:val="center"/>
              <w:rPr>
                <w:rFonts w:eastAsia="仿宋"/>
                <w:color w:val="000000"/>
              </w:rPr>
            </w:pPr>
          </w:p>
        </w:tc>
        <w:tc>
          <w:tcPr>
            <w:tcW w:w="1445" w:type="dxa"/>
            <w:noWrap w:val="0"/>
            <w:vAlign w:val="center"/>
          </w:tcPr>
          <w:p>
            <w:pPr>
              <w:jc w:val="cente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5" w:type="dxa"/>
            <w:noWrap w:val="0"/>
            <w:vAlign w:val="center"/>
          </w:tcPr>
          <w:p>
            <w:pPr>
              <w:jc w:val="center"/>
              <w:rPr>
                <w:rFonts w:eastAsia="仿宋"/>
                <w:color w:val="000000"/>
              </w:rPr>
            </w:pPr>
          </w:p>
        </w:tc>
        <w:tc>
          <w:tcPr>
            <w:tcW w:w="2180" w:type="dxa"/>
            <w:noWrap w:val="0"/>
            <w:vAlign w:val="center"/>
          </w:tcPr>
          <w:p>
            <w:pPr>
              <w:jc w:val="center"/>
              <w:rPr>
                <w:rFonts w:eastAsia="仿宋"/>
                <w:color w:val="000000"/>
              </w:rPr>
            </w:pPr>
          </w:p>
        </w:tc>
        <w:tc>
          <w:tcPr>
            <w:tcW w:w="1591" w:type="dxa"/>
            <w:noWrap w:val="0"/>
            <w:vAlign w:val="center"/>
          </w:tcPr>
          <w:p>
            <w:pPr>
              <w:jc w:val="center"/>
              <w:rPr>
                <w:rFonts w:eastAsia="仿宋"/>
                <w:color w:val="000000"/>
              </w:rPr>
            </w:pPr>
          </w:p>
        </w:tc>
        <w:tc>
          <w:tcPr>
            <w:tcW w:w="1591" w:type="dxa"/>
            <w:noWrap w:val="0"/>
            <w:vAlign w:val="center"/>
          </w:tcPr>
          <w:p>
            <w:pPr>
              <w:jc w:val="center"/>
              <w:rPr>
                <w:rFonts w:eastAsia="仿宋"/>
                <w:color w:val="000000"/>
              </w:rPr>
            </w:pPr>
          </w:p>
        </w:tc>
        <w:tc>
          <w:tcPr>
            <w:tcW w:w="1436" w:type="dxa"/>
            <w:noWrap w:val="0"/>
            <w:vAlign w:val="center"/>
          </w:tcPr>
          <w:p>
            <w:pPr>
              <w:jc w:val="center"/>
              <w:rPr>
                <w:rFonts w:eastAsia="仿宋"/>
                <w:color w:val="000000"/>
              </w:rPr>
            </w:pPr>
          </w:p>
        </w:tc>
        <w:tc>
          <w:tcPr>
            <w:tcW w:w="1445" w:type="dxa"/>
            <w:noWrap w:val="0"/>
            <w:vAlign w:val="center"/>
          </w:tcPr>
          <w:p>
            <w:pPr>
              <w:jc w:val="cente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35" w:type="dxa"/>
            <w:noWrap w:val="0"/>
            <w:vAlign w:val="center"/>
          </w:tcPr>
          <w:p>
            <w:pPr>
              <w:jc w:val="center"/>
              <w:rPr>
                <w:rFonts w:eastAsia="仿宋"/>
                <w:color w:val="000000"/>
              </w:rPr>
            </w:pPr>
            <w:r>
              <w:rPr>
                <w:rFonts w:eastAsia="仿宋"/>
                <w:color w:val="000000"/>
              </w:rPr>
              <w:t>二</w:t>
            </w:r>
          </w:p>
        </w:tc>
        <w:tc>
          <w:tcPr>
            <w:tcW w:w="2180" w:type="dxa"/>
            <w:noWrap w:val="0"/>
            <w:vAlign w:val="center"/>
          </w:tcPr>
          <w:p>
            <w:pPr>
              <w:jc w:val="center"/>
              <w:rPr>
                <w:rFonts w:eastAsia="仿宋"/>
                <w:color w:val="000000"/>
              </w:rPr>
            </w:pPr>
            <w:r>
              <w:rPr>
                <w:rFonts w:eastAsia="仿宋"/>
                <w:color w:val="000000"/>
              </w:rPr>
              <w:t>安装工程</w:t>
            </w:r>
          </w:p>
        </w:tc>
        <w:tc>
          <w:tcPr>
            <w:tcW w:w="1591" w:type="dxa"/>
            <w:noWrap w:val="0"/>
            <w:vAlign w:val="center"/>
          </w:tcPr>
          <w:p>
            <w:pPr>
              <w:jc w:val="center"/>
              <w:rPr>
                <w:rFonts w:eastAsia="仿宋"/>
                <w:color w:val="000000"/>
              </w:rPr>
            </w:pPr>
          </w:p>
        </w:tc>
        <w:tc>
          <w:tcPr>
            <w:tcW w:w="1591" w:type="dxa"/>
            <w:noWrap w:val="0"/>
            <w:vAlign w:val="center"/>
          </w:tcPr>
          <w:p>
            <w:pPr>
              <w:jc w:val="center"/>
              <w:rPr>
                <w:rFonts w:eastAsia="仿宋"/>
                <w:color w:val="000000"/>
              </w:rPr>
            </w:pPr>
          </w:p>
        </w:tc>
        <w:tc>
          <w:tcPr>
            <w:tcW w:w="1436" w:type="dxa"/>
            <w:noWrap w:val="0"/>
            <w:vAlign w:val="center"/>
          </w:tcPr>
          <w:p>
            <w:pPr>
              <w:jc w:val="center"/>
              <w:rPr>
                <w:rFonts w:eastAsia="仿宋"/>
                <w:color w:val="000000"/>
              </w:rPr>
            </w:pPr>
          </w:p>
        </w:tc>
        <w:tc>
          <w:tcPr>
            <w:tcW w:w="1445" w:type="dxa"/>
            <w:noWrap w:val="0"/>
            <w:vAlign w:val="center"/>
          </w:tcPr>
          <w:p>
            <w:pPr>
              <w:jc w:val="cente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35" w:type="dxa"/>
            <w:noWrap w:val="0"/>
            <w:vAlign w:val="center"/>
          </w:tcPr>
          <w:p>
            <w:pPr>
              <w:jc w:val="center"/>
              <w:rPr>
                <w:rFonts w:eastAsia="仿宋"/>
                <w:color w:val="000000"/>
              </w:rPr>
            </w:pPr>
          </w:p>
        </w:tc>
        <w:tc>
          <w:tcPr>
            <w:tcW w:w="2180" w:type="dxa"/>
            <w:noWrap w:val="0"/>
            <w:vAlign w:val="center"/>
          </w:tcPr>
          <w:p>
            <w:pPr>
              <w:jc w:val="center"/>
              <w:rPr>
                <w:rFonts w:eastAsia="仿宋"/>
                <w:color w:val="000000"/>
              </w:rPr>
            </w:pPr>
          </w:p>
        </w:tc>
        <w:tc>
          <w:tcPr>
            <w:tcW w:w="1591" w:type="dxa"/>
            <w:noWrap w:val="0"/>
            <w:vAlign w:val="center"/>
          </w:tcPr>
          <w:p>
            <w:pPr>
              <w:jc w:val="center"/>
              <w:rPr>
                <w:rFonts w:eastAsia="仿宋"/>
                <w:color w:val="000000"/>
              </w:rPr>
            </w:pPr>
          </w:p>
        </w:tc>
        <w:tc>
          <w:tcPr>
            <w:tcW w:w="1591" w:type="dxa"/>
            <w:noWrap w:val="0"/>
            <w:vAlign w:val="center"/>
          </w:tcPr>
          <w:p>
            <w:pPr>
              <w:jc w:val="center"/>
              <w:rPr>
                <w:rFonts w:eastAsia="仿宋"/>
                <w:color w:val="000000"/>
              </w:rPr>
            </w:pPr>
          </w:p>
        </w:tc>
        <w:tc>
          <w:tcPr>
            <w:tcW w:w="1436" w:type="dxa"/>
            <w:noWrap w:val="0"/>
            <w:vAlign w:val="center"/>
          </w:tcPr>
          <w:p>
            <w:pPr>
              <w:jc w:val="center"/>
              <w:rPr>
                <w:rFonts w:eastAsia="仿宋"/>
                <w:color w:val="000000"/>
              </w:rPr>
            </w:pPr>
          </w:p>
        </w:tc>
        <w:tc>
          <w:tcPr>
            <w:tcW w:w="1445" w:type="dxa"/>
            <w:noWrap w:val="0"/>
            <w:vAlign w:val="center"/>
          </w:tcPr>
          <w:p>
            <w:pPr>
              <w:jc w:val="cente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35" w:type="dxa"/>
            <w:noWrap w:val="0"/>
            <w:vAlign w:val="center"/>
          </w:tcPr>
          <w:p>
            <w:pPr>
              <w:jc w:val="center"/>
              <w:rPr>
                <w:rFonts w:eastAsia="仿宋"/>
                <w:color w:val="000000"/>
              </w:rPr>
            </w:pPr>
          </w:p>
        </w:tc>
        <w:tc>
          <w:tcPr>
            <w:tcW w:w="2180" w:type="dxa"/>
            <w:noWrap w:val="0"/>
            <w:vAlign w:val="center"/>
          </w:tcPr>
          <w:p>
            <w:pPr>
              <w:jc w:val="center"/>
              <w:rPr>
                <w:rFonts w:eastAsia="仿宋"/>
                <w:color w:val="000000"/>
              </w:rPr>
            </w:pPr>
          </w:p>
        </w:tc>
        <w:tc>
          <w:tcPr>
            <w:tcW w:w="1591" w:type="dxa"/>
            <w:noWrap w:val="0"/>
            <w:vAlign w:val="center"/>
          </w:tcPr>
          <w:p>
            <w:pPr>
              <w:jc w:val="center"/>
              <w:rPr>
                <w:rFonts w:eastAsia="仿宋"/>
                <w:color w:val="000000"/>
              </w:rPr>
            </w:pPr>
          </w:p>
        </w:tc>
        <w:tc>
          <w:tcPr>
            <w:tcW w:w="1591" w:type="dxa"/>
            <w:noWrap w:val="0"/>
            <w:vAlign w:val="center"/>
          </w:tcPr>
          <w:p>
            <w:pPr>
              <w:jc w:val="center"/>
              <w:rPr>
                <w:rFonts w:eastAsia="仿宋"/>
                <w:color w:val="000000"/>
              </w:rPr>
            </w:pPr>
          </w:p>
        </w:tc>
        <w:tc>
          <w:tcPr>
            <w:tcW w:w="1436" w:type="dxa"/>
            <w:noWrap w:val="0"/>
            <w:vAlign w:val="center"/>
          </w:tcPr>
          <w:p>
            <w:pPr>
              <w:jc w:val="center"/>
              <w:rPr>
                <w:rFonts w:eastAsia="仿宋"/>
                <w:color w:val="000000"/>
              </w:rPr>
            </w:pPr>
          </w:p>
        </w:tc>
        <w:tc>
          <w:tcPr>
            <w:tcW w:w="1445" w:type="dxa"/>
            <w:noWrap w:val="0"/>
            <w:vAlign w:val="center"/>
          </w:tcPr>
          <w:p>
            <w:pPr>
              <w:jc w:val="center"/>
              <w:rPr>
                <w:rFonts w:eastAsia="仿宋"/>
                <w:color w:val="000000"/>
              </w:rPr>
            </w:pPr>
          </w:p>
        </w:tc>
      </w:tr>
    </w:tbl>
    <w:p>
      <w:pPr>
        <w:ind w:firstLine="1155" w:firstLineChars="550"/>
        <w:rPr>
          <w:bCs/>
          <w:color w:val="000000"/>
        </w:rPr>
      </w:pPr>
    </w:p>
    <w:p>
      <w:pPr>
        <w:ind w:firstLine="1155" w:firstLineChars="550"/>
        <w:rPr>
          <w:bCs/>
          <w:color w:val="000000"/>
        </w:rPr>
      </w:pPr>
    </w:p>
    <w:p>
      <w:pPr>
        <w:ind w:firstLine="1155" w:firstLineChars="550"/>
        <w:rPr>
          <w:bCs/>
          <w:color w:val="000000"/>
        </w:rPr>
      </w:pPr>
    </w:p>
    <w:p>
      <w:pPr>
        <w:ind w:firstLine="1155" w:firstLineChars="550"/>
        <w:rPr>
          <w:bCs/>
          <w:color w:val="000000"/>
        </w:rPr>
      </w:pPr>
    </w:p>
    <w:p>
      <w:pPr>
        <w:spacing w:line="360" w:lineRule="auto"/>
        <w:ind w:firstLine="1155" w:firstLineChars="550"/>
        <w:rPr>
          <w:color w:val="000000"/>
        </w:rPr>
      </w:pPr>
    </w:p>
    <w:p>
      <w:pPr>
        <w:spacing w:line="360" w:lineRule="auto"/>
        <w:ind w:firstLine="1155" w:firstLineChars="550"/>
        <w:rPr>
          <w:color w:val="000000"/>
        </w:rPr>
      </w:pPr>
    </w:p>
    <w:p>
      <w:pPr>
        <w:spacing w:line="490" w:lineRule="exact"/>
        <w:jc w:val="center"/>
        <w:rPr>
          <w:color w:val="000000"/>
          <w:sz w:val="24"/>
          <w:szCs w:val="28"/>
        </w:rPr>
      </w:pPr>
      <w:r>
        <w:rPr>
          <w:color w:val="000000"/>
          <w:sz w:val="28"/>
          <w:szCs w:val="28"/>
        </w:rPr>
        <w:br w:type="page"/>
      </w:r>
    </w:p>
    <w:p>
      <w:pPr>
        <w:spacing w:line="490" w:lineRule="exact"/>
        <w:jc w:val="center"/>
        <w:rPr>
          <w:rFonts w:hint="eastAsia" w:ascii="方正小标宋简体" w:eastAsia="方正小标宋简体"/>
          <w:color w:val="000000"/>
          <w:sz w:val="40"/>
          <w:szCs w:val="44"/>
        </w:rPr>
      </w:pPr>
      <w:r>
        <w:rPr>
          <w:rFonts w:hint="eastAsia" w:ascii="方正小标宋简体" w:eastAsia="方正小标宋简体"/>
          <w:color w:val="000000"/>
          <w:sz w:val="40"/>
          <w:szCs w:val="44"/>
        </w:rPr>
        <w:t>投标人生产电、风、水、砂石基础单价汇总表</w:t>
      </w:r>
    </w:p>
    <w:p>
      <w:pPr>
        <w:spacing w:line="490" w:lineRule="exact"/>
        <w:jc w:val="center"/>
        <w:rPr>
          <w:rFonts w:eastAsia="方正小标宋_GBK"/>
          <w:b/>
          <w:color w:val="000000"/>
          <w:sz w:val="40"/>
          <w:szCs w:val="44"/>
        </w:rPr>
      </w:pPr>
    </w:p>
    <w:p>
      <w:pPr>
        <w:spacing w:line="490" w:lineRule="exact"/>
        <w:rPr>
          <w:rFonts w:eastAsia="仿宋_GB2312"/>
          <w:color w:val="000000"/>
          <w:sz w:val="28"/>
          <w:szCs w:val="28"/>
          <w:u w:val="single"/>
        </w:rPr>
      </w:pPr>
      <w:r>
        <w:rPr>
          <w:rFonts w:eastAsia="仿宋_GB2312"/>
          <w:color w:val="000000"/>
          <w:sz w:val="28"/>
          <w:szCs w:val="28"/>
        </w:rPr>
        <w:t>合同编号：</w:t>
      </w:r>
      <w:r>
        <w:rPr>
          <w:rFonts w:eastAsia="仿宋_GB2312"/>
          <w:color w:val="000000"/>
          <w:sz w:val="28"/>
          <w:szCs w:val="28"/>
          <w:u w:val="single"/>
        </w:rPr>
        <w:t xml:space="preserve">  （投标项目合同号）  </w:t>
      </w:r>
    </w:p>
    <w:p>
      <w:pPr>
        <w:spacing w:line="490" w:lineRule="exact"/>
        <w:rPr>
          <w:rFonts w:eastAsia="仿宋_GB2312"/>
          <w:color w:val="000000"/>
          <w:sz w:val="28"/>
          <w:szCs w:val="28"/>
        </w:rPr>
      </w:pPr>
      <w:r>
        <w:rPr>
          <w:rFonts w:eastAsia="仿宋_GB2312"/>
          <w:color w:val="000000"/>
          <w:sz w:val="28"/>
          <w:szCs w:val="28"/>
        </w:rPr>
        <w:t>工程名称：</w:t>
      </w:r>
      <w:r>
        <w:rPr>
          <w:rFonts w:eastAsia="仿宋_GB2312"/>
          <w:color w:val="000000"/>
          <w:sz w:val="28"/>
          <w:szCs w:val="28"/>
          <w:u w:val="single"/>
        </w:rPr>
        <w:t xml:space="preserve">          </w:t>
      </w:r>
      <w:r>
        <w:rPr>
          <w:rFonts w:eastAsia="仿宋_GB2312"/>
          <w:color w:val="000000"/>
          <w:sz w:val="28"/>
          <w:szCs w:val="28"/>
        </w:rPr>
        <w:t>（项目名称）</w:t>
      </w:r>
      <w:r>
        <w:rPr>
          <w:rFonts w:eastAsia="仿宋_GB2312"/>
          <w:color w:val="000000"/>
          <w:sz w:val="28"/>
          <w:szCs w:val="28"/>
          <w:u w:val="single"/>
        </w:rPr>
        <w:t xml:space="preserve">          </w:t>
      </w:r>
      <w:r>
        <w:rPr>
          <w:rFonts w:eastAsia="仿宋_GB2312"/>
          <w:color w:val="000000"/>
          <w:sz w:val="28"/>
          <w:szCs w:val="28"/>
        </w:rPr>
        <w:t>（标段名称）</w:t>
      </w:r>
    </w:p>
    <w:tbl>
      <w:tblPr>
        <w:tblStyle w:val="4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647"/>
        <w:gridCol w:w="944"/>
        <w:gridCol w:w="795"/>
        <w:gridCol w:w="795"/>
        <w:gridCol w:w="795"/>
        <w:gridCol w:w="943"/>
        <w:gridCol w:w="624"/>
        <w:gridCol w:w="698"/>
        <w:gridCol w:w="698"/>
        <w:gridCol w:w="869"/>
        <w:gridCol w:w="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48" w:type="dxa"/>
            <w:noWrap w:val="0"/>
            <w:vAlign w:val="center"/>
          </w:tcPr>
          <w:p>
            <w:pPr>
              <w:jc w:val="center"/>
              <w:rPr>
                <w:rFonts w:eastAsia="黑体"/>
                <w:color w:val="000000"/>
              </w:rPr>
            </w:pPr>
            <w:r>
              <w:rPr>
                <w:rFonts w:eastAsia="黑体"/>
                <w:color w:val="000000"/>
              </w:rPr>
              <w:t>序号</w:t>
            </w:r>
          </w:p>
        </w:tc>
        <w:tc>
          <w:tcPr>
            <w:tcW w:w="647" w:type="dxa"/>
            <w:noWrap w:val="0"/>
            <w:vAlign w:val="center"/>
          </w:tcPr>
          <w:p>
            <w:pPr>
              <w:jc w:val="center"/>
              <w:rPr>
                <w:rFonts w:eastAsia="黑体"/>
                <w:color w:val="000000"/>
              </w:rPr>
            </w:pPr>
            <w:r>
              <w:rPr>
                <w:rFonts w:eastAsia="黑体"/>
                <w:color w:val="000000"/>
              </w:rPr>
              <w:t>名称</w:t>
            </w:r>
          </w:p>
        </w:tc>
        <w:tc>
          <w:tcPr>
            <w:tcW w:w="944" w:type="dxa"/>
            <w:noWrap w:val="0"/>
            <w:vAlign w:val="center"/>
          </w:tcPr>
          <w:p>
            <w:pPr>
              <w:jc w:val="center"/>
              <w:rPr>
                <w:rFonts w:eastAsia="黑体"/>
                <w:color w:val="000000"/>
              </w:rPr>
            </w:pPr>
            <w:r>
              <w:rPr>
                <w:rFonts w:eastAsia="黑体"/>
                <w:color w:val="000000"/>
              </w:rPr>
              <w:t>型号</w:t>
            </w:r>
          </w:p>
          <w:p>
            <w:pPr>
              <w:jc w:val="center"/>
              <w:rPr>
                <w:rFonts w:eastAsia="黑体"/>
                <w:color w:val="000000"/>
              </w:rPr>
            </w:pPr>
            <w:r>
              <w:rPr>
                <w:rFonts w:eastAsia="黑体"/>
                <w:color w:val="000000"/>
              </w:rPr>
              <w:t>规格</w:t>
            </w:r>
          </w:p>
        </w:tc>
        <w:tc>
          <w:tcPr>
            <w:tcW w:w="795" w:type="dxa"/>
            <w:noWrap w:val="0"/>
            <w:vAlign w:val="center"/>
          </w:tcPr>
          <w:p>
            <w:pPr>
              <w:jc w:val="center"/>
              <w:rPr>
                <w:rFonts w:eastAsia="黑体"/>
                <w:color w:val="000000"/>
              </w:rPr>
            </w:pPr>
            <w:r>
              <w:rPr>
                <w:rFonts w:eastAsia="黑体"/>
                <w:color w:val="000000"/>
              </w:rPr>
              <w:t>计量单位</w:t>
            </w:r>
          </w:p>
        </w:tc>
        <w:tc>
          <w:tcPr>
            <w:tcW w:w="795" w:type="dxa"/>
            <w:noWrap w:val="0"/>
            <w:vAlign w:val="center"/>
          </w:tcPr>
          <w:p>
            <w:pPr>
              <w:jc w:val="center"/>
              <w:rPr>
                <w:rFonts w:eastAsia="黑体"/>
                <w:color w:val="000000"/>
              </w:rPr>
            </w:pPr>
            <w:r>
              <w:rPr>
                <w:rFonts w:eastAsia="黑体"/>
                <w:color w:val="000000"/>
              </w:rPr>
              <w:t>人工费</w:t>
            </w:r>
          </w:p>
        </w:tc>
        <w:tc>
          <w:tcPr>
            <w:tcW w:w="795" w:type="dxa"/>
            <w:noWrap w:val="0"/>
            <w:vAlign w:val="center"/>
          </w:tcPr>
          <w:p>
            <w:pPr>
              <w:jc w:val="center"/>
              <w:rPr>
                <w:rFonts w:eastAsia="黑体"/>
                <w:color w:val="000000"/>
              </w:rPr>
            </w:pPr>
            <w:r>
              <w:rPr>
                <w:rFonts w:eastAsia="黑体"/>
                <w:color w:val="000000"/>
              </w:rPr>
              <w:t>材料费</w:t>
            </w:r>
          </w:p>
        </w:tc>
        <w:tc>
          <w:tcPr>
            <w:tcW w:w="943" w:type="dxa"/>
            <w:noWrap w:val="0"/>
            <w:vAlign w:val="center"/>
          </w:tcPr>
          <w:p>
            <w:pPr>
              <w:jc w:val="center"/>
              <w:rPr>
                <w:rFonts w:eastAsia="黑体"/>
                <w:color w:val="000000"/>
              </w:rPr>
            </w:pPr>
            <w:r>
              <w:rPr>
                <w:rFonts w:eastAsia="黑体"/>
                <w:color w:val="000000"/>
              </w:rPr>
              <w:t>机械</w:t>
            </w:r>
          </w:p>
          <w:p>
            <w:pPr>
              <w:jc w:val="center"/>
              <w:rPr>
                <w:rFonts w:eastAsia="黑体"/>
                <w:color w:val="000000"/>
              </w:rPr>
            </w:pPr>
            <w:r>
              <w:rPr>
                <w:rFonts w:eastAsia="黑体"/>
                <w:color w:val="000000"/>
              </w:rPr>
              <w:t>使用费</w:t>
            </w:r>
          </w:p>
        </w:tc>
        <w:tc>
          <w:tcPr>
            <w:tcW w:w="624" w:type="dxa"/>
            <w:noWrap w:val="0"/>
            <w:vAlign w:val="center"/>
          </w:tcPr>
          <w:p>
            <w:pPr>
              <w:jc w:val="center"/>
              <w:rPr>
                <w:rFonts w:eastAsia="黑体"/>
                <w:color w:val="000000"/>
              </w:rPr>
            </w:pPr>
          </w:p>
        </w:tc>
        <w:tc>
          <w:tcPr>
            <w:tcW w:w="698" w:type="dxa"/>
            <w:noWrap w:val="0"/>
            <w:vAlign w:val="center"/>
          </w:tcPr>
          <w:p>
            <w:pPr>
              <w:jc w:val="center"/>
              <w:rPr>
                <w:rFonts w:eastAsia="黑体"/>
                <w:color w:val="000000"/>
              </w:rPr>
            </w:pPr>
          </w:p>
        </w:tc>
        <w:tc>
          <w:tcPr>
            <w:tcW w:w="698" w:type="dxa"/>
            <w:noWrap w:val="0"/>
            <w:vAlign w:val="center"/>
          </w:tcPr>
          <w:p>
            <w:pPr>
              <w:jc w:val="center"/>
              <w:rPr>
                <w:rFonts w:eastAsia="黑体"/>
                <w:color w:val="000000"/>
              </w:rPr>
            </w:pPr>
          </w:p>
        </w:tc>
        <w:tc>
          <w:tcPr>
            <w:tcW w:w="869" w:type="dxa"/>
            <w:noWrap w:val="0"/>
            <w:vAlign w:val="center"/>
          </w:tcPr>
          <w:p>
            <w:pPr>
              <w:jc w:val="center"/>
              <w:rPr>
                <w:rFonts w:eastAsia="黑体"/>
                <w:color w:val="000000"/>
              </w:rPr>
            </w:pPr>
            <w:r>
              <w:rPr>
                <w:rFonts w:eastAsia="黑体"/>
                <w:color w:val="000000"/>
              </w:rPr>
              <w:t>合计</w:t>
            </w:r>
          </w:p>
        </w:tc>
        <w:tc>
          <w:tcPr>
            <w:tcW w:w="722" w:type="dxa"/>
            <w:noWrap w:val="0"/>
            <w:vAlign w:val="center"/>
          </w:tcPr>
          <w:p>
            <w:pPr>
              <w:jc w:val="center"/>
              <w:rPr>
                <w:rFonts w:eastAsia="黑体"/>
                <w:color w:val="000000"/>
              </w:rPr>
            </w:pPr>
            <w:r>
              <w:rPr>
                <w:rFonts w:eastAsia="黑体"/>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8" w:type="dxa"/>
            <w:noWrap w:val="0"/>
            <w:vAlign w:val="center"/>
          </w:tcPr>
          <w:p>
            <w:pPr>
              <w:jc w:val="center"/>
              <w:rPr>
                <w:color w:val="000000"/>
              </w:rPr>
            </w:pPr>
          </w:p>
        </w:tc>
        <w:tc>
          <w:tcPr>
            <w:tcW w:w="647" w:type="dxa"/>
            <w:noWrap w:val="0"/>
            <w:vAlign w:val="center"/>
          </w:tcPr>
          <w:p>
            <w:pPr>
              <w:jc w:val="center"/>
              <w:rPr>
                <w:color w:val="000000"/>
              </w:rPr>
            </w:pPr>
          </w:p>
        </w:tc>
        <w:tc>
          <w:tcPr>
            <w:tcW w:w="944" w:type="dxa"/>
            <w:noWrap w:val="0"/>
            <w:vAlign w:val="center"/>
          </w:tcPr>
          <w:p>
            <w:pPr>
              <w:jc w:val="center"/>
              <w:rPr>
                <w:color w:val="000000"/>
              </w:rPr>
            </w:pPr>
          </w:p>
        </w:tc>
        <w:tc>
          <w:tcPr>
            <w:tcW w:w="795" w:type="dxa"/>
            <w:noWrap w:val="0"/>
            <w:vAlign w:val="center"/>
          </w:tcPr>
          <w:p>
            <w:pPr>
              <w:jc w:val="center"/>
              <w:rPr>
                <w:color w:val="000000"/>
              </w:rPr>
            </w:pPr>
          </w:p>
        </w:tc>
        <w:tc>
          <w:tcPr>
            <w:tcW w:w="795" w:type="dxa"/>
            <w:noWrap w:val="0"/>
            <w:vAlign w:val="center"/>
          </w:tcPr>
          <w:p>
            <w:pPr>
              <w:jc w:val="center"/>
              <w:rPr>
                <w:color w:val="000000"/>
              </w:rPr>
            </w:pPr>
          </w:p>
        </w:tc>
        <w:tc>
          <w:tcPr>
            <w:tcW w:w="795" w:type="dxa"/>
            <w:noWrap w:val="0"/>
            <w:vAlign w:val="center"/>
          </w:tcPr>
          <w:p>
            <w:pPr>
              <w:jc w:val="center"/>
              <w:rPr>
                <w:color w:val="000000"/>
              </w:rPr>
            </w:pPr>
          </w:p>
        </w:tc>
        <w:tc>
          <w:tcPr>
            <w:tcW w:w="943" w:type="dxa"/>
            <w:noWrap w:val="0"/>
            <w:vAlign w:val="center"/>
          </w:tcPr>
          <w:p>
            <w:pPr>
              <w:jc w:val="center"/>
              <w:rPr>
                <w:color w:val="000000"/>
              </w:rPr>
            </w:pPr>
          </w:p>
        </w:tc>
        <w:tc>
          <w:tcPr>
            <w:tcW w:w="624" w:type="dxa"/>
            <w:noWrap w:val="0"/>
            <w:vAlign w:val="center"/>
          </w:tcPr>
          <w:p>
            <w:pPr>
              <w:jc w:val="center"/>
              <w:rPr>
                <w:color w:val="000000"/>
              </w:rPr>
            </w:pPr>
          </w:p>
        </w:tc>
        <w:tc>
          <w:tcPr>
            <w:tcW w:w="698" w:type="dxa"/>
            <w:noWrap w:val="0"/>
            <w:vAlign w:val="center"/>
          </w:tcPr>
          <w:p>
            <w:pPr>
              <w:jc w:val="center"/>
              <w:rPr>
                <w:color w:val="000000"/>
              </w:rPr>
            </w:pPr>
          </w:p>
        </w:tc>
        <w:tc>
          <w:tcPr>
            <w:tcW w:w="698" w:type="dxa"/>
            <w:noWrap w:val="0"/>
            <w:vAlign w:val="center"/>
          </w:tcPr>
          <w:p>
            <w:pPr>
              <w:jc w:val="center"/>
              <w:rPr>
                <w:color w:val="000000"/>
              </w:rPr>
            </w:pPr>
          </w:p>
        </w:tc>
        <w:tc>
          <w:tcPr>
            <w:tcW w:w="869" w:type="dxa"/>
            <w:noWrap w:val="0"/>
            <w:vAlign w:val="center"/>
          </w:tcPr>
          <w:p>
            <w:pPr>
              <w:jc w:val="center"/>
              <w:rPr>
                <w:color w:val="000000"/>
              </w:rPr>
            </w:pPr>
          </w:p>
        </w:tc>
        <w:tc>
          <w:tcPr>
            <w:tcW w:w="722"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8" w:type="dxa"/>
            <w:noWrap w:val="0"/>
            <w:vAlign w:val="center"/>
          </w:tcPr>
          <w:p>
            <w:pPr>
              <w:jc w:val="center"/>
              <w:rPr>
                <w:color w:val="000000"/>
              </w:rPr>
            </w:pPr>
          </w:p>
        </w:tc>
        <w:tc>
          <w:tcPr>
            <w:tcW w:w="647" w:type="dxa"/>
            <w:noWrap w:val="0"/>
            <w:vAlign w:val="center"/>
          </w:tcPr>
          <w:p>
            <w:pPr>
              <w:jc w:val="center"/>
              <w:rPr>
                <w:color w:val="000000"/>
              </w:rPr>
            </w:pPr>
          </w:p>
        </w:tc>
        <w:tc>
          <w:tcPr>
            <w:tcW w:w="944" w:type="dxa"/>
            <w:noWrap w:val="0"/>
            <w:vAlign w:val="center"/>
          </w:tcPr>
          <w:p>
            <w:pPr>
              <w:jc w:val="center"/>
              <w:rPr>
                <w:color w:val="000000"/>
              </w:rPr>
            </w:pPr>
          </w:p>
        </w:tc>
        <w:tc>
          <w:tcPr>
            <w:tcW w:w="795" w:type="dxa"/>
            <w:noWrap w:val="0"/>
            <w:vAlign w:val="center"/>
          </w:tcPr>
          <w:p>
            <w:pPr>
              <w:jc w:val="center"/>
              <w:rPr>
                <w:color w:val="000000"/>
              </w:rPr>
            </w:pPr>
          </w:p>
        </w:tc>
        <w:tc>
          <w:tcPr>
            <w:tcW w:w="795" w:type="dxa"/>
            <w:noWrap w:val="0"/>
            <w:vAlign w:val="center"/>
          </w:tcPr>
          <w:p>
            <w:pPr>
              <w:jc w:val="center"/>
              <w:rPr>
                <w:color w:val="000000"/>
              </w:rPr>
            </w:pPr>
          </w:p>
        </w:tc>
        <w:tc>
          <w:tcPr>
            <w:tcW w:w="795" w:type="dxa"/>
            <w:noWrap w:val="0"/>
            <w:vAlign w:val="center"/>
          </w:tcPr>
          <w:p>
            <w:pPr>
              <w:jc w:val="center"/>
              <w:rPr>
                <w:color w:val="000000"/>
              </w:rPr>
            </w:pPr>
          </w:p>
        </w:tc>
        <w:tc>
          <w:tcPr>
            <w:tcW w:w="943" w:type="dxa"/>
            <w:noWrap w:val="0"/>
            <w:vAlign w:val="center"/>
          </w:tcPr>
          <w:p>
            <w:pPr>
              <w:jc w:val="center"/>
              <w:rPr>
                <w:color w:val="000000"/>
              </w:rPr>
            </w:pPr>
          </w:p>
        </w:tc>
        <w:tc>
          <w:tcPr>
            <w:tcW w:w="624" w:type="dxa"/>
            <w:noWrap w:val="0"/>
            <w:vAlign w:val="center"/>
          </w:tcPr>
          <w:p>
            <w:pPr>
              <w:jc w:val="center"/>
              <w:rPr>
                <w:color w:val="000000"/>
              </w:rPr>
            </w:pPr>
          </w:p>
        </w:tc>
        <w:tc>
          <w:tcPr>
            <w:tcW w:w="698" w:type="dxa"/>
            <w:noWrap w:val="0"/>
            <w:vAlign w:val="center"/>
          </w:tcPr>
          <w:p>
            <w:pPr>
              <w:jc w:val="center"/>
              <w:rPr>
                <w:color w:val="000000"/>
              </w:rPr>
            </w:pPr>
          </w:p>
        </w:tc>
        <w:tc>
          <w:tcPr>
            <w:tcW w:w="698" w:type="dxa"/>
            <w:noWrap w:val="0"/>
            <w:vAlign w:val="center"/>
          </w:tcPr>
          <w:p>
            <w:pPr>
              <w:jc w:val="center"/>
              <w:rPr>
                <w:color w:val="000000"/>
              </w:rPr>
            </w:pPr>
          </w:p>
        </w:tc>
        <w:tc>
          <w:tcPr>
            <w:tcW w:w="869" w:type="dxa"/>
            <w:noWrap w:val="0"/>
            <w:vAlign w:val="center"/>
          </w:tcPr>
          <w:p>
            <w:pPr>
              <w:jc w:val="center"/>
              <w:rPr>
                <w:color w:val="000000"/>
              </w:rPr>
            </w:pPr>
          </w:p>
        </w:tc>
        <w:tc>
          <w:tcPr>
            <w:tcW w:w="722"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8" w:type="dxa"/>
            <w:noWrap w:val="0"/>
            <w:vAlign w:val="center"/>
          </w:tcPr>
          <w:p>
            <w:pPr>
              <w:jc w:val="center"/>
              <w:rPr>
                <w:color w:val="000000"/>
              </w:rPr>
            </w:pPr>
          </w:p>
        </w:tc>
        <w:tc>
          <w:tcPr>
            <w:tcW w:w="647" w:type="dxa"/>
            <w:noWrap w:val="0"/>
            <w:vAlign w:val="center"/>
          </w:tcPr>
          <w:p>
            <w:pPr>
              <w:jc w:val="center"/>
              <w:rPr>
                <w:color w:val="000000"/>
              </w:rPr>
            </w:pPr>
          </w:p>
        </w:tc>
        <w:tc>
          <w:tcPr>
            <w:tcW w:w="944" w:type="dxa"/>
            <w:noWrap w:val="0"/>
            <w:vAlign w:val="center"/>
          </w:tcPr>
          <w:p>
            <w:pPr>
              <w:jc w:val="center"/>
              <w:rPr>
                <w:color w:val="000000"/>
              </w:rPr>
            </w:pPr>
          </w:p>
        </w:tc>
        <w:tc>
          <w:tcPr>
            <w:tcW w:w="795" w:type="dxa"/>
            <w:noWrap w:val="0"/>
            <w:vAlign w:val="center"/>
          </w:tcPr>
          <w:p>
            <w:pPr>
              <w:jc w:val="center"/>
              <w:rPr>
                <w:color w:val="000000"/>
              </w:rPr>
            </w:pPr>
          </w:p>
        </w:tc>
        <w:tc>
          <w:tcPr>
            <w:tcW w:w="795" w:type="dxa"/>
            <w:noWrap w:val="0"/>
            <w:vAlign w:val="center"/>
          </w:tcPr>
          <w:p>
            <w:pPr>
              <w:jc w:val="center"/>
              <w:rPr>
                <w:color w:val="000000"/>
              </w:rPr>
            </w:pPr>
          </w:p>
        </w:tc>
        <w:tc>
          <w:tcPr>
            <w:tcW w:w="795" w:type="dxa"/>
            <w:noWrap w:val="0"/>
            <w:vAlign w:val="center"/>
          </w:tcPr>
          <w:p>
            <w:pPr>
              <w:jc w:val="center"/>
              <w:rPr>
                <w:color w:val="000000"/>
              </w:rPr>
            </w:pPr>
          </w:p>
        </w:tc>
        <w:tc>
          <w:tcPr>
            <w:tcW w:w="943" w:type="dxa"/>
            <w:noWrap w:val="0"/>
            <w:vAlign w:val="center"/>
          </w:tcPr>
          <w:p>
            <w:pPr>
              <w:jc w:val="center"/>
              <w:rPr>
                <w:color w:val="000000"/>
              </w:rPr>
            </w:pPr>
          </w:p>
        </w:tc>
        <w:tc>
          <w:tcPr>
            <w:tcW w:w="624" w:type="dxa"/>
            <w:noWrap w:val="0"/>
            <w:vAlign w:val="center"/>
          </w:tcPr>
          <w:p>
            <w:pPr>
              <w:jc w:val="center"/>
              <w:rPr>
                <w:color w:val="000000"/>
              </w:rPr>
            </w:pPr>
          </w:p>
        </w:tc>
        <w:tc>
          <w:tcPr>
            <w:tcW w:w="698" w:type="dxa"/>
            <w:noWrap w:val="0"/>
            <w:vAlign w:val="center"/>
          </w:tcPr>
          <w:p>
            <w:pPr>
              <w:jc w:val="center"/>
              <w:rPr>
                <w:color w:val="000000"/>
              </w:rPr>
            </w:pPr>
          </w:p>
        </w:tc>
        <w:tc>
          <w:tcPr>
            <w:tcW w:w="698" w:type="dxa"/>
            <w:noWrap w:val="0"/>
            <w:vAlign w:val="center"/>
          </w:tcPr>
          <w:p>
            <w:pPr>
              <w:jc w:val="center"/>
              <w:rPr>
                <w:color w:val="000000"/>
              </w:rPr>
            </w:pPr>
          </w:p>
        </w:tc>
        <w:tc>
          <w:tcPr>
            <w:tcW w:w="869" w:type="dxa"/>
            <w:noWrap w:val="0"/>
            <w:vAlign w:val="center"/>
          </w:tcPr>
          <w:p>
            <w:pPr>
              <w:jc w:val="center"/>
              <w:rPr>
                <w:color w:val="000000"/>
              </w:rPr>
            </w:pPr>
          </w:p>
        </w:tc>
        <w:tc>
          <w:tcPr>
            <w:tcW w:w="722"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48" w:type="dxa"/>
            <w:noWrap w:val="0"/>
            <w:vAlign w:val="center"/>
          </w:tcPr>
          <w:p>
            <w:pPr>
              <w:jc w:val="center"/>
              <w:rPr>
                <w:color w:val="000000"/>
              </w:rPr>
            </w:pPr>
          </w:p>
        </w:tc>
        <w:tc>
          <w:tcPr>
            <w:tcW w:w="647" w:type="dxa"/>
            <w:noWrap w:val="0"/>
            <w:vAlign w:val="center"/>
          </w:tcPr>
          <w:p>
            <w:pPr>
              <w:jc w:val="center"/>
              <w:rPr>
                <w:color w:val="000000"/>
              </w:rPr>
            </w:pPr>
          </w:p>
        </w:tc>
        <w:tc>
          <w:tcPr>
            <w:tcW w:w="944" w:type="dxa"/>
            <w:noWrap w:val="0"/>
            <w:vAlign w:val="center"/>
          </w:tcPr>
          <w:p>
            <w:pPr>
              <w:jc w:val="center"/>
              <w:rPr>
                <w:color w:val="000000"/>
              </w:rPr>
            </w:pPr>
          </w:p>
        </w:tc>
        <w:tc>
          <w:tcPr>
            <w:tcW w:w="795" w:type="dxa"/>
            <w:noWrap w:val="0"/>
            <w:vAlign w:val="center"/>
          </w:tcPr>
          <w:p>
            <w:pPr>
              <w:jc w:val="center"/>
              <w:rPr>
                <w:color w:val="000000"/>
              </w:rPr>
            </w:pPr>
          </w:p>
        </w:tc>
        <w:tc>
          <w:tcPr>
            <w:tcW w:w="795" w:type="dxa"/>
            <w:noWrap w:val="0"/>
            <w:vAlign w:val="center"/>
          </w:tcPr>
          <w:p>
            <w:pPr>
              <w:jc w:val="center"/>
              <w:rPr>
                <w:color w:val="000000"/>
              </w:rPr>
            </w:pPr>
          </w:p>
        </w:tc>
        <w:tc>
          <w:tcPr>
            <w:tcW w:w="795" w:type="dxa"/>
            <w:noWrap w:val="0"/>
            <w:vAlign w:val="center"/>
          </w:tcPr>
          <w:p>
            <w:pPr>
              <w:jc w:val="center"/>
              <w:rPr>
                <w:color w:val="000000"/>
              </w:rPr>
            </w:pPr>
          </w:p>
        </w:tc>
        <w:tc>
          <w:tcPr>
            <w:tcW w:w="943" w:type="dxa"/>
            <w:noWrap w:val="0"/>
            <w:vAlign w:val="center"/>
          </w:tcPr>
          <w:p>
            <w:pPr>
              <w:jc w:val="center"/>
              <w:rPr>
                <w:color w:val="000000"/>
              </w:rPr>
            </w:pPr>
          </w:p>
        </w:tc>
        <w:tc>
          <w:tcPr>
            <w:tcW w:w="624" w:type="dxa"/>
            <w:noWrap w:val="0"/>
            <w:vAlign w:val="center"/>
          </w:tcPr>
          <w:p>
            <w:pPr>
              <w:jc w:val="center"/>
              <w:rPr>
                <w:color w:val="000000"/>
              </w:rPr>
            </w:pPr>
          </w:p>
        </w:tc>
        <w:tc>
          <w:tcPr>
            <w:tcW w:w="698" w:type="dxa"/>
            <w:noWrap w:val="0"/>
            <w:vAlign w:val="center"/>
          </w:tcPr>
          <w:p>
            <w:pPr>
              <w:jc w:val="center"/>
              <w:rPr>
                <w:color w:val="000000"/>
              </w:rPr>
            </w:pPr>
          </w:p>
        </w:tc>
        <w:tc>
          <w:tcPr>
            <w:tcW w:w="698" w:type="dxa"/>
            <w:noWrap w:val="0"/>
            <w:vAlign w:val="center"/>
          </w:tcPr>
          <w:p>
            <w:pPr>
              <w:jc w:val="center"/>
              <w:rPr>
                <w:color w:val="000000"/>
              </w:rPr>
            </w:pPr>
          </w:p>
        </w:tc>
        <w:tc>
          <w:tcPr>
            <w:tcW w:w="869" w:type="dxa"/>
            <w:noWrap w:val="0"/>
            <w:vAlign w:val="center"/>
          </w:tcPr>
          <w:p>
            <w:pPr>
              <w:jc w:val="center"/>
              <w:rPr>
                <w:color w:val="000000"/>
              </w:rPr>
            </w:pPr>
          </w:p>
        </w:tc>
        <w:tc>
          <w:tcPr>
            <w:tcW w:w="722" w:type="dxa"/>
            <w:noWrap w:val="0"/>
            <w:vAlign w:val="center"/>
          </w:tcPr>
          <w:p>
            <w:pPr>
              <w:jc w:val="center"/>
              <w:rPr>
                <w:color w:val="000000"/>
              </w:rPr>
            </w:pPr>
          </w:p>
        </w:tc>
      </w:tr>
    </w:tbl>
    <w:p>
      <w:pPr>
        <w:ind w:firstLine="1155" w:firstLineChars="550"/>
        <w:rPr>
          <w:bCs/>
          <w:color w:val="000000"/>
        </w:rPr>
      </w:pPr>
    </w:p>
    <w:p>
      <w:pPr>
        <w:ind w:firstLine="1155" w:firstLineChars="550"/>
        <w:rPr>
          <w:bCs/>
          <w:color w:val="000000"/>
        </w:rPr>
      </w:pPr>
    </w:p>
    <w:p>
      <w:pPr>
        <w:ind w:firstLine="1155" w:firstLineChars="550"/>
        <w:rPr>
          <w:bCs/>
          <w:color w:val="000000"/>
        </w:rPr>
      </w:pPr>
    </w:p>
    <w:p>
      <w:pPr>
        <w:ind w:firstLine="1155" w:firstLineChars="550"/>
        <w:rPr>
          <w:bCs/>
          <w:color w:val="000000"/>
        </w:rPr>
      </w:pPr>
    </w:p>
    <w:p>
      <w:pPr>
        <w:spacing w:line="490" w:lineRule="exact"/>
        <w:jc w:val="center"/>
        <w:rPr>
          <w:rFonts w:hint="eastAsia" w:ascii="方正小标宋简体" w:eastAsia="方正小标宋简体"/>
          <w:color w:val="000000"/>
          <w:sz w:val="24"/>
          <w:szCs w:val="28"/>
        </w:rPr>
      </w:pPr>
      <w:r>
        <w:rPr>
          <w:b/>
          <w:color w:val="000000"/>
          <w:sz w:val="28"/>
          <w:szCs w:val="28"/>
        </w:rPr>
        <w:br w:type="page"/>
      </w:r>
    </w:p>
    <w:p>
      <w:pPr>
        <w:spacing w:line="490" w:lineRule="exact"/>
        <w:jc w:val="center"/>
        <w:rPr>
          <w:rFonts w:hint="eastAsia" w:ascii="方正小标宋简体" w:eastAsia="方正小标宋简体"/>
          <w:color w:val="000000"/>
          <w:sz w:val="40"/>
          <w:szCs w:val="44"/>
        </w:rPr>
      </w:pPr>
      <w:r>
        <w:rPr>
          <w:rFonts w:hint="eastAsia" w:ascii="方正小标宋简体" w:eastAsia="方正小标宋简体"/>
          <w:color w:val="000000"/>
          <w:sz w:val="40"/>
          <w:szCs w:val="44"/>
        </w:rPr>
        <w:t>投标人生产混凝土配合比材料费表</w:t>
      </w:r>
    </w:p>
    <w:p>
      <w:pPr>
        <w:spacing w:line="490" w:lineRule="exact"/>
        <w:jc w:val="center"/>
        <w:rPr>
          <w:rFonts w:eastAsia="方正小标宋_GBK"/>
          <w:b/>
          <w:color w:val="000000"/>
          <w:sz w:val="40"/>
          <w:szCs w:val="44"/>
        </w:rPr>
      </w:pPr>
    </w:p>
    <w:p>
      <w:pPr>
        <w:spacing w:line="490" w:lineRule="exact"/>
        <w:rPr>
          <w:rFonts w:eastAsia="仿宋_GB2312"/>
          <w:color w:val="000000"/>
          <w:sz w:val="28"/>
          <w:szCs w:val="28"/>
          <w:u w:val="single"/>
        </w:rPr>
      </w:pPr>
      <w:r>
        <w:rPr>
          <w:rFonts w:eastAsia="仿宋_GB2312"/>
          <w:color w:val="000000"/>
          <w:sz w:val="28"/>
          <w:szCs w:val="28"/>
        </w:rPr>
        <w:t>合同编号：</w:t>
      </w:r>
      <w:r>
        <w:rPr>
          <w:rFonts w:eastAsia="仿宋_GB2312"/>
          <w:color w:val="000000"/>
          <w:sz w:val="28"/>
          <w:szCs w:val="28"/>
          <w:u w:val="single"/>
        </w:rPr>
        <w:t xml:space="preserve">  （投标项目合同号）  </w:t>
      </w:r>
    </w:p>
    <w:p>
      <w:pPr>
        <w:spacing w:line="490" w:lineRule="exact"/>
        <w:rPr>
          <w:rFonts w:eastAsia="仿宋_GB2312"/>
          <w:bCs/>
          <w:color w:val="000000"/>
          <w:sz w:val="28"/>
          <w:szCs w:val="28"/>
        </w:rPr>
      </w:pPr>
      <w:r>
        <w:rPr>
          <w:rFonts w:eastAsia="仿宋_GB2312"/>
          <w:color w:val="000000"/>
          <w:sz w:val="28"/>
          <w:szCs w:val="28"/>
        </w:rPr>
        <w:t>工程名称：</w:t>
      </w:r>
      <w:r>
        <w:rPr>
          <w:rFonts w:eastAsia="仿宋_GB2312"/>
          <w:color w:val="000000"/>
          <w:sz w:val="28"/>
          <w:szCs w:val="28"/>
          <w:u w:val="single"/>
        </w:rPr>
        <w:t xml:space="preserve">          </w:t>
      </w:r>
      <w:r>
        <w:rPr>
          <w:rFonts w:eastAsia="仿宋_GB2312"/>
          <w:color w:val="000000"/>
          <w:sz w:val="28"/>
          <w:szCs w:val="28"/>
        </w:rPr>
        <w:t>（项目名称）</w:t>
      </w:r>
      <w:r>
        <w:rPr>
          <w:rFonts w:eastAsia="仿宋_GB2312"/>
          <w:color w:val="000000"/>
          <w:sz w:val="28"/>
          <w:szCs w:val="28"/>
          <w:u w:val="single"/>
        </w:rPr>
        <w:t xml:space="preserve">          </w:t>
      </w:r>
      <w:r>
        <w:rPr>
          <w:rFonts w:eastAsia="仿宋_GB2312"/>
          <w:color w:val="000000"/>
          <w:sz w:val="28"/>
          <w:szCs w:val="28"/>
        </w:rPr>
        <w:t>（标段名称）</w:t>
      </w:r>
    </w:p>
    <w:tbl>
      <w:tblPr>
        <w:tblStyle w:val="4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3"/>
        <w:gridCol w:w="789"/>
        <w:gridCol w:w="707"/>
        <w:gridCol w:w="672"/>
        <w:gridCol w:w="672"/>
        <w:gridCol w:w="672"/>
        <w:gridCol w:w="672"/>
        <w:gridCol w:w="672"/>
        <w:gridCol w:w="672"/>
        <w:gridCol w:w="576"/>
        <w:gridCol w:w="576"/>
        <w:gridCol w:w="576"/>
        <w:gridCol w:w="811"/>
        <w:gridCol w:w="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473" w:type="dxa"/>
            <w:vMerge w:val="restart"/>
            <w:noWrap w:val="0"/>
            <w:vAlign w:val="center"/>
          </w:tcPr>
          <w:p>
            <w:pPr>
              <w:jc w:val="center"/>
              <w:rPr>
                <w:rFonts w:eastAsia="仿宋"/>
                <w:color w:val="000000"/>
                <w:sz w:val="18"/>
                <w:szCs w:val="18"/>
              </w:rPr>
            </w:pPr>
            <w:r>
              <w:rPr>
                <w:rFonts w:eastAsia="仿宋"/>
                <w:color w:val="000000"/>
                <w:sz w:val="18"/>
                <w:szCs w:val="18"/>
              </w:rPr>
              <w:t>序号</w:t>
            </w:r>
          </w:p>
        </w:tc>
        <w:tc>
          <w:tcPr>
            <w:tcW w:w="789" w:type="dxa"/>
            <w:vMerge w:val="restart"/>
            <w:noWrap w:val="0"/>
            <w:vAlign w:val="center"/>
          </w:tcPr>
          <w:p>
            <w:pPr>
              <w:jc w:val="center"/>
              <w:rPr>
                <w:rFonts w:eastAsia="仿宋"/>
                <w:color w:val="000000"/>
                <w:sz w:val="18"/>
                <w:szCs w:val="18"/>
              </w:rPr>
            </w:pPr>
            <w:r>
              <w:rPr>
                <w:rFonts w:eastAsia="仿宋"/>
                <w:color w:val="000000"/>
                <w:sz w:val="18"/>
                <w:szCs w:val="18"/>
              </w:rPr>
              <w:t>工程部位</w:t>
            </w:r>
          </w:p>
        </w:tc>
        <w:tc>
          <w:tcPr>
            <w:tcW w:w="707" w:type="dxa"/>
            <w:vMerge w:val="restart"/>
            <w:noWrap w:val="0"/>
            <w:vAlign w:val="center"/>
          </w:tcPr>
          <w:p>
            <w:pPr>
              <w:jc w:val="center"/>
              <w:rPr>
                <w:rFonts w:eastAsia="仿宋"/>
                <w:color w:val="000000"/>
                <w:sz w:val="18"/>
                <w:szCs w:val="18"/>
              </w:rPr>
            </w:pPr>
            <w:r>
              <w:rPr>
                <w:rFonts w:eastAsia="仿宋"/>
                <w:color w:val="000000"/>
                <w:sz w:val="18"/>
                <w:szCs w:val="18"/>
              </w:rPr>
              <w:t>混凝土强度等级</w:t>
            </w:r>
          </w:p>
        </w:tc>
        <w:tc>
          <w:tcPr>
            <w:tcW w:w="672" w:type="dxa"/>
            <w:vMerge w:val="restart"/>
            <w:noWrap w:val="0"/>
            <w:vAlign w:val="center"/>
          </w:tcPr>
          <w:p>
            <w:pPr>
              <w:jc w:val="center"/>
              <w:rPr>
                <w:rFonts w:eastAsia="仿宋"/>
                <w:color w:val="000000"/>
                <w:sz w:val="18"/>
                <w:szCs w:val="18"/>
              </w:rPr>
            </w:pPr>
            <w:r>
              <w:rPr>
                <w:rFonts w:eastAsia="仿宋"/>
                <w:color w:val="000000"/>
                <w:sz w:val="18"/>
                <w:szCs w:val="18"/>
              </w:rPr>
              <w:t>水泥强度等级</w:t>
            </w:r>
          </w:p>
        </w:tc>
        <w:tc>
          <w:tcPr>
            <w:tcW w:w="672" w:type="dxa"/>
            <w:vMerge w:val="restart"/>
            <w:noWrap w:val="0"/>
            <w:vAlign w:val="center"/>
          </w:tcPr>
          <w:p>
            <w:pPr>
              <w:jc w:val="center"/>
              <w:rPr>
                <w:rFonts w:eastAsia="仿宋"/>
                <w:color w:val="000000"/>
                <w:sz w:val="18"/>
                <w:szCs w:val="18"/>
              </w:rPr>
            </w:pPr>
            <w:r>
              <w:rPr>
                <w:rFonts w:eastAsia="仿宋"/>
                <w:color w:val="000000"/>
                <w:sz w:val="18"/>
                <w:szCs w:val="18"/>
              </w:rPr>
              <w:t>级配</w:t>
            </w:r>
          </w:p>
        </w:tc>
        <w:tc>
          <w:tcPr>
            <w:tcW w:w="672" w:type="dxa"/>
            <w:vMerge w:val="restart"/>
            <w:noWrap w:val="0"/>
            <w:vAlign w:val="center"/>
          </w:tcPr>
          <w:p>
            <w:pPr>
              <w:jc w:val="center"/>
              <w:rPr>
                <w:rFonts w:eastAsia="仿宋"/>
                <w:color w:val="000000"/>
                <w:sz w:val="18"/>
                <w:szCs w:val="18"/>
              </w:rPr>
            </w:pPr>
            <w:r>
              <w:rPr>
                <w:rFonts w:eastAsia="仿宋"/>
                <w:color w:val="000000"/>
                <w:sz w:val="18"/>
                <w:szCs w:val="18"/>
              </w:rPr>
              <w:t>水灰比</w:t>
            </w:r>
          </w:p>
        </w:tc>
        <w:tc>
          <w:tcPr>
            <w:tcW w:w="3744" w:type="dxa"/>
            <w:gridSpan w:val="6"/>
            <w:noWrap w:val="0"/>
            <w:vAlign w:val="center"/>
          </w:tcPr>
          <w:p>
            <w:pPr>
              <w:jc w:val="center"/>
              <w:rPr>
                <w:rFonts w:eastAsia="仿宋"/>
                <w:color w:val="000000"/>
                <w:sz w:val="18"/>
                <w:szCs w:val="18"/>
              </w:rPr>
            </w:pPr>
            <w:r>
              <w:rPr>
                <w:rFonts w:eastAsia="仿宋"/>
                <w:color w:val="000000"/>
                <w:sz w:val="18"/>
                <w:szCs w:val="18"/>
              </w:rPr>
              <w:t>预算材料量（kg/m</w:t>
            </w:r>
            <w:r>
              <w:rPr>
                <w:rFonts w:eastAsia="仿宋"/>
                <w:color w:val="000000"/>
                <w:sz w:val="18"/>
                <w:szCs w:val="18"/>
                <w:vertAlign w:val="superscript"/>
              </w:rPr>
              <w:t>3</w:t>
            </w:r>
            <w:r>
              <w:rPr>
                <w:rFonts w:eastAsia="仿宋"/>
                <w:color w:val="000000"/>
                <w:sz w:val="18"/>
                <w:szCs w:val="18"/>
              </w:rPr>
              <w:t>）</w:t>
            </w:r>
          </w:p>
        </w:tc>
        <w:tc>
          <w:tcPr>
            <w:tcW w:w="811" w:type="dxa"/>
            <w:vMerge w:val="restart"/>
            <w:noWrap w:val="0"/>
            <w:vAlign w:val="center"/>
          </w:tcPr>
          <w:p>
            <w:pPr>
              <w:jc w:val="center"/>
              <w:rPr>
                <w:rFonts w:eastAsia="仿宋"/>
                <w:color w:val="000000"/>
                <w:sz w:val="18"/>
                <w:szCs w:val="18"/>
              </w:rPr>
            </w:pPr>
            <w:r>
              <w:rPr>
                <w:rFonts w:eastAsia="仿宋"/>
                <w:color w:val="000000"/>
                <w:sz w:val="18"/>
                <w:szCs w:val="18"/>
              </w:rPr>
              <w:t>单价（元/m</w:t>
            </w:r>
            <w:r>
              <w:rPr>
                <w:rFonts w:eastAsia="仿宋"/>
                <w:color w:val="000000"/>
                <w:sz w:val="18"/>
                <w:szCs w:val="18"/>
                <w:vertAlign w:val="superscript"/>
              </w:rPr>
              <w:t>3</w:t>
            </w:r>
            <w:r>
              <w:rPr>
                <w:rFonts w:eastAsia="仿宋"/>
                <w:color w:val="000000"/>
                <w:sz w:val="18"/>
                <w:szCs w:val="18"/>
              </w:rPr>
              <w:t>）</w:t>
            </w:r>
          </w:p>
        </w:tc>
        <w:tc>
          <w:tcPr>
            <w:tcW w:w="638" w:type="dxa"/>
            <w:vMerge w:val="restart"/>
            <w:noWrap w:val="0"/>
            <w:vAlign w:val="center"/>
          </w:tcPr>
          <w:p>
            <w:pPr>
              <w:jc w:val="center"/>
              <w:rPr>
                <w:rFonts w:eastAsia="仿宋"/>
                <w:color w:val="000000"/>
                <w:sz w:val="18"/>
                <w:szCs w:val="18"/>
              </w:rPr>
            </w:pPr>
            <w:r>
              <w:rPr>
                <w:rFonts w:eastAsia="仿宋"/>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3" w:type="dxa"/>
            <w:vMerge w:val="continue"/>
            <w:noWrap w:val="0"/>
            <w:vAlign w:val="center"/>
          </w:tcPr>
          <w:p>
            <w:pPr>
              <w:jc w:val="center"/>
              <w:rPr>
                <w:color w:val="000000"/>
                <w:sz w:val="18"/>
                <w:szCs w:val="18"/>
              </w:rPr>
            </w:pPr>
          </w:p>
        </w:tc>
        <w:tc>
          <w:tcPr>
            <w:tcW w:w="789" w:type="dxa"/>
            <w:vMerge w:val="continue"/>
            <w:noWrap w:val="0"/>
            <w:vAlign w:val="center"/>
          </w:tcPr>
          <w:p>
            <w:pPr>
              <w:jc w:val="center"/>
              <w:rPr>
                <w:color w:val="000000"/>
                <w:sz w:val="18"/>
                <w:szCs w:val="18"/>
              </w:rPr>
            </w:pPr>
          </w:p>
        </w:tc>
        <w:tc>
          <w:tcPr>
            <w:tcW w:w="707" w:type="dxa"/>
            <w:vMerge w:val="continue"/>
            <w:noWrap w:val="0"/>
            <w:vAlign w:val="center"/>
          </w:tcPr>
          <w:p>
            <w:pPr>
              <w:jc w:val="center"/>
              <w:rPr>
                <w:color w:val="000000"/>
                <w:sz w:val="18"/>
                <w:szCs w:val="18"/>
              </w:rPr>
            </w:pPr>
          </w:p>
        </w:tc>
        <w:tc>
          <w:tcPr>
            <w:tcW w:w="672" w:type="dxa"/>
            <w:vMerge w:val="continue"/>
            <w:noWrap w:val="0"/>
            <w:vAlign w:val="center"/>
          </w:tcPr>
          <w:p>
            <w:pPr>
              <w:jc w:val="center"/>
              <w:rPr>
                <w:color w:val="000000"/>
                <w:sz w:val="18"/>
                <w:szCs w:val="18"/>
              </w:rPr>
            </w:pPr>
          </w:p>
        </w:tc>
        <w:tc>
          <w:tcPr>
            <w:tcW w:w="672" w:type="dxa"/>
            <w:vMerge w:val="continue"/>
            <w:noWrap w:val="0"/>
            <w:vAlign w:val="center"/>
          </w:tcPr>
          <w:p>
            <w:pPr>
              <w:jc w:val="center"/>
              <w:rPr>
                <w:color w:val="000000"/>
                <w:sz w:val="18"/>
                <w:szCs w:val="18"/>
              </w:rPr>
            </w:pPr>
          </w:p>
        </w:tc>
        <w:tc>
          <w:tcPr>
            <w:tcW w:w="672" w:type="dxa"/>
            <w:vMerge w:val="continue"/>
            <w:noWrap w:val="0"/>
            <w:vAlign w:val="center"/>
          </w:tcPr>
          <w:p>
            <w:pPr>
              <w:jc w:val="center"/>
              <w:rPr>
                <w:color w:val="000000"/>
                <w:sz w:val="18"/>
                <w:szCs w:val="18"/>
              </w:rPr>
            </w:pPr>
          </w:p>
        </w:tc>
        <w:tc>
          <w:tcPr>
            <w:tcW w:w="672" w:type="dxa"/>
            <w:noWrap w:val="0"/>
            <w:vAlign w:val="center"/>
          </w:tcPr>
          <w:p>
            <w:pPr>
              <w:jc w:val="center"/>
              <w:rPr>
                <w:rFonts w:eastAsia="仿宋"/>
                <w:color w:val="000000"/>
                <w:sz w:val="18"/>
                <w:szCs w:val="18"/>
              </w:rPr>
            </w:pPr>
            <w:r>
              <w:rPr>
                <w:rFonts w:eastAsia="仿宋"/>
                <w:color w:val="000000"/>
                <w:sz w:val="18"/>
                <w:szCs w:val="18"/>
              </w:rPr>
              <w:t>水泥</w:t>
            </w:r>
          </w:p>
        </w:tc>
        <w:tc>
          <w:tcPr>
            <w:tcW w:w="672" w:type="dxa"/>
            <w:noWrap w:val="0"/>
            <w:vAlign w:val="center"/>
          </w:tcPr>
          <w:p>
            <w:pPr>
              <w:jc w:val="center"/>
              <w:rPr>
                <w:rFonts w:eastAsia="仿宋"/>
                <w:color w:val="000000"/>
                <w:sz w:val="18"/>
                <w:szCs w:val="18"/>
              </w:rPr>
            </w:pPr>
            <w:r>
              <w:rPr>
                <w:rFonts w:eastAsia="仿宋"/>
                <w:color w:val="000000"/>
                <w:sz w:val="18"/>
                <w:szCs w:val="18"/>
              </w:rPr>
              <w:t>砂</w:t>
            </w:r>
          </w:p>
        </w:tc>
        <w:tc>
          <w:tcPr>
            <w:tcW w:w="672" w:type="dxa"/>
            <w:noWrap w:val="0"/>
            <w:vAlign w:val="center"/>
          </w:tcPr>
          <w:p>
            <w:pPr>
              <w:jc w:val="center"/>
              <w:rPr>
                <w:rFonts w:eastAsia="仿宋"/>
                <w:color w:val="000000"/>
                <w:sz w:val="18"/>
                <w:szCs w:val="18"/>
              </w:rPr>
            </w:pPr>
            <w:r>
              <w:rPr>
                <w:rFonts w:eastAsia="仿宋"/>
                <w:color w:val="000000"/>
                <w:sz w:val="18"/>
                <w:szCs w:val="18"/>
              </w:rPr>
              <w:t>石</w:t>
            </w:r>
          </w:p>
        </w:tc>
        <w:tc>
          <w:tcPr>
            <w:tcW w:w="576" w:type="dxa"/>
            <w:noWrap w:val="0"/>
            <w:vAlign w:val="center"/>
          </w:tcPr>
          <w:p>
            <w:pPr>
              <w:jc w:val="center"/>
              <w:rPr>
                <w:color w:val="000000"/>
                <w:sz w:val="18"/>
                <w:szCs w:val="18"/>
              </w:rPr>
            </w:pPr>
          </w:p>
        </w:tc>
        <w:tc>
          <w:tcPr>
            <w:tcW w:w="576" w:type="dxa"/>
            <w:noWrap w:val="0"/>
            <w:vAlign w:val="center"/>
          </w:tcPr>
          <w:p>
            <w:pPr>
              <w:jc w:val="center"/>
              <w:rPr>
                <w:color w:val="000000"/>
                <w:sz w:val="18"/>
                <w:szCs w:val="18"/>
              </w:rPr>
            </w:pPr>
          </w:p>
        </w:tc>
        <w:tc>
          <w:tcPr>
            <w:tcW w:w="576" w:type="dxa"/>
            <w:noWrap w:val="0"/>
            <w:vAlign w:val="center"/>
          </w:tcPr>
          <w:p>
            <w:pPr>
              <w:jc w:val="center"/>
              <w:rPr>
                <w:color w:val="000000"/>
                <w:sz w:val="18"/>
                <w:szCs w:val="18"/>
              </w:rPr>
            </w:pPr>
          </w:p>
        </w:tc>
        <w:tc>
          <w:tcPr>
            <w:tcW w:w="811" w:type="dxa"/>
            <w:vMerge w:val="continue"/>
            <w:noWrap w:val="0"/>
            <w:vAlign w:val="center"/>
          </w:tcPr>
          <w:p>
            <w:pPr>
              <w:jc w:val="center"/>
              <w:rPr>
                <w:color w:val="000000"/>
                <w:sz w:val="18"/>
                <w:szCs w:val="18"/>
              </w:rPr>
            </w:pPr>
          </w:p>
        </w:tc>
        <w:tc>
          <w:tcPr>
            <w:tcW w:w="638" w:type="dxa"/>
            <w:vMerge w:val="continue"/>
            <w:noWrap w:val="0"/>
            <w:vAlign w:val="center"/>
          </w:tcPr>
          <w:p>
            <w:pPr>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3" w:type="dxa"/>
            <w:noWrap w:val="0"/>
            <w:vAlign w:val="center"/>
          </w:tcPr>
          <w:p>
            <w:pPr>
              <w:jc w:val="center"/>
              <w:rPr>
                <w:color w:val="000000"/>
                <w:sz w:val="18"/>
                <w:szCs w:val="18"/>
              </w:rPr>
            </w:pPr>
          </w:p>
        </w:tc>
        <w:tc>
          <w:tcPr>
            <w:tcW w:w="789" w:type="dxa"/>
            <w:noWrap w:val="0"/>
            <w:vAlign w:val="center"/>
          </w:tcPr>
          <w:p>
            <w:pPr>
              <w:jc w:val="center"/>
              <w:rPr>
                <w:color w:val="000000"/>
                <w:sz w:val="18"/>
                <w:szCs w:val="18"/>
              </w:rPr>
            </w:pPr>
          </w:p>
        </w:tc>
        <w:tc>
          <w:tcPr>
            <w:tcW w:w="707" w:type="dxa"/>
            <w:noWrap w:val="0"/>
            <w:vAlign w:val="center"/>
          </w:tcPr>
          <w:p>
            <w:pPr>
              <w:jc w:val="center"/>
              <w:rPr>
                <w:color w:val="000000"/>
                <w:sz w:val="18"/>
                <w:szCs w:val="18"/>
              </w:rPr>
            </w:pPr>
          </w:p>
        </w:tc>
        <w:tc>
          <w:tcPr>
            <w:tcW w:w="672" w:type="dxa"/>
            <w:noWrap w:val="0"/>
            <w:vAlign w:val="center"/>
          </w:tcPr>
          <w:p>
            <w:pPr>
              <w:jc w:val="center"/>
              <w:rPr>
                <w:color w:val="000000"/>
                <w:sz w:val="18"/>
                <w:szCs w:val="18"/>
              </w:rPr>
            </w:pPr>
          </w:p>
        </w:tc>
        <w:tc>
          <w:tcPr>
            <w:tcW w:w="672" w:type="dxa"/>
            <w:noWrap w:val="0"/>
            <w:vAlign w:val="center"/>
          </w:tcPr>
          <w:p>
            <w:pPr>
              <w:jc w:val="center"/>
              <w:rPr>
                <w:color w:val="000000"/>
                <w:sz w:val="18"/>
                <w:szCs w:val="18"/>
              </w:rPr>
            </w:pPr>
          </w:p>
        </w:tc>
        <w:tc>
          <w:tcPr>
            <w:tcW w:w="672" w:type="dxa"/>
            <w:noWrap w:val="0"/>
            <w:vAlign w:val="center"/>
          </w:tcPr>
          <w:p>
            <w:pPr>
              <w:jc w:val="center"/>
              <w:rPr>
                <w:color w:val="000000"/>
                <w:sz w:val="18"/>
                <w:szCs w:val="18"/>
              </w:rPr>
            </w:pPr>
          </w:p>
        </w:tc>
        <w:tc>
          <w:tcPr>
            <w:tcW w:w="672" w:type="dxa"/>
            <w:noWrap w:val="0"/>
            <w:vAlign w:val="center"/>
          </w:tcPr>
          <w:p>
            <w:pPr>
              <w:jc w:val="center"/>
              <w:rPr>
                <w:color w:val="000000"/>
                <w:sz w:val="18"/>
                <w:szCs w:val="18"/>
              </w:rPr>
            </w:pPr>
          </w:p>
        </w:tc>
        <w:tc>
          <w:tcPr>
            <w:tcW w:w="672" w:type="dxa"/>
            <w:noWrap w:val="0"/>
            <w:vAlign w:val="center"/>
          </w:tcPr>
          <w:p>
            <w:pPr>
              <w:jc w:val="center"/>
              <w:rPr>
                <w:color w:val="000000"/>
                <w:sz w:val="18"/>
                <w:szCs w:val="18"/>
              </w:rPr>
            </w:pPr>
          </w:p>
        </w:tc>
        <w:tc>
          <w:tcPr>
            <w:tcW w:w="672" w:type="dxa"/>
            <w:noWrap w:val="0"/>
            <w:vAlign w:val="center"/>
          </w:tcPr>
          <w:p>
            <w:pPr>
              <w:jc w:val="center"/>
              <w:rPr>
                <w:color w:val="000000"/>
                <w:sz w:val="18"/>
                <w:szCs w:val="18"/>
              </w:rPr>
            </w:pPr>
          </w:p>
        </w:tc>
        <w:tc>
          <w:tcPr>
            <w:tcW w:w="576" w:type="dxa"/>
            <w:noWrap w:val="0"/>
            <w:vAlign w:val="center"/>
          </w:tcPr>
          <w:p>
            <w:pPr>
              <w:jc w:val="center"/>
              <w:rPr>
                <w:color w:val="000000"/>
                <w:sz w:val="18"/>
                <w:szCs w:val="18"/>
              </w:rPr>
            </w:pPr>
          </w:p>
        </w:tc>
        <w:tc>
          <w:tcPr>
            <w:tcW w:w="576" w:type="dxa"/>
            <w:noWrap w:val="0"/>
            <w:vAlign w:val="center"/>
          </w:tcPr>
          <w:p>
            <w:pPr>
              <w:jc w:val="center"/>
              <w:rPr>
                <w:color w:val="000000"/>
                <w:sz w:val="18"/>
                <w:szCs w:val="18"/>
              </w:rPr>
            </w:pPr>
          </w:p>
        </w:tc>
        <w:tc>
          <w:tcPr>
            <w:tcW w:w="576" w:type="dxa"/>
            <w:noWrap w:val="0"/>
            <w:vAlign w:val="center"/>
          </w:tcPr>
          <w:p>
            <w:pPr>
              <w:jc w:val="center"/>
              <w:rPr>
                <w:color w:val="000000"/>
                <w:sz w:val="18"/>
                <w:szCs w:val="18"/>
              </w:rPr>
            </w:pPr>
          </w:p>
        </w:tc>
        <w:tc>
          <w:tcPr>
            <w:tcW w:w="811" w:type="dxa"/>
            <w:noWrap w:val="0"/>
            <w:vAlign w:val="center"/>
          </w:tcPr>
          <w:p>
            <w:pPr>
              <w:jc w:val="center"/>
              <w:rPr>
                <w:color w:val="000000"/>
                <w:sz w:val="18"/>
                <w:szCs w:val="18"/>
              </w:rPr>
            </w:pPr>
          </w:p>
        </w:tc>
        <w:tc>
          <w:tcPr>
            <w:tcW w:w="638" w:type="dxa"/>
            <w:noWrap w:val="0"/>
            <w:vAlign w:val="center"/>
          </w:tcPr>
          <w:p>
            <w:pPr>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3" w:type="dxa"/>
            <w:noWrap w:val="0"/>
            <w:vAlign w:val="center"/>
          </w:tcPr>
          <w:p>
            <w:pPr>
              <w:jc w:val="center"/>
              <w:rPr>
                <w:color w:val="000000"/>
                <w:sz w:val="18"/>
                <w:szCs w:val="18"/>
              </w:rPr>
            </w:pPr>
          </w:p>
        </w:tc>
        <w:tc>
          <w:tcPr>
            <w:tcW w:w="789" w:type="dxa"/>
            <w:noWrap w:val="0"/>
            <w:vAlign w:val="center"/>
          </w:tcPr>
          <w:p>
            <w:pPr>
              <w:jc w:val="center"/>
              <w:rPr>
                <w:color w:val="000000"/>
                <w:sz w:val="18"/>
                <w:szCs w:val="18"/>
              </w:rPr>
            </w:pPr>
          </w:p>
        </w:tc>
        <w:tc>
          <w:tcPr>
            <w:tcW w:w="707" w:type="dxa"/>
            <w:noWrap w:val="0"/>
            <w:vAlign w:val="center"/>
          </w:tcPr>
          <w:p>
            <w:pPr>
              <w:jc w:val="center"/>
              <w:rPr>
                <w:color w:val="000000"/>
                <w:sz w:val="18"/>
                <w:szCs w:val="18"/>
              </w:rPr>
            </w:pPr>
          </w:p>
        </w:tc>
        <w:tc>
          <w:tcPr>
            <w:tcW w:w="672" w:type="dxa"/>
            <w:noWrap w:val="0"/>
            <w:vAlign w:val="center"/>
          </w:tcPr>
          <w:p>
            <w:pPr>
              <w:jc w:val="center"/>
              <w:rPr>
                <w:color w:val="000000"/>
                <w:sz w:val="18"/>
                <w:szCs w:val="18"/>
              </w:rPr>
            </w:pPr>
          </w:p>
        </w:tc>
        <w:tc>
          <w:tcPr>
            <w:tcW w:w="672" w:type="dxa"/>
            <w:noWrap w:val="0"/>
            <w:vAlign w:val="center"/>
          </w:tcPr>
          <w:p>
            <w:pPr>
              <w:jc w:val="center"/>
              <w:rPr>
                <w:color w:val="000000"/>
                <w:sz w:val="18"/>
                <w:szCs w:val="18"/>
              </w:rPr>
            </w:pPr>
          </w:p>
        </w:tc>
        <w:tc>
          <w:tcPr>
            <w:tcW w:w="672" w:type="dxa"/>
            <w:noWrap w:val="0"/>
            <w:vAlign w:val="center"/>
          </w:tcPr>
          <w:p>
            <w:pPr>
              <w:jc w:val="center"/>
              <w:rPr>
                <w:color w:val="000000"/>
                <w:sz w:val="18"/>
                <w:szCs w:val="18"/>
              </w:rPr>
            </w:pPr>
          </w:p>
        </w:tc>
        <w:tc>
          <w:tcPr>
            <w:tcW w:w="672" w:type="dxa"/>
            <w:noWrap w:val="0"/>
            <w:vAlign w:val="center"/>
          </w:tcPr>
          <w:p>
            <w:pPr>
              <w:jc w:val="center"/>
              <w:rPr>
                <w:color w:val="000000"/>
                <w:sz w:val="18"/>
                <w:szCs w:val="18"/>
              </w:rPr>
            </w:pPr>
          </w:p>
        </w:tc>
        <w:tc>
          <w:tcPr>
            <w:tcW w:w="672" w:type="dxa"/>
            <w:noWrap w:val="0"/>
            <w:vAlign w:val="center"/>
          </w:tcPr>
          <w:p>
            <w:pPr>
              <w:jc w:val="center"/>
              <w:rPr>
                <w:color w:val="000000"/>
                <w:sz w:val="18"/>
                <w:szCs w:val="18"/>
              </w:rPr>
            </w:pPr>
          </w:p>
        </w:tc>
        <w:tc>
          <w:tcPr>
            <w:tcW w:w="672" w:type="dxa"/>
            <w:noWrap w:val="0"/>
            <w:vAlign w:val="center"/>
          </w:tcPr>
          <w:p>
            <w:pPr>
              <w:jc w:val="center"/>
              <w:rPr>
                <w:color w:val="000000"/>
                <w:sz w:val="18"/>
                <w:szCs w:val="18"/>
              </w:rPr>
            </w:pPr>
          </w:p>
        </w:tc>
        <w:tc>
          <w:tcPr>
            <w:tcW w:w="576" w:type="dxa"/>
            <w:noWrap w:val="0"/>
            <w:vAlign w:val="center"/>
          </w:tcPr>
          <w:p>
            <w:pPr>
              <w:jc w:val="center"/>
              <w:rPr>
                <w:color w:val="000000"/>
                <w:sz w:val="18"/>
                <w:szCs w:val="18"/>
              </w:rPr>
            </w:pPr>
          </w:p>
        </w:tc>
        <w:tc>
          <w:tcPr>
            <w:tcW w:w="576" w:type="dxa"/>
            <w:noWrap w:val="0"/>
            <w:vAlign w:val="center"/>
          </w:tcPr>
          <w:p>
            <w:pPr>
              <w:jc w:val="center"/>
              <w:rPr>
                <w:color w:val="000000"/>
                <w:sz w:val="18"/>
                <w:szCs w:val="18"/>
              </w:rPr>
            </w:pPr>
          </w:p>
        </w:tc>
        <w:tc>
          <w:tcPr>
            <w:tcW w:w="576" w:type="dxa"/>
            <w:noWrap w:val="0"/>
            <w:vAlign w:val="center"/>
          </w:tcPr>
          <w:p>
            <w:pPr>
              <w:jc w:val="center"/>
              <w:rPr>
                <w:color w:val="000000"/>
                <w:sz w:val="18"/>
                <w:szCs w:val="18"/>
              </w:rPr>
            </w:pPr>
          </w:p>
        </w:tc>
        <w:tc>
          <w:tcPr>
            <w:tcW w:w="811" w:type="dxa"/>
            <w:noWrap w:val="0"/>
            <w:vAlign w:val="center"/>
          </w:tcPr>
          <w:p>
            <w:pPr>
              <w:jc w:val="center"/>
              <w:rPr>
                <w:color w:val="000000"/>
                <w:sz w:val="18"/>
                <w:szCs w:val="18"/>
              </w:rPr>
            </w:pPr>
          </w:p>
        </w:tc>
        <w:tc>
          <w:tcPr>
            <w:tcW w:w="638" w:type="dxa"/>
            <w:noWrap w:val="0"/>
            <w:vAlign w:val="center"/>
          </w:tcPr>
          <w:p>
            <w:pPr>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3" w:type="dxa"/>
            <w:noWrap w:val="0"/>
            <w:vAlign w:val="center"/>
          </w:tcPr>
          <w:p>
            <w:pPr>
              <w:jc w:val="center"/>
              <w:rPr>
                <w:color w:val="000000"/>
                <w:sz w:val="18"/>
                <w:szCs w:val="18"/>
              </w:rPr>
            </w:pPr>
          </w:p>
        </w:tc>
        <w:tc>
          <w:tcPr>
            <w:tcW w:w="789" w:type="dxa"/>
            <w:noWrap w:val="0"/>
            <w:vAlign w:val="center"/>
          </w:tcPr>
          <w:p>
            <w:pPr>
              <w:jc w:val="center"/>
              <w:rPr>
                <w:color w:val="000000"/>
                <w:sz w:val="18"/>
                <w:szCs w:val="18"/>
              </w:rPr>
            </w:pPr>
          </w:p>
        </w:tc>
        <w:tc>
          <w:tcPr>
            <w:tcW w:w="707" w:type="dxa"/>
            <w:noWrap w:val="0"/>
            <w:vAlign w:val="center"/>
          </w:tcPr>
          <w:p>
            <w:pPr>
              <w:jc w:val="center"/>
              <w:rPr>
                <w:color w:val="000000"/>
                <w:sz w:val="18"/>
                <w:szCs w:val="18"/>
              </w:rPr>
            </w:pPr>
          </w:p>
        </w:tc>
        <w:tc>
          <w:tcPr>
            <w:tcW w:w="672" w:type="dxa"/>
            <w:noWrap w:val="0"/>
            <w:vAlign w:val="center"/>
          </w:tcPr>
          <w:p>
            <w:pPr>
              <w:jc w:val="center"/>
              <w:rPr>
                <w:color w:val="000000"/>
                <w:sz w:val="18"/>
                <w:szCs w:val="18"/>
              </w:rPr>
            </w:pPr>
          </w:p>
        </w:tc>
        <w:tc>
          <w:tcPr>
            <w:tcW w:w="672" w:type="dxa"/>
            <w:noWrap w:val="0"/>
            <w:vAlign w:val="center"/>
          </w:tcPr>
          <w:p>
            <w:pPr>
              <w:jc w:val="center"/>
              <w:rPr>
                <w:color w:val="000000"/>
                <w:sz w:val="18"/>
                <w:szCs w:val="18"/>
              </w:rPr>
            </w:pPr>
          </w:p>
        </w:tc>
        <w:tc>
          <w:tcPr>
            <w:tcW w:w="672" w:type="dxa"/>
            <w:noWrap w:val="0"/>
            <w:vAlign w:val="center"/>
          </w:tcPr>
          <w:p>
            <w:pPr>
              <w:jc w:val="center"/>
              <w:rPr>
                <w:color w:val="000000"/>
                <w:sz w:val="18"/>
                <w:szCs w:val="18"/>
              </w:rPr>
            </w:pPr>
          </w:p>
        </w:tc>
        <w:tc>
          <w:tcPr>
            <w:tcW w:w="672" w:type="dxa"/>
            <w:noWrap w:val="0"/>
            <w:vAlign w:val="center"/>
          </w:tcPr>
          <w:p>
            <w:pPr>
              <w:jc w:val="center"/>
              <w:rPr>
                <w:color w:val="000000"/>
                <w:sz w:val="18"/>
                <w:szCs w:val="18"/>
              </w:rPr>
            </w:pPr>
          </w:p>
        </w:tc>
        <w:tc>
          <w:tcPr>
            <w:tcW w:w="672" w:type="dxa"/>
            <w:noWrap w:val="0"/>
            <w:vAlign w:val="center"/>
          </w:tcPr>
          <w:p>
            <w:pPr>
              <w:jc w:val="center"/>
              <w:rPr>
                <w:color w:val="000000"/>
                <w:sz w:val="18"/>
                <w:szCs w:val="18"/>
              </w:rPr>
            </w:pPr>
          </w:p>
        </w:tc>
        <w:tc>
          <w:tcPr>
            <w:tcW w:w="672" w:type="dxa"/>
            <w:noWrap w:val="0"/>
            <w:vAlign w:val="center"/>
          </w:tcPr>
          <w:p>
            <w:pPr>
              <w:jc w:val="center"/>
              <w:rPr>
                <w:color w:val="000000"/>
                <w:sz w:val="18"/>
                <w:szCs w:val="18"/>
              </w:rPr>
            </w:pPr>
          </w:p>
        </w:tc>
        <w:tc>
          <w:tcPr>
            <w:tcW w:w="576" w:type="dxa"/>
            <w:noWrap w:val="0"/>
            <w:vAlign w:val="center"/>
          </w:tcPr>
          <w:p>
            <w:pPr>
              <w:jc w:val="center"/>
              <w:rPr>
                <w:color w:val="000000"/>
                <w:sz w:val="18"/>
                <w:szCs w:val="18"/>
              </w:rPr>
            </w:pPr>
          </w:p>
        </w:tc>
        <w:tc>
          <w:tcPr>
            <w:tcW w:w="576" w:type="dxa"/>
            <w:noWrap w:val="0"/>
            <w:vAlign w:val="center"/>
          </w:tcPr>
          <w:p>
            <w:pPr>
              <w:jc w:val="center"/>
              <w:rPr>
                <w:color w:val="000000"/>
                <w:sz w:val="18"/>
                <w:szCs w:val="18"/>
              </w:rPr>
            </w:pPr>
          </w:p>
        </w:tc>
        <w:tc>
          <w:tcPr>
            <w:tcW w:w="576" w:type="dxa"/>
            <w:noWrap w:val="0"/>
            <w:vAlign w:val="center"/>
          </w:tcPr>
          <w:p>
            <w:pPr>
              <w:jc w:val="center"/>
              <w:rPr>
                <w:color w:val="000000"/>
                <w:sz w:val="18"/>
                <w:szCs w:val="18"/>
              </w:rPr>
            </w:pPr>
          </w:p>
        </w:tc>
        <w:tc>
          <w:tcPr>
            <w:tcW w:w="811" w:type="dxa"/>
            <w:noWrap w:val="0"/>
            <w:vAlign w:val="center"/>
          </w:tcPr>
          <w:p>
            <w:pPr>
              <w:jc w:val="center"/>
              <w:rPr>
                <w:color w:val="000000"/>
                <w:sz w:val="18"/>
                <w:szCs w:val="18"/>
              </w:rPr>
            </w:pPr>
          </w:p>
        </w:tc>
        <w:tc>
          <w:tcPr>
            <w:tcW w:w="638" w:type="dxa"/>
            <w:noWrap w:val="0"/>
            <w:vAlign w:val="center"/>
          </w:tcPr>
          <w:p>
            <w:pPr>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3" w:type="dxa"/>
            <w:noWrap w:val="0"/>
            <w:vAlign w:val="center"/>
          </w:tcPr>
          <w:p>
            <w:pPr>
              <w:jc w:val="center"/>
              <w:rPr>
                <w:color w:val="000000"/>
                <w:sz w:val="18"/>
                <w:szCs w:val="18"/>
              </w:rPr>
            </w:pPr>
          </w:p>
        </w:tc>
        <w:tc>
          <w:tcPr>
            <w:tcW w:w="789" w:type="dxa"/>
            <w:noWrap w:val="0"/>
            <w:vAlign w:val="center"/>
          </w:tcPr>
          <w:p>
            <w:pPr>
              <w:jc w:val="center"/>
              <w:rPr>
                <w:color w:val="000000"/>
                <w:sz w:val="18"/>
                <w:szCs w:val="18"/>
              </w:rPr>
            </w:pPr>
          </w:p>
        </w:tc>
        <w:tc>
          <w:tcPr>
            <w:tcW w:w="707" w:type="dxa"/>
            <w:noWrap w:val="0"/>
            <w:vAlign w:val="center"/>
          </w:tcPr>
          <w:p>
            <w:pPr>
              <w:jc w:val="center"/>
              <w:rPr>
                <w:color w:val="000000"/>
                <w:sz w:val="18"/>
                <w:szCs w:val="18"/>
              </w:rPr>
            </w:pPr>
          </w:p>
        </w:tc>
        <w:tc>
          <w:tcPr>
            <w:tcW w:w="672" w:type="dxa"/>
            <w:noWrap w:val="0"/>
            <w:vAlign w:val="center"/>
          </w:tcPr>
          <w:p>
            <w:pPr>
              <w:jc w:val="center"/>
              <w:rPr>
                <w:color w:val="000000"/>
                <w:sz w:val="18"/>
                <w:szCs w:val="18"/>
              </w:rPr>
            </w:pPr>
          </w:p>
        </w:tc>
        <w:tc>
          <w:tcPr>
            <w:tcW w:w="672" w:type="dxa"/>
            <w:noWrap w:val="0"/>
            <w:vAlign w:val="center"/>
          </w:tcPr>
          <w:p>
            <w:pPr>
              <w:jc w:val="center"/>
              <w:rPr>
                <w:color w:val="000000"/>
                <w:sz w:val="18"/>
                <w:szCs w:val="18"/>
              </w:rPr>
            </w:pPr>
          </w:p>
        </w:tc>
        <w:tc>
          <w:tcPr>
            <w:tcW w:w="672" w:type="dxa"/>
            <w:noWrap w:val="0"/>
            <w:vAlign w:val="center"/>
          </w:tcPr>
          <w:p>
            <w:pPr>
              <w:jc w:val="center"/>
              <w:rPr>
                <w:color w:val="000000"/>
                <w:sz w:val="18"/>
                <w:szCs w:val="18"/>
              </w:rPr>
            </w:pPr>
          </w:p>
        </w:tc>
        <w:tc>
          <w:tcPr>
            <w:tcW w:w="672" w:type="dxa"/>
            <w:noWrap w:val="0"/>
            <w:vAlign w:val="center"/>
          </w:tcPr>
          <w:p>
            <w:pPr>
              <w:jc w:val="center"/>
              <w:rPr>
                <w:color w:val="000000"/>
                <w:sz w:val="18"/>
                <w:szCs w:val="18"/>
              </w:rPr>
            </w:pPr>
          </w:p>
        </w:tc>
        <w:tc>
          <w:tcPr>
            <w:tcW w:w="672" w:type="dxa"/>
            <w:noWrap w:val="0"/>
            <w:vAlign w:val="center"/>
          </w:tcPr>
          <w:p>
            <w:pPr>
              <w:jc w:val="center"/>
              <w:rPr>
                <w:color w:val="000000"/>
                <w:sz w:val="18"/>
                <w:szCs w:val="18"/>
              </w:rPr>
            </w:pPr>
          </w:p>
        </w:tc>
        <w:tc>
          <w:tcPr>
            <w:tcW w:w="672" w:type="dxa"/>
            <w:noWrap w:val="0"/>
            <w:vAlign w:val="center"/>
          </w:tcPr>
          <w:p>
            <w:pPr>
              <w:jc w:val="center"/>
              <w:rPr>
                <w:color w:val="000000"/>
                <w:sz w:val="18"/>
                <w:szCs w:val="18"/>
              </w:rPr>
            </w:pPr>
          </w:p>
        </w:tc>
        <w:tc>
          <w:tcPr>
            <w:tcW w:w="576" w:type="dxa"/>
            <w:noWrap w:val="0"/>
            <w:vAlign w:val="center"/>
          </w:tcPr>
          <w:p>
            <w:pPr>
              <w:jc w:val="center"/>
              <w:rPr>
                <w:color w:val="000000"/>
                <w:sz w:val="18"/>
                <w:szCs w:val="18"/>
              </w:rPr>
            </w:pPr>
          </w:p>
        </w:tc>
        <w:tc>
          <w:tcPr>
            <w:tcW w:w="576" w:type="dxa"/>
            <w:noWrap w:val="0"/>
            <w:vAlign w:val="center"/>
          </w:tcPr>
          <w:p>
            <w:pPr>
              <w:jc w:val="center"/>
              <w:rPr>
                <w:color w:val="000000"/>
                <w:sz w:val="18"/>
                <w:szCs w:val="18"/>
              </w:rPr>
            </w:pPr>
          </w:p>
        </w:tc>
        <w:tc>
          <w:tcPr>
            <w:tcW w:w="576" w:type="dxa"/>
            <w:noWrap w:val="0"/>
            <w:vAlign w:val="center"/>
          </w:tcPr>
          <w:p>
            <w:pPr>
              <w:jc w:val="center"/>
              <w:rPr>
                <w:color w:val="000000"/>
                <w:sz w:val="18"/>
                <w:szCs w:val="18"/>
              </w:rPr>
            </w:pPr>
          </w:p>
        </w:tc>
        <w:tc>
          <w:tcPr>
            <w:tcW w:w="811" w:type="dxa"/>
            <w:noWrap w:val="0"/>
            <w:vAlign w:val="center"/>
          </w:tcPr>
          <w:p>
            <w:pPr>
              <w:jc w:val="center"/>
              <w:rPr>
                <w:color w:val="000000"/>
                <w:sz w:val="18"/>
                <w:szCs w:val="18"/>
              </w:rPr>
            </w:pPr>
          </w:p>
        </w:tc>
        <w:tc>
          <w:tcPr>
            <w:tcW w:w="638" w:type="dxa"/>
            <w:noWrap w:val="0"/>
            <w:vAlign w:val="center"/>
          </w:tcPr>
          <w:p>
            <w:pPr>
              <w:jc w:val="center"/>
              <w:rPr>
                <w:color w:val="000000"/>
                <w:sz w:val="18"/>
                <w:szCs w:val="18"/>
              </w:rPr>
            </w:pPr>
          </w:p>
        </w:tc>
      </w:tr>
    </w:tbl>
    <w:p>
      <w:pPr>
        <w:ind w:firstLine="1155" w:firstLineChars="550"/>
        <w:rPr>
          <w:bCs/>
          <w:color w:val="000000"/>
        </w:rPr>
      </w:pPr>
    </w:p>
    <w:p>
      <w:pPr>
        <w:ind w:firstLine="1155" w:firstLineChars="550"/>
        <w:rPr>
          <w:bCs/>
          <w:color w:val="000000"/>
        </w:rPr>
      </w:pPr>
    </w:p>
    <w:p>
      <w:pPr>
        <w:ind w:firstLine="1155" w:firstLineChars="550"/>
        <w:rPr>
          <w:bCs/>
          <w:color w:val="000000"/>
        </w:rPr>
      </w:pPr>
    </w:p>
    <w:p>
      <w:pPr>
        <w:spacing w:line="360" w:lineRule="auto"/>
        <w:ind w:left="2520" w:leftChars="1200" w:firstLine="1155" w:firstLineChars="550"/>
        <w:rPr>
          <w:color w:val="000000"/>
        </w:rPr>
      </w:pPr>
    </w:p>
    <w:p>
      <w:pPr>
        <w:spacing w:line="360" w:lineRule="auto"/>
        <w:ind w:left="2520" w:leftChars="1200" w:firstLine="1155" w:firstLineChars="550"/>
        <w:rPr>
          <w:color w:val="000000"/>
        </w:rPr>
        <w:sectPr>
          <w:pgSz w:w="11906" w:h="16838"/>
          <w:pgMar w:top="1701" w:right="1418" w:bottom="1701" w:left="1418" w:header="1021" w:footer="1021" w:gutter="0"/>
          <w:cols w:space="720" w:num="1"/>
          <w:docGrid w:linePitch="312" w:charSpace="0"/>
        </w:sectPr>
      </w:pPr>
    </w:p>
    <w:p>
      <w:pPr>
        <w:spacing w:line="490" w:lineRule="exact"/>
        <w:jc w:val="center"/>
        <w:rPr>
          <w:rFonts w:eastAsia="方正小标宋_GBK"/>
          <w:b/>
          <w:color w:val="000000"/>
          <w:sz w:val="40"/>
          <w:szCs w:val="44"/>
        </w:rPr>
      </w:pPr>
    </w:p>
    <w:p>
      <w:pPr>
        <w:spacing w:line="490" w:lineRule="exact"/>
        <w:jc w:val="center"/>
        <w:rPr>
          <w:rFonts w:hint="eastAsia" w:ascii="方正小标宋简体" w:eastAsia="方正小标宋简体"/>
          <w:color w:val="000000"/>
          <w:sz w:val="40"/>
          <w:szCs w:val="44"/>
        </w:rPr>
      </w:pPr>
      <w:r>
        <w:rPr>
          <w:rFonts w:hint="eastAsia" w:ascii="方正小标宋简体" w:eastAsia="方正小标宋简体"/>
          <w:color w:val="000000"/>
          <w:sz w:val="40"/>
          <w:szCs w:val="44"/>
        </w:rPr>
        <w:t>招标人供应材料价格汇总表</w:t>
      </w:r>
    </w:p>
    <w:p>
      <w:pPr>
        <w:spacing w:line="490" w:lineRule="exact"/>
        <w:jc w:val="center"/>
        <w:rPr>
          <w:rFonts w:eastAsia="方正小标宋_GBK"/>
          <w:b/>
          <w:color w:val="000000"/>
          <w:sz w:val="40"/>
          <w:szCs w:val="44"/>
        </w:rPr>
      </w:pPr>
    </w:p>
    <w:p>
      <w:pPr>
        <w:spacing w:line="490" w:lineRule="exact"/>
        <w:rPr>
          <w:rFonts w:eastAsia="仿宋_GB2312"/>
          <w:color w:val="000000"/>
          <w:sz w:val="28"/>
          <w:szCs w:val="28"/>
          <w:u w:val="single"/>
        </w:rPr>
      </w:pPr>
      <w:r>
        <w:rPr>
          <w:rFonts w:eastAsia="仿宋_GB2312"/>
          <w:color w:val="000000"/>
          <w:sz w:val="28"/>
          <w:szCs w:val="28"/>
        </w:rPr>
        <w:t>合同编号：</w:t>
      </w:r>
      <w:r>
        <w:rPr>
          <w:rFonts w:eastAsia="仿宋_GB2312"/>
          <w:color w:val="000000"/>
          <w:sz w:val="28"/>
          <w:szCs w:val="28"/>
          <w:u w:val="single"/>
        </w:rPr>
        <w:t xml:space="preserve">  （投标项目合同号）  </w:t>
      </w:r>
    </w:p>
    <w:p>
      <w:pPr>
        <w:spacing w:line="490" w:lineRule="exact"/>
        <w:rPr>
          <w:rFonts w:eastAsia="仿宋_GB2312"/>
          <w:color w:val="000000"/>
          <w:sz w:val="28"/>
          <w:szCs w:val="28"/>
        </w:rPr>
      </w:pPr>
      <w:r>
        <w:rPr>
          <w:rFonts w:eastAsia="仿宋_GB2312"/>
          <w:color w:val="000000"/>
          <w:sz w:val="28"/>
          <w:szCs w:val="28"/>
        </w:rPr>
        <w:t>工程名称：</w:t>
      </w:r>
      <w:r>
        <w:rPr>
          <w:rFonts w:eastAsia="仿宋_GB2312"/>
          <w:color w:val="000000"/>
          <w:sz w:val="28"/>
          <w:szCs w:val="28"/>
          <w:u w:val="single"/>
        </w:rPr>
        <w:t xml:space="preserve">          </w:t>
      </w:r>
      <w:r>
        <w:rPr>
          <w:rFonts w:eastAsia="仿宋_GB2312"/>
          <w:color w:val="000000"/>
          <w:sz w:val="28"/>
          <w:szCs w:val="28"/>
        </w:rPr>
        <w:t>（项目名称）</w:t>
      </w:r>
      <w:r>
        <w:rPr>
          <w:rFonts w:eastAsia="仿宋_GB2312"/>
          <w:color w:val="000000"/>
          <w:sz w:val="28"/>
          <w:szCs w:val="28"/>
          <w:u w:val="single"/>
        </w:rPr>
        <w:t xml:space="preserve">          </w:t>
      </w:r>
      <w:r>
        <w:rPr>
          <w:rFonts w:eastAsia="仿宋_GB2312"/>
          <w:color w:val="000000"/>
          <w:sz w:val="28"/>
          <w:szCs w:val="28"/>
        </w:rPr>
        <w:t>（标段名称）</w:t>
      </w:r>
    </w:p>
    <w:tbl>
      <w:tblPr>
        <w:tblStyle w:val="4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984"/>
        <w:gridCol w:w="1560"/>
        <w:gridCol w:w="1417"/>
        <w:gridCol w:w="1559"/>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noWrap w:val="0"/>
            <w:vAlign w:val="center"/>
          </w:tcPr>
          <w:p>
            <w:pPr>
              <w:jc w:val="center"/>
              <w:rPr>
                <w:rFonts w:eastAsia="仿宋"/>
                <w:color w:val="000000"/>
              </w:rPr>
            </w:pPr>
            <w:r>
              <w:rPr>
                <w:rFonts w:eastAsia="仿宋"/>
                <w:color w:val="000000"/>
              </w:rPr>
              <w:t>序号</w:t>
            </w:r>
          </w:p>
        </w:tc>
        <w:tc>
          <w:tcPr>
            <w:tcW w:w="1984" w:type="dxa"/>
            <w:noWrap w:val="0"/>
            <w:vAlign w:val="center"/>
          </w:tcPr>
          <w:p>
            <w:pPr>
              <w:jc w:val="center"/>
              <w:rPr>
                <w:rFonts w:eastAsia="仿宋"/>
                <w:color w:val="000000"/>
              </w:rPr>
            </w:pPr>
            <w:r>
              <w:rPr>
                <w:rFonts w:eastAsia="仿宋"/>
                <w:color w:val="000000"/>
              </w:rPr>
              <w:t>材料名称</w:t>
            </w:r>
          </w:p>
        </w:tc>
        <w:tc>
          <w:tcPr>
            <w:tcW w:w="1560" w:type="dxa"/>
            <w:noWrap w:val="0"/>
            <w:vAlign w:val="center"/>
          </w:tcPr>
          <w:p>
            <w:pPr>
              <w:jc w:val="center"/>
              <w:rPr>
                <w:rFonts w:eastAsia="仿宋"/>
                <w:color w:val="000000"/>
              </w:rPr>
            </w:pPr>
            <w:r>
              <w:rPr>
                <w:rFonts w:eastAsia="仿宋"/>
                <w:color w:val="000000"/>
              </w:rPr>
              <w:t>型号规格</w:t>
            </w:r>
          </w:p>
        </w:tc>
        <w:tc>
          <w:tcPr>
            <w:tcW w:w="1417" w:type="dxa"/>
            <w:noWrap w:val="0"/>
            <w:vAlign w:val="center"/>
          </w:tcPr>
          <w:p>
            <w:pPr>
              <w:jc w:val="center"/>
              <w:rPr>
                <w:rFonts w:eastAsia="仿宋"/>
                <w:color w:val="000000"/>
              </w:rPr>
            </w:pPr>
            <w:r>
              <w:rPr>
                <w:rFonts w:eastAsia="仿宋"/>
                <w:color w:val="000000"/>
              </w:rPr>
              <w:t>计量单位</w:t>
            </w:r>
          </w:p>
        </w:tc>
        <w:tc>
          <w:tcPr>
            <w:tcW w:w="1559" w:type="dxa"/>
            <w:noWrap w:val="0"/>
            <w:vAlign w:val="center"/>
          </w:tcPr>
          <w:p>
            <w:pPr>
              <w:jc w:val="center"/>
              <w:rPr>
                <w:rFonts w:eastAsia="仿宋"/>
                <w:color w:val="000000"/>
              </w:rPr>
            </w:pPr>
            <w:r>
              <w:rPr>
                <w:rFonts w:eastAsia="仿宋"/>
                <w:color w:val="000000"/>
              </w:rPr>
              <w:t>供应价格（元）</w:t>
            </w:r>
          </w:p>
        </w:tc>
        <w:tc>
          <w:tcPr>
            <w:tcW w:w="1701" w:type="dxa"/>
            <w:noWrap w:val="0"/>
            <w:vAlign w:val="center"/>
          </w:tcPr>
          <w:p>
            <w:pPr>
              <w:jc w:val="center"/>
              <w:rPr>
                <w:rFonts w:eastAsia="仿宋"/>
                <w:color w:val="000000"/>
              </w:rPr>
            </w:pPr>
            <w:r>
              <w:rPr>
                <w:rFonts w:eastAsia="仿宋"/>
                <w:color w:val="000000"/>
              </w:rPr>
              <w:t>预算价格（元）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noWrap w:val="0"/>
            <w:vAlign w:val="center"/>
          </w:tcPr>
          <w:p>
            <w:pPr>
              <w:jc w:val="center"/>
              <w:rPr>
                <w:rFonts w:eastAsia="仿宋"/>
                <w:color w:val="000000"/>
              </w:rPr>
            </w:pPr>
          </w:p>
        </w:tc>
        <w:tc>
          <w:tcPr>
            <w:tcW w:w="1984" w:type="dxa"/>
            <w:noWrap w:val="0"/>
            <w:vAlign w:val="center"/>
          </w:tcPr>
          <w:p>
            <w:pPr>
              <w:jc w:val="center"/>
              <w:rPr>
                <w:rFonts w:eastAsia="仿宋"/>
                <w:color w:val="000000"/>
              </w:rPr>
            </w:pPr>
          </w:p>
        </w:tc>
        <w:tc>
          <w:tcPr>
            <w:tcW w:w="1560" w:type="dxa"/>
            <w:noWrap w:val="0"/>
            <w:vAlign w:val="center"/>
          </w:tcPr>
          <w:p>
            <w:pPr>
              <w:jc w:val="center"/>
              <w:rPr>
                <w:rFonts w:eastAsia="仿宋"/>
                <w:color w:val="000000"/>
              </w:rPr>
            </w:pPr>
          </w:p>
        </w:tc>
        <w:tc>
          <w:tcPr>
            <w:tcW w:w="1417" w:type="dxa"/>
            <w:noWrap w:val="0"/>
            <w:vAlign w:val="center"/>
          </w:tcPr>
          <w:p>
            <w:pPr>
              <w:jc w:val="center"/>
              <w:rPr>
                <w:rFonts w:eastAsia="仿宋"/>
                <w:color w:val="000000"/>
              </w:rPr>
            </w:pPr>
          </w:p>
        </w:tc>
        <w:tc>
          <w:tcPr>
            <w:tcW w:w="1559" w:type="dxa"/>
            <w:noWrap w:val="0"/>
            <w:vAlign w:val="center"/>
          </w:tcPr>
          <w:p>
            <w:pPr>
              <w:jc w:val="center"/>
              <w:rPr>
                <w:rFonts w:eastAsia="仿宋"/>
                <w:color w:val="000000"/>
              </w:rPr>
            </w:pPr>
          </w:p>
        </w:tc>
        <w:tc>
          <w:tcPr>
            <w:tcW w:w="1701" w:type="dxa"/>
            <w:noWrap w:val="0"/>
            <w:vAlign w:val="center"/>
          </w:tcPr>
          <w:p>
            <w:pPr>
              <w:jc w:val="cente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noWrap w:val="0"/>
            <w:vAlign w:val="center"/>
          </w:tcPr>
          <w:p>
            <w:pPr>
              <w:jc w:val="center"/>
              <w:rPr>
                <w:color w:val="000000"/>
              </w:rPr>
            </w:pPr>
          </w:p>
        </w:tc>
        <w:tc>
          <w:tcPr>
            <w:tcW w:w="1984" w:type="dxa"/>
            <w:noWrap w:val="0"/>
            <w:vAlign w:val="center"/>
          </w:tcPr>
          <w:p>
            <w:pPr>
              <w:jc w:val="center"/>
              <w:rPr>
                <w:color w:val="000000"/>
              </w:rPr>
            </w:pPr>
          </w:p>
        </w:tc>
        <w:tc>
          <w:tcPr>
            <w:tcW w:w="1560" w:type="dxa"/>
            <w:noWrap w:val="0"/>
            <w:vAlign w:val="center"/>
          </w:tcPr>
          <w:p>
            <w:pPr>
              <w:jc w:val="center"/>
              <w:rPr>
                <w:color w:val="000000"/>
              </w:rPr>
            </w:pPr>
          </w:p>
        </w:tc>
        <w:tc>
          <w:tcPr>
            <w:tcW w:w="1417" w:type="dxa"/>
            <w:noWrap w:val="0"/>
            <w:vAlign w:val="center"/>
          </w:tcPr>
          <w:p>
            <w:pPr>
              <w:jc w:val="center"/>
              <w:rPr>
                <w:color w:val="000000"/>
              </w:rPr>
            </w:pPr>
          </w:p>
        </w:tc>
        <w:tc>
          <w:tcPr>
            <w:tcW w:w="1559" w:type="dxa"/>
            <w:noWrap w:val="0"/>
            <w:vAlign w:val="center"/>
          </w:tcPr>
          <w:p>
            <w:pPr>
              <w:jc w:val="center"/>
              <w:rPr>
                <w:color w:val="000000"/>
              </w:rPr>
            </w:pPr>
          </w:p>
        </w:tc>
        <w:tc>
          <w:tcPr>
            <w:tcW w:w="1701"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noWrap w:val="0"/>
            <w:vAlign w:val="center"/>
          </w:tcPr>
          <w:p>
            <w:pPr>
              <w:jc w:val="center"/>
              <w:rPr>
                <w:color w:val="000000"/>
              </w:rPr>
            </w:pPr>
          </w:p>
        </w:tc>
        <w:tc>
          <w:tcPr>
            <w:tcW w:w="1984" w:type="dxa"/>
            <w:noWrap w:val="0"/>
            <w:vAlign w:val="center"/>
          </w:tcPr>
          <w:p>
            <w:pPr>
              <w:jc w:val="center"/>
              <w:rPr>
                <w:color w:val="000000"/>
              </w:rPr>
            </w:pPr>
          </w:p>
        </w:tc>
        <w:tc>
          <w:tcPr>
            <w:tcW w:w="1560" w:type="dxa"/>
            <w:noWrap w:val="0"/>
            <w:vAlign w:val="center"/>
          </w:tcPr>
          <w:p>
            <w:pPr>
              <w:jc w:val="center"/>
              <w:rPr>
                <w:color w:val="000000"/>
              </w:rPr>
            </w:pPr>
          </w:p>
        </w:tc>
        <w:tc>
          <w:tcPr>
            <w:tcW w:w="1417" w:type="dxa"/>
            <w:noWrap w:val="0"/>
            <w:vAlign w:val="center"/>
          </w:tcPr>
          <w:p>
            <w:pPr>
              <w:jc w:val="center"/>
              <w:rPr>
                <w:color w:val="000000"/>
              </w:rPr>
            </w:pPr>
          </w:p>
        </w:tc>
        <w:tc>
          <w:tcPr>
            <w:tcW w:w="1559" w:type="dxa"/>
            <w:noWrap w:val="0"/>
            <w:vAlign w:val="center"/>
          </w:tcPr>
          <w:p>
            <w:pPr>
              <w:jc w:val="center"/>
              <w:rPr>
                <w:color w:val="000000"/>
              </w:rPr>
            </w:pPr>
          </w:p>
        </w:tc>
        <w:tc>
          <w:tcPr>
            <w:tcW w:w="1701"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noWrap w:val="0"/>
            <w:vAlign w:val="center"/>
          </w:tcPr>
          <w:p>
            <w:pPr>
              <w:jc w:val="center"/>
              <w:rPr>
                <w:color w:val="000000"/>
              </w:rPr>
            </w:pPr>
          </w:p>
        </w:tc>
        <w:tc>
          <w:tcPr>
            <w:tcW w:w="1984" w:type="dxa"/>
            <w:noWrap w:val="0"/>
            <w:vAlign w:val="center"/>
          </w:tcPr>
          <w:p>
            <w:pPr>
              <w:jc w:val="center"/>
              <w:rPr>
                <w:color w:val="000000"/>
              </w:rPr>
            </w:pPr>
          </w:p>
        </w:tc>
        <w:tc>
          <w:tcPr>
            <w:tcW w:w="1560" w:type="dxa"/>
            <w:noWrap w:val="0"/>
            <w:vAlign w:val="center"/>
          </w:tcPr>
          <w:p>
            <w:pPr>
              <w:jc w:val="center"/>
              <w:rPr>
                <w:color w:val="000000"/>
              </w:rPr>
            </w:pPr>
          </w:p>
        </w:tc>
        <w:tc>
          <w:tcPr>
            <w:tcW w:w="1417" w:type="dxa"/>
            <w:noWrap w:val="0"/>
            <w:vAlign w:val="center"/>
          </w:tcPr>
          <w:p>
            <w:pPr>
              <w:jc w:val="center"/>
              <w:rPr>
                <w:color w:val="000000"/>
              </w:rPr>
            </w:pPr>
          </w:p>
        </w:tc>
        <w:tc>
          <w:tcPr>
            <w:tcW w:w="1559" w:type="dxa"/>
            <w:noWrap w:val="0"/>
            <w:vAlign w:val="center"/>
          </w:tcPr>
          <w:p>
            <w:pPr>
              <w:jc w:val="center"/>
              <w:rPr>
                <w:color w:val="000000"/>
              </w:rPr>
            </w:pPr>
          </w:p>
        </w:tc>
        <w:tc>
          <w:tcPr>
            <w:tcW w:w="1701"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noWrap w:val="0"/>
            <w:vAlign w:val="center"/>
          </w:tcPr>
          <w:p>
            <w:pPr>
              <w:jc w:val="center"/>
              <w:rPr>
                <w:color w:val="000000"/>
              </w:rPr>
            </w:pPr>
          </w:p>
        </w:tc>
        <w:tc>
          <w:tcPr>
            <w:tcW w:w="1984" w:type="dxa"/>
            <w:noWrap w:val="0"/>
            <w:vAlign w:val="center"/>
          </w:tcPr>
          <w:p>
            <w:pPr>
              <w:jc w:val="center"/>
              <w:rPr>
                <w:color w:val="000000"/>
              </w:rPr>
            </w:pPr>
          </w:p>
        </w:tc>
        <w:tc>
          <w:tcPr>
            <w:tcW w:w="1560" w:type="dxa"/>
            <w:noWrap w:val="0"/>
            <w:vAlign w:val="center"/>
          </w:tcPr>
          <w:p>
            <w:pPr>
              <w:jc w:val="center"/>
              <w:rPr>
                <w:color w:val="000000"/>
              </w:rPr>
            </w:pPr>
          </w:p>
        </w:tc>
        <w:tc>
          <w:tcPr>
            <w:tcW w:w="1417" w:type="dxa"/>
            <w:noWrap w:val="0"/>
            <w:vAlign w:val="center"/>
          </w:tcPr>
          <w:p>
            <w:pPr>
              <w:jc w:val="center"/>
              <w:rPr>
                <w:color w:val="000000"/>
              </w:rPr>
            </w:pPr>
          </w:p>
        </w:tc>
        <w:tc>
          <w:tcPr>
            <w:tcW w:w="1559" w:type="dxa"/>
            <w:noWrap w:val="0"/>
            <w:vAlign w:val="center"/>
          </w:tcPr>
          <w:p>
            <w:pPr>
              <w:jc w:val="center"/>
              <w:rPr>
                <w:color w:val="000000"/>
              </w:rPr>
            </w:pPr>
          </w:p>
        </w:tc>
        <w:tc>
          <w:tcPr>
            <w:tcW w:w="1701"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noWrap w:val="0"/>
            <w:vAlign w:val="center"/>
          </w:tcPr>
          <w:p>
            <w:pPr>
              <w:jc w:val="center"/>
              <w:rPr>
                <w:color w:val="000000"/>
              </w:rPr>
            </w:pPr>
          </w:p>
        </w:tc>
        <w:tc>
          <w:tcPr>
            <w:tcW w:w="1984" w:type="dxa"/>
            <w:noWrap w:val="0"/>
            <w:vAlign w:val="center"/>
          </w:tcPr>
          <w:p>
            <w:pPr>
              <w:jc w:val="center"/>
              <w:rPr>
                <w:color w:val="000000"/>
              </w:rPr>
            </w:pPr>
          </w:p>
        </w:tc>
        <w:tc>
          <w:tcPr>
            <w:tcW w:w="1560" w:type="dxa"/>
            <w:noWrap w:val="0"/>
            <w:vAlign w:val="center"/>
          </w:tcPr>
          <w:p>
            <w:pPr>
              <w:jc w:val="center"/>
              <w:rPr>
                <w:color w:val="000000"/>
              </w:rPr>
            </w:pPr>
          </w:p>
        </w:tc>
        <w:tc>
          <w:tcPr>
            <w:tcW w:w="1417" w:type="dxa"/>
            <w:noWrap w:val="0"/>
            <w:vAlign w:val="center"/>
          </w:tcPr>
          <w:p>
            <w:pPr>
              <w:jc w:val="center"/>
              <w:rPr>
                <w:color w:val="000000"/>
              </w:rPr>
            </w:pPr>
          </w:p>
        </w:tc>
        <w:tc>
          <w:tcPr>
            <w:tcW w:w="1559" w:type="dxa"/>
            <w:noWrap w:val="0"/>
            <w:vAlign w:val="center"/>
          </w:tcPr>
          <w:p>
            <w:pPr>
              <w:jc w:val="center"/>
              <w:rPr>
                <w:color w:val="000000"/>
              </w:rPr>
            </w:pPr>
          </w:p>
        </w:tc>
        <w:tc>
          <w:tcPr>
            <w:tcW w:w="1701"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noWrap w:val="0"/>
            <w:vAlign w:val="center"/>
          </w:tcPr>
          <w:p>
            <w:pPr>
              <w:jc w:val="center"/>
              <w:rPr>
                <w:color w:val="000000"/>
              </w:rPr>
            </w:pPr>
          </w:p>
        </w:tc>
        <w:tc>
          <w:tcPr>
            <w:tcW w:w="1984" w:type="dxa"/>
            <w:noWrap w:val="0"/>
            <w:vAlign w:val="center"/>
          </w:tcPr>
          <w:p>
            <w:pPr>
              <w:jc w:val="center"/>
              <w:rPr>
                <w:color w:val="000000"/>
              </w:rPr>
            </w:pPr>
          </w:p>
        </w:tc>
        <w:tc>
          <w:tcPr>
            <w:tcW w:w="1560" w:type="dxa"/>
            <w:noWrap w:val="0"/>
            <w:vAlign w:val="center"/>
          </w:tcPr>
          <w:p>
            <w:pPr>
              <w:jc w:val="center"/>
              <w:rPr>
                <w:color w:val="000000"/>
              </w:rPr>
            </w:pPr>
          </w:p>
        </w:tc>
        <w:tc>
          <w:tcPr>
            <w:tcW w:w="1417" w:type="dxa"/>
            <w:noWrap w:val="0"/>
            <w:vAlign w:val="center"/>
          </w:tcPr>
          <w:p>
            <w:pPr>
              <w:jc w:val="center"/>
              <w:rPr>
                <w:color w:val="000000"/>
              </w:rPr>
            </w:pPr>
          </w:p>
        </w:tc>
        <w:tc>
          <w:tcPr>
            <w:tcW w:w="1559" w:type="dxa"/>
            <w:noWrap w:val="0"/>
            <w:vAlign w:val="center"/>
          </w:tcPr>
          <w:p>
            <w:pPr>
              <w:jc w:val="center"/>
              <w:rPr>
                <w:color w:val="000000"/>
              </w:rPr>
            </w:pPr>
          </w:p>
        </w:tc>
        <w:tc>
          <w:tcPr>
            <w:tcW w:w="1701"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noWrap w:val="0"/>
            <w:vAlign w:val="center"/>
          </w:tcPr>
          <w:p>
            <w:pPr>
              <w:jc w:val="center"/>
              <w:rPr>
                <w:color w:val="000000"/>
              </w:rPr>
            </w:pPr>
          </w:p>
        </w:tc>
        <w:tc>
          <w:tcPr>
            <w:tcW w:w="1984" w:type="dxa"/>
            <w:noWrap w:val="0"/>
            <w:vAlign w:val="center"/>
          </w:tcPr>
          <w:p>
            <w:pPr>
              <w:jc w:val="center"/>
              <w:rPr>
                <w:color w:val="000000"/>
              </w:rPr>
            </w:pPr>
          </w:p>
        </w:tc>
        <w:tc>
          <w:tcPr>
            <w:tcW w:w="1560" w:type="dxa"/>
            <w:noWrap w:val="0"/>
            <w:vAlign w:val="center"/>
          </w:tcPr>
          <w:p>
            <w:pPr>
              <w:jc w:val="center"/>
              <w:rPr>
                <w:color w:val="000000"/>
              </w:rPr>
            </w:pPr>
          </w:p>
        </w:tc>
        <w:tc>
          <w:tcPr>
            <w:tcW w:w="1417" w:type="dxa"/>
            <w:noWrap w:val="0"/>
            <w:vAlign w:val="center"/>
          </w:tcPr>
          <w:p>
            <w:pPr>
              <w:jc w:val="center"/>
              <w:rPr>
                <w:color w:val="000000"/>
              </w:rPr>
            </w:pPr>
          </w:p>
        </w:tc>
        <w:tc>
          <w:tcPr>
            <w:tcW w:w="1559" w:type="dxa"/>
            <w:noWrap w:val="0"/>
            <w:vAlign w:val="center"/>
          </w:tcPr>
          <w:p>
            <w:pPr>
              <w:jc w:val="center"/>
              <w:rPr>
                <w:color w:val="000000"/>
              </w:rPr>
            </w:pPr>
          </w:p>
        </w:tc>
        <w:tc>
          <w:tcPr>
            <w:tcW w:w="1701"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noWrap w:val="0"/>
            <w:vAlign w:val="center"/>
          </w:tcPr>
          <w:p>
            <w:pPr>
              <w:jc w:val="center"/>
              <w:rPr>
                <w:color w:val="000000"/>
              </w:rPr>
            </w:pPr>
          </w:p>
        </w:tc>
        <w:tc>
          <w:tcPr>
            <w:tcW w:w="1984" w:type="dxa"/>
            <w:noWrap w:val="0"/>
            <w:vAlign w:val="center"/>
          </w:tcPr>
          <w:p>
            <w:pPr>
              <w:jc w:val="center"/>
              <w:rPr>
                <w:color w:val="000000"/>
              </w:rPr>
            </w:pPr>
          </w:p>
        </w:tc>
        <w:tc>
          <w:tcPr>
            <w:tcW w:w="1560" w:type="dxa"/>
            <w:noWrap w:val="0"/>
            <w:vAlign w:val="center"/>
          </w:tcPr>
          <w:p>
            <w:pPr>
              <w:jc w:val="center"/>
              <w:rPr>
                <w:color w:val="000000"/>
              </w:rPr>
            </w:pPr>
          </w:p>
        </w:tc>
        <w:tc>
          <w:tcPr>
            <w:tcW w:w="1417" w:type="dxa"/>
            <w:noWrap w:val="0"/>
            <w:vAlign w:val="center"/>
          </w:tcPr>
          <w:p>
            <w:pPr>
              <w:jc w:val="center"/>
              <w:rPr>
                <w:color w:val="000000"/>
              </w:rPr>
            </w:pPr>
          </w:p>
        </w:tc>
        <w:tc>
          <w:tcPr>
            <w:tcW w:w="1559" w:type="dxa"/>
            <w:noWrap w:val="0"/>
            <w:vAlign w:val="center"/>
          </w:tcPr>
          <w:p>
            <w:pPr>
              <w:jc w:val="center"/>
              <w:rPr>
                <w:color w:val="000000"/>
              </w:rPr>
            </w:pPr>
          </w:p>
        </w:tc>
        <w:tc>
          <w:tcPr>
            <w:tcW w:w="1701"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noWrap w:val="0"/>
            <w:vAlign w:val="center"/>
          </w:tcPr>
          <w:p>
            <w:pPr>
              <w:jc w:val="center"/>
              <w:rPr>
                <w:color w:val="000000"/>
              </w:rPr>
            </w:pPr>
          </w:p>
        </w:tc>
        <w:tc>
          <w:tcPr>
            <w:tcW w:w="1984" w:type="dxa"/>
            <w:noWrap w:val="0"/>
            <w:vAlign w:val="center"/>
          </w:tcPr>
          <w:p>
            <w:pPr>
              <w:jc w:val="center"/>
              <w:rPr>
                <w:color w:val="000000"/>
              </w:rPr>
            </w:pPr>
          </w:p>
        </w:tc>
        <w:tc>
          <w:tcPr>
            <w:tcW w:w="1560" w:type="dxa"/>
            <w:noWrap w:val="0"/>
            <w:vAlign w:val="center"/>
          </w:tcPr>
          <w:p>
            <w:pPr>
              <w:jc w:val="center"/>
              <w:rPr>
                <w:color w:val="000000"/>
              </w:rPr>
            </w:pPr>
          </w:p>
        </w:tc>
        <w:tc>
          <w:tcPr>
            <w:tcW w:w="1417" w:type="dxa"/>
            <w:noWrap w:val="0"/>
            <w:vAlign w:val="center"/>
          </w:tcPr>
          <w:p>
            <w:pPr>
              <w:jc w:val="center"/>
              <w:rPr>
                <w:color w:val="000000"/>
              </w:rPr>
            </w:pPr>
          </w:p>
        </w:tc>
        <w:tc>
          <w:tcPr>
            <w:tcW w:w="1559" w:type="dxa"/>
            <w:noWrap w:val="0"/>
            <w:vAlign w:val="center"/>
          </w:tcPr>
          <w:p>
            <w:pPr>
              <w:jc w:val="center"/>
              <w:rPr>
                <w:color w:val="000000"/>
              </w:rPr>
            </w:pPr>
          </w:p>
        </w:tc>
        <w:tc>
          <w:tcPr>
            <w:tcW w:w="1701"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noWrap w:val="0"/>
            <w:vAlign w:val="center"/>
          </w:tcPr>
          <w:p>
            <w:pPr>
              <w:jc w:val="center"/>
              <w:rPr>
                <w:color w:val="000000"/>
              </w:rPr>
            </w:pPr>
          </w:p>
        </w:tc>
        <w:tc>
          <w:tcPr>
            <w:tcW w:w="1984" w:type="dxa"/>
            <w:noWrap w:val="0"/>
            <w:vAlign w:val="center"/>
          </w:tcPr>
          <w:p>
            <w:pPr>
              <w:jc w:val="center"/>
              <w:rPr>
                <w:color w:val="000000"/>
              </w:rPr>
            </w:pPr>
          </w:p>
        </w:tc>
        <w:tc>
          <w:tcPr>
            <w:tcW w:w="1560" w:type="dxa"/>
            <w:noWrap w:val="0"/>
            <w:vAlign w:val="center"/>
          </w:tcPr>
          <w:p>
            <w:pPr>
              <w:jc w:val="center"/>
              <w:rPr>
                <w:color w:val="000000"/>
              </w:rPr>
            </w:pPr>
          </w:p>
        </w:tc>
        <w:tc>
          <w:tcPr>
            <w:tcW w:w="1417" w:type="dxa"/>
            <w:noWrap w:val="0"/>
            <w:vAlign w:val="center"/>
          </w:tcPr>
          <w:p>
            <w:pPr>
              <w:jc w:val="center"/>
              <w:rPr>
                <w:color w:val="000000"/>
              </w:rPr>
            </w:pPr>
          </w:p>
        </w:tc>
        <w:tc>
          <w:tcPr>
            <w:tcW w:w="1559" w:type="dxa"/>
            <w:noWrap w:val="0"/>
            <w:vAlign w:val="center"/>
          </w:tcPr>
          <w:p>
            <w:pPr>
              <w:jc w:val="center"/>
              <w:rPr>
                <w:color w:val="000000"/>
              </w:rPr>
            </w:pPr>
          </w:p>
        </w:tc>
        <w:tc>
          <w:tcPr>
            <w:tcW w:w="1701"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noWrap w:val="0"/>
            <w:vAlign w:val="center"/>
          </w:tcPr>
          <w:p>
            <w:pPr>
              <w:jc w:val="center"/>
              <w:rPr>
                <w:color w:val="000000"/>
              </w:rPr>
            </w:pPr>
          </w:p>
        </w:tc>
        <w:tc>
          <w:tcPr>
            <w:tcW w:w="1984" w:type="dxa"/>
            <w:noWrap w:val="0"/>
            <w:vAlign w:val="center"/>
          </w:tcPr>
          <w:p>
            <w:pPr>
              <w:jc w:val="center"/>
              <w:rPr>
                <w:color w:val="000000"/>
              </w:rPr>
            </w:pPr>
          </w:p>
        </w:tc>
        <w:tc>
          <w:tcPr>
            <w:tcW w:w="1560" w:type="dxa"/>
            <w:noWrap w:val="0"/>
            <w:vAlign w:val="center"/>
          </w:tcPr>
          <w:p>
            <w:pPr>
              <w:jc w:val="center"/>
              <w:rPr>
                <w:color w:val="000000"/>
              </w:rPr>
            </w:pPr>
          </w:p>
        </w:tc>
        <w:tc>
          <w:tcPr>
            <w:tcW w:w="1417" w:type="dxa"/>
            <w:noWrap w:val="0"/>
            <w:vAlign w:val="center"/>
          </w:tcPr>
          <w:p>
            <w:pPr>
              <w:jc w:val="center"/>
              <w:rPr>
                <w:color w:val="000000"/>
              </w:rPr>
            </w:pPr>
          </w:p>
        </w:tc>
        <w:tc>
          <w:tcPr>
            <w:tcW w:w="1559" w:type="dxa"/>
            <w:noWrap w:val="0"/>
            <w:vAlign w:val="center"/>
          </w:tcPr>
          <w:p>
            <w:pPr>
              <w:jc w:val="center"/>
              <w:rPr>
                <w:color w:val="000000"/>
              </w:rPr>
            </w:pPr>
          </w:p>
        </w:tc>
        <w:tc>
          <w:tcPr>
            <w:tcW w:w="1701"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noWrap w:val="0"/>
            <w:vAlign w:val="center"/>
          </w:tcPr>
          <w:p>
            <w:pPr>
              <w:jc w:val="center"/>
              <w:rPr>
                <w:color w:val="000000"/>
              </w:rPr>
            </w:pPr>
          </w:p>
        </w:tc>
        <w:tc>
          <w:tcPr>
            <w:tcW w:w="1984" w:type="dxa"/>
            <w:noWrap w:val="0"/>
            <w:vAlign w:val="center"/>
          </w:tcPr>
          <w:p>
            <w:pPr>
              <w:jc w:val="center"/>
              <w:rPr>
                <w:color w:val="000000"/>
              </w:rPr>
            </w:pPr>
          </w:p>
        </w:tc>
        <w:tc>
          <w:tcPr>
            <w:tcW w:w="1560" w:type="dxa"/>
            <w:noWrap w:val="0"/>
            <w:vAlign w:val="center"/>
          </w:tcPr>
          <w:p>
            <w:pPr>
              <w:jc w:val="center"/>
              <w:rPr>
                <w:color w:val="000000"/>
              </w:rPr>
            </w:pPr>
          </w:p>
        </w:tc>
        <w:tc>
          <w:tcPr>
            <w:tcW w:w="1417" w:type="dxa"/>
            <w:noWrap w:val="0"/>
            <w:vAlign w:val="center"/>
          </w:tcPr>
          <w:p>
            <w:pPr>
              <w:jc w:val="center"/>
              <w:rPr>
                <w:color w:val="000000"/>
              </w:rPr>
            </w:pPr>
          </w:p>
        </w:tc>
        <w:tc>
          <w:tcPr>
            <w:tcW w:w="1559" w:type="dxa"/>
            <w:noWrap w:val="0"/>
            <w:vAlign w:val="center"/>
          </w:tcPr>
          <w:p>
            <w:pPr>
              <w:jc w:val="center"/>
              <w:rPr>
                <w:color w:val="000000"/>
              </w:rPr>
            </w:pPr>
          </w:p>
        </w:tc>
        <w:tc>
          <w:tcPr>
            <w:tcW w:w="1701" w:type="dxa"/>
            <w:noWrap w:val="0"/>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noWrap w:val="0"/>
            <w:vAlign w:val="center"/>
          </w:tcPr>
          <w:p>
            <w:pPr>
              <w:jc w:val="center"/>
              <w:rPr>
                <w:color w:val="000000"/>
              </w:rPr>
            </w:pPr>
          </w:p>
        </w:tc>
        <w:tc>
          <w:tcPr>
            <w:tcW w:w="1984" w:type="dxa"/>
            <w:noWrap w:val="0"/>
            <w:vAlign w:val="center"/>
          </w:tcPr>
          <w:p>
            <w:pPr>
              <w:jc w:val="center"/>
              <w:rPr>
                <w:color w:val="000000"/>
              </w:rPr>
            </w:pPr>
          </w:p>
        </w:tc>
        <w:tc>
          <w:tcPr>
            <w:tcW w:w="1560" w:type="dxa"/>
            <w:noWrap w:val="0"/>
            <w:vAlign w:val="center"/>
          </w:tcPr>
          <w:p>
            <w:pPr>
              <w:jc w:val="center"/>
              <w:rPr>
                <w:color w:val="000000"/>
              </w:rPr>
            </w:pPr>
          </w:p>
        </w:tc>
        <w:tc>
          <w:tcPr>
            <w:tcW w:w="1417" w:type="dxa"/>
            <w:noWrap w:val="0"/>
            <w:vAlign w:val="center"/>
          </w:tcPr>
          <w:p>
            <w:pPr>
              <w:jc w:val="center"/>
              <w:rPr>
                <w:color w:val="000000"/>
              </w:rPr>
            </w:pPr>
          </w:p>
        </w:tc>
        <w:tc>
          <w:tcPr>
            <w:tcW w:w="1559" w:type="dxa"/>
            <w:noWrap w:val="0"/>
            <w:vAlign w:val="center"/>
          </w:tcPr>
          <w:p>
            <w:pPr>
              <w:jc w:val="center"/>
              <w:rPr>
                <w:color w:val="000000"/>
              </w:rPr>
            </w:pPr>
          </w:p>
        </w:tc>
        <w:tc>
          <w:tcPr>
            <w:tcW w:w="1701" w:type="dxa"/>
            <w:noWrap w:val="0"/>
            <w:vAlign w:val="center"/>
          </w:tcPr>
          <w:p>
            <w:pPr>
              <w:jc w:val="center"/>
              <w:rPr>
                <w:color w:val="000000"/>
              </w:rPr>
            </w:pPr>
          </w:p>
        </w:tc>
      </w:tr>
    </w:tbl>
    <w:p>
      <w:pPr>
        <w:rPr>
          <w:color w:val="000000"/>
        </w:rPr>
      </w:pPr>
    </w:p>
    <w:p>
      <w:pPr>
        <w:rPr>
          <w:color w:val="000000"/>
        </w:rPr>
      </w:pPr>
    </w:p>
    <w:p>
      <w:pPr>
        <w:ind w:firstLine="1155" w:firstLineChars="550"/>
        <w:rPr>
          <w:bCs/>
          <w:color w:val="000000"/>
        </w:rPr>
      </w:pPr>
    </w:p>
    <w:p>
      <w:pPr>
        <w:rPr>
          <w:color w:val="000000"/>
        </w:rPr>
      </w:pPr>
    </w:p>
    <w:p>
      <w:pPr>
        <w:rPr>
          <w:color w:val="000000"/>
        </w:rPr>
      </w:pPr>
    </w:p>
    <w:p>
      <w:pPr>
        <w:rPr>
          <w:color w:val="000000"/>
        </w:rPr>
      </w:pPr>
    </w:p>
    <w:p>
      <w:pPr>
        <w:rPr>
          <w:color w:val="000000"/>
        </w:rPr>
      </w:pPr>
    </w:p>
    <w:p>
      <w:pPr>
        <w:spacing w:line="490" w:lineRule="exact"/>
        <w:jc w:val="center"/>
        <w:rPr>
          <w:color w:val="000000"/>
          <w:sz w:val="20"/>
        </w:rPr>
      </w:pPr>
      <w:r>
        <w:rPr>
          <w:color w:val="000000"/>
        </w:rPr>
        <w:br w:type="page"/>
      </w:r>
    </w:p>
    <w:p>
      <w:pPr>
        <w:spacing w:line="490" w:lineRule="exact"/>
        <w:jc w:val="center"/>
        <w:rPr>
          <w:rFonts w:hint="eastAsia" w:ascii="方正小标宋简体" w:eastAsia="方正小标宋简体"/>
          <w:color w:val="000000"/>
          <w:sz w:val="40"/>
          <w:szCs w:val="44"/>
        </w:rPr>
      </w:pPr>
      <w:r>
        <w:rPr>
          <w:rFonts w:hint="eastAsia" w:ascii="方正小标宋简体" w:eastAsia="方正小标宋简体"/>
          <w:color w:val="000000"/>
          <w:sz w:val="40"/>
          <w:szCs w:val="44"/>
        </w:rPr>
        <w:t>投标人自行采购主要材料预算价格汇总表</w:t>
      </w:r>
    </w:p>
    <w:p>
      <w:pPr>
        <w:spacing w:line="490" w:lineRule="exact"/>
        <w:jc w:val="center"/>
        <w:rPr>
          <w:rFonts w:eastAsia="方正小标宋_GBK"/>
          <w:b/>
          <w:color w:val="000000"/>
          <w:sz w:val="40"/>
          <w:szCs w:val="44"/>
        </w:rPr>
      </w:pPr>
    </w:p>
    <w:p>
      <w:pPr>
        <w:spacing w:line="490" w:lineRule="exact"/>
        <w:rPr>
          <w:rFonts w:eastAsia="仿宋_GB2312"/>
          <w:color w:val="000000"/>
          <w:sz w:val="28"/>
          <w:szCs w:val="28"/>
          <w:u w:val="single"/>
        </w:rPr>
      </w:pPr>
      <w:r>
        <w:rPr>
          <w:rFonts w:eastAsia="仿宋_GB2312"/>
          <w:color w:val="000000"/>
          <w:sz w:val="28"/>
          <w:szCs w:val="28"/>
        </w:rPr>
        <w:t>合同编号：</w:t>
      </w:r>
      <w:r>
        <w:rPr>
          <w:rFonts w:eastAsia="仿宋_GB2312"/>
          <w:color w:val="000000"/>
          <w:sz w:val="28"/>
          <w:szCs w:val="28"/>
          <w:u w:val="single"/>
        </w:rPr>
        <w:t xml:space="preserve">  （投标项目合同号）  </w:t>
      </w:r>
    </w:p>
    <w:p>
      <w:pPr>
        <w:spacing w:line="490" w:lineRule="exact"/>
        <w:rPr>
          <w:rFonts w:eastAsia="仿宋_GB2312"/>
          <w:color w:val="000000"/>
          <w:sz w:val="28"/>
          <w:szCs w:val="28"/>
        </w:rPr>
      </w:pPr>
      <w:r>
        <w:rPr>
          <w:rFonts w:eastAsia="仿宋_GB2312"/>
          <w:color w:val="000000"/>
          <w:sz w:val="28"/>
          <w:szCs w:val="28"/>
        </w:rPr>
        <w:t>工程名称：</w:t>
      </w:r>
      <w:r>
        <w:rPr>
          <w:rFonts w:eastAsia="仿宋_GB2312"/>
          <w:color w:val="000000"/>
          <w:sz w:val="28"/>
          <w:szCs w:val="28"/>
          <w:u w:val="single"/>
        </w:rPr>
        <w:t xml:space="preserve">          </w:t>
      </w:r>
      <w:r>
        <w:rPr>
          <w:rFonts w:eastAsia="仿宋_GB2312"/>
          <w:color w:val="000000"/>
          <w:sz w:val="28"/>
          <w:szCs w:val="28"/>
        </w:rPr>
        <w:t>（项目名称）</w:t>
      </w:r>
      <w:r>
        <w:rPr>
          <w:rFonts w:eastAsia="仿宋_GB2312"/>
          <w:color w:val="000000"/>
          <w:sz w:val="28"/>
          <w:szCs w:val="28"/>
          <w:u w:val="single"/>
        </w:rPr>
        <w:t xml:space="preserve">          </w:t>
      </w:r>
      <w:r>
        <w:rPr>
          <w:rFonts w:eastAsia="仿宋_GB2312"/>
          <w:color w:val="000000"/>
          <w:sz w:val="28"/>
          <w:szCs w:val="28"/>
        </w:rPr>
        <w:t>（标段名称）</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1421"/>
        <w:gridCol w:w="1421"/>
        <w:gridCol w:w="1421"/>
        <w:gridCol w:w="1422"/>
        <w:gridCol w:w="1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1" w:type="dxa"/>
            <w:noWrap w:val="0"/>
            <w:vAlign w:val="center"/>
          </w:tcPr>
          <w:p>
            <w:pPr>
              <w:jc w:val="center"/>
              <w:rPr>
                <w:rFonts w:eastAsia="仿宋"/>
                <w:color w:val="000000"/>
              </w:rPr>
            </w:pPr>
            <w:r>
              <w:rPr>
                <w:rFonts w:eastAsia="仿宋"/>
                <w:color w:val="000000"/>
              </w:rPr>
              <w:t>序号</w:t>
            </w:r>
          </w:p>
        </w:tc>
        <w:tc>
          <w:tcPr>
            <w:tcW w:w="1421" w:type="dxa"/>
            <w:noWrap w:val="0"/>
            <w:vAlign w:val="center"/>
          </w:tcPr>
          <w:p>
            <w:pPr>
              <w:jc w:val="center"/>
              <w:rPr>
                <w:rFonts w:eastAsia="仿宋"/>
                <w:color w:val="000000"/>
              </w:rPr>
            </w:pPr>
            <w:r>
              <w:rPr>
                <w:rFonts w:eastAsia="仿宋"/>
                <w:color w:val="000000"/>
              </w:rPr>
              <w:t>材料</w:t>
            </w:r>
          </w:p>
          <w:p>
            <w:pPr>
              <w:jc w:val="center"/>
              <w:rPr>
                <w:rFonts w:eastAsia="仿宋"/>
                <w:color w:val="000000"/>
              </w:rPr>
            </w:pPr>
            <w:r>
              <w:rPr>
                <w:rFonts w:eastAsia="仿宋"/>
                <w:color w:val="000000"/>
              </w:rPr>
              <w:t>名称</w:t>
            </w:r>
          </w:p>
        </w:tc>
        <w:tc>
          <w:tcPr>
            <w:tcW w:w="1421" w:type="dxa"/>
            <w:noWrap w:val="0"/>
            <w:vAlign w:val="center"/>
          </w:tcPr>
          <w:p>
            <w:pPr>
              <w:jc w:val="center"/>
              <w:rPr>
                <w:rFonts w:eastAsia="仿宋"/>
                <w:color w:val="000000"/>
              </w:rPr>
            </w:pPr>
            <w:r>
              <w:rPr>
                <w:rFonts w:eastAsia="仿宋"/>
                <w:color w:val="000000"/>
              </w:rPr>
              <w:t>型号规格</w:t>
            </w:r>
          </w:p>
        </w:tc>
        <w:tc>
          <w:tcPr>
            <w:tcW w:w="1421" w:type="dxa"/>
            <w:noWrap w:val="0"/>
            <w:vAlign w:val="center"/>
          </w:tcPr>
          <w:p>
            <w:pPr>
              <w:jc w:val="center"/>
              <w:rPr>
                <w:rFonts w:eastAsia="仿宋"/>
                <w:color w:val="000000"/>
              </w:rPr>
            </w:pPr>
            <w:r>
              <w:rPr>
                <w:rFonts w:eastAsia="仿宋"/>
                <w:color w:val="000000"/>
              </w:rPr>
              <w:t>计量单位</w:t>
            </w:r>
          </w:p>
        </w:tc>
        <w:tc>
          <w:tcPr>
            <w:tcW w:w="1422" w:type="dxa"/>
            <w:noWrap w:val="0"/>
            <w:vAlign w:val="center"/>
          </w:tcPr>
          <w:p>
            <w:pPr>
              <w:jc w:val="center"/>
              <w:rPr>
                <w:rFonts w:eastAsia="仿宋"/>
                <w:color w:val="000000"/>
              </w:rPr>
            </w:pPr>
            <w:r>
              <w:rPr>
                <w:rFonts w:eastAsia="仿宋"/>
                <w:color w:val="000000"/>
              </w:rPr>
              <w:t>预算价格</w:t>
            </w:r>
          </w:p>
          <w:p>
            <w:pPr>
              <w:jc w:val="center"/>
              <w:rPr>
                <w:rFonts w:eastAsia="仿宋"/>
                <w:color w:val="000000"/>
              </w:rPr>
            </w:pPr>
            <w:r>
              <w:rPr>
                <w:rFonts w:eastAsia="仿宋"/>
                <w:color w:val="000000"/>
              </w:rPr>
              <w:t>（元）</w:t>
            </w:r>
          </w:p>
        </w:tc>
        <w:tc>
          <w:tcPr>
            <w:tcW w:w="1422" w:type="dxa"/>
            <w:noWrap w:val="0"/>
            <w:vAlign w:val="center"/>
          </w:tcPr>
          <w:p>
            <w:pPr>
              <w:jc w:val="center"/>
              <w:rPr>
                <w:rFonts w:eastAsia="仿宋"/>
                <w:color w:val="000000"/>
              </w:rPr>
            </w:pPr>
            <w:r>
              <w:rPr>
                <w:rFonts w:eastAsia="仿宋"/>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1" w:type="dxa"/>
            <w:noWrap w:val="0"/>
            <w:vAlign w:val="center"/>
          </w:tcPr>
          <w:p>
            <w:pPr>
              <w:rPr>
                <w:color w:val="000000"/>
              </w:rPr>
            </w:pPr>
          </w:p>
        </w:tc>
        <w:tc>
          <w:tcPr>
            <w:tcW w:w="1421" w:type="dxa"/>
            <w:noWrap w:val="0"/>
            <w:vAlign w:val="center"/>
          </w:tcPr>
          <w:p>
            <w:pPr>
              <w:rPr>
                <w:color w:val="000000"/>
              </w:rPr>
            </w:pPr>
          </w:p>
        </w:tc>
        <w:tc>
          <w:tcPr>
            <w:tcW w:w="1421" w:type="dxa"/>
            <w:noWrap w:val="0"/>
            <w:vAlign w:val="center"/>
          </w:tcPr>
          <w:p>
            <w:pPr>
              <w:rPr>
                <w:color w:val="000000"/>
              </w:rPr>
            </w:pPr>
          </w:p>
        </w:tc>
        <w:tc>
          <w:tcPr>
            <w:tcW w:w="1421" w:type="dxa"/>
            <w:noWrap w:val="0"/>
            <w:vAlign w:val="center"/>
          </w:tcPr>
          <w:p>
            <w:pPr>
              <w:rPr>
                <w:color w:val="000000"/>
              </w:rPr>
            </w:pPr>
          </w:p>
        </w:tc>
        <w:tc>
          <w:tcPr>
            <w:tcW w:w="1422" w:type="dxa"/>
            <w:noWrap w:val="0"/>
            <w:vAlign w:val="center"/>
          </w:tcPr>
          <w:p>
            <w:pPr>
              <w:rPr>
                <w:color w:val="000000"/>
              </w:rPr>
            </w:pPr>
          </w:p>
        </w:tc>
        <w:tc>
          <w:tcPr>
            <w:tcW w:w="1422" w:type="dxa"/>
            <w:noWrap w:val="0"/>
            <w:vAlign w:val="center"/>
          </w:tcPr>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1" w:type="dxa"/>
            <w:noWrap w:val="0"/>
            <w:vAlign w:val="center"/>
          </w:tcPr>
          <w:p>
            <w:pPr>
              <w:rPr>
                <w:color w:val="000000"/>
              </w:rPr>
            </w:pPr>
          </w:p>
        </w:tc>
        <w:tc>
          <w:tcPr>
            <w:tcW w:w="1421" w:type="dxa"/>
            <w:noWrap w:val="0"/>
            <w:vAlign w:val="center"/>
          </w:tcPr>
          <w:p>
            <w:pPr>
              <w:rPr>
                <w:color w:val="000000"/>
              </w:rPr>
            </w:pPr>
          </w:p>
        </w:tc>
        <w:tc>
          <w:tcPr>
            <w:tcW w:w="1421" w:type="dxa"/>
            <w:noWrap w:val="0"/>
            <w:vAlign w:val="center"/>
          </w:tcPr>
          <w:p>
            <w:pPr>
              <w:rPr>
                <w:color w:val="000000"/>
              </w:rPr>
            </w:pPr>
          </w:p>
        </w:tc>
        <w:tc>
          <w:tcPr>
            <w:tcW w:w="1421" w:type="dxa"/>
            <w:noWrap w:val="0"/>
            <w:vAlign w:val="center"/>
          </w:tcPr>
          <w:p>
            <w:pPr>
              <w:rPr>
                <w:color w:val="000000"/>
              </w:rPr>
            </w:pPr>
          </w:p>
        </w:tc>
        <w:tc>
          <w:tcPr>
            <w:tcW w:w="1422" w:type="dxa"/>
            <w:noWrap w:val="0"/>
            <w:vAlign w:val="center"/>
          </w:tcPr>
          <w:p>
            <w:pPr>
              <w:rPr>
                <w:color w:val="000000"/>
              </w:rPr>
            </w:pPr>
          </w:p>
        </w:tc>
        <w:tc>
          <w:tcPr>
            <w:tcW w:w="1422" w:type="dxa"/>
            <w:noWrap w:val="0"/>
            <w:vAlign w:val="center"/>
          </w:tcPr>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1" w:type="dxa"/>
            <w:noWrap w:val="0"/>
            <w:vAlign w:val="center"/>
          </w:tcPr>
          <w:p>
            <w:pPr>
              <w:rPr>
                <w:color w:val="000000"/>
              </w:rPr>
            </w:pPr>
          </w:p>
        </w:tc>
        <w:tc>
          <w:tcPr>
            <w:tcW w:w="1421" w:type="dxa"/>
            <w:noWrap w:val="0"/>
            <w:vAlign w:val="center"/>
          </w:tcPr>
          <w:p>
            <w:pPr>
              <w:rPr>
                <w:color w:val="000000"/>
              </w:rPr>
            </w:pPr>
          </w:p>
        </w:tc>
        <w:tc>
          <w:tcPr>
            <w:tcW w:w="1421" w:type="dxa"/>
            <w:noWrap w:val="0"/>
            <w:vAlign w:val="center"/>
          </w:tcPr>
          <w:p>
            <w:pPr>
              <w:rPr>
                <w:color w:val="000000"/>
              </w:rPr>
            </w:pPr>
          </w:p>
        </w:tc>
        <w:tc>
          <w:tcPr>
            <w:tcW w:w="1421" w:type="dxa"/>
            <w:noWrap w:val="0"/>
            <w:vAlign w:val="center"/>
          </w:tcPr>
          <w:p>
            <w:pPr>
              <w:rPr>
                <w:color w:val="000000"/>
              </w:rPr>
            </w:pPr>
          </w:p>
        </w:tc>
        <w:tc>
          <w:tcPr>
            <w:tcW w:w="1422" w:type="dxa"/>
            <w:noWrap w:val="0"/>
            <w:vAlign w:val="center"/>
          </w:tcPr>
          <w:p>
            <w:pPr>
              <w:rPr>
                <w:color w:val="000000"/>
              </w:rPr>
            </w:pPr>
          </w:p>
        </w:tc>
        <w:tc>
          <w:tcPr>
            <w:tcW w:w="1422" w:type="dxa"/>
            <w:noWrap w:val="0"/>
            <w:vAlign w:val="center"/>
          </w:tcPr>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1" w:type="dxa"/>
            <w:noWrap w:val="0"/>
            <w:vAlign w:val="center"/>
          </w:tcPr>
          <w:p>
            <w:pPr>
              <w:rPr>
                <w:color w:val="000000"/>
              </w:rPr>
            </w:pPr>
          </w:p>
        </w:tc>
        <w:tc>
          <w:tcPr>
            <w:tcW w:w="1421" w:type="dxa"/>
            <w:noWrap w:val="0"/>
            <w:vAlign w:val="center"/>
          </w:tcPr>
          <w:p>
            <w:pPr>
              <w:rPr>
                <w:color w:val="000000"/>
              </w:rPr>
            </w:pPr>
          </w:p>
        </w:tc>
        <w:tc>
          <w:tcPr>
            <w:tcW w:w="1421" w:type="dxa"/>
            <w:noWrap w:val="0"/>
            <w:vAlign w:val="center"/>
          </w:tcPr>
          <w:p>
            <w:pPr>
              <w:rPr>
                <w:color w:val="000000"/>
              </w:rPr>
            </w:pPr>
          </w:p>
        </w:tc>
        <w:tc>
          <w:tcPr>
            <w:tcW w:w="1421" w:type="dxa"/>
            <w:noWrap w:val="0"/>
            <w:vAlign w:val="center"/>
          </w:tcPr>
          <w:p>
            <w:pPr>
              <w:rPr>
                <w:color w:val="000000"/>
              </w:rPr>
            </w:pPr>
          </w:p>
        </w:tc>
        <w:tc>
          <w:tcPr>
            <w:tcW w:w="1422" w:type="dxa"/>
            <w:noWrap w:val="0"/>
            <w:vAlign w:val="center"/>
          </w:tcPr>
          <w:p>
            <w:pPr>
              <w:rPr>
                <w:color w:val="000000"/>
              </w:rPr>
            </w:pPr>
          </w:p>
        </w:tc>
        <w:tc>
          <w:tcPr>
            <w:tcW w:w="1422" w:type="dxa"/>
            <w:noWrap w:val="0"/>
            <w:vAlign w:val="center"/>
          </w:tcPr>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1" w:type="dxa"/>
            <w:noWrap w:val="0"/>
            <w:vAlign w:val="center"/>
          </w:tcPr>
          <w:p>
            <w:pPr>
              <w:rPr>
                <w:color w:val="000000"/>
              </w:rPr>
            </w:pPr>
          </w:p>
        </w:tc>
        <w:tc>
          <w:tcPr>
            <w:tcW w:w="1421" w:type="dxa"/>
            <w:noWrap w:val="0"/>
            <w:vAlign w:val="center"/>
          </w:tcPr>
          <w:p>
            <w:pPr>
              <w:rPr>
                <w:color w:val="000000"/>
              </w:rPr>
            </w:pPr>
          </w:p>
        </w:tc>
        <w:tc>
          <w:tcPr>
            <w:tcW w:w="1421" w:type="dxa"/>
            <w:noWrap w:val="0"/>
            <w:vAlign w:val="center"/>
          </w:tcPr>
          <w:p>
            <w:pPr>
              <w:rPr>
                <w:color w:val="000000"/>
              </w:rPr>
            </w:pPr>
          </w:p>
        </w:tc>
        <w:tc>
          <w:tcPr>
            <w:tcW w:w="1421" w:type="dxa"/>
            <w:noWrap w:val="0"/>
            <w:vAlign w:val="center"/>
          </w:tcPr>
          <w:p>
            <w:pPr>
              <w:rPr>
                <w:color w:val="000000"/>
              </w:rPr>
            </w:pPr>
          </w:p>
        </w:tc>
        <w:tc>
          <w:tcPr>
            <w:tcW w:w="1422" w:type="dxa"/>
            <w:noWrap w:val="0"/>
            <w:vAlign w:val="center"/>
          </w:tcPr>
          <w:p>
            <w:pPr>
              <w:rPr>
                <w:color w:val="000000"/>
              </w:rPr>
            </w:pPr>
          </w:p>
        </w:tc>
        <w:tc>
          <w:tcPr>
            <w:tcW w:w="1422" w:type="dxa"/>
            <w:noWrap w:val="0"/>
            <w:vAlign w:val="center"/>
          </w:tcPr>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1" w:type="dxa"/>
            <w:noWrap w:val="0"/>
            <w:vAlign w:val="center"/>
          </w:tcPr>
          <w:p>
            <w:pPr>
              <w:rPr>
                <w:color w:val="000000"/>
              </w:rPr>
            </w:pPr>
          </w:p>
        </w:tc>
        <w:tc>
          <w:tcPr>
            <w:tcW w:w="1421" w:type="dxa"/>
            <w:noWrap w:val="0"/>
            <w:vAlign w:val="center"/>
          </w:tcPr>
          <w:p>
            <w:pPr>
              <w:rPr>
                <w:color w:val="000000"/>
              </w:rPr>
            </w:pPr>
          </w:p>
        </w:tc>
        <w:tc>
          <w:tcPr>
            <w:tcW w:w="1421" w:type="dxa"/>
            <w:noWrap w:val="0"/>
            <w:vAlign w:val="center"/>
          </w:tcPr>
          <w:p>
            <w:pPr>
              <w:rPr>
                <w:color w:val="000000"/>
              </w:rPr>
            </w:pPr>
          </w:p>
        </w:tc>
        <w:tc>
          <w:tcPr>
            <w:tcW w:w="1421" w:type="dxa"/>
            <w:noWrap w:val="0"/>
            <w:vAlign w:val="center"/>
          </w:tcPr>
          <w:p>
            <w:pPr>
              <w:rPr>
                <w:color w:val="000000"/>
              </w:rPr>
            </w:pPr>
          </w:p>
        </w:tc>
        <w:tc>
          <w:tcPr>
            <w:tcW w:w="1422" w:type="dxa"/>
            <w:noWrap w:val="0"/>
            <w:vAlign w:val="center"/>
          </w:tcPr>
          <w:p>
            <w:pPr>
              <w:rPr>
                <w:color w:val="000000"/>
              </w:rPr>
            </w:pPr>
          </w:p>
        </w:tc>
        <w:tc>
          <w:tcPr>
            <w:tcW w:w="1422" w:type="dxa"/>
            <w:noWrap w:val="0"/>
            <w:vAlign w:val="center"/>
          </w:tcPr>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1" w:type="dxa"/>
            <w:noWrap w:val="0"/>
            <w:vAlign w:val="center"/>
          </w:tcPr>
          <w:p>
            <w:pPr>
              <w:rPr>
                <w:color w:val="000000"/>
              </w:rPr>
            </w:pPr>
          </w:p>
        </w:tc>
        <w:tc>
          <w:tcPr>
            <w:tcW w:w="1421" w:type="dxa"/>
            <w:noWrap w:val="0"/>
            <w:vAlign w:val="center"/>
          </w:tcPr>
          <w:p>
            <w:pPr>
              <w:rPr>
                <w:color w:val="000000"/>
              </w:rPr>
            </w:pPr>
          </w:p>
        </w:tc>
        <w:tc>
          <w:tcPr>
            <w:tcW w:w="1421" w:type="dxa"/>
            <w:noWrap w:val="0"/>
            <w:vAlign w:val="center"/>
          </w:tcPr>
          <w:p>
            <w:pPr>
              <w:rPr>
                <w:color w:val="000000"/>
              </w:rPr>
            </w:pPr>
          </w:p>
        </w:tc>
        <w:tc>
          <w:tcPr>
            <w:tcW w:w="1421" w:type="dxa"/>
            <w:noWrap w:val="0"/>
            <w:vAlign w:val="center"/>
          </w:tcPr>
          <w:p>
            <w:pPr>
              <w:rPr>
                <w:color w:val="000000"/>
              </w:rPr>
            </w:pPr>
          </w:p>
        </w:tc>
        <w:tc>
          <w:tcPr>
            <w:tcW w:w="1422" w:type="dxa"/>
            <w:noWrap w:val="0"/>
            <w:vAlign w:val="center"/>
          </w:tcPr>
          <w:p>
            <w:pPr>
              <w:rPr>
                <w:color w:val="000000"/>
              </w:rPr>
            </w:pPr>
          </w:p>
        </w:tc>
        <w:tc>
          <w:tcPr>
            <w:tcW w:w="1422" w:type="dxa"/>
            <w:noWrap w:val="0"/>
            <w:vAlign w:val="center"/>
          </w:tcPr>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1" w:type="dxa"/>
            <w:noWrap w:val="0"/>
            <w:vAlign w:val="center"/>
          </w:tcPr>
          <w:p>
            <w:pPr>
              <w:rPr>
                <w:color w:val="000000"/>
              </w:rPr>
            </w:pPr>
          </w:p>
        </w:tc>
        <w:tc>
          <w:tcPr>
            <w:tcW w:w="1421" w:type="dxa"/>
            <w:noWrap w:val="0"/>
            <w:vAlign w:val="center"/>
          </w:tcPr>
          <w:p>
            <w:pPr>
              <w:rPr>
                <w:color w:val="000000"/>
              </w:rPr>
            </w:pPr>
          </w:p>
        </w:tc>
        <w:tc>
          <w:tcPr>
            <w:tcW w:w="1421" w:type="dxa"/>
            <w:noWrap w:val="0"/>
            <w:vAlign w:val="center"/>
          </w:tcPr>
          <w:p>
            <w:pPr>
              <w:rPr>
                <w:color w:val="000000"/>
              </w:rPr>
            </w:pPr>
          </w:p>
        </w:tc>
        <w:tc>
          <w:tcPr>
            <w:tcW w:w="1421" w:type="dxa"/>
            <w:noWrap w:val="0"/>
            <w:vAlign w:val="center"/>
          </w:tcPr>
          <w:p>
            <w:pPr>
              <w:rPr>
                <w:color w:val="000000"/>
              </w:rPr>
            </w:pPr>
          </w:p>
        </w:tc>
        <w:tc>
          <w:tcPr>
            <w:tcW w:w="1422" w:type="dxa"/>
            <w:noWrap w:val="0"/>
            <w:vAlign w:val="center"/>
          </w:tcPr>
          <w:p>
            <w:pPr>
              <w:rPr>
                <w:color w:val="000000"/>
              </w:rPr>
            </w:pPr>
          </w:p>
        </w:tc>
        <w:tc>
          <w:tcPr>
            <w:tcW w:w="1422" w:type="dxa"/>
            <w:noWrap w:val="0"/>
            <w:vAlign w:val="center"/>
          </w:tcPr>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1" w:type="dxa"/>
            <w:noWrap w:val="0"/>
            <w:vAlign w:val="center"/>
          </w:tcPr>
          <w:p>
            <w:pPr>
              <w:rPr>
                <w:color w:val="000000"/>
              </w:rPr>
            </w:pPr>
          </w:p>
        </w:tc>
        <w:tc>
          <w:tcPr>
            <w:tcW w:w="1421" w:type="dxa"/>
            <w:noWrap w:val="0"/>
            <w:vAlign w:val="center"/>
          </w:tcPr>
          <w:p>
            <w:pPr>
              <w:rPr>
                <w:color w:val="000000"/>
              </w:rPr>
            </w:pPr>
          </w:p>
        </w:tc>
        <w:tc>
          <w:tcPr>
            <w:tcW w:w="1421" w:type="dxa"/>
            <w:noWrap w:val="0"/>
            <w:vAlign w:val="center"/>
          </w:tcPr>
          <w:p>
            <w:pPr>
              <w:rPr>
                <w:color w:val="000000"/>
              </w:rPr>
            </w:pPr>
          </w:p>
        </w:tc>
        <w:tc>
          <w:tcPr>
            <w:tcW w:w="1421" w:type="dxa"/>
            <w:noWrap w:val="0"/>
            <w:vAlign w:val="center"/>
          </w:tcPr>
          <w:p>
            <w:pPr>
              <w:rPr>
                <w:color w:val="000000"/>
              </w:rPr>
            </w:pPr>
          </w:p>
        </w:tc>
        <w:tc>
          <w:tcPr>
            <w:tcW w:w="1422" w:type="dxa"/>
            <w:noWrap w:val="0"/>
            <w:vAlign w:val="center"/>
          </w:tcPr>
          <w:p>
            <w:pPr>
              <w:rPr>
                <w:color w:val="000000"/>
              </w:rPr>
            </w:pPr>
          </w:p>
        </w:tc>
        <w:tc>
          <w:tcPr>
            <w:tcW w:w="1422" w:type="dxa"/>
            <w:noWrap w:val="0"/>
            <w:vAlign w:val="center"/>
          </w:tcPr>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1" w:type="dxa"/>
            <w:noWrap w:val="0"/>
            <w:vAlign w:val="center"/>
          </w:tcPr>
          <w:p>
            <w:pPr>
              <w:rPr>
                <w:color w:val="000000"/>
              </w:rPr>
            </w:pPr>
          </w:p>
        </w:tc>
        <w:tc>
          <w:tcPr>
            <w:tcW w:w="1421" w:type="dxa"/>
            <w:noWrap w:val="0"/>
            <w:vAlign w:val="center"/>
          </w:tcPr>
          <w:p>
            <w:pPr>
              <w:rPr>
                <w:color w:val="000000"/>
              </w:rPr>
            </w:pPr>
          </w:p>
        </w:tc>
        <w:tc>
          <w:tcPr>
            <w:tcW w:w="1421" w:type="dxa"/>
            <w:noWrap w:val="0"/>
            <w:vAlign w:val="center"/>
          </w:tcPr>
          <w:p>
            <w:pPr>
              <w:rPr>
                <w:color w:val="000000"/>
              </w:rPr>
            </w:pPr>
          </w:p>
        </w:tc>
        <w:tc>
          <w:tcPr>
            <w:tcW w:w="1421" w:type="dxa"/>
            <w:noWrap w:val="0"/>
            <w:vAlign w:val="center"/>
          </w:tcPr>
          <w:p>
            <w:pPr>
              <w:rPr>
                <w:color w:val="000000"/>
              </w:rPr>
            </w:pPr>
          </w:p>
        </w:tc>
        <w:tc>
          <w:tcPr>
            <w:tcW w:w="1422" w:type="dxa"/>
            <w:noWrap w:val="0"/>
            <w:vAlign w:val="center"/>
          </w:tcPr>
          <w:p>
            <w:pPr>
              <w:rPr>
                <w:color w:val="000000"/>
              </w:rPr>
            </w:pPr>
          </w:p>
        </w:tc>
        <w:tc>
          <w:tcPr>
            <w:tcW w:w="1422" w:type="dxa"/>
            <w:noWrap w:val="0"/>
            <w:vAlign w:val="center"/>
          </w:tcPr>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1" w:type="dxa"/>
            <w:noWrap w:val="0"/>
            <w:vAlign w:val="center"/>
          </w:tcPr>
          <w:p>
            <w:pPr>
              <w:rPr>
                <w:color w:val="000000"/>
              </w:rPr>
            </w:pPr>
          </w:p>
        </w:tc>
        <w:tc>
          <w:tcPr>
            <w:tcW w:w="1421" w:type="dxa"/>
            <w:noWrap w:val="0"/>
            <w:vAlign w:val="center"/>
          </w:tcPr>
          <w:p>
            <w:pPr>
              <w:rPr>
                <w:color w:val="000000"/>
              </w:rPr>
            </w:pPr>
          </w:p>
        </w:tc>
        <w:tc>
          <w:tcPr>
            <w:tcW w:w="1421" w:type="dxa"/>
            <w:noWrap w:val="0"/>
            <w:vAlign w:val="center"/>
          </w:tcPr>
          <w:p>
            <w:pPr>
              <w:rPr>
                <w:color w:val="000000"/>
              </w:rPr>
            </w:pPr>
          </w:p>
        </w:tc>
        <w:tc>
          <w:tcPr>
            <w:tcW w:w="1421" w:type="dxa"/>
            <w:noWrap w:val="0"/>
            <w:vAlign w:val="center"/>
          </w:tcPr>
          <w:p>
            <w:pPr>
              <w:rPr>
                <w:color w:val="000000"/>
              </w:rPr>
            </w:pPr>
          </w:p>
        </w:tc>
        <w:tc>
          <w:tcPr>
            <w:tcW w:w="1422" w:type="dxa"/>
            <w:noWrap w:val="0"/>
            <w:vAlign w:val="center"/>
          </w:tcPr>
          <w:p>
            <w:pPr>
              <w:rPr>
                <w:color w:val="000000"/>
              </w:rPr>
            </w:pPr>
          </w:p>
        </w:tc>
        <w:tc>
          <w:tcPr>
            <w:tcW w:w="1422" w:type="dxa"/>
            <w:noWrap w:val="0"/>
            <w:vAlign w:val="center"/>
          </w:tcPr>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1" w:type="dxa"/>
            <w:noWrap w:val="0"/>
            <w:vAlign w:val="center"/>
          </w:tcPr>
          <w:p>
            <w:pPr>
              <w:rPr>
                <w:color w:val="000000"/>
              </w:rPr>
            </w:pPr>
          </w:p>
        </w:tc>
        <w:tc>
          <w:tcPr>
            <w:tcW w:w="1421" w:type="dxa"/>
            <w:noWrap w:val="0"/>
            <w:vAlign w:val="center"/>
          </w:tcPr>
          <w:p>
            <w:pPr>
              <w:rPr>
                <w:color w:val="000000"/>
              </w:rPr>
            </w:pPr>
          </w:p>
        </w:tc>
        <w:tc>
          <w:tcPr>
            <w:tcW w:w="1421" w:type="dxa"/>
            <w:noWrap w:val="0"/>
            <w:vAlign w:val="center"/>
          </w:tcPr>
          <w:p>
            <w:pPr>
              <w:rPr>
                <w:color w:val="000000"/>
              </w:rPr>
            </w:pPr>
          </w:p>
        </w:tc>
        <w:tc>
          <w:tcPr>
            <w:tcW w:w="1421" w:type="dxa"/>
            <w:noWrap w:val="0"/>
            <w:vAlign w:val="center"/>
          </w:tcPr>
          <w:p>
            <w:pPr>
              <w:rPr>
                <w:color w:val="000000"/>
              </w:rPr>
            </w:pPr>
          </w:p>
        </w:tc>
        <w:tc>
          <w:tcPr>
            <w:tcW w:w="1422" w:type="dxa"/>
            <w:noWrap w:val="0"/>
            <w:vAlign w:val="center"/>
          </w:tcPr>
          <w:p>
            <w:pPr>
              <w:rPr>
                <w:color w:val="000000"/>
              </w:rPr>
            </w:pPr>
          </w:p>
        </w:tc>
        <w:tc>
          <w:tcPr>
            <w:tcW w:w="1422" w:type="dxa"/>
            <w:noWrap w:val="0"/>
            <w:vAlign w:val="center"/>
          </w:tcPr>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1" w:type="dxa"/>
            <w:noWrap w:val="0"/>
            <w:vAlign w:val="center"/>
          </w:tcPr>
          <w:p>
            <w:pPr>
              <w:rPr>
                <w:color w:val="000000"/>
              </w:rPr>
            </w:pPr>
          </w:p>
        </w:tc>
        <w:tc>
          <w:tcPr>
            <w:tcW w:w="1421" w:type="dxa"/>
            <w:noWrap w:val="0"/>
            <w:vAlign w:val="center"/>
          </w:tcPr>
          <w:p>
            <w:pPr>
              <w:rPr>
                <w:color w:val="000000"/>
              </w:rPr>
            </w:pPr>
          </w:p>
        </w:tc>
        <w:tc>
          <w:tcPr>
            <w:tcW w:w="1421" w:type="dxa"/>
            <w:noWrap w:val="0"/>
            <w:vAlign w:val="center"/>
          </w:tcPr>
          <w:p>
            <w:pPr>
              <w:rPr>
                <w:color w:val="000000"/>
              </w:rPr>
            </w:pPr>
          </w:p>
        </w:tc>
        <w:tc>
          <w:tcPr>
            <w:tcW w:w="1421" w:type="dxa"/>
            <w:noWrap w:val="0"/>
            <w:vAlign w:val="center"/>
          </w:tcPr>
          <w:p>
            <w:pPr>
              <w:rPr>
                <w:color w:val="000000"/>
              </w:rPr>
            </w:pPr>
          </w:p>
        </w:tc>
        <w:tc>
          <w:tcPr>
            <w:tcW w:w="1422" w:type="dxa"/>
            <w:noWrap w:val="0"/>
            <w:vAlign w:val="center"/>
          </w:tcPr>
          <w:p>
            <w:pPr>
              <w:rPr>
                <w:color w:val="000000"/>
              </w:rPr>
            </w:pPr>
          </w:p>
        </w:tc>
        <w:tc>
          <w:tcPr>
            <w:tcW w:w="1422" w:type="dxa"/>
            <w:noWrap w:val="0"/>
            <w:vAlign w:val="center"/>
          </w:tcPr>
          <w:p>
            <w:pPr>
              <w:rPr>
                <w:color w:val="000000"/>
              </w:rPr>
            </w:pPr>
          </w:p>
        </w:tc>
      </w:tr>
    </w:tbl>
    <w:p>
      <w:pPr>
        <w:spacing w:line="360" w:lineRule="auto"/>
        <w:rPr>
          <w:rFonts w:eastAsia="仿宋"/>
          <w:bCs/>
          <w:color w:val="000000"/>
        </w:rPr>
      </w:pPr>
      <w:r>
        <w:rPr>
          <w:rFonts w:eastAsia="仿宋"/>
          <w:color w:val="000000"/>
        </w:rPr>
        <w:t>备注：材料预算价格应含材料的二次转运费。</w:t>
      </w:r>
    </w:p>
    <w:p>
      <w:pPr>
        <w:ind w:firstLine="1155" w:firstLineChars="550"/>
        <w:rPr>
          <w:bCs/>
          <w:color w:val="000000"/>
        </w:rPr>
      </w:pPr>
    </w:p>
    <w:p>
      <w:pPr>
        <w:ind w:firstLine="1155" w:firstLineChars="550"/>
        <w:rPr>
          <w:bCs/>
          <w:color w:val="000000"/>
        </w:rPr>
      </w:pPr>
    </w:p>
    <w:p>
      <w:pPr>
        <w:ind w:firstLine="2310" w:firstLineChars="1100"/>
        <w:rPr>
          <w:color w:val="000000"/>
        </w:rPr>
      </w:pPr>
    </w:p>
    <w:p>
      <w:pPr>
        <w:ind w:firstLine="2310" w:firstLineChars="1100"/>
        <w:rPr>
          <w:color w:val="000000"/>
        </w:rPr>
      </w:pPr>
    </w:p>
    <w:p>
      <w:pPr>
        <w:ind w:firstLine="2310" w:firstLineChars="1100"/>
        <w:rPr>
          <w:color w:val="000000"/>
        </w:rPr>
        <w:sectPr>
          <w:pgSz w:w="11906" w:h="16838"/>
          <w:pgMar w:top="1701" w:right="1418" w:bottom="1701" w:left="1418" w:header="1021" w:footer="1021" w:gutter="0"/>
          <w:cols w:space="720" w:num="1"/>
          <w:docGrid w:linePitch="312" w:charSpace="0"/>
        </w:sectPr>
      </w:pPr>
    </w:p>
    <w:p>
      <w:pPr>
        <w:spacing w:line="490" w:lineRule="exact"/>
        <w:jc w:val="center"/>
        <w:rPr>
          <w:rFonts w:eastAsia="方正小标宋_GBK"/>
          <w:b/>
          <w:color w:val="000000"/>
          <w:sz w:val="40"/>
          <w:szCs w:val="44"/>
        </w:rPr>
      </w:pPr>
    </w:p>
    <w:p>
      <w:pPr>
        <w:spacing w:line="490" w:lineRule="exact"/>
        <w:jc w:val="center"/>
        <w:rPr>
          <w:rFonts w:hint="eastAsia" w:ascii="方正小标宋简体" w:eastAsia="方正小标宋简体"/>
          <w:color w:val="000000"/>
          <w:sz w:val="40"/>
          <w:szCs w:val="44"/>
        </w:rPr>
      </w:pPr>
      <w:r>
        <w:rPr>
          <w:rFonts w:hint="eastAsia" w:ascii="方正小标宋简体" w:eastAsia="方正小标宋简体"/>
          <w:color w:val="000000"/>
          <w:sz w:val="40"/>
          <w:szCs w:val="44"/>
        </w:rPr>
        <w:t>招标人提供施工机械台时（班）费汇总表</w:t>
      </w:r>
    </w:p>
    <w:p>
      <w:pPr>
        <w:spacing w:line="490" w:lineRule="exact"/>
        <w:jc w:val="center"/>
        <w:rPr>
          <w:rFonts w:eastAsia="方正小标宋_GBK"/>
          <w:b/>
          <w:color w:val="000000"/>
          <w:sz w:val="40"/>
          <w:szCs w:val="44"/>
        </w:rPr>
      </w:pPr>
    </w:p>
    <w:p>
      <w:pPr>
        <w:spacing w:line="490" w:lineRule="exact"/>
        <w:rPr>
          <w:rFonts w:eastAsia="仿宋_GB2312"/>
          <w:color w:val="000000"/>
          <w:sz w:val="28"/>
          <w:szCs w:val="28"/>
          <w:u w:val="single"/>
        </w:rPr>
      </w:pPr>
      <w:r>
        <w:rPr>
          <w:rFonts w:eastAsia="仿宋_GB2312"/>
          <w:color w:val="000000"/>
          <w:sz w:val="28"/>
          <w:szCs w:val="28"/>
        </w:rPr>
        <w:t>合同编号：</w:t>
      </w:r>
      <w:r>
        <w:rPr>
          <w:rFonts w:eastAsia="仿宋_GB2312"/>
          <w:color w:val="000000"/>
          <w:sz w:val="28"/>
          <w:szCs w:val="28"/>
          <w:u w:val="single"/>
        </w:rPr>
        <w:t xml:space="preserve">  （投标项目合同号）  </w:t>
      </w:r>
    </w:p>
    <w:p>
      <w:pPr>
        <w:spacing w:line="490" w:lineRule="exact"/>
        <w:rPr>
          <w:rFonts w:eastAsia="仿宋_GB2312"/>
          <w:color w:val="000000"/>
          <w:sz w:val="28"/>
          <w:szCs w:val="28"/>
        </w:rPr>
      </w:pPr>
      <w:r>
        <w:rPr>
          <w:rFonts w:eastAsia="仿宋_GB2312"/>
          <w:color w:val="000000"/>
          <w:sz w:val="28"/>
          <w:szCs w:val="28"/>
        </w:rPr>
        <w:t>工程名称：</w:t>
      </w:r>
      <w:r>
        <w:rPr>
          <w:rFonts w:eastAsia="仿宋_GB2312"/>
          <w:color w:val="000000"/>
          <w:sz w:val="28"/>
          <w:szCs w:val="28"/>
          <w:u w:val="single"/>
        </w:rPr>
        <w:t xml:space="preserve">          </w:t>
      </w:r>
      <w:r>
        <w:rPr>
          <w:rFonts w:eastAsia="仿宋_GB2312"/>
          <w:color w:val="000000"/>
          <w:sz w:val="28"/>
          <w:szCs w:val="28"/>
        </w:rPr>
        <w:t>（项目名称）</w:t>
      </w:r>
      <w:r>
        <w:rPr>
          <w:rFonts w:eastAsia="仿宋_GB2312"/>
          <w:color w:val="000000"/>
          <w:sz w:val="28"/>
          <w:szCs w:val="28"/>
          <w:u w:val="single"/>
        </w:rPr>
        <w:t xml:space="preserve">          </w:t>
      </w:r>
      <w:r>
        <w:rPr>
          <w:rFonts w:eastAsia="仿宋_GB2312"/>
          <w:color w:val="000000"/>
          <w:sz w:val="28"/>
          <w:szCs w:val="28"/>
        </w:rPr>
        <w:t>（标段名称）</w:t>
      </w:r>
    </w:p>
    <w:p>
      <w:pPr>
        <w:spacing w:line="600" w:lineRule="exact"/>
        <w:rPr>
          <w:rFonts w:eastAsia="仿宋_GB2312"/>
          <w:color w:val="000000"/>
          <w:sz w:val="24"/>
          <w:szCs w:val="21"/>
        </w:rPr>
      </w:pPr>
      <w:r>
        <w:rPr>
          <w:rFonts w:eastAsia="仿宋_GB2312"/>
          <w:color w:val="000000"/>
          <w:sz w:val="24"/>
        </w:rPr>
        <w:t xml:space="preserve">                                                        单位：元/台时（班）</w:t>
      </w:r>
    </w:p>
    <w:tbl>
      <w:tblPr>
        <w:tblStyle w:val="4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754"/>
        <w:gridCol w:w="754"/>
        <w:gridCol w:w="1214"/>
        <w:gridCol w:w="623"/>
        <w:gridCol w:w="754"/>
        <w:gridCol w:w="622"/>
        <w:gridCol w:w="689"/>
        <w:gridCol w:w="622"/>
        <w:gridCol w:w="448"/>
        <w:gridCol w:w="448"/>
        <w:gridCol w:w="447"/>
        <w:gridCol w:w="623"/>
        <w:gridCol w:w="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8" w:type="dxa"/>
            <w:vMerge w:val="restart"/>
            <w:noWrap w:val="0"/>
            <w:vAlign w:val="center"/>
          </w:tcPr>
          <w:p>
            <w:pPr>
              <w:jc w:val="center"/>
              <w:rPr>
                <w:rFonts w:eastAsia="仿宋"/>
                <w:color w:val="000000"/>
              </w:rPr>
            </w:pPr>
            <w:r>
              <w:rPr>
                <w:rFonts w:eastAsia="仿宋"/>
                <w:color w:val="000000"/>
              </w:rPr>
              <w:t>序号</w:t>
            </w:r>
          </w:p>
        </w:tc>
        <w:tc>
          <w:tcPr>
            <w:tcW w:w="754" w:type="dxa"/>
            <w:vMerge w:val="restart"/>
            <w:noWrap w:val="0"/>
            <w:vAlign w:val="center"/>
          </w:tcPr>
          <w:p>
            <w:pPr>
              <w:jc w:val="center"/>
              <w:rPr>
                <w:rFonts w:eastAsia="仿宋"/>
                <w:color w:val="000000"/>
              </w:rPr>
            </w:pPr>
            <w:r>
              <w:rPr>
                <w:rFonts w:eastAsia="仿宋"/>
                <w:color w:val="000000"/>
              </w:rPr>
              <w:t>机械名称</w:t>
            </w:r>
          </w:p>
        </w:tc>
        <w:tc>
          <w:tcPr>
            <w:tcW w:w="754" w:type="dxa"/>
            <w:vMerge w:val="restart"/>
            <w:noWrap w:val="0"/>
            <w:vAlign w:val="center"/>
          </w:tcPr>
          <w:p>
            <w:pPr>
              <w:jc w:val="center"/>
              <w:rPr>
                <w:rFonts w:eastAsia="仿宋"/>
                <w:color w:val="000000"/>
              </w:rPr>
            </w:pPr>
            <w:r>
              <w:rPr>
                <w:rFonts w:eastAsia="仿宋"/>
                <w:color w:val="000000"/>
              </w:rPr>
              <w:t>型号规格</w:t>
            </w:r>
          </w:p>
        </w:tc>
        <w:tc>
          <w:tcPr>
            <w:tcW w:w="1214" w:type="dxa"/>
            <w:vMerge w:val="restart"/>
            <w:noWrap w:val="0"/>
            <w:vAlign w:val="center"/>
          </w:tcPr>
          <w:p>
            <w:pPr>
              <w:jc w:val="center"/>
              <w:rPr>
                <w:rFonts w:eastAsia="仿宋"/>
                <w:color w:val="000000"/>
              </w:rPr>
            </w:pPr>
            <w:r>
              <w:rPr>
                <w:rFonts w:eastAsia="仿宋"/>
                <w:color w:val="000000"/>
              </w:rPr>
              <w:t>招标人收取的折旧费</w:t>
            </w:r>
          </w:p>
        </w:tc>
        <w:tc>
          <w:tcPr>
            <w:tcW w:w="5276" w:type="dxa"/>
            <w:gridSpan w:val="9"/>
            <w:noWrap w:val="0"/>
            <w:vAlign w:val="center"/>
          </w:tcPr>
          <w:p>
            <w:pPr>
              <w:jc w:val="center"/>
              <w:rPr>
                <w:rFonts w:eastAsia="仿宋"/>
                <w:color w:val="000000"/>
              </w:rPr>
            </w:pPr>
            <w:r>
              <w:rPr>
                <w:rFonts w:eastAsia="仿宋"/>
                <w:color w:val="000000"/>
              </w:rPr>
              <w:t>投标人应计算的费用</w:t>
            </w:r>
          </w:p>
        </w:tc>
        <w:tc>
          <w:tcPr>
            <w:tcW w:w="622" w:type="dxa"/>
            <w:vMerge w:val="restart"/>
            <w:noWrap w:val="0"/>
            <w:vAlign w:val="center"/>
          </w:tcPr>
          <w:p>
            <w:pPr>
              <w:jc w:val="center"/>
              <w:rPr>
                <w:rFonts w:eastAsia="仿宋"/>
                <w:color w:val="000000"/>
              </w:rPr>
            </w:pPr>
            <w:r>
              <w:rPr>
                <w:rFonts w:eastAsia="仿宋"/>
                <w:color w:val="000000"/>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8" w:type="dxa"/>
            <w:vMerge w:val="continue"/>
            <w:noWrap w:val="0"/>
            <w:vAlign w:val="center"/>
          </w:tcPr>
          <w:p>
            <w:pPr>
              <w:jc w:val="center"/>
              <w:rPr>
                <w:rFonts w:eastAsia="仿宋"/>
                <w:color w:val="000000"/>
              </w:rPr>
            </w:pPr>
          </w:p>
        </w:tc>
        <w:tc>
          <w:tcPr>
            <w:tcW w:w="754" w:type="dxa"/>
            <w:vMerge w:val="continue"/>
            <w:noWrap w:val="0"/>
            <w:vAlign w:val="center"/>
          </w:tcPr>
          <w:p>
            <w:pPr>
              <w:jc w:val="center"/>
              <w:rPr>
                <w:rFonts w:eastAsia="仿宋"/>
                <w:color w:val="000000"/>
              </w:rPr>
            </w:pPr>
          </w:p>
        </w:tc>
        <w:tc>
          <w:tcPr>
            <w:tcW w:w="754" w:type="dxa"/>
            <w:vMerge w:val="continue"/>
            <w:noWrap w:val="0"/>
            <w:vAlign w:val="center"/>
          </w:tcPr>
          <w:p>
            <w:pPr>
              <w:jc w:val="center"/>
              <w:rPr>
                <w:rFonts w:eastAsia="仿宋"/>
                <w:color w:val="000000"/>
              </w:rPr>
            </w:pPr>
          </w:p>
        </w:tc>
        <w:tc>
          <w:tcPr>
            <w:tcW w:w="1214" w:type="dxa"/>
            <w:vMerge w:val="continue"/>
            <w:noWrap w:val="0"/>
            <w:vAlign w:val="center"/>
          </w:tcPr>
          <w:p>
            <w:pPr>
              <w:jc w:val="center"/>
              <w:rPr>
                <w:rFonts w:eastAsia="仿宋"/>
                <w:color w:val="000000"/>
              </w:rPr>
            </w:pPr>
          </w:p>
        </w:tc>
        <w:tc>
          <w:tcPr>
            <w:tcW w:w="623" w:type="dxa"/>
            <w:noWrap w:val="0"/>
            <w:vAlign w:val="center"/>
          </w:tcPr>
          <w:p>
            <w:pPr>
              <w:jc w:val="center"/>
              <w:rPr>
                <w:rFonts w:eastAsia="仿宋"/>
                <w:color w:val="000000"/>
              </w:rPr>
            </w:pPr>
            <w:r>
              <w:rPr>
                <w:rFonts w:eastAsia="仿宋"/>
                <w:color w:val="000000"/>
              </w:rPr>
              <w:t>维修费</w:t>
            </w:r>
          </w:p>
        </w:tc>
        <w:tc>
          <w:tcPr>
            <w:tcW w:w="754" w:type="dxa"/>
            <w:noWrap w:val="0"/>
            <w:vAlign w:val="center"/>
          </w:tcPr>
          <w:p>
            <w:pPr>
              <w:jc w:val="center"/>
              <w:rPr>
                <w:rFonts w:eastAsia="仿宋"/>
                <w:color w:val="000000"/>
              </w:rPr>
            </w:pPr>
            <w:r>
              <w:rPr>
                <w:rFonts w:eastAsia="仿宋"/>
                <w:color w:val="000000"/>
              </w:rPr>
              <w:t>安拆费</w:t>
            </w:r>
          </w:p>
        </w:tc>
        <w:tc>
          <w:tcPr>
            <w:tcW w:w="622" w:type="dxa"/>
            <w:noWrap w:val="0"/>
            <w:vAlign w:val="center"/>
          </w:tcPr>
          <w:p>
            <w:pPr>
              <w:jc w:val="center"/>
              <w:rPr>
                <w:rFonts w:eastAsia="仿宋"/>
                <w:color w:val="000000"/>
              </w:rPr>
            </w:pPr>
            <w:r>
              <w:rPr>
                <w:rFonts w:eastAsia="仿宋"/>
                <w:color w:val="000000"/>
              </w:rPr>
              <w:t>人工</w:t>
            </w:r>
          </w:p>
        </w:tc>
        <w:tc>
          <w:tcPr>
            <w:tcW w:w="689" w:type="dxa"/>
            <w:noWrap w:val="0"/>
            <w:vAlign w:val="center"/>
          </w:tcPr>
          <w:p>
            <w:pPr>
              <w:jc w:val="center"/>
              <w:rPr>
                <w:rFonts w:eastAsia="仿宋"/>
                <w:color w:val="000000"/>
              </w:rPr>
            </w:pPr>
            <w:r>
              <w:rPr>
                <w:rFonts w:eastAsia="仿宋"/>
                <w:color w:val="000000"/>
              </w:rPr>
              <w:t>柴油</w:t>
            </w:r>
          </w:p>
        </w:tc>
        <w:tc>
          <w:tcPr>
            <w:tcW w:w="622" w:type="dxa"/>
            <w:noWrap w:val="0"/>
            <w:vAlign w:val="center"/>
          </w:tcPr>
          <w:p>
            <w:pPr>
              <w:jc w:val="center"/>
              <w:rPr>
                <w:rFonts w:eastAsia="仿宋"/>
                <w:color w:val="000000"/>
              </w:rPr>
            </w:pPr>
            <w:r>
              <w:rPr>
                <w:rFonts w:eastAsia="仿宋"/>
                <w:color w:val="000000"/>
              </w:rPr>
              <w:t>电</w:t>
            </w:r>
          </w:p>
        </w:tc>
        <w:tc>
          <w:tcPr>
            <w:tcW w:w="448" w:type="dxa"/>
            <w:noWrap w:val="0"/>
            <w:vAlign w:val="center"/>
          </w:tcPr>
          <w:p>
            <w:pPr>
              <w:jc w:val="center"/>
              <w:rPr>
                <w:rFonts w:eastAsia="仿宋"/>
                <w:color w:val="000000"/>
              </w:rPr>
            </w:pPr>
          </w:p>
        </w:tc>
        <w:tc>
          <w:tcPr>
            <w:tcW w:w="448" w:type="dxa"/>
            <w:noWrap w:val="0"/>
            <w:vAlign w:val="center"/>
          </w:tcPr>
          <w:p>
            <w:pPr>
              <w:jc w:val="center"/>
              <w:rPr>
                <w:rFonts w:eastAsia="仿宋"/>
                <w:color w:val="000000"/>
              </w:rPr>
            </w:pPr>
          </w:p>
        </w:tc>
        <w:tc>
          <w:tcPr>
            <w:tcW w:w="447" w:type="dxa"/>
            <w:noWrap w:val="0"/>
            <w:vAlign w:val="center"/>
          </w:tcPr>
          <w:p>
            <w:pPr>
              <w:jc w:val="center"/>
              <w:rPr>
                <w:rFonts w:eastAsia="仿宋"/>
                <w:color w:val="000000"/>
              </w:rPr>
            </w:pPr>
          </w:p>
        </w:tc>
        <w:tc>
          <w:tcPr>
            <w:tcW w:w="623" w:type="dxa"/>
            <w:noWrap w:val="0"/>
            <w:vAlign w:val="center"/>
          </w:tcPr>
          <w:p>
            <w:pPr>
              <w:jc w:val="center"/>
              <w:rPr>
                <w:rFonts w:eastAsia="仿宋"/>
                <w:color w:val="000000"/>
              </w:rPr>
            </w:pPr>
            <w:r>
              <w:rPr>
                <w:rFonts w:eastAsia="仿宋"/>
                <w:color w:val="000000"/>
              </w:rPr>
              <w:t>小计</w:t>
            </w:r>
          </w:p>
        </w:tc>
        <w:tc>
          <w:tcPr>
            <w:tcW w:w="622" w:type="dxa"/>
            <w:vMerge w:val="continue"/>
            <w:noWrap w:val="0"/>
            <w:vAlign w:val="top"/>
          </w:tcPr>
          <w:p>
            <w:pP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8" w:type="dxa"/>
            <w:noWrap w:val="0"/>
            <w:vAlign w:val="center"/>
          </w:tcPr>
          <w:p>
            <w:pPr>
              <w:jc w:val="center"/>
              <w:rPr>
                <w:rFonts w:eastAsia="仿宋"/>
                <w:color w:val="000000"/>
              </w:rPr>
            </w:pPr>
          </w:p>
        </w:tc>
        <w:tc>
          <w:tcPr>
            <w:tcW w:w="754" w:type="dxa"/>
            <w:noWrap w:val="0"/>
            <w:vAlign w:val="center"/>
          </w:tcPr>
          <w:p>
            <w:pPr>
              <w:jc w:val="center"/>
              <w:rPr>
                <w:rFonts w:eastAsia="仿宋"/>
                <w:color w:val="000000"/>
              </w:rPr>
            </w:pPr>
          </w:p>
        </w:tc>
        <w:tc>
          <w:tcPr>
            <w:tcW w:w="754" w:type="dxa"/>
            <w:noWrap w:val="0"/>
            <w:vAlign w:val="center"/>
          </w:tcPr>
          <w:p>
            <w:pPr>
              <w:jc w:val="center"/>
              <w:rPr>
                <w:rFonts w:eastAsia="仿宋"/>
                <w:color w:val="000000"/>
              </w:rPr>
            </w:pPr>
          </w:p>
        </w:tc>
        <w:tc>
          <w:tcPr>
            <w:tcW w:w="1214" w:type="dxa"/>
            <w:noWrap w:val="0"/>
            <w:vAlign w:val="center"/>
          </w:tcPr>
          <w:p>
            <w:pPr>
              <w:jc w:val="center"/>
              <w:rPr>
                <w:rFonts w:eastAsia="仿宋"/>
                <w:color w:val="000000"/>
              </w:rPr>
            </w:pPr>
          </w:p>
        </w:tc>
        <w:tc>
          <w:tcPr>
            <w:tcW w:w="623" w:type="dxa"/>
            <w:noWrap w:val="0"/>
            <w:vAlign w:val="center"/>
          </w:tcPr>
          <w:p>
            <w:pPr>
              <w:jc w:val="center"/>
              <w:rPr>
                <w:rFonts w:eastAsia="仿宋"/>
                <w:color w:val="000000"/>
              </w:rPr>
            </w:pPr>
          </w:p>
        </w:tc>
        <w:tc>
          <w:tcPr>
            <w:tcW w:w="754" w:type="dxa"/>
            <w:noWrap w:val="0"/>
            <w:vAlign w:val="center"/>
          </w:tcPr>
          <w:p>
            <w:pPr>
              <w:jc w:val="center"/>
              <w:rPr>
                <w:rFonts w:eastAsia="仿宋"/>
                <w:color w:val="000000"/>
              </w:rPr>
            </w:pPr>
          </w:p>
        </w:tc>
        <w:tc>
          <w:tcPr>
            <w:tcW w:w="622" w:type="dxa"/>
            <w:noWrap w:val="0"/>
            <w:vAlign w:val="center"/>
          </w:tcPr>
          <w:p>
            <w:pPr>
              <w:jc w:val="center"/>
              <w:rPr>
                <w:rFonts w:eastAsia="仿宋"/>
                <w:color w:val="000000"/>
              </w:rPr>
            </w:pPr>
          </w:p>
        </w:tc>
        <w:tc>
          <w:tcPr>
            <w:tcW w:w="689" w:type="dxa"/>
            <w:noWrap w:val="0"/>
            <w:vAlign w:val="center"/>
          </w:tcPr>
          <w:p>
            <w:pPr>
              <w:jc w:val="center"/>
              <w:rPr>
                <w:rFonts w:eastAsia="仿宋"/>
                <w:color w:val="000000"/>
              </w:rPr>
            </w:pPr>
          </w:p>
        </w:tc>
        <w:tc>
          <w:tcPr>
            <w:tcW w:w="622" w:type="dxa"/>
            <w:noWrap w:val="0"/>
            <w:vAlign w:val="center"/>
          </w:tcPr>
          <w:p>
            <w:pPr>
              <w:jc w:val="center"/>
              <w:rPr>
                <w:rFonts w:eastAsia="仿宋"/>
                <w:color w:val="000000"/>
              </w:rPr>
            </w:pPr>
          </w:p>
        </w:tc>
        <w:tc>
          <w:tcPr>
            <w:tcW w:w="448" w:type="dxa"/>
            <w:noWrap w:val="0"/>
            <w:vAlign w:val="center"/>
          </w:tcPr>
          <w:p>
            <w:pPr>
              <w:jc w:val="center"/>
              <w:rPr>
                <w:rFonts w:eastAsia="仿宋"/>
                <w:color w:val="000000"/>
              </w:rPr>
            </w:pPr>
          </w:p>
        </w:tc>
        <w:tc>
          <w:tcPr>
            <w:tcW w:w="448" w:type="dxa"/>
            <w:noWrap w:val="0"/>
            <w:vAlign w:val="center"/>
          </w:tcPr>
          <w:p>
            <w:pPr>
              <w:jc w:val="center"/>
              <w:rPr>
                <w:rFonts w:eastAsia="仿宋"/>
                <w:color w:val="000000"/>
              </w:rPr>
            </w:pPr>
          </w:p>
        </w:tc>
        <w:tc>
          <w:tcPr>
            <w:tcW w:w="447" w:type="dxa"/>
            <w:noWrap w:val="0"/>
            <w:vAlign w:val="center"/>
          </w:tcPr>
          <w:p>
            <w:pPr>
              <w:jc w:val="center"/>
              <w:rPr>
                <w:rFonts w:eastAsia="仿宋"/>
                <w:color w:val="000000"/>
              </w:rPr>
            </w:pPr>
          </w:p>
        </w:tc>
        <w:tc>
          <w:tcPr>
            <w:tcW w:w="623" w:type="dxa"/>
            <w:noWrap w:val="0"/>
            <w:vAlign w:val="center"/>
          </w:tcPr>
          <w:p>
            <w:pPr>
              <w:jc w:val="center"/>
              <w:rPr>
                <w:rFonts w:eastAsia="仿宋"/>
                <w:color w:val="000000"/>
              </w:rPr>
            </w:pPr>
          </w:p>
        </w:tc>
        <w:tc>
          <w:tcPr>
            <w:tcW w:w="622" w:type="dxa"/>
            <w:noWrap w:val="0"/>
            <w:vAlign w:val="top"/>
          </w:tcPr>
          <w:p>
            <w:pP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8" w:type="dxa"/>
            <w:noWrap w:val="0"/>
            <w:vAlign w:val="center"/>
          </w:tcPr>
          <w:p>
            <w:pPr>
              <w:jc w:val="center"/>
              <w:rPr>
                <w:rFonts w:eastAsia="仿宋"/>
                <w:color w:val="000000"/>
              </w:rPr>
            </w:pPr>
          </w:p>
        </w:tc>
        <w:tc>
          <w:tcPr>
            <w:tcW w:w="754" w:type="dxa"/>
            <w:noWrap w:val="0"/>
            <w:vAlign w:val="center"/>
          </w:tcPr>
          <w:p>
            <w:pPr>
              <w:jc w:val="center"/>
              <w:rPr>
                <w:rFonts w:eastAsia="仿宋"/>
                <w:color w:val="000000"/>
              </w:rPr>
            </w:pPr>
          </w:p>
        </w:tc>
        <w:tc>
          <w:tcPr>
            <w:tcW w:w="754" w:type="dxa"/>
            <w:noWrap w:val="0"/>
            <w:vAlign w:val="center"/>
          </w:tcPr>
          <w:p>
            <w:pPr>
              <w:jc w:val="center"/>
              <w:rPr>
                <w:rFonts w:eastAsia="仿宋"/>
                <w:color w:val="000000"/>
              </w:rPr>
            </w:pPr>
          </w:p>
        </w:tc>
        <w:tc>
          <w:tcPr>
            <w:tcW w:w="1214" w:type="dxa"/>
            <w:noWrap w:val="0"/>
            <w:vAlign w:val="center"/>
          </w:tcPr>
          <w:p>
            <w:pPr>
              <w:jc w:val="center"/>
              <w:rPr>
                <w:rFonts w:eastAsia="仿宋"/>
                <w:color w:val="000000"/>
              </w:rPr>
            </w:pPr>
          </w:p>
        </w:tc>
        <w:tc>
          <w:tcPr>
            <w:tcW w:w="623" w:type="dxa"/>
            <w:noWrap w:val="0"/>
            <w:vAlign w:val="center"/>
          </w:tcPr>
          <w:p>
            <w:pPr>
              <w:jc w:val="center"/>
              <w:rPr>
                <w:rFonts w:eastAsia="仿宋"/>
                <w:color w:val="000000"/>
              </w:rPr>
            </w:pPr>
          </w:p>
        </w:tc>
        <w:tc>
          <w:tcPr>
            <w:tcW w:w="754" w:type="dxa"/>
            <w:noWrap w:val="0"/>
            <w:vAlign w:val="center"/>
          </w:tcPr>
          <w:p>
            <w:pPr>
              <w:jc w:val="center"/>
              <w:rPr>
                <w:rFonts w:eastAsia="仿宋"/>
                <w:color w:val="000000"/>
              </w:rPr>
            </w:pPr>
          </w:p>
        </w:tc>
        <w:tc>
          <w:tcPr>
            <w:tcW w:w="622" w:type="dxa"/>
            <w:noWrap w:val="0"/>
            <w:vAlign w:val="center"/>
          </w:tcPr>
          <w:p>
            <w:pPr>
              <w:jc w:val="center"/>
              <w:rPr>
                <w:rFonts w:eastAsia="仿宋"/>
                <w:color w:val="000000"/>
              </w:rPr>
            </w:pPr>
          </w:p>
        </w:tc>
        <w:tc>
          <w:tcPr>
            <w:tcW w:w="689" w:type="dxa"/>
            <w:noWrap w:val="0"/>
            <w:vAlign w:val="center"/>
          </w:tcPr>
          <w:p>
            <w:pPr>
              <w:jc w:val="center"/>
              <w:rPr>
                <w:rFonts w:eastAsia="仿宋"/>
                <w:color w:val="000000"/>
              </w:rPr>
            </w:pPr>
          </w:p>
        </w:tc>
        <w:tc>
          <w:tcPr>
            <w:tcW w:w="622" w:type="dxa"/>
            <w:noWrap w:val="0"/>
            <w:vAlign w:val="center"/>
          </w:tcPr>
          <w:p>
            <w:pPr>
              <w:jc w:val="center"/>
              <w:rPr>
                <w:rFonts w:eastAsia="仿宋"/>
                <w:color w:val="000000"/>
              </w:rPr>
            </w:pPr>
          </w:p>
        </w:tc>
        <w:tc>
          <w:tcPr>
            <w:tcW w:w="448" w:type="dxa"/>
            <w:noWrap w:val="0"/>
            <w:vAlign w:val="center"/>
          </w:tcPr>
          <w:p>
            <w:pPr>
              <w:jc w:val="center"/>
              <w:rPr>
                <w:rFonts w:eastAsia="仿宋"/>
                <w:color w:val="000000"/>
              </w:rPr>
            </w:pPr>
          </w:p>
        </w:tc>
        <w:tc>
          <w:tcPr>
            <w:tcW w:w="448" w:type="dxa"/>
            <w:noWrap w:val="0"/>
            <w:vAlign w:val="center"/>
          </w:tcPr>
          <w:p>
            <w:pPr>
              <w:jc w:val="center"/>
              <w:rPr>
                <w:rFonts w:eastAsia="仿宋"/>
                <w:color w:val="000000"/>
              </w:rPr>
            </w:pPr>
          </w:p>
        </w:tc>
        <w:tc>
          <w:tcPr>
            <w:tcW w:w="447" w:type="dxa"/>
            <w:noWrap w:val="0"/>
            <w:vAlign w:val="center"/>
          </w:tcPr>
          <w:p>
            <w:pPr>
              <w:jc w:val="center"/>
              <w:rPr>
                <w:rFonts w:eastAsia="仿宋"/>
                <w:color w:val="000000"/>
              </w:rPr>
            </w:pPr>
          </w:p>
        </w:tc>
        <w:tc>
          <w:tcPr>
            <w:tcW w:w="623" w:type="dxa"/>
            <w:noWrap w:val="0"/>
            <w:vAlign w:val="center"/>
          </w:tcPr>
          <w:p>
            <w:pPr>
              <w:jc w:val="center"/>
              <w:rPr>
                <w:rFonts w:eastAsia="仿宋"/>
                <w:color w:val="000000"/>
              </w:rPr>
            </w:pPr>
          </w:p>
        </w:tc>
        <w:tc>
          <w:tcPr>
            <w:tcW w:w="622" w:type="dxa"/>
            <w:noWrap w:val="0"/>
            <w:vAlign w:val="top"/>
          </w:tcPr>
          <w:p>
            <w:pP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8" w:type="dxa"/>
            <w:noWrap w:val="0"/>
            <w:vAlign w:val="center"/>
          </w:tcPr>
          <w:p>
            <w:pPr>
              <w:jc w:val="center"/>
              <w:rPr>
                <w:rFonts w:eastAsia="仿宋"/>
                <w:color w:val="000000"/>
              </w:rPr>
            </w:pPr>
          </w:p>
        </w:tc>
        <w:tc>
          <w:tcPr>
            <w:tcW w:w="754" w:type="dxa"/>
            <w:noWrap w:val="0"/>
            <w:vAlign w:val="center"/>
          </w:tcPr>
          <w:p>
            <w:pPr>
              <w:jc w:val="center"/>
              <w:rPr>
                <w:rFonts w:eastAsia="仿宋"/>
                <w:color w:val="000000"/>
              </w:rPr>
            </w:pPr>
          </w:p>
        </w:tc>
        <w:tc>
          <w:tcPr>
            <w:tcW w:w="754" w:type="dxa"/>
            <w:noWrap w:val="0"/>
            <w:vAlign w:val="center"/>
          </w:tcPr>
          <w:p>
            <w:pPr>
              <w:jc w:val="center"/>
              <w:rPr>
                <w:rFonts w:eastAsia="仿宋"/>
                <w:color w:val="000000"/>
              </w:rPr>
            </w:pPr>
          </w:p>
        </w:tc>
        <w:tc>
          <w:tcPr>
            <w:tcW w:w="1214" w:type="dxa"/>
            <w:noWrap w:val="0"/>
            <w:vAlign w:val="center"/>
          </w:tcPr>
          <w:p>
            <w:pPr>
              <w:jc w:val="center"/>
              <w:rPr>
                <w:rFonts w:eastAsia="仿宋"/>
                <w:color w:val="000000"/>
              </w:rPr>
            </w:pPr>
          </w:p>
        </w:tc>
        <w:tc>
          <w:tcPr>
            <w:tcW w:w="623" w:type="dxa"/>
            <w:noWrap w:val="0"/>
            <w:vAlign w:val="center"/>
          </w:tcPr>
          <w:p>
            <w:pPr>
              <w:jc w:val="center"/>
              <w:rPr>
                <w:rFonts w:eastAsia="仿宋"/>
                <w:color w:val="000000"/>
              </w:rPr>
            </w:pPr>
          </w:p>
        </w:tc>
        <w:tc>
          <w:tcPr>
            <w:tcW w:w="754" w:type="dxa"/>
            <w:noWrap w:val="0"/>
            <w:vAlign w:val="center"/>
          </w:tcPr>
          <w:p>
            <w:pPr>
              <w:jc w:val="center"/>
              <w:rPr>
                <w:rFonts w:eastAsia="仿宋"/>
                <w:color w:val="000000"/>
              </w:rPr>
            </w:pPr>
          </w:p>
        </w:tc>
        <w:tc>
          <w:tcPr>
            <w:tcW w:w="622" w:type="dxa"/>
            <w:noWrap w:val="0"/>
            <w:vAlign w:val="center"/>
          </w:tcPr>
          <w:p>
            <w:pPr>
              <w:jc w:val="center"/>
              <w:rPr>
                <w:rFonts w:eastAsia="仿宋"/>
                <w:color w:val="000000"/>
              </w:rPr>
            </w:pPr>
          </w:p>
        </w:tc>
        <w:tc>
          <w:tcPr>
            <w:tcW w:w="689" w:type="dxa"/>
            <w:noWrap w:val="0"/>
            <w:vAlign w:val="center"/>
          </w:tcPr>
          <w:p>
            <w:pPr>
              <w:jc w:val="center"/>
              <w:rPr>
                <w:rFonts w:eastAsia="仿宋"/>
                <w:color w:val="000000"/>
              </w:rPr>
            </w:pPr>
          </w:p>
        </w:tc>
        <w:tc>
          <w:tcPr>
            <w:tcW w:w="622" w:type="dxa"/>
            <w:noWrap w:val="0"/>
            <w:vAlign w:val="center"/>
          </w:tcPr>
          <w:p>
            <w:pPr>
              <w:jc w:val="center"/>
              <w:rPr>
                <w:rFonts w:eastAsia="仿宋"/>
                <w:color w:val="000000"/>
              </w:rPr>
            </w:pPr>
          </w:p>
        </w:tc>
        <w:tc>
          <w:tcPr>
            <w:tcW w:w="448" w:type="dxa"/>
            <w:noWrap w:val="0"/>
            <w:vAlign w:val="center"/>
          </w:tcPr>
          <w:p>
            <w:pPr>
              <w:jc w:val="center"/>
              <w:rPr>
                <w:rFonts w:eastAsia="仿宋"/>
                <w:color w:val="000000"/>
              </w:rPr>
            </w:pPr>
          </w:p>
        </w:tc>
        <w:tc>
          <w:tcPr>
            <w:tcW w:w="448" w:type="dxa"/>
            <w:noWrap w:val="0"/>
            <w:vAlign w:val="center"/>
          </w:tcPr>
          <w:p>
            <w:pPr>
              <w:jc w:val="center"/>
              <w:rPr>
                <w:rFonts w:eastAsia="仿宋"/>
                <w:color w:val="000000"/>
              </w:rPr>
            </w:pPr>
          </w:p>
        </w:tc>
        <w:tc>
          <w:tcPr>
            <w:tcW w:w="447" w:type="dxa"/>
            <w:noWrap w:val="0"/>
            <w:vAlign w:val="center"/>
          </w:tcPr>
          <w:p>
            <w:pPr>
              <w:jc w:val="center"/>
              <w:rPr>
                <w:rFonts w:eastAsia="仿宋"/>
                <w:color w:val="000000"/>
              </w:rPr>
            </w:pPr>
          </w:p>
        </w:tc>
        <w:tc>
          <w:tcPr>
            <w:tcW w:w="623" w:type="dxa"/>
            <w:noWrap w:val="0"/>
            <w:vAlign w:val="center"/>
          </w:tcPr>
          <w:p>
            <w:pPr>
              <w:jc w:val="center"/>
              <w:rPr>
                <w:rFonts w:eastAsia="仿宋"/>
                <w:color w:val="000000"/>
              </w:rPr>
            </w:pPr>
          </w:p>
        </w:tc>
        <w:tc>
          <w:tcPr>
            <w:tcW w:w="622" w:type="dxa"/>
            <w:noWrap w:val="0"/>
            <w:vAlign w:val="top"/>
          </w:tcPr>
          <w:p>
            <w:pP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8" w:type="dxa"/>
            <w:noWrap w:val="0"/>
            <w:vAlign w:val="center"/>
          </w:tcPr>
          <w:p>
            <w:pPr>
              <w:jc w:val="center"/>
              <w:rPr>
                <w:color w:val="000000"/>
              </w:rPr>
            </w:pPr>
          </w:p>
        </w:tc>
        <w:tc>
          <w:tcPr>
            <w:tcW w:w="754" w:type="dxa"/>
            <w:noWrap w:val="0"/>
            <w:vAlign w:val="center"/>
          </w:tcPr>
          <w:p>
            <w:pPr>
              <w:jc w:val="center"/>
              <w:rPr>
                <w:color w:val="000000"/>
              </w:rPr>
            </w:pPr>
          </w:p>
        </w:tc>
        <w:tc>
          <w:tcPr>
            <w:tcW w:w="754" w:type="dxa"/>
            <w:noWrap w:val="0"/>
            <w:vAlign w:val="center"/>
          </w:tcPr>
          <w:p>
            <w:pPr>
              <w:jc w:val="center"/>
              <w:rPr>
                <w:color w:val="000000"/>
              </w:rPr>
            </w:pPr>
          </w:p>
        </w:tc>
        <w:tc>
          <w:tcPr>
            <w:tcW w:w="1214" w:type="dxa"/>
            <w:noWrap w:val="0"/>
            <w:vAlign w:val="center"/>
          </w:tcPr>
          <w:p>
            <w:pPr>
              <w:jc w:val="center"/>
              <w:rPr>
                <w:color w:val="000000"/>
              </w:rPr>
            </w:pPr>
          </w:p>
        </w:tc>
        <w:tc>
          <w:tcPr>
            <w:tcW w:w="623" w:type="dxa"/>
            <w:noWrap w:val="0"/>
            <w:vAlign w:val="center"/>
          </w:tcPr>
          <w:p>
            <w:pPr>
              <w:jc w:val="center"/>
              <w:rPr>
                <w:color w:val="000000"/>
              </w:rPr>
            </w:pPr>
          </w:p>
        </w:tc>
        <w:tc>
          <w:tcPr>
            <w:tcW w:w="754" w:type="dxa"/>
            <w:noWrap w:val="0"/>
            <w:vAlign w:val="center"/>
          </w:tcPr>
          <w:p>
            <w:pPr>
              <w:jc w:val="center"/>
              <w:rPr>
                <w:color w:val="000000"/>
              </w:rPr>
            </w:pPr>
          </w:p>
        </w:tc>
        <w:tc>
          <w:tcPr>
            <w:tcW w:w="622" w:type="dxa"/>
            <w:noWrap w:val="0"/>
            <w:vAlign w:val="center"/>
          </w:tcPr>
          <w:p>
            <w:pPr>
              <w:jc w:val="center"/>
              <w:rPr>
                <w:color w:val="000000"/>
              </w:rPr>
            </w:pPr>
          </w:p>
        </w:tc>
        <w:tc>
          <w:tcPr>
            <w:tcW w:w="689" w:type="dxa"/>
            <w:noWrap w:val="0"/>
            <w:vAlign w:val="center"/>
          </w:tcPr>
          <w:p>
            <w:pPr>
              <w:jc w:val="center"/>
              <w:rPr>
                <w:color w:val="000000"/>
              </w:rPr>
            </w:pPr>
          </w:p>
        </w:tc>
        <w:tc>
          <w:tcPr>
            <w:tcW w:w="622" w:type="dxa"/>
            <w:noWrap w:val="0"/>
            <w:vAlign w:val="center"/>
          </w:tcPr>
          <w:p>
            <w:pPr>
              <w:jc w:val="center"/>
              <w:rPr>
                <w:color w:val="000000"/>
              </w:rPr>
            </w:pPr>
          </w:p>
        </w:tc>
        <w:tc>
          <w:tcPr>
            <w:tcW w:w="448" w:type="dxa"/>
            <w:noWrap w:val="0"/>
            <w:vAlign w:val="center"/>
          </w:tcPr>
          <w:p>
            <w:pPr>
              <w:jc w:val="center"/>
              <w:rPr>
                <w:color w:val="000000"/>
              </w:rPr>
            </w:pPr>
          </w:p>
        </w:tc>
        <w:tc>
          <w:tcPr>
            <w:tcW w:w="448" w:type="dxa"/>
            <w:noWrap w:val="0"/>
            <w:vAlign w:val="center"/>
          </w:tcPr>
          <w:p>
            <w:pPr>
              <w:jc w:val="center"/>
              <w:rPr>
                <w:color w:val="000000"/>
              </w:rPr>
            </w:pPr>
          </w:p>
        </w:tc>
        <w:tc>
          <w:tcPr>
            <w:tcW w:w="447" w:type="dxa"/>
            <w:noWrap w:val="0"/>
            <w:vAlign w:val="center"/>
          </w:tcPr>
          <w:p>
            <w:pPr>
              <w:jc w:val="center"/>
              <w:rPr>
                <w:color w:val="000000"/>
              </w:rPr>
            </w:pPr>
          </w:p>
        </w:tc>
        <w:tc>
          <w:tcPr>
            <w:tcW w:w="623" w:type="dxa"/>
            <w:noWrap w:val="0"/>
            <w:vAlign w:val="center"/>
          </w:tcPr>
          <w:p>
            <w:pPr>
              <w:jc w:val="center"/>
              <w:rPr>
                <w:color w:val="000000"/>
              </w:rPr>
            </w:pPr>
          </w:p>
        </w:tc>
        <w:tc>
          <w:tcPr>
            <w:tcW w:w="622" w:type="dxa"/>
            <w:noWrap w:val="0"/>
            <w:vAlign w:val="top"/>
          </w:tcPr>
          <w:p>
            <w:pPr>
              <w:rPr>
                <w:color w:val="000000"/>
              </w:rPr>
            </w:pPr>
          </w:p>
        </w:tc>
      </w:tr>
    </w:tbl>
    <w:p>
      <w:pPr>
        <w:rPr>
          <w:color w:val="000000"/>
          <w:sz w:val="28"/>
          <w:szCs w:val="28"/>
        </w:rPr>
      </w:pPr>
    </w:p>
    <w:p>
      <w:pPr>
        <w:rPr>
          <w:color w:val="000000"/>
          <w:sz w:val="28"/>
          <w:szCs w:val="28"/>
        </w:rPr>
      </w:pPr>
    </w:p>
    <w:p>
      <w:pPr>
        <w:rPr>
          <w:color w:val="000000"/>
          <w:sz w:val="28"/>
          <w:szCs w:val="28"/>
        </w:rPr>
      </w:pPr>
    </w:p>
    <w:p>
      <w:pPr>
        <w:rPr>
          <w:color w:val="000000"/>
          <w:sz w:val="28"/>
          <w:szCs w:val="28"/>
        </w:rPr>
      </w:pPr>
    </w:p>
    <w:p>
      <w:pPr>
        <w:rPr>
          <w:color w:val="000000"/>
          <w:sz w:val="28"/>
          <w:szCs w:val="28"/>
        </w:rPr>
      </w:pPr>
    </w:p>
    <w:p>
      <w:pPr>
        <w:spacing w:line="490" w:lineRule="exact"/>
        <w:jc w:val="center"/>
        <w:rPr>
          <w:color w:val="000000"/>
          <w:sz w:val="24"/>
          <w:szCs w:val="28"/>
        </w:rPr>
      </w:pPr>
      <w:r>
        <w:rPr>
          <w:color w:val="000000"/>
          <w:sz w:val="28"/>
          <w:szCs w:val="28"/>
        </w:rPr>
        <w:br w:type="page"/>
      </w:r>
    </w:p>
    <w:p>
      <w:pPr>
        <w:spacing w:line="490" w:lineRule="exact"/>
        <w:jc w:val="center"/>
        <w:rPr>
          <w:rFonts w:hint="eastAsia" w:ascii="方正小标宋简体" w:eastAsia="方正小标宋简体"/>
          <w:color w:val="000000"/>
          <w:sz w:val="40"/>
          <w:szCs w:val="44"/>
        </w:rPr>
      </w:pPr>
      <w:r>
        <w:rPr>
          <w:rFonts w:hint="eastAsia" w:ascii="方正小标宋简体" w:eastAsia="方正小标宋简体"/>
          <w:color w:val="000000"/>
          <w:sz w:val="40"/>
          <w:szCs w:val="44"/>
        </w:rPr>
        <w:t>投标人自备施工机械台时（班）费汇总表</w:t>
      </w:r>
    </w:p>
    <w:p>
      <w:pPr>
        <w:spacing w:line="490" w:lineRule="exact"/>
        <w:jc w:val="center"/>
        <w:rPr>
          <w:rFonts w:eastAsia="方正小标宋_GBK"/>
          <w:b/>
          <w:color w:val="000000"/>
          <w:sz w:val="40"/>
          <w:szCs w:val="44"/>
        </w:rPr>
      </w:pPr>
    </w:p>
    <w:p>
      <w:pPr>
        <w:spacing w:line="490" w:lineRule="exact"/>
        <w:rPr>
          <w:rFonts w:eastAsia="仿宋_GB2312"/>
          <w:color w:val="000000"/>
          <w:sz w:val="28"/>
          <w:szCs w:val="28"/>
          <w:u w:val="single"/>
        </w:rPr>
      </w:pPr>
      <w:r>
        <w:rPr>
          <w:rFonts w:eastAsia="仿宋_GB2312"/>
          <w:color w:val="000000"/>
          <w:sz w:val="28"/>
          <w:szCs w:val="28"/>
        </w:rPr>
        <w:t>合同编号：</w:t>
      </w:r>
      <w:r>
        <w:rPr>
          <w:rFonts w:eastAsia="仿宋_GB2312"/>
          <w:color w:val="000000"/>
          <w:sz w:val="28"/>
          <w:szCs w:val="28"/>
          <w:u w:val="single"/>
        </w:rPr>
        <w:t xml:space="preserve">  （投标项目合同号）  </w:t>
      </w:r>
    </w:p>
    <w:p>
      <w:pPr>
        <w:spacing w:line="490" w:lineRule="exact"/>
        <w:rPr>
          <w:rFonts w:eastAsia="仿宋_GB2312"/>
          <w:color w:val="000000"/>
          <w:sz w:val="28"/>
          <w:szCs w:val="28"/>
        </w:rPr>
      </w:pPr>
      <w:r>
        <w:rPr>
          <w:rFonts w:eastAsia="仿宋_GB2312"/>
          <w:color w:val="000000"/>
          <w:sz w:val="28"/>
          <w:szCs w:val="28"/>
        </w:rPr>
        <w:t>工程名称：</w:t>
      </w:r>
      <w:r>
        <w:rPr>
          <w:rFonts w:eastAsia="仿宋_GB2312"/>
          <w:color w:val="000000"/>
          <w:sz w:val="28"/>
          <w:szCs w:val="28"/>
          <w:u w:val="single"/>
        </w:rPr>
        <w:t xml:space="preserve">          </w:t>
      </w:r>
      <w:r>
        <w:rPr>
          <w:rFonts w:eastAsia="仿宋_GB2312"/>
          <w:color w:val="000000"/>
          <w:sz w:val="28"/>
          <w:szCs w:val="28"/>
        </w:rPr>
        <w:t>（项目名称）</w:t>
      </w:r>
      <w:r>
        <w:rPr>
          <w:rFonts w:eastAsia="仿宋_GB2312"/>
          <w:color w:val="000000"/>
          <w:sz w:val="28"/>
          <w:szCs w:val="28"/>
          <w:u w:val="single"/>
        </w:rPr>
        <w:t xml:space="preserve">          </w:t>
      </w:r>
      <w:r>
        <w:rPr>
          <w:rFonts w:eastAsia="仿宋_GB2312"/>
          <w:color w:val="000000"/>
          <w:sz w:val="28"/>
          <w:szCs w:val="28"/>
        </w:rPr>
        <w:t>（标段名称）</w:t>
      </w:r>
    </w:p>
    <w:p>
      <w:pPr>
        <w:spacing w:line="600" w:lineRule="exact"/>
        <w:ind w:firstLine="720" w:firstLineChars="300"/>
        <w:rPr>
          <w:rFonts w:eastAsia="仿宋_GB2312"/>
          <w:color w:val="000000"/>
          <w:sz w:val="24"/>
        </w:rPr>
      </w:pPr>
      <w:r>
        <w:rPr>
          <w:rFonts w:eastAsia="仿宋_GB2312"/>
          <w:color w:val="000000"/>
          <w:sz w:val="24"/>
        </w:rPr>
        <w:t xml:space="preserve">                                                    单位：元/台时（班）</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642"/>
        <w:gridCol w:w="643"/>
        <w:gridCol w:w="643"/>
        <w:gridCol w:w="643"/>
        <w:gridCol w:w="643"/>
        <w:gridCol w:w="643"/>
        <w:gridCol w:w="643"/>
        <w:gridCol w:w="643"/>
        <w:gridCol w:w="643"/>
        <w:gridCol w:w="524"/>
        <w:gridCol w:w="524"/>
        <w:gridCol w:w="524"/>
        <w:gridCol w:w="643"/>
        <w:gridCol w:w="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2" w:type="dxa"/>
            <w:vMerge w:val="restart"/>
            <w:noWrap w:val="0"/>
            <w:vAlign w:val="center"/>
          </w:tcPr>
          <w:p>
            <w:pPr>
              <w:jc w:val="center"/>
              <w:rPr>
                <w:rFonts w:eastAsia="仿宋"/>
                <w:color w:val="000000"/>
              </w:rPr>
            </w:pPr>
            <w:r>
              <w:rPr>
                <w:rFonts w:eastAsia="仿宋"/>
                <w:color w:val="000000"/>
              </w:rPr>
              <w:t>序号</w:t>
            </w:r>
          </w:p>
        </w:tc>
        <w:tc>
          <w:tcPr>
            <w:tcW w:w="642" w:type="dxa"/>
            <w:vMerge w:val="restart"/>
            <w:noWrap w:val="0"/>
            <w:vAlign w:val="center"/>
          </w:tcPr>
          <w:p>
            <w:pPr>
              <w:jc w:val="center"/>
              <w:rPr>
                <w:rFonts w:eastAsia="仿宋"/>
                <w:color w:val="000000"/>
              </w:rPr>
            </w:pPr>
            <w:r>
              <w:rPr>
                <w:rFonts w:eastAsia="仿宋"/>
                <w:color w:val="000000"/>
              </w:rPr>
              <w:t>机械名称</w:t>
            </w:r>
          </w:p>
        </w:tc>
        <w:tc>
          <w:tcPr>
            <w:tcW w:w="643" w:type="dxa"/>
            <w:vMerge w:val="restart"/>
            <w:noWrap w:val="0"/>
            <w:vAlign w:val="center"/>
          </w:tcPr>
          <w:p>
            <w:pPr>
              <w:jc w:val="center"/>
              <w:rPr>
                <w:rFonts w:eastAsia="仿宋"/>
                <w:color w:val="000000"/>
              </w:rPr>
            </w:pPr>
            <w:r>
              <w:rPr>
                <w:rFonts w:eastAsia="仿宋"/>
                <w:color w:val="000000"/>
              </w:rPr>
              <w:t>型号规格</w:t>
            </w:r>
          </w:p>
        </w:tc>
        <w:tc>
          <w:tcPr>
            <w:tcW w:w="2572" w:type="dxa"/>
            <w:gridSpan w:val="4"/>
            <w:noWrap w:val="0"/>
            <w:vAlign w:val="center"/>
          </w:tcPr>
          <w:p>
            <w:pPr>
              <w:jc w:val="center"/>
              <w:rPr>
                <w:rFonts w:eastAsia="仿宋"/>
                <w:color w:val="000000"/>
              </w:rPr>
            </w:pPr>
            <w:r>
              <w:rPr>
                <w:rFonts w:eastAsia="仿宋"/>
                <w:color w:val="000000"/>
              </w:rPr>
              <w:t>一类费用</w:t>
            </w:r>
          </w:p>
        </w:tc>
        <w:tc>
          <w:tcPr>
            <w:tcW w:w="4144" w:type="dxa"/>
            <w:gridSpan w:val="7"/>
            <w:noWrap w:val="0"/>
            <w:vAlign w:val="center"/>
          </w:tcPr>
          <w:p>
            <w:pPr>
              <w:jc w:val="center"/>
              <w:rPr>
                <w:rFonts w:eastAsia="仿宋"/>
                <w:color w:val="000000"/>
              </w:rPr>
            </w:pPr>
            <w:r>
              <w:rPr>
                <w:rFonts w:eastAsia="仿宋"/>
                <w:color w:val="000000"/>
              </w:rPr>
              <w:t>二类费用</w:t>
            </w:r>
          </w:p>
        </w:tc>
        <w:tc>
          <w:tcPr>
            <w:tcW w:w="643" w:type="dxa"/>
            <w:vMerge w:val="restart"/>
            <w:noWrap w:val="0"/>
            <w:vAlign w:val="center"/>
          </w:tcPr>
          <w:p>
            <w:pPr>
              <w:jc w:val="center"/>
              <w:rPr>
                <w:rFonts w:eastAsia="仿宋"/>
                <w:color w:val="000000"/>
              </w:rPr>
            </w:pPr>
            <w:r>
              <w:rPr>
                <w:rFonts w:eastAsia="仿宋"/>
                <w:color w:val="000000"/>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2" w:type="dxa"/>
            <w:vMerge w:val="continue"/>
            <w:noWrap w:val="0"/>
            <w:vAlign w:val="center"/>
          </w:tcPr>
          <w:p>
            <w:pPr>
              <w:jc w:val="center"/>
              <w:rPr>
                <w:rFonts w:eastAsia="仿宋"/>
                <w:color w:val="000000"/>
              </w:rPr>
            </w:pPr>
          </w:p>
        </w:tc>
        <w:tc>
          <w:tcPr>
            <w:tcW w:w="642" w:type="dxa"/>
            <w:vMerge w:val="continue"/>
            <w:noWrap w:val="0"/>
            <w:vAlign w:val="center"/>
          </w:tcPr>
          <w:p>
            <w:pPr>
              <w:jc w:val="center"/>
              <w:rPr>
                <w:rFonts w:eastAsia="仿宋"/>
                <w:color w:val="000000"/>
              </w:rPr>
            </w:pPr>
          </w:p>
        </w:tc>
        <w:tc>
          <w:tcPr>
            <w:tcW w:w="643" w:type="dxa"/>
            <w:vMerge w:val="continue"/>
            <w:noWrap w:val="0"/>
            <w:vAlign w:val="center"/>
          </w:tcPr>
          <w:p>
            <w:pPr>
              <w:jc w:val="center"/>
              <w:rPr>
                <w:rFonts w:eastAsia="仿宋"/>
                <w:color w:val="000000"/>
              </w:rPr>
            </w:pPr>
          </w:p>
        </w:tc>
        <w:tc>
          <w:tcPr>
            <w:tcW w:w="643" w:type="dxa"/>
            <w:noWrap w:val="0"/>
            <w:vAlign w:val="center"/>
          </w:tcPr>
          <w:p>
            <w:pPr>
              <w:jc w:val="center"/>
              <w:rPr>
                <w:rFonts w:eastAsia="仿宋"/>
                <w:color w:val="000000"/>
              </w:rPr>
            </w:pPr>
            <w:r>
              <w:rPr>
                <w:rFonts w:eastAsia="仿宋"/>
                <w:color w:val="000000"/>
              </w:rPr>
              <w:t>折旧费</w:t>
            </w:r>
          </w:p>
        </w:tc>
        <w:tc>
          <w:tcPr>
            <w:tcW w:w="643" w:type="dxa"/>
            <w:noWrap w:val="0"/>
            <w:vAlign w:val="center"/>
          </w:tcPr>
          <w:p>
            <w:pPr>
              <w:jc w:val="center"/>
              <w:rPr>
                <w:rFonts w:eastAsia="仿宋"/>
                <w:color w:val="000000"/>
              </w:rPr>
            </w:pPr>
            <w:r>
              <w:rPr>
                <w:rFonts w:eastAsia="仿宋"/>
                <w:color w:val="000000"/>
              </w:rPr>
              <w:t>维修费</w:t>
            </w:r>
          </w:p>
        </w:tc>
        <w:tc>
          <w:tcPr>
            <w:tcW w:w="643" w:type="dxa"/>
            <w:noWrap w:val="0"/>
            <w:vAlign w:val="center"/>
          </w:tcPr>
          <w:p>
            <w:pPr>
              <w:jc w:val="center"/>
              <w:rPr>
                <w:rFonts w:eastAsia="仿宋"/>
                <w:color w:val="000000"/>
              </w:rPr>
            </w:pPr>
            <w:r>
              <w:rPr>
                <w:rFonts w:eastAsia="仿宋"/>
                <w:color w:val="000000"/>
              </w:rPr>
              <w:t>安拆费</w:t>
            </w:r>
          </w:p>
        </w:tc>
        <w:tc>
          <w:tcPr>
            <w:tcW w:w="643" w:type="dxa"/>
            <w:noWrap w:val="0"/>
            <w:vAlign w:val="center"/>
          </w:tcPr>
          <w:p>
            <w:pPr>
              <w:jc w:val="center"/>
              <w:rPr>
                <w:rFonts w:eastAsia="仿宋"/>
                <w:color w:val="000000"/>
              </w:rPr>
            </w:pPr>
            <w:r>
              <w:rPr>
                <w:rFonts w:eastAsia="仿宋"/>
                <w:color w:val="000000"/>
              </w:rPr>
              <w:t>小计</w:t>
            </w:r>
          </w:p>
        </w:tc>
        <w:tc>
          <w:tcPr>
            <w:tcW w:w="643" w:type="dxa"/>
            <w:noWrap w:val="0"/>
            <w:vAlign w:val="center"/>
          </w:tcPr>
          <w:p>
            <w:pPr>
              <w:jc w:val="center"/>
              <w:rPr>
                <w:rFonts w:eastAsia="仿宋"/>
                <w:color w:val="000000"/>
              </w:rPr>
            </w:pPr>
            <w:r>
              <w:rPr>
                <w:rFonts w:eastAsia="仿宋"/>
                <w:color w:val="000000"/>
              </w:rPr>
              <w:t>人工</w:t>
            </w:r>
          </w:p>
        </w:tc>
        <w:tc>
          <w:tcPr>
            <w:tcW w:w="643" w:type="dxa"/>
            <w:noWrap w:val="0"/>
            <w:vAlign w:val="center"/>
          </w:tcPr>
          <w:p>
            <w:pPr>
              <w:jc w:val="center"/>
              <w:rPr>
                <w:rFonts w:eastAsia="仿宋"/>
                <w:color w:val="000000"/>
              </w:rPr>
            </w:pPr>
            <w:r>
              <w:rPr>
                <w:rFonts w:eastAsia="仿宋"/>
                <w:color w:val="000000"/>
              </w:rPr>
              <w:t>柴油</w:t>
            </w:r>
          </w:p>
        </w:tc>
        <w:tc>
          <w:tcPr>
            <w:tcW w:w="643" w:type="dxa"/>
            <w:noWrap w:val="0"/>
            <w:vAlign w:val="center"/>
          </w:tcPr>
          <w:p>
            <w:pPr>
              <w:jc w:val="center"/>
              <w:rPr>
                <w:rFonts w:eastAsia="仿宋"/>
                <w:color w:val="000000"/>
              </w:rPr>
            </w:pPr>
            <w:r>
              <w:rPr>
                <w:rFonts w:eastAsia="仿宋"/>
                <w:color w:val="000000"/>
              </w:rPr>
              <w:t>电</w:t>
            </w:r>
          </w:p>
        </w:tc>
        <w:tc>
          <w:tcPr>
            <w:tcW w:w="524" w:type="dxa"/>
            <w:noWrap w:val="0"/>
            <w:vAlign w:val="center"/>
          </w:tcPr>
          <w:p>
            <w:pPr>
              <w:jc w:val="center"/>
              <w:rPr>
                <w:rFonts w:eastAsia="仿宋"/>
                <w:color w:val="000000"/>
              </w:rPr>
            </w:pPr>
          </w:p>
        </w:tc>
        <w:tc>
          <w:tcPr>
            <w:tcW w:w="524" w:type="dxa"/>
            <w:noWrap w:val="0"/>
            <w:vAlign w:val="center"/>
          </w:tcPr>
          <w:p>
            <w:pPr>
              <w:jc w:val="center"/>
              <w:rPr>
                <w:rFonts w:eastAsia="仿宋"/>
                <w:color w:val="000000"/>
              </w:rPr>
            </w:pPr>
          </w:p>
        </w:tc>
        <w:tc>
          <w:tcPr>
            <w:tcW w:w="524" w:type="dxa"/>
            <w:noWrap w:val="0"/>
            <w:vAlign w:val="center"/>
          </w:tcPr>
          <w:p>
            <w:pPr>
              <w:jc w:val="center"/>
              <w:rPr>
                <w:rFonts w:eastAsia="仿宋"/>
                <w:color w:val="000000"/>
              </w:rPr>
            </w:pPr>
          </w:p>
        </w:tc>
        <w:tc>
          <w:tcPr>
            <w:tcW w:w="643" w:type="dxa"/>
            <w:noWrap w:val="0"/>
            <w:vAlign w:val="center"/>
          </w:tcPr>
          <w:p>
            <w:pPr>
              <w:jc w:val="center"/>
              <w:rPr>
                <w:rFonts w:eastAsia="仿宋"/>
                <w:color w:val="000000"/>
              </w:rPr>
            </w:pPr>
            <w:r>
              <w:rPr>
                <w:rFonts w:eastAsia="仿宋"/>
                <w:color w:val="000000"/>
              </w:rPr>
              <w:t>小计</w:t>
            </w:r>
          </w:p>
        </w:tc>
        <w:tc>
          <w:tcPr>
            <w:tcW w:w="643" w:type="dxa"/>
            <w:vMerge w:val="continue"/>
            <w:noWrap w:val="0"/>
            <w:vAlign w:val="center"/>
          </w:tcPr>
          <w:p>
            <w:pPr>
              <w:jc w:val="cente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2" w:type="dxa"/>
            <w:noWrap w:val="0"/>
            <w:vAlign w:val="center"/>
          </w:tcPr>
          <w:p>
            <w:pPr>
              <w:rPr>
                <w:rFonts w:eastAsia="仿宋"/>
                <w:color w:val="000000"/>
                <w:sz w:val="28"/>
                <w:szCs w:val="28"/>
              </w:rPr>
            </w:pPr>
          </w:p>
        </w:tc>
        <w:tc>
          <w:tcPr>
            <w:tcW w:w="642"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524" w:type="dxa"/>
            <w:noWrap w:val="0"/>
            <w:vAlign w:val="center"/>
          </w:tcPr>
          <w:p>
            <w:pPr>
              <w:rPr>
                <w:rFonts w:eastAsia="仿宋"/>
                <w:color w:val="000000"/>
                <w:sz w:val="28"/>
                <w:szCs w:val="28"/>
              </w:rPr>
            </w:pPr>
          </w:p>
        </w:tc>
        <w:tc>
          <w:tcPr>
            <w:tcW w:w="524" w:type="dxa"/>
            <w:noWrap w:val="0"/>
            <w:vAlign w:val="center"/>
          </w:tcPr>
          <w:p>
            <w:pPr>
              <w:rPr>
                <w:rFonts w:eastAsia="仿宋"/>
                <w:color w:val="000000"/>
                <w:sz w:val="28"/>
                <w:szCs w:val="28"/>
              </w:rPr>
            </w:pPr>
          </w:p>
        </w:tc>
        <w:tc>
          <w:tcPr>
            <w:tcW w:w="524"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2" w:type="dxa"/>
            <w:noWrap w:val="0"/>
            <w:vAlign w:val="center"/>
          </w:tcPr>
          <w:p>
            <w:pPr>
              <w:rPr>
                <w:rFonts w:eastAsia="仿宋"/>
                <w:color w:val="000000"/>
                <w:sz w:val="28"/>
                <w:szCs w:val="28"/>
              </w:rPr>
            </w:pPr>
          </w:p>
        </w:tc>
        <w:tc>
          <w:tcPr>
            <w:tcW w:w="642"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524" w:type="dxa"/>
            <w:noWrap w:val="0"/>
            <w:vAlign w:val="center"/>
          </w:tcPr>
          <w:p>
            <w:pPr>
              <w:rPr>
                <w:rFonts w:eastAsia="仿宋"/>
                <w:color w:val="000000"/>
                <w:sz w:val="28"/>
                <w:szCs w:val="28"/>
              </w:rPr>
            </w:pPr>
          </w:p>
        </w:tc>
        <w:tc>
          <w:tcPr>
            <w:tcW w:w="524" w:type="dxa"/>
            <w:noWrap w:val="0"/>
            <w:vAlign w:val="center"/>
          </w:tcPr>
          <w:p>
            <w:pPr>
              <w:rPr>
                <w:rFonts w:eastAsia="仿宋"/>
                <w:color w:val="000000"/>
                <w:sz w:val="28"/>
                <w:szCs w:val="28"/>
              </w:rPr>
            </w:pPr>
          </w:p>
        </w:tc>
        <w:tc>
          <w:tcPr>
            <w:tcW w:w="524"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2" w:type="dxa"/>
            <w:noWrap w:val="0"/>
            <w:vAlign w:val="center"/>
          </w:tcPr>
          <w:p>
            <w:pPr>
              <w:rPr>
                <w:rFonts w:eastAsia="仿宋"/>
                <w:color w:val="000000"/>
                <w:sz w:val="28"/>
                <w:szCs w:val="28"/>
              </w:rPr>
            </w:pPr>
          </w:p>
        </w:tc>
        <w:tc>
          <w:tcPr>
            <w:tcW w:w="642"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524" w:type="dxa"/>
            <w:noWrap w:val="0"/>
            <w:vAlign w:val="center"/>
          </w:tcPr>
          <w:p>
            <w:pPr>
              <w:rPr>
                <w:rFonts w:eastAsia="仿宋"/>
                <w:color w:val="000000"/>
                <w:sz w:val="28"/>
                <w:szCs w:val="28"/>
              </w:rPr>
            </w:pPr>
          </w:p>
        </w:tc>
        <w:tc>
          <w:tcPr>
            <w:tcW w:w="524" w:type="dxa"/>
            <w:noWrap w:val="0"/>
            <w:vAlign w:val="center"/>
          </w:tcPr>
          <w:p>
            <w:pPr>
              <w:rPr>
                <w:rFonts w:eastAsia="仿宋"/>
                <w:color w:val="000000"/>
                <w:sz w:val="28"/>
                <w:szCs w:val="28"/>
              </w:rPr>
            </w:pPr>
          </w:p>
        </w:tc>
        <w:tc>
          <w:tcPr>
            <w:tcW w:w="524"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2" w:type="dxa"/>
            <w:noWrap w:val="0"/>
            <w:vAlign w:val="center"/>
          </w:tcPr>
          <w:p>
            <w:pPr>
              <w:rPr>
                <w:rFonts w:eastAsia="仿宋"/>
                <w:color w:val="000000"/>
                <w:sz w:val="28"/>
                <w:szCs w:val="28"/>
              </w:rPr>
            </w:pPr>
          </w:p>
        </w:tc>
        <w:tc>
          <w:tcPr>
            <w:tcW w:w="642"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524" w:type="dxa"/>
            <w:noWrap w:val="0"/>
            <w:vAlign w:val="center"/>
          </w:tcPr>
          <w:p>
            <w:pPr>
              <w:rPr>
                <w:rFonts w:eastAsia="仿宋"/>
                <w:color w:val="000000"/>
                <w:sz w:val="28"/>
                <w:szCs w:val="28"/>
              </w:rPr>
            </w:pPr>
          </w:p>
        </w:tc>
        <w:tc>
          <w:tcPr>
            <w:tcW w:w="524" w:type="dxa"/>
            <w:noWrap w:val="0"/>
            <w:vAlign w:val="center"/>
          </w:tcPr>
          <w:p>
            <w:pPr>
              <w:rPr>
                <w:rFonts w:eastAsia="仿宋"/>
                <w:color w:val="000000"/>
                <w:sz w:val="28"/>
                <w:szCs w:val="28"/>
              </w:rPr>
            </w:pPr>
          </w:p>
        </w:tc>
        <w:tc>
          <w:tcPr>
            <w:tcW w:w="524"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2" w:type="dxa"/>
            <w:noWrap w:val="0"/>
            <w:vAlign w:val="center"/>
          </w:tcPr>
          <w:p>
            <w:pPr>
              <w:rPr>
                <w:rFonts w:eastAsia="仿宋"/>
                <w:color w:val="000000"/>
                <w:sz w:val="28"/>
                <w:szCs w:val="28"/>
              </w:rPr>
            </w:pPr>
          </w:p>
        </w:tc>
        <w:tc>
          <w:tcPr>
            <w:tcW w:w="642"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524" w:type="dxa"/>
            <w:noWrap w:val="0"/>
            <w:vAlign w:val="center"/>
          </w:tcPr>
          <w:p>
            <w:pPr>
              <w:rPr>
                <w:rFonts w:eastAsia="仿宋"/>
                <w:color w:val="000000"/>
                <w:sz w:val="28"/>
                <w:szCs w:val="28"/>
              </w:rPr>
            </w:pPr>
          </w:p>
        </w:tc>
        <w:tc>
          <w:tcPr>
            <w:tcW w:w="524" w:type="dxa"/>
            <w:noWrap w:val="0"/>
            <w:vAlign w:val="center"/>
          </w:tcPr>
          <w:p>
            <w:pPr>
              <w:rPr>
                <w:rFonts w:eastAsia="仿宋"/>
                <w:color w:val="000000"/>
                <w:sz w:val="28"/>
                <w:szCs w:val="28"/>
              </w:rPr>
            </w:pPr>
          </w:p>
        </w:tc>
        <w:tc>
          <w:tcPr>
            <w:tcW w:w="524"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c>
          <w:tcPr>
            <w:tcW w:w="643" w:type="dxa"/>
            <w:noWrap w:val="0"/>
            <w:vAlign w:val="center"/>
          </w:tcPr>
          <w:p>
            <w:pPr>
              <w:rPr>
                <w:rFonts w:eastAsia="仿宋"/>
                <w:color w:val="000000"/>
                <w:sz w:val="28"/>
                <w:szCs w:val="28"/>
              </w:rPr>
            </w:pPr>
          </w:p>
        </w:tc>
      </w:tr>
    </w:tbl>
    <w:p>
      <w:pPr>
        <w:spacing w:line="360" w:lineRule="auto"/>
        <w:ind w:firstLine="2310" w:firstLineChars="1100"/>
        <w:rPr>
          <w:bCs/>
          <w:color w:val="000000"/>
        </w:rPr>
      </w:pPr>
    </w:p>
    <w:p>
      <w:pPr>
        <w:spacing w:line="360" w:lineRule="auto"/>
        <w:ind w:firstLine="2310" w:firstLineChars="1100"/>
        <w:rPr>
          <w:color w:val="000000"/>
        </w:rPr>
      </w:pPr>
    </w:p>
    <w:p>
      <w:pPr>
        <w:spacing w:line="360" w:lineRule="auto"/>
        <w:ind w:firstLine="2310" w:firstLineChars="1100"/>
        <w:rPr>
          <w:color w:val="000000"/>
        </w:rPr>
        <w:sectPr>
          <w:headerReference r:id="rId18" w:type="even"/>
          <w:pgSz w:w="11906" w:h="16838"/>
          <w:pgMar w:top="1701" w:right="1418" w:bottom="1701" w:left="1418" w:header="1021" w:footer="1021" w:gutter="0"/>
          <w:cols w:space="720" w:num="1"/>
          <w:docGrid w:linePitch="312" w:charSpace="0"/>
        </w:sectPr>
      </w:pPr>
    </w:p>
    <w:p>
      <w:pPr>
        <w:spacing w:line="490" w:lineRule="exact"/>
        <w:jc w:val="center"/>
        <w:rPr>
          <w:rFonts w:eastAsia="方正小标宋_GBK"/>
          <w:b/>
          <w:color w:val="000000"/>
          <w:sz w:val="40"/>
          <w:szCs w:val="44"/>
        </w:rPr>
      </w:pPr>
    </w:p>
    <w:p>
      <w:pPr>
        <w:spacing w:line="490" w:lineRule="exact"/>
        <w:jc w:val="center"/>
        <w:rPr>
          <w:rFonts w:hint="eastAsia" w:ascii="方正小标宋简体" w:eastAsia="方正小标宋简体"/>
          <w:color w:val="000000"/>
          <w:sz w:val="40"/>
          <w:szCs w:val="44"/>
        </w:rPr>
      </w:pPr>
      <w:r>
        <w:rPr>
          <w:rFonts w:hint="eastAsia" w:ascii="方正小标宋简体" w:eastAsia="方正小标宋简体"/>
          <w:color w:val="000000"/>
          <w:sz w:val="40"/>
          <w:szCs w:val="44"/>
        </w:rPr>
        <w:t>总价项目分类分项工程分解表</w:t>
      </w:r>
    </w:p>
    <w:p>
      <w:pPr>
        <w:spacing w:line="490" w:lineRule="exact"/>
        <w:jc w:val="center"/>
        <w:rPr>
          <w:rFonts w:eastAsia="方正小标宋_GBK"/>
          <w:b/>
          <w:color w:val="000000"/>
          <w:sz w:val="40"/>
          <w:szCs w:val="44"/>
        </w:rPr>
      </w:pPr>
    </w:p>
    <w:p>
      <w:pPr>
        <w:spacing w:line="490" w:lineRule="exact"/>
        <w:rPr>
          <w:rFonts w:eastAsia="仿宋_GB2312"/>
          <w:color w:val="000000"/>
          <w:sz w:val="28"/>
          <w:u w:val="single"/>
        </w:rPr>
      </w:pPr>
      <w:r>
        <w:rPr>
          <w:rFonts w:eastAsia="仿宋_GB2312"/>
          <w:color w:val="000000"/>
          <w:sz w:val="28"/>
        </w:rPr>
        <w:t>合同编号：</w:t>
      </w:r>
      <w:r>
        <w:rPr>
          <w:rFonts w:eastAsia="仿宋_GB2312"/>
          <w:color w:val="000000"/>
          <w:sz w:val="28"/>
          <w:u w:val="single"/>
        </w:rPr>
        <w:t xml:space="preserve">  （投标项目合同号）  </w:t>
      </w:r>
    </w:p>
    <w:p>
      <w:pPr>
        <w:spacing w:line="490" w:lineRule="exact"/>
        <w:rPr>
          <w:rFonts w:eastAsia="仿宋_GB2312"/>
          <w:color w:val="000000"/>
          <w:sz w:val="28"/>
        </w:rPr>
      </w:pPr>
      <w:r>
        <w:rPr>
          <w:rFonts w:eastAsia="仿宋_GB2312"/>
          <w:color w:val="000000"/>
          <w:sz w:val="28"/>
        </w:rPr>
        <w:t>工程名称：</w:t>
      </w:r>
      <w:r>
        <w:rPr>
          <w:rFonts w:eastAsia="仿宋_GB2312"/>
          <w:color w:val="000000"/>
          <w:sz w:val="28"/>
          <w:u w:val="single"/>
        </w:rPr>
        <w:t xml:space="preserve">          </w:t>
      </w:r>
      <w:r>
        <w:rPr>
          <w:rFonts w:eastAsia="仿宋_GB2312"/>
          <w:color w:val="000000"/>
          <w:sz w:val="28"/>
        </w:rPr>
        <w:t>（项目名称）</w:t>
      </w:r>
      <w:r>
        <w:rPr>
          <w:rFonts w:eastAsia="仿宋_GB2312"/>
          <w:color w:val="000000"/>
          <w:sz w:val="28"/>
          <w:u w:val="single"/>
        </w:rPr>
        <w:t xml:space="preserve">          </w:t>
      </w:r>
      <w:r>
        <w:rPr>
          <w:rFonts w:eastAsia="仿宋_GB2312"/>
          <w:color w:val="000000"/>
          <w:sz w:val="28"/>
        </w:rPr>
        <w:t>（标段名称）</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134"/>
        <w:gridCol w:w="1134"/>
        <w:gridCol w:w="1134"/>
        <w:gridCol w:w="1134"/>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noWrap w:val="0"/>
            <w:vAlign w:val="center"/>
          </w:tcPr>
          <w:p>
            <w:pPr>
              <w:jc w:val="center"/>
              <w:rPr>
                <w:rFonts w:eastAsia="仿宋"/>
                <w:color w:val="000000"/>
                <w:sz w:val="28"/>
                <w:szCs w:val="28"/>
              </w:rPr>
            </w:pPr>
            <w:r>
              <w:rPr>
                <w:rFonts w:eastAsia="仿宋"/>
                <w:color w:val="000000"/>
              </w:rPr>
              <w:t>序号</w:t>
            </w:r>
          </w:p>
        </w:tc>
        <w:tc>
          <w:tcPr>
            <w:tcW w:w="1134" w:type="dxa"/>
            <w:noWrap w:val="0"/>
            <w:vAlign w:val="center"/>
          </w:tcPr>
          <w:p>
            <w:pPr>
              <w:jc w:val="center"/>
              <w:rPr>
                <w:rFonts w:eastAsia="仿宋"/>
                <w:color w:val="000000"/>
                <w:sz w:val="28"/>
                <w:szCs w:val="28"/>
              </w:rPr>
            </w:pPr>
            <w:r>
              <w:rPr>
                <w:rFonts w:eastAsia="仿宋"/>
                <w:color w:val="000000"/>
              </w:rPr>
              <w:t>项目编码</w:t>
            </w:r>
          </w:p>
        </w:tc>
        <w:tc>
          <w:tcPr>
            <w:tcW w:w="1134" w:type="dxa"/>
            <w:noWrap w:val="0"/>
            <w:vAlign w:val="center"/>
          </w:tcPr>
          <w:p>
            <w:pPr>
              <w:jc w:val="center"/>
              <w:rPr>
                <w:rFonts w:eastAsia="仿宋"/>
                <w:color w:val="000000"/>
                <w:sz w:val="28"/>
                <w:szCs w:val="28"/>
              </w:rPr>
            </w:pPr>
            <w:r>
              <w:rPr>
                <w:rFonts w:eastAsia="仿宋"/>
                <w:color w:val="000000"/>
              </w:rPr>
              <w:t>项目名称</w:t>
            </w:r>
          </w:p>
        </w:tc>
        <w:tc>
          <w:tcPr>
            <w:tcW w:w="1134" w:type="dxa"/>
            <w:noWrap w:val="0"/>
            <w:vAlign w:val="center"/>
          </w:tcPr>
          <w:p>
            <w:pPr>
              <w:jc w:val="center"/>
              <w:rPr>
                <w:rFonts w:eastAsia="仿宋"/>
                <w:color w:val="000000"/>
                <w:sz w:val="28"/>
                <w:szCs w:val="28"/>
              </w:rPr>
            </w:pPr>
            <w:r>
              <w:rPr>
                <w:rFonts w:eastAsia="仿宋"/>
                <w:color w:val="000000"/>
              </w:rPr>
              <w:t>计量单位</w:t>
            </w:r>
          </w:p>
        </w:tc>
        <w:tc>
          <w:tcPr>
            <w:tcW w:w="1134" w:type="dxa"/>
            <w:noWrap w:val="0"/>
            <w:vAlign w:val="center"/>
          </w:tcPr>
          <w:p>
            <w:pPr>
              <w:jc w:val="center"/>
              <w:rPr>
                <w:rFonts w:eastAsia="仿宋"/>
                <w:color w:val="000000"/>
                <w:sz w:val="28"/>
                <w:szCs w:val="28"/>
              </w:rPr>
            </w:pPr>
            <w:r>
              <w:rPr>
                <w:rFonts w:eastAsia="仿宋"/>
                <w:color w:val="000000"/>
              </w:rPr>
              <w:t>工程数量</w:t>
            </w:r>
          </w:p>
        </w:tc>
        <w:tc>
          <w:tcPr>
            <w:tcW w:w="1134" w:type="dxa"/>
            <w:noWrap w:val="0"/>
            <w:vAlign w:val="center"/>
          </w:tcPr>
          <w:p>
            <w:pPr>
              <w:jc w:val="center"/>
              <w:rPr>
                <w:rFonts w:eastAsia="仿宋"/>
                <w:color w:val="000000"/>
              </w:rPr>
            </w:pPr>
            <w:r>
              <w:rPr>
                <w:rFonts w:eastAsia="仿宋"/>
                <w:color w:val="000000"/>
              </w:rPr>
              <w:t>单价</w:t>
            </w:r>
          </w:p>
          <w:p>
            <w:pPr>
              <w:jc w:val="center"/>
              <w:rPr>
                <w:rFonts w:eastAsia="仿宋"/>
                <w:color w:val="000000"/>
              </w:rPr>
            </w:pPr>
            <w:r>
              <w:rPr>
                <w:rFonts w:eastAsia="仿宋"/>
                <w:color w:val="000000"/>
              </w:rPr>
              <w:t>（元）</w:t>
            </w:r>
          </w:p>
        </w:tc>
        <w:tc>
          <w:tcPr>
            <w:tcW w:w="1134" w:type="dxa"/>
            <w:noWrap w:val="0"/>
            <w:vAlign w:val="center"/>
          </w:tcPr>
          <w:p>
            <w:pPr>
              <w:jc w:val="center"/>
              <w:rPr>
                <w:rFonts w:eastAsia="仿宋"/>
                <w:color w:val="000000"/>
              </w:rPr>
            </w:pPr>
            <w:r>
              <w:rPr>
                <w:rFonts w:eastAsia="仿宋"/>
                <w:color w:val="000000"/>
              </w:rPr>
              <w:t>合价</w:t>
            </w:r>
          </w:p>
          <w:p>
            <w:pPr>
              <w:jc w:val="center"/>
              <w:rPr>
                <w:rFonts w:eastAsia="仿宋"/>
                <w:color w:val="000000"/>
              </w:rPr>
            </w:pPr>
            <w:r>
              <w:rPr>
                <w:rFonts w:eastAsia="仿宋"/>
                <w:color w:val="000000"/>
              </w:rPr>
              <w:t>（元）</w:t>
            </w:r>
          </w:p>
        </w:tc>
        <w:tc>
          <w:tcPr>
            <w:tcW w:w="1134" w:type="dxa"/>
            <w:noWrap w:val="0"/>
            <w:vAlign w:val="center"/>
          </w:tcPr>
          <w:p>
            <w:pPr>
              <w:jc w:val="center"/>
              <w:rPr>
                <w:rFonts w:eastAsia="仿宋"/>
                <w:color w:val="000000"/>
              </w:rPr>
            </w:pPr>
            <w:r>
              <w:rPr>
                <w:rFonts w:eastAsia="仿宋"/>
                <w:color w:val="00000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c>
          <w:tcPr>
            <w:tcW w:w="1134" w:type="dxa"/>
            <w:noWrap w:val="0"/>
            <w:vAlign w:val="center"/>
          </w:tcPr>
          <w:p>
            <w:pPr>
              <w:jc w:val="center"/>
              <w:rPr>
                <w:rFonts w:eastAsia="仿宋"/>
                <w:color w:val="000000"/>
                <w:sz w:val="28"/>
                <w:szCs w:val="28"/>
              </w:rPr>
            </w:pPr>
          </w:p>
        </w:tc>
      </w:tr>
    </w:tbl>
    <w:p>
      <w:pPr>
        <w:ind w:firstLine="413" w:firstLineChars="196"/>
        <w:rPr>
          <w:rFonts w:eastAsia="仿宋"/>
          <w:color w:val="000000"/>
        </w:rPr>
      </w:pPr>
      <w:r>
        <w:rPr>
          <w:rFonts w:eastAsia="仿宋"/>
          <w:b/>
          <w:color w:val="000000"/>
        </w:rPr>
        <w:t>注：</w:t>
      </w:r>
      <w:r>
        <w:rPr>
          <w:rFonts w:eastAsia="仿宋"/>
          <w:color w:val="000000"/>
        </w:rPr>
        <w:t>项目编码应遵守</w:t>
      </w:r>
      <w:r>
        <w:rPr>
          <w:rFonts w:eastAsia="仿宋"/>
          <w:color w:val="000000"/>
          <w:u w:val="single"/>
        </w:rPr>
        <w:t>《水利工程工程量清单计价规范》（GB50501—2007）</w:t>
      </w:r>
      <w:r>
        <w:rPr>
          <w:rFonts w:eastAsia="仿宋"/>
          <w:color w:val="000000"/>
        </w:rPr>
        <w:t>。</w:t>
      </w:r>
    </w:p>
    <w:p>
      <w:pPr>
        <w:ind w:firstLine="1155" w:firstLineChars="550"/>
        <w:rPr>
          <w:bCs/>
          <w:color w:val="000000"/>
        </w:rPr>
      </w:pPr>
    </w:p>
    <w:p>
      <w:pPr>
        <w:ind w:firstLine="1155" w:firstLineChars="550"/>
        <w:rPr>
          <w:bCs/>
          <w:color w:val="000000"/>
        </w:rPr>
      </w:pPr>
    </w:p>
    <w:p>
      <w:pPr>
        <w:ind w:firstLine="1155" w:firstLineChars="550"/>
        <w:rPr>
          <w:bCs/>
          <w:color w:val="000000"/>
        </w:rPr>
      </w:pPr>
    </w:p>
    <w:p>
      <w:pPr>
        <w:rPr>
          <w:color w:val="000000"/>
        </w:rPr>
      </w:pPr>
    </w:p>
    <w:p>
      <w:pPr>
        <w:rPr>
          <w:color w:val="000000"/>
        </w:rPr>
      </w:pPr>
    </w:p>
    <w:p>
      <w:pPr>
        <w:rPr>
          <w:color w:val="000000"/>
        </w:rPr>
      </w:pPr>
    </w:p>
    <w:p>
      <w:pPr>
        <w:rPr>
          <w:color w:val="000000"/>
        </w:rPr>
      </w:pPr>
    </w:p>
    <w:p>
      <w:pPr>
        <w:jc w:val="center"/>
        <w:rPr>
          <w:color w:val="000000"/>
        </w:rPr>
      </w:pPr>
    </w:p>
    <w:p>
      <w:pPr>
        <w:jc w:val="center"/>
        <w:rPr>
          <w:color w:val="000000"/>
        </w:rPr>
      </w:pPr>
    </w:p>
    <w:p>
      <w:pPr>
        <w:spacing w:line="490" w:lineRule="exact"/>
        <w:jc w:val="center"/>
        <w:rPr>
          <w:b/>
          <w:color w:val="000000"/>
          <w:sz w:val="40"/>
          <w:szCs w:val="28"/>
        </w:rPr>
      </w:pPr>
      <w:r>
        <w:rPr>
          <w:b/>
          <w:color w:val="000000"/>
          <w:sz w:val="28"/>
          <w:szCs w:val="28"/>
        </w:rPr>
        <w:br w:type="page"/>
      </w:r>
    </w:p>
    <w:p>
      <w:pPr>
        <w:spacing w:line="490" w:lineRule="exact"/>
        <w:jc w:val="center"/>
        <w:rPr>
          <w:rFonts w:hint="eastAsia" w:ascii="方正小标宋简体" w:eastAsia="方正小标宋简体"/>
          <w:color w:val="000000"/>
          <w:sz w:val="40"/>
          <w:szCs w:val="44"/>
        </w:rPr>
      </w:pPr>
      <w:r>
        <w:rPr>
          <w:rFonts w:hint="eastAsia" w:ascii="方正小标宋简体" w:eastAsia="方正小标宋简体"/>
          <w:color w:val="000000"/>
          <w:sz w:val="40"/>
          <w:szCs w:val="44"/>
        </w:rPr>
        <w:t>工程单价计算表</w:t>
      </w:r>
    </w:p>
    <w:p>
      <w:pPr>
        <w:spacing w:line="490" w:lineRule="exact"/>
        <w:jc w:val="center"/>
        <w:rPr>
          <w:rFonts w:eastAsia="方正小标宋_GBK"/>
          <w:b/>
          <w:color w:val="000000"/>
          <w:sz w:val="40"/>
          <w:szCs w:val="44"/>
        </w:rPr>
      </w:pPr>
    </w:p>
    <w:p>
      <w:pPr>
        <w:spacing w:line="600" w:lineRule="exact"/>
        <w:jc w:val="center"/>
        <w:rPr>
          <w:rFonts w:eastAsia="仿宋_GB2312"/>
          <w:color w:val="000000"/>
          <w:sz w:val="28"/>
          <w:szCs w:val="28"/>
        </w:rPr>
      </w:pPr>
      <w:r>
        <w:rPr>
          <w:rFonts w:eastAsia="仿宋_GB2312"/>
          <w:color w:val="000000"/>
          <w:sz w:val="28"/>
          <w:szCs w:val="28"/>
          <w:u w:val="single"/>
        </w:rPr>
        <w:t xml:space="preserve">             </w:t>
      </w:r>
      <w:r>
        <w:rPr>
          <w:rFonts w:eastAsia="仿宋_GB2312"/>
          <w:color w:val="000000"/>
          <w:sz w:val="28"/>
          <w:szCs w:val="28"/>
        </w:rPr>
        <w:t>工程</w:t>
      </w:r>
    </w:p>
    <w:p>
      <w:pPr>
        <w:spacing w:line="600" w:lineRule="exact"/>
        <w:rPr>
          <w:rFonts w:eastAsia="仿宋_GB2312"/>
          <w:color w:val="000000"/>
          <w:sz w:val="28"/>
          <w:szCs w:val="28"/>
        </w:rPr>
      </w:pPr>
      <w:r>
        <w:rPr>
          <w:rFonts w:eastAsia="仿宋_GB2312"/>
          <w:color w:val="000000"/>
          <w:sz w:val="28"/>
          <w:szCs w:val="28"/>
        </w:rPr>
        <w:t>单价编号：                             定额单位：</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390"/>
        <w:gridCol w:w="1188"/>
        <w:gridCol w:w="1188"/>
        <w:gridCol w:w="1188"/>
        <w:gridCol w:w="1724"/>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117" w:type="dxa"/>
            <w:gridSpan w:val="7"/>
            <w:noWrap w:val="0"/>
            <w:vAlign w:val="center"/>
          </w:tcPr>
          <w:p>
            <w:pPr>
              <w:rPr>
                <w:rFonts w:eastAsia="仿宋"/>
                <w:color w:val="000000"/>
              </w:rPr>
            </w:pPr>
            <w:r>
              <w:rPr>
                <w:rFonts w:eastAsia="仿宋"/>
                <w:color w:val="000000"/>
              </w:rPr>
              <w:t>施工方法：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9" w:type="dxa"/>
            <w:noWrap w:val="0"/>
            <w:vAlign w:val="center"/>
          </w:tcPr>
          <w:p>
            <w:pPr>
              <w:tabs>
                <w:tab w:val="left" w:pos="930"/>
              </w:tabs>
              <w:jc w:val="center"/>
              <w:rPr>
                <w:rFonts w:eastAsia="仿宋"/>
                <w:color w:val="000000"/>
              </w:rPr>
            </w:pPr>
            <w:r>
              <w:rPr>
                <w:rFonts w:eastAsia="仿宋"/>
                <w:color w:val="000000"/>
              </w:rPr>
              <w:t>序号</w:t>
            </w:r>
          </w:p>
        </w:tc>
        <w:tc>
          <w:tcPr>
            <w:tcW w:w="1390" w:type="dxa"/>
            <w:noWrap w:val="0"/>
            <w:vAlign w:val="center"/>
          </w:tcPr>
          <w:p>
            <w:pPr>
              <w:jc w:val="center"/>
              <w:rPr>
                <w:rFonts w:eastAsia="仿宋"/>
                <w:color w:val="000000"/>
              </w:rPr>
            </w:pPr>
            <w:r>
              <w:rPr>
                <w:rFonts w:eastAsia="仿宋"/>
                <w:color w:val="000000"/>
              </w:rPr>
              <w:t>名称</w:t>
            </w:r>
          </w:p>
        </w:tc>
        <w:tc>
          <w:tcPr>
            <w:tcW w:w="1188" w:type="dxa"/>
            <w:noWrap w:val="0"/>
            <w:vAlign w:val="center"/>
          </w:tcPr>
          <w:p>
            <w:pPr>
              <w:jc w:val="center"/>
              <w:rPr>
                <w:rFonts w:eastAsia="仿宋"/>
                <w:color w:val="000000"/>
              </w:rPr>
            </w:pPr>
            <w:r>
              <w:rPr>
                <w:rFonts w:eastAsia="仿宋"/>
                <w:color w:val="000000"/>
              </w:rPr>
              <w:t>型号规格</w:t>
            </w:r>
          </w:p>
        </w:tc>
        <w:tc>
          <w:tcPr>
            <w:tcW w:w="1188" w:type="dxa"/>
            <w:noWrap w:val="0"/>
            <w:vAlign w:val="center"/>
          </w:tcPr>
          <w:p>
            <w:pPr>
              <w:jc w:val="center"/>
              <w:rPr>
                <w:rFonts w:eastAsia="仿宋"/>
                <w:color w:val="000000"/>
              </w:rPr>
            </w:pPr>
            <w:r>
              <w:rPr>
                <w:rFonts w:eastAsia="仿宋"/>
                <w:color w:val="000000"/>
              </w:rPr>
              <w:t>计量单位</w:t>
            </w:r>
          </w:p>
        </w:tc>
        <w:tc>
          <w:tcPr>
            <w:tcW w:w="1188" w:type="dxa"/>
            <w:noWrap w:val="0"/>
            <w:vAlign w:val="center"/>
          </w:tcPr>
          <w:p>
            <w:pPr>
              <w:jc w:val="center"/>
              <w:rPr>
                <w:rFonts w:eastAsia="仿宋"/>
                <w:color w:val="000000"/>
              </w:rPr>
            </w:pPr>
            <w:r>
              <w:rPr>
                <w:rFonts w:eastAsia="仿宋"/>
                <w:color w:val="000000"/>
              </w:rPr>
              <w:t>数量</w:t>
            </w:r>
          </w:p>
        </w:tc>
        <w:tc>
          <w:tcPr>
            <w:tcW w:w="1724" w:type="dxa"/>
            <w:noWrap w:val="0"/>
            <w:vAlign w:val="center"/>
          </w:tcPr>
          <w:p>
            <w:pPr>
              <w:jc w:val="center"/>
              <w:rPr>
                <w:rFonts w:eastAsia="仿宋"/>
                <w:color w:val="000000"/>
              </w:rPr>
            </w:pPr>
            <w:r>
              <w:rPr>
                <w:rFonts w:eastAsia="仿宋"/>
                <w:color w:val="000000"/>
              </w:rPr>
              <w:t>单价（元）</w:t>
            </w:r>
          </w:p>
        </w:tc>
        <w:tc>
          <w:tcPr>
            <w:tcW w:w="1450" w:type="dxa"/>
            <w:noWrap w:val="0"/>
            <w:vAlign w:val="center"/>
          </w:tcPr>
          <w:p>
            <w:pPr>
              <w:jc w:val="center"/>
              <w:rPr>
                <w:rFonts w:eastAsia="仿宋"/>
                <w:color w:val="000000"/>
              </w:rPr>
            </w:pPr>
            <w:r>
              <w:rPr>
                <w:rFonts w:eastAsia="仿宋"/>
                <w:color w:val="000000"/>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89" w:type="dxa"/>
            <w:noWrap w:val="0"/>
            <w:vAlign w:val="center"/>
          </w:tcPr>
          <w:p>
            <w:pPr>
              <w:jc w:val="center"/>
              <w:rPr>
                <w:rFonts w:eastAsia="仿宋"/>
                <w:color w:val="000000"/>
              </w:rPr>
            </w:pPr>
          </w:p>
        </w:tc>
        <w:tc>
          <w:tcPr>
            <w:tcW w:w="1390"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724" w:type="dxa"/>
            <w:noWrap w:val="0"/>
            <w:vAlign w:val="center"/>
          </w:tcPr>
          <w:p>
            <w:pPr>
              <w:jc w:val="center"/>
              <w:rPr>
                <w:rFonts w:eastAsia="仿宋"/>
                <w:color w:val="000000"/>
              </w:rPr>
            </w:pPr>
          </w:p>
        </w:tc>
        <w:tc>
          <w:tcPr>
            <w:tcW w:w="1450" w:type="dxa"/>
            <w:noWrap w:val="0"/>
            <w:vAlign w:val="center"/>
          </w:tcPr>
          <w:p>
            <w:pPr>
              <w:jc w:val="cente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89" w:type="dxa"/>
            <w:noWrap w:val="0"/>
            <w:vAlign w:val="center"/>
          </w:tcPr>
          <w:p>
            <w:pPr>
              <w:jc w:val="center"/>
              <w:rPr>
                <w:rFonts w:eastAsia="仿宋"/>
                <w:color w:val="000000"/>
              </w:rPr>
            </w:pPr>
          </w:p>
        </w:tc>
        <w:tc>
          <w:tcPr>
            <w:tcW w:w="1390"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724" w:type="dxa"/>
            <w:noWrap w:val="0"/>
            <w:vAlign w:val="center"/>
          </w:tcPr>
          <w:p>
            <w:pPr>
              <w:jc w:val="center"/>
              <w:rPr>
                <w:rFonts w:eastAsia="仿宋"/>
                <w:color w:val="000000"/>
              </w:rPr>
            </w:pPr>
          </w:p>
        </w:tc>
        <w:tc>
          <w:tcPr>
            <w:tcW w:w="1450" w:type="dxa"/>
            <w:noWrap w:val="0"/>
            <w:vAlign w:val="center"/>
          </w:tcPr>
          <w:p>
            <w:pPr>
              <w:jc w:val="cente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89" w:type="dxa"/>
            <w:noWrap w:val="0"/>
            <w:vAlign w:val="center"/>
          </w:tcPr>
          <w:p>
            <w:pPr>
              <w:jc w:val="center"/>
              <w:rPr>
                <w:rFonts w:eastAsia="仿宋"/>
                <w:color w:val="000000"/>
              </w:rPr>
            </w:pPr>
          </w:p>
        </w:tc>
        <w:tc>
          <w:tcPr>
            <w:tcW w:w="1390"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724" w:type="dxa"/>
            <w:noWrap w:val="0"/>
            <w:vAlign w:val="center"/>
          </w:tcPr>
          <w:p>
            <w:pPr>
              <w:jc w:val="center"/>
              <w:rPr>
                <w:rFonts w:eastAsia="仿宋"/>
                <w:color w:val="000000"/>
              </w:rPr>
            </w:pPr>
          </w:p>
        </w:tc>
        <w:tc>
          <w:tcPr>
            <w:tcW w:w="1450" w:type="dxa"/>
            <w:noWrap w:val="0"/>
            <w:vAlign w:val="center"/>
          </w:tcPr>
          <w:p>
            <w:pPr>
              <w:jc w:val="cente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89" w:type="dxa"/>
            <w:noWrap w:val="0"/>
            <w:vAlign w:val="center"/>
          </w:tcPr>
          <w:p>
            <w:pPr>
              <w:jc w:val="center"/>
              <w:rPr>
                <w:rFonts w:eastAsia="仿宋"/>
                <w:color w:val="000000"/>
              </w:rPr>
            </w:pPr>
          </w:p>
        </w:tc>
        <w:tc>
          <w:tcPr>
            <w:tcW w:w="1390"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724" w:type="dxa"/>
            <w:noWrap w:val="0"/>
            <w:vAlign w:val="center"/>
          </w:tcPr>
          <w:p>
            <w:pPr>
              <w:jc w:val="center"/>
              <w:rPr>
                <w:rFonts w:eastAsia="仿宋"/>
                <w:color w:val="000000"/>
              </w:rPr>
            </w:pPr>
          </w:p>
        </w:tc>
        <w:tc>
          <w:tcPr>
            <w:tcW w:w="1450" w:type="dxa"/>
            <w:noWrap w:val="0"/>
            <w:vAlign w:val="center"/>
          </w:tcPr>
          <w:p>
            <w:pPr>
              <w:jc w:val="cente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89" w:type="dxa"/>
            <w:noWrap w:val="0"/>
            <w:vAlign w:val="center"/>
          </w:tcPr>
          <w:p>
            <w:pPr>
              <w:jc w:val="center"/>
              <w:rPr>
                <w:rFonts w:eastAsia="仿宋"/>
                <w:color w:val="000000"/>
              </w:rPr>
            </w:pPr>
          </w:p>
        </w:tc>
        <w:tc>
          <w:tcPr>
            <w:tcW w:w="1390"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724" w:type="dxa"/>
            <w:noWrap w:val="0"/>
            <w:vAlign w:val="center"/>
          </w:tcPr>
          <w:p>
            <w:pPr>
              <w:jc w:val="center"/>
              <w:rPr>
                <w:rFonts w:eastAsia="仿宋"/>
                <w:color w:val="000000"/>
              </w:rPr>
            </w:pPr>
          </w:p>
        </w:tc>
        <w:tc>
          <w:tcPr>
            <w:tcW w:w="1450" w:type="dxa"/>
            <w:noWrap w:val="0"/>
            <w:vAlign w:val="center"/>
          </w:tcPr>
          <w:p>
            <w:pPr>
              <w:jc w:val="cente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89" w:type="dxa"/>
            <w:noWrap w:val="0"/>
            <w:vAlign w:val="center"/>
          </w:tcPr>
          <w:p>
            <w:pPr>
              <w:jc w:val="center"/>
              <w:rPr>
                <w:rFonts w:eastAsia="仿宋"/>
                <w:color w:val="000000"/>
              </w:rPr>
            </w:pPr>
          </w:p>
        </w:tc>
        <w:tc>
          <w:tcPr>
            <w:tcW w:w="1390"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724" w:type="dxa"/>
            <w:noWrap w:val="0"/>
            <w:vAlign w:val="center"/>
          </w:tcPr>
          <w:p>
            <w:pPr>
              <w:jc w:val="center"/>
              <w:rPr>
                <w:rFonts w:eastAsia="仿宋"/>
                <w:color w:val="000000"/>
              </w:rPr>
            </w:pPr>
          </w:p>
        </w:tc>
        <w:tc>
          <w:tcPr>
            <w:tcW w:w="1450" w:type="dxa"/>
            <w:noWrap w:val="0"/>
            <w:vAlign w:val="center"/>
          </w:tcPr>
          <w:p>
            <w:pPr>
              <w:jc w:val="cente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89" w:type="dxa"/>
            <w:noWrap w:val="0"/>
            <w:vAlign w:val="center"/>
          </w:tcPr>
          <w:p>
            <w:pPr>
              <w:jc w:val="center"/>
              <w:rPr>
                <w:rFonts w:eastAsia="仿宋"/>
                <w:color w:val="000000"/>
              </w:rPr>
            </w:pPr>
          </w:p>
        </w:tc>
        <w:tc>
          <w:tcPr>
            <w:tcW w:w="1390"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724" w:type="dxa"/>
            <w:noWrap w:val="0"/>
            <w:vAlign w:val="center"/>
          </w:tcPr>
          <w:p>
            <w:pPr>
              <w:jc w:val="center"/>
              <w:rPr>
                <w:rFonts w:eastAsia="仿宋"/>
                <w:color w:val="000000"/>
              </w:rPr>
            </w:pPr>
          </w:p>
        </w:tc>
        <w:tc>
          <w:tcPr>
            <w:tcW w:w="1450" w:type="dxa"/>
            <w:noWrap w:val="0"/>
            <w:vAlign w:val="center"/>
          </w:tcPr>
          <w:p>
            <w:pPr>
              <w:jc w:val="cente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89" w:type="dxa"/>
            <w:noWrap w:val="0"/>
            <w:vAlign w:val="center"/>
          </w:tcPr>
          <w:p>
            <w:pPr>
              <w:jc w:val="center"/>
              <w:rPr>
                <w:rFonts w:eastAsia="仿宋"/>
                <w:color w:val="000000"/>
              </w:rPr>
            </w:pPr>
          </w:p>
        </w:tc>
        <w:tc>
          <w:tcPr>
            <w:tcW w:w="1390"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724" w:type="dxa"/>
            <w:noWrap w:val="0"/>
            <w:vAlign w:val="center"/>
          </w:tcPr>
          <w:p>
            <w:pPr>
              <w:jc w:val="center"/>
              <w:rPr>
                <w:rFonts w:eastAsia="仿宋"/>
                <w:color w:val="000000"/>
              </w:rPr>
            </w:pPr>
          </w:p>
        </w:tc>
        <w:tc>
          <w:tcPr>
            <w:tcW w:w="1450" w:type="dxa"/>
            <w:noWrap w:val="0"/>
            <w:vAlign w:val="center"/>
          </w:tcPr>
          <w:p>
            <w:pPr>
              <w:jc w:val="cente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89" w:type="dxa"/>
            <w:noWrap w:val="0"/>
            <w:vAlign w:val="center"/>
          </w:tcPr>
          <w:p>
            <w:pPr>
              <w:jc w:val="center"/>
              <w:rPr>
                <w:rFonts w:eastAsia="仿宋"/>
                <w:color w:val="000000"/>
              </w:rPr>
            </w:pPr>
          </w:p>
        </w:tc>
        <w:tc>
          <w:tcPr>
            <w:tcW w:w="1390"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724" w:type="dxa"/>
            <w:noWrap w:val="0"/>
            <w:vAlign w:val="center"/>
          </w:tcPr>
          <w:p>
            <w:pPr>
              <w:jc w:val="center"/>
              <w:rPr>
                <w:rFonts w:eastAsia="仿宋"/>
                <w:color w:val="000000"/>
              </w:rPr>
            </w:pPr>
          </w:p>
        </w:tc>
        <w:tc>
          <w:tcPr>
            <w:tcW w:w="1450" w:type="dxa"/>
            <w:noWrap w:val="0"/>
            <w:vAlign w:val="center"/>
          </w:tcPr>
          <w:p>
            <w:pPr>
              <w:jc w:val="cente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89" w:type="dxa"/>
            <w:noWrap w:val="0"/>
            <w:vAlign w:val="center"/>
          </w:tcPr>
          <w:p>
            <w:pPr>
              <w:jc w:val="center"/>
              <w:rPr>
                <w:rFonts w:eastAsia="仿宋"/>
                <w:color w:val="000000"/>
              </w:rPr>
            </w:pPr>
          </w:p>
        </w:tc>
        <w:tc>
          <w:tcPr>
            <w:tcW w:w="1390"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724" w:type="dxa"/>
            <w:noWrap w:val="0"/>
            <w:vAlign w:val="center"/>
          </w:tcPr>
          <w:p>
            <w:pPr>
              <w:jc w:val="center"/>
              <w:rPr>
                <w:rFonts w:eastAsia="仿宋"/>
                <w:color w:val="000000"/>
              </w:rPr>
            </w:pPr>
          </w:p>
        </w:tc>
        <w:tc>
          <w:tcPr>
            <w:tcW w:w="1450" w:type="dxa"/>
            <w:noWrap w:val="0"/>
            <w:vAlign w:val="center"/>
          </w:tcPr>
          <w:p>
            <w:pPr>
              <w:jc w:val="cente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89" w:type="dxa"/>
            <w:noWrap w:val="0"/>
            <w:vAlign w:val="center"/>
          </w:tcPr>
          <w:p>
            <w:pPr>
              <w:jc w:val="center"/>
              <w:rPr>
                <w:rFonts w:eastAsia="仿宋"/>
                <w:color w:val="000000"/>
              </w:rPr>
            </w:pPr>
          </w:p>
        </w:tc>
        <w:tc>
          <w:tcPr>
            <w:tcW w:w="1390"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724" w:type="dxa"/>
            <w:noWrap w:val="0"/>
            <w:vAlign w:val="center"/>
          </w:tcPr>
          <w:p>
            <w:pPr>
              <w:jc w:val="center"/>
              <w:rPr>
                <w:rFonts w:eastAsia="仿宋"/>
                <w:color w:val="000000"/>
              </w:rPr>
            </w:pPr>
          </w:p>
        </w:tc>
        <w:tc>
          <w:tcPr>
            <w:tcW w:w="1450" w:type="dxa"/>
            <w:noWrap w:val="0"/>
            <w:vAlign w:val="center"/>
          </w:tcPr>
          <w:p>
            <w:pPr>
              <w:jc w:val="cente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89" w:type="dxa"/>
            <w:noWrap w:val="0"/>
            <w:vAlign w:val="center"/>
          </w:tcPr>
          <w:p>
            <w:pPr>
              <w:jc w:val="center"/>
              <w:rPr>
                <w:rFonts w:eastAsia="仿宋"/>
                <w:color w:val="000000"/>
              </w:rPr>
            </w:pPr>
          </w:p>
        </w:tc>
        <w:tc>
          <w:tcPr>
            <w:tcW w:w="1390"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724" w:type="dxa"/>
            <w:noWrap w:val="0"/>
            <w:vAlign w:val="center"/>
          </w:tcPr>
          <w:p>
            <w:pPr>
              <w:jc w:val="center"/>
              <w:rPr>
                <w:rFonts w:eastAsia="仿宋"/>
                <w:color w:val="000000"/>
              </w:rPr>
            </w:pPr>
          </w:p>
        </w:tc>
        <w:tc>
          <w:tcPr>
            <w:tcW w:w="1450" w:type="dxa"/>
            <w:noWrap w:val="0"/>
            <w:vAlign w:val="center"/>
          </w:tcPr>
          <w:p>
            <w:pPr>
              <w:jc w:val="cente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89" w:type="dxa"/>
            <w:noWrap w:val="0"/>
            <w:vAlign w:val="center"/>
          </w:tcPr>
          <w:p>
            <w:pPr>
              <w:jc w:val="center"/>
              <w:rPr>
                <w:rFonts w:eastAsia="仿宋"/>
                <w:color w:val="000000"/>
              </w:rPr>
            </w:pPr>
          </w:p>
        </w:tc>
        <w:tc>
          <w:tcPr>
            <w:tcW w:w="1390"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724" w:type="dxa"/>
            <w:noWrap w:val="0"/>
            <w:vAlign w:val="center"/>
          </w:tcPr>
          <w:p>
            <w:pPr>
              <w:jc w:val="center"/>
              <w:rPr>
                <w:rFonts w:eastAsia="仿宋"/>
                <w:color w:val="000000"/>
              </w:rPr>
            </w:pPr>
          </w:p>
        </w:tc>
        <w:tc>
          <w:tcPr>
            <w:tcW w:w="1450" w:type="dxa"/>
            <w:noWrap w:val="0"/>
            <w:vAlign w:val="center"/>
          </w:tcPr>
          <w:p>
            <w:pPr>
              <w:jc w:val="cente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89" w:type="dxa"/>
            <w:noWrap w:val="0"/>
            <w:vAlign w:val="center"/>
          </w:tcPr>
          <w:p>
            <w:pPr>
              <w:jc w:val="center"/>
              <w:rPr>
                <w:rFonts w:eastAsia="仿宋"/>
                <w:color w:val="000000"/>
              </w:rPr>
            </w:pPr>
          </w:p>
        </w:tc>
        <w:tc>
          <w:tcPr>
            <w:tcW w:w="1390"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724" w:type="dxa"/>
            <w:noWrap w:val="0"/>
            <w:vAlign w:val="center"/>
          </w:tcPr>
          <w:p>
            <w:pPr>
              <w:jc w:val="center"/>
              <w:rPr>
                <w:rFonts w:eastAsia="仿宋"/>
                <w:color w:val="000000"/>
              </w:rPr>
            </w:pPr>
          </w:p>
        </w:tc>
        <w:tc>
          <w:tcPr>
            <w:tcW w:w="1450" w:type="dxa"/>
            <w:noWrap w:val="0"/>
            <w:vAlign w:val="center"/>
          </w:tcPr>
          <w:p>
            <w:pPr>
              <w:jc w:val="cente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89" w:type="dxa"/>
            <w:noWrap w:val="0"/>
            <w:vAlign w:val="center"/>
          </w:tcPr>
          <w:p>
            <w:pPr>
              <w:jc w:val="center"/>
              <w:rPr>
                <w:rFonts w:eastAsia="仿宋"/>
                <w:color w:val="000000"/>
              </w:rPr>
            </w:pPr>
          </w:p>
        </w:tc>
        <w:tc>
          <w:tcPr>
            <w:tcW w:w="1390"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724" w:type="dxa"/>
            <w:noWrap w:val="0"/>
            <w:vAlign w:val="center"/>
          </w:tcPr>
          <w:p>
            <w:pPr>
              <w:jc w:val="center"/>
              <w:rPr>
                <w:rFonts w:eastAsia="仿宋"/>
                <w:color w:val="000000"/>
              </w:rPr>
            </w:pPr>
          </w:p>
        </w:tc>
        <w:tc>
          <w:tcPr>
            <w:tcW w:w="1450" w:type="dxa"/>
            <w:noWrap w:val="0"/>
            <w:vAlign w:val="center"/>
          </w:tcPr>
          <w:p>
            <w:pPr>
              <w:jc w:val="cente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89" w:type="dxa"/>
            <w:noWrap w:val="0"/>
            <w:vAlign w:val="center"/>
          </w:tcPr>
          <w:p>
            <w:pPr>
              <w:jc w:val="center"/>
              <w:rPr>
                <w:rFonts w:eastAsia="仿宋"/>
                <w:color w:val="000000"/>
              </w:rPr>
            </w:pPr>
          </w:p>
        </w:tc>
        <w:tc>
          <w:tcPr>
            <w:tcW w:w="1390"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188" w:type="dxa"/>
            <w:noWrap w:val="0"/>
            <w:vAlign w:val="center"/>
          </w:tcPr>
          <w:p>
            <w:pPr>
              <w:jc w:val="center"/>
              <w:rPr>
                <w:rFonts w:eastAsia="仿宋"/>
                <w:color w:val="000000"/>
              </w:rPr>
            </w:pPr>
          </w:p>
        </w:tc>
        <w:tc>
          <w:tcPr>
            <w:tcW w:w="1724" w:type="dxa"/>
            <w:noWrap w:val="0"/>
            <w:vAlign w:val="center"/>
          </w:tcPr>
          <w:p>
            <w:pPr>
              <w:jc w:val="center"/>
              <w:rPr>
                <w:rFonts w:eastAsia="仿宋"/>
                <w:color w:val="000000"/>
              </w:rPr>
            </w:pPr>
          </w:p>
        </w:tc>
        <w:tc>
          <w:tcPr>
            <w:tcW w:w="1450" w:type="dxa"/>
            <w:noWrap w:val="0"/>
            <w:vAlign w:val="center"/>
          </w:tcPr>
          <w:p>
            <w:pPr>
              <w:jc w:val="center"/>
              <w:rPr>
                <w:rFonts w:eastAsia="仿宋"/>
                <w:color w:val="000000"/>
              </w:rPr>
            </w:pPr>
          </w:p>
        </w:tc>
      </w:tr>
    </w:tbl>
    <w:p>
      <w:pPr>
        <w:ind w:firstLine="1155" w:firstLineChars="550"/>
        <w:rPr>
          <w:bCs/>
          <w:color w:val="000000"/>
        </w:rPr>
      </w:pPr>
    </w:p>
    <w:p>
      <w:pPr>
        <w:ind w:firstLine="1155" w:firstLineChars="550"/>
        <w:rPr>
          <w:bCs/>
          <w:color w:val="000000"/>
        </w:rPr>
      </w:pPr>
    </w:p>
    <w:p>
      <w:pPr>
        <w:spacing w:line="490" w:lineRule="exact"/>
        <w:jc w:val="center"/>
        <w:rPr>
          <w:b/>
          <w:color w:val="000000"/>
          <w:sz w:val="24"/>
          <w:szCs w:val="28"/>
        </w:rPr>
      </w:pPr>
      <w:r>
        <w:rPr>
          <w:b/>
          <w:color w:val="000000"/>
          <w:sz w:val="28"/>
          <w:szCs w:val="28"/>
        </w:rPr>
        <w:br w:type="page"/>
      </w:r>
    </w:p>
    <w:p>
      <w:pPr>
        <w:spacing w:line="490" w:lineRule="exact"/>
        <w:jc w:val="center"/>
        <w:rPr>
          <w:rFonts w:hint="eastAsia" w:ascii="方正小标宋简体" w:eastAsia="方正小标宋简体"/>
          <w:color w:val="000000"/>
          <w:sz w:val="40"/>
          <w:szCs w:val="44"/>
        </w:rPr>
      </w:pPr>
      <w:r>
        <w:rPr>
          <w:rFonts w:hint="eastAsia" w:ascii="方正小标宋简体" w:eastAsia="方正小标宋简体"/>
          <w:color w:val="000000"/>
          <w:sz w:val="40"/>
          <w:szCs w:val="44"/>
        </w:rPr>
        <w:t>人工费单价汇总表</w:t>
      </w:r>
    </w:p>
    <w:p>
      <w:pPr>
        <w:spacing w:line="490" w:lineRule="exact"/>
        <w:jc w:val="center"/>
        <w:rPr>
          <w:rFonts w:eastAsia="方正小标宋_GBK"/>
          <w:b/>
          <w:color w:val="000000"/>
          <w:sz w:val="40"/>
          <w:szCs w:val="44"/>
        </w:rPr>
      </w:pPr>
    </w:p>
    <w:p>
      <w:pPr>
        <w:spacing w:line="490" w:lineRule="exact"/>
        <w:rPr>
          <w:rFonts w:eastAsia="仿宋_GB2312"/>
          <w:color w:val="000000"/>
          <w:sz w:val="28"/>
          <w:u w:val="single"/>
        </w:rPr>
      </w:pPr>
      <w:r>
        <w:rPr>
          <w:rFonts w:eastAsia="仿宋_GB2312"/>
          <w:color w:val="000000"/>
          <w:sz w:val="28"/>
        </w:rPr>
        <w:t>合同编号：</w:t>
      </w:r>
      <w:r>
        <w:rPr>
          <w:rFonts w:eastAsia="仿宋_GB2312"/>
          <w:color w:val="000000"/>
          <w:sz w:val="28"/>
          <w:u w:val="single"/>
        </w:rPr>
        <w:t xml:space="preserve">  （投标项目合同号）  </w:t>
      </w:r>
    </w:p>
    <w:p>
      <w:pPr>
        <w:spacing w:line="490" w:lineRule="exact"/>
        <w:rPr>
          <w:rFonts w:eastAsia="仿宋_GB2312"/>
          <w:color w:val="000000"/>
          <w:sz w:val="28"/>
        </w:rPr>
      </w:pPr>
      <w:r>
        <w:rPr>
          <w:rFonts w:eastAsia="仿宋_GB2312"/>
          <w:color w:val="000000"/>
          <w:sz w:val="28"/>
        </w:rPr>
        <w:t>工程名称：</w:t>
      </w:r>
      <w:r>
        <w:rPr>
          <w:rFonts w:eastAsia="仿宋_GB2312"/>
          <w:color w:val="000000"/>
          <w:sz w:val="28"/>
          <w:u w:val="single"/>
        </w:rPr>
        <w:t xml:space="preserve">          </w:t>
      </w:r>
      <w:r>
        <w:rPr>
          <w:rFonts w:eastAsia="仿宋_GB2312"/>
          <w:color w:val="000000"/>
          <w:sz w:val="28"/>
        </w:rPr>
        <w:t>（项目名称）</w:t>
      </w:r>
      <w:r>
        <w:rPr>
          <w:rFonts w:eastAsia="仿宋_GB2312"/>
          <w:color w:val="000000"/>
          <w:sz w:val="28"/>
          <w:u w:val="single"/>
        </w:rPr>
        <w:t xml:space="preserve">          </w:t>
      </w:r>
      <w:r>
        <w:rPr>
          <w:rFonts w:eastAsia="仿宋_GB2312"/>
          <w:color w:val="000000"/>
          <w:sz w:val="28"/>
        </w:rPr>
        <w:t>（标段名称）</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0"/>
        <w:gridCol w:w="1640"/>
        <w:gridCol w:w="1641"/>
        <w:gridCol w:w="2295"/>
        <w:gridCol w:w="1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40" w:type="dxa"/>
            <w:noWrap w:val="0"/>
            <w:vAlign w:val="center"/>
          </w:tcPr>
          <w:p>
            <w:pPr>
              <w:jc w:val="center"/>
              <w:rPr>
                <w:rFonts w:eastAsia="仿宋"/>
                <w:color w:val="000000"/>
              </w:rPr>
            </w:pPr>
            <w:r>
              <w:rPr>
                <w:rFonts w:eastAsia="仿宋"/>
                <w:color w:val="000000"/>
              </w:rPr>
              <w:t>序号</w:t>
            </w:r>
          </w:p>
        </w:tc>
        <w:tc>
          <w:tcPr>
            <w:tcW w:w="1640" w:type="dxa"/>
            <w:noWrap w:val="0"/>
            <w:vAlign w:val="center"/>
          </w:tcPr>
          <w:p>
            <w:pPr>
              <w:jc w:val="center"/>
              <w:rPr>
                <w:rFonts w:eastAsia="仿宋"/>
                <w:color w:val="000000"/>
              </w:rPr>
            </w:pPr>
            <w:r>
              <w:rPr>
                <w:rFonts w:eastAsia="仿宋"/>
                <w:color w:val="000000"/>
              </w:rPr>
              <w:t>工种</w:t>
            </w:r>
          </w:p>
        </w:tc>
        <w:tc>
          <w:tcPr>
            <w:tcW w:w="1641" w:type="dxa"/>
            <w:noWrap w:val="0"/>
            <w:vAlign w:val="center"/>
          </w:tcPr>
          <w:p>
            <w:pPr>
              <w:jc w:val="center"/>
              <w:rPr>
                <w:rFonts w:eastAsia="仿宋"/>
                <w:color w:val="000000"/>
              </w:rPr>
            </w:pPr>
            <w:r>
              <w:rPr>
                <w:rFonts w:eastAsia="仿宋"/>
                <w:color w:val="000000"/>
              </w:rPr>
              <w:t>单位</w:t>
            </w:r>
          </w:p>
        </w:tc>
        <w:tc>
          <w:tcPr>
            <w:tcW w:w="2295" w:type="dxa"/>
            <w:noWrap w:val="0"/>
            <w:vAlign w:val="center"/>
          </w:tcPr>
          <w:p>
            <w:pPr>
              <w:jc w:val="center"/>
              <w:rPr>
                <w:rFonts w:eastAsia="仿宋"/>
                <w:color w:val="000000"/>
              </w:rPr>
            </w:pPr>
            <w:r>
              <w:rPr>
                <w:rFonts w:eastAsia="仿宋"/>
                <w:color w:val="000000"/>
              </w:rPr>
              <w:t>单价（元）</w:t>
            </w:r>
          </w:p>
        </w:tc>
        <w:tc>
          <w:tcPr>
            <w:tcW w:w="1901" w:type="dxa"/>
            <w:noWrap w:val="0"/>
            <w:vAlign w:val="center"/>
          </w:tcPr>
          <w:p>
            <w:pPr>
              <w:jc w:val="center"/>
              <w:rPr>
                <w:rFonts w:eastAsia="仿宋"/>
                <w:color w:val="000000"/>
              </w:rPr>
            </w:pPr>
            <w:r>
              <w:rPr>
                <w:rFonts w:eastAsia="仿宋"/>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40" w:type="dxa"/>
            <w:noWrap w:val="0"/>
            <w:vAlign w:val="center"/>
          </w:tcPr>
          <w:p>
            <w:pPr>
              <w:rPr>
                <w:rFonts w:eastAsia="仿宋"/>
                <w:color w:val="000000"/>
              </w:rPr>
            </w:pPr>
          </w:p>
        </w:tc>
        <w:tc>
          <w:tcPr>
            <w:tcW w:w="1640" w:type="dxa"/>
            <w:noWrap w:val="0"/>
            <w:vAlign w:val="center"/>
          </w:tcPr>
          <w:p>
            <w:pPr>
              <w:rPr>
                <w:rFonts w:eastAsia="仿宋"/>
                <w:color w:val="000000"/>
              </w:rPr>
            </w:pPr>
          </w:p>
        </w:tc>
        <w:tc>
          <w:tcPr>
            <w:tcW w:w="1641" w:type="dxa"/>
            <w:noWrap w:val="0"/>
            <w:vAlign w:val="center"/>
          </w:tcPr>
          <w:p>
            <w:pPr>
              <w:rPr>
                <w:rFonts w:eastAsia="仿宋"/>
                <w:color w:val="000000"/>
              </w:rPr>
            </w:pPr>
          </w:p>
        </w:tc>
        <w:tc>
          <w:tcPr>
            <w:tcW w:w="2295" w:type="dxa"/>
            <w:noWrap w:val="0"/>
            <w:vAlign w:val="center"/>
          </w:tcPr>
          <w:p>
            <w:pPr>
              <w:rPr>
                <w:rFonts w:eastAsia="仿宋"/>
                <w:color w:val="000000"/>
              </w:rPr>
            </w:pPr>
          </w:p>
        </w:tc>
        <w:tc>
          <w:tcPr>
            <w:tcW w:w="1901" w:type="dxa"/>
            <w:noWrap w:val="0"/>
            <w:vAlign w:val="center"/>
          </w:tcPr>
          <w:p>
            <w:pP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40" w:type="dxa"/>
            <w:noWrap w:val="0"/>
            <w:vAlign w:val="center"/>
          </w:tcPr>
          <w:p>
            <w:pPr>
              <w:rPr>
                <w:rFonts w:eastAsia="仿宋"/>
                <w:color w:val="000000"/>
              </w:rPr>
            </w:pPr>
          </w:p>
        </w:tc>
        <w:tc>
          <w:tcPr>
            <w:tcW w:w="1640" w:type="dxa"/>
            <w:noWrap w:val="0"/>
            <w:vAlign w:val="center"/>
          </w:tcPr>
          <w:p>
            <w:pPr>
              <w:rPr>
                <w:rFonts w:eastAsia="仿宋"/>
                <w:color w:val="000000"/>
              </w:rPr>
            </w:pPr>
          </w:p>
        </w:tc>
        <w:tc>
          <w:tcPr>
            <w:tcW w:w="1641" w:type="dxa"/>
            <w:noWrap w:val="0"/>
            <w:vAlign w:val="center"/>
          </w:tcPr>
          <w:p>
            <w:pPr>
              <w:rPr>
                <w:rFonts w:eastAsia="仿宋"/>
                <w:color w:val="000000"/>
              </w:rPr>
            </w:pPr>
          </w:p>
        </w:tc>
        <w:tc>
          <w:tcPr>
            <w:tcW w:w="2295" w:type="dxa"/>
            <w:noWrap w:val="0"/>
            <w:vAlign w:val="center"/>
          </w:tcPr>
          <w:p>
            <w:pPr>
              <w:rPr>
                <w:rFonts w:eastAsia="仿宋"/>
                <w:color w:val="000000"/>
              </w:rPr>
            </w:pPr>
          </w:p>
        </w:tc>
        <w:tc>
          <w:tcPr>
            <w:tcW w:w="1901" w:type="dxa"/>
            <w:noWrap w:val="0"/>
            <w:vAlign w:val="center"/>
          </w:tcPr>
          <w:p>
            <w:pP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40" w:type="dxa"/>
            <w:noWrap w:val="0"/>
            <w:vAlign w:val="center"/>
          </w:tcPr>
          <w:p>
            <w:pPr>
              <w:rPr>
                <w:rFonts w:eastAsia="仿宋"/>
                <w:color w:val="000000"/>
              </w:rPr>
            </w:pPr>
          </w:p>
        </w:tc>
        <w:tc>
          <w:tcPr>
            <w:tcW w:w="1640" w:type="dxa"/>
            <w:noWrap w:val="0"/>
            <w:vAlign w:val="center"/>
          </w:tcPr>
          <w:p>
            <w:pPr>
              <w:rPr>
                <w:rFonts w:eastAsia="仿宋"/>
                <w:color w:val="000000"/>
              </w:rPr>
            </w:pPr>
          </w:p>
        </w:tc>
        <w:tc>
          <w:tcPr>
            <w:tcW w:w="1641" w:type="dxa"/>
            <w:noWrap w:val="0"/>
            <w:vAlign w:val="center"/>
          </w:tcPr>
          <w:p>
            <w:pPr>
              <w:rPr>
                <w:rFonts w:eastAsia="仿宋"/>
                <w:color w:val="000000"/>
              </w:rPr>
            </w:pPr>
          </w:p>
        </w:tc>
        <w:tc>
          <w:tcPr>
            <w:tcW w:w="2295" w:type="dxa"/>
            <w:noWrap w:val="0"/>
            <w:vAlign w:val="center"/>
          </w:tcPr>
          <w:p>
            <w:pPr>
              <w:rPr>
                <w:rFonts w:eastAsia="仿宋"/>
                <w:color w:val="000000"/>
              </w:rPr>
            </w:pPr>
          </w:p>
        </w:tc>
        <w:tc>
          <w:tcPr>
            <w:tcW w:w="1901" w:type="dxa"/>
            <w:noWrap w:val="0"/>
            <w:vAlign w:val="center"/>
          </w:tcPr>
          <w:p>
            <w:pP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40" w:type="dxa"/>
            <w:noWrap w:val="0"/>
            <w:vAlign w:val="center"/>
          </w:tcPr>
          <w:p>
            <w:pPr>
              <w:rPr>
                <w:rFonts w:eastAsia="仿宋"/>
                <w:color w:val="000000"/>
              </w:rPr>
            </w:pPr>
          </w:p>
        </w:tc>
        <w:tc>
          <w:tcPr>
            <w:tcW w:w="1640" w:type="dxa"/>
            <w:noWrap w:val="0"/>
            <w:vAlign w:val="center"/>
          </w:tcPr>
          <w:p>
            <w:pPr>
              <w:rPr>
                <w:rFonts w:eastAsia="仿宋"/>
                <w:color w:val="000000"/>
              </w:rPr>
            </w:pPr>
          </w:p>
        </w:tc>
        <w:tc>
          <w:tcPr>
            <w:tcW w:w="1641" w:type="dxa"/>
            <w:noWrap w:val="0"/>
            <w:vAlign w:val="center"/>
          </w:tcPr>
          <w:p>
            <w:pPr>
              <w:rPr>
                <w:rFonts w:eastAsia="仿宋"/>
                <w:color w:val="000000"/>
              </w:rPr>
            </w:pPr>
          </w:p>
        </w:tc>
        <w:tc>
          <w:tcPr>
            <w:tcW w:w="2295" w:type="dxa"/>
            <w:noWrap w:val="0"/>
            <w:vAlign w:val="center"/>
          </w:tcPr>
          <w:p>
            <w:pPr>
              <w:rPr>
                <w:rFonts w:eastAsia="仿宋"/>
                <w:color w:val="000000"/>
              </w:rPr>
            </w:pPr>
          </w:p>
        </w:tc>
        <w:tc>
          <w:tcPr>
            <w:tcW w:w="1901" w:type="dxa"/>
            <w:noWrap w:val="0"/>
            <w:vAlign w:val="center"/>
          </w:tcPr>
          <w:p>
            <w:pP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40" w:type="dxa"/>
            <w:noWrap w:val="0"/>
            <w:vAlign w:val="center"/>
          </w:tcPr>
          <w:p>
            <w:pPr>
              <w:rPr>
                <w:rFonts w:eastAsia="仿宋"/>
                <w:color w:val="000000"/>
              </w:rPr>
            </w:pPr>
          </w:p>
        </w:tc>
        <w:tc>
          <w:tcPr>
            <w:tcW w:w="1640" w:type="dxa"/>
            <w:noWrap w:val="0"/>
            <w:vAlign w:val="center"/>
          </w:tcPr>
          <w:p>
            <w:pPr>
              <w:rPr>
                <w:rFonts w:eastAsia="仿宋"/>
                <w:color w:val="000000"/>
              </w:rPr>
            </w:pPr>
          </w:p>
        </w:tc>
        <w:tc>
          <w:tcPr>
            <w:tcW w:w="1641" w:type="dxa"/>
            <w:noWrap w:val="0"/>
            <w:vAlign w:val="center"/>
          </w:tcPr>
          <w:p>
            <w:pPr>
              <w:rPr>
                <w:rFonts w:eastAsia="仿宋"/>
                <w:color w:val="000000"/>
              </w:rPr>
            </w:pPr>
          </w:p>
        </w:tc>
        <w:tc>
          <w:tcPr>
            <w:tcW w:w="2295" w:type="dxa"/>
            <w:noWrap w:val="0"/>
            <w:vAlign w:val="center"/>
          </w:tcPr>
          <w:p>
            <w:pPr>
              <w:rPr>
                <w:rFonts w:eastAsia="仿宋"/>
                <w:color w:val="000000"/>
              </w:rPr>
            </w:pPr>
          </w:p>
        </w:tc>
        <w:tc>
          <w:tcPr>
            <w:tcW w:w="1901" w:type="dxa"/>
            <w:noWrap w:val="0"/>
            <w:vAlign w:val="center"/>
          </w:tcPr>
          <w:p>
            <w:pP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40" w:type="dxa"/>
            <w:noWrap w:val="0"/>
            <w:vAlign w:val="center"/>
          </w:tcPr>
          <w:p>
            <w:pPr>
              <w:rPr>
                <w:rFonts w:eastAsia="仿宋"/>
                <w:color w:val="000000"/>
              </w:rPr>
            </w:pPr>
          </w:p>
        </w:tc>
        <w:tc>
          <w:tcPr>
            <w:tcW w:w="1640" w:type="dxa"/>
            <w:noWrap w:val="0"/>
            <w:vAlign w:val="center"/>
          </w:tcPr>
          <w:p>
            <w:pPr>
              <w:rPr>
                <w:rFonts w:eastAsia="仿宋"/>
                <w:color w:val="000000"/>
              </w:rPr>
            </w:pPr>
          </w:p>
        </w:tc>
        <w:tc>
          <w:tcPr>
            <w:tcW w:w="1641" w:type="dxa"/>
            <w:noWrap w:val="0"/>
            <w:vAlign w:val="center"/>
          </w:tcPr>
          <w:p>
            <w:pPr>
              <w:rPr>
                <w:rFonts w:eastAsia="仿宋"/>
                <w:color w:val="000000"/>
              </w:rPr>
            </w:pPr>
          </w:p>
        </w:tc>
        <w:tc>
          <w:tcPr>
            <w:tcW w:w="2295" w:type="dxa"/>
            <w:noWrap w:val="0"/>
            <w:vAlign w:val="center"/>
          </w:tcPr>
          <w:p>
            <w:pPr>
              <w:rPr>
                <w:rFonts w:eastAsia="仿宋"/>
                <w:color w:val="000000"/>
              </w:rPr>
            </w:pPr>
          </w:p>
        </w:tc>
        <w:tc>
          <w:tcPr>
            <w:tcW w:w="1901" w:type="dxa"/>
            <w:noWrap w:val="0"/>
            <w:vAlign w:val="center"/>
          </w:tcPr>
          <w:p>
            <w:pP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40" w:type="dxa"/>
            <w:noWrap w:val="0"/>
            <w:vAlign w:val="center"/>
          </w:tcPr>
          <w:p>
            <w:pPr>
              <w:rPr>
                <w:rFonts w:eastAsia="仿宋"/>
                <w:color w:val="000000"/>
              </w:rPr>
            </w:pPr>
          </w:p>
        </w:tc>
        <w:tc>
          <w:tcPr>
            <w:tcW w:w="1640" w:type="dxa"/>
            <w:noWrap w:val="0"/>
            <w:vAlign w:val="center"/>
          </w:tcPr>
          <w:p>
            <w:pPr>
              <w:rPr>
                <w:rFonts w:eastAsia="仿宋"/>
                <w:color w:val="000000"/>
              </w:rPr>
            </w:pPr>
          </w:p>
        </w:tc>
        <w:tc>
          <w:tcPr>
            <w:tcW w:w="1641" w:type="dxa"/>
            <w:noWrap w:val="0"/>
            <w:vAlign w:val="center"/>
          </w:tcPr>
          <w:p>
            <w:pPr>
              <w:rPr>
                <w:rFonts w:eastAsia="仿宋"/>
                <w:color w:val="000000"/>
              </w:rPr>
            </w:pPr>
          </w:p>
        </w:tc>
        <w:tc>
          <w:tcPr>
            <w:tcW w:w="2295" w:type="dxa"/>
            <w:noWrap w:val="0"/>
            <w:vAlign w:val="center"/>
          </w:tcPr>
          <w:p>
            <w:pPr>
              <w:rPr>
                <w:rFonts w:eastAsia="仿宋"/>
                <w:color w:val="000000"/>
              </w:rPr>
            </w:pPr>
          </w:p>
        </w:tc>
        <w:tc>
          <w:tcPr>
            <w:tcW w:w="1901" w:type="dxa"/>
            <w:noWrap w:val="0"/>
            <w:vAlign w:val="center"/>
          </w:tcPr>
          <w:p>
            <w:pP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40" w:type="dxa"/>
            <w:noWrap w:val="0"/>
            <w:vAlign w:val="center"/>
          </w:tcPr>
          <w:p>
            <w:pPr>
              <w:rPr>
                <w:rFonts w:eastAsia="仿宋"/>
                <w:color w:val="000000"/>
              </w:rPr>
            </w:pPr>
          </w:p>
        </w:tc>
        <w:tc>
          <w:tcPr>
            <w:tcW w:w="1640" w:type="dxa"/>
            <w:noWrap w:val="0"/>
            <w:vAlign w:val="center"/>
          </w:tcPr>
          <w:p>
            <w:pPr>
              <w:rPr>
                <w:rFonts w:eastAsia="仿宋"/>
                <w:color w:val="000000"/>
              </w:rPr>
            </w:pPr>
          </w:p>
        </w:tc>
        <w:tc>
          <w:tcPr>
            <w:tcW w:w="1641" w:type="dxa"/>
            <w:noWrap w:val="0"/>
            <w:vAlign w:val="center"/>
          </w:tcPr>
          <w:p>
            <w:pPr>
              <w:rPr>
                <w:rFonts w:eastAsia="仿宋"/>
                <w:color w:val="000000"/>
              </w:rPr>
            </w:pPr>
          </w:p>
        </w:tc>
        <w:tc>
          <w:tcPr>
            <w:tcW w:w="2295" w:type="dxa"/>
            <w:noWrap w:val="0"/>
            <w:vAlign w:val="center"/>
          </w:tcPr>
          <w:p>
            <w:pPr>
              <w:rPr>
                <w:rFonts w:eastAsia="仿宋"/>
                <w:color w:val="000000"/>
              </w:rPr>
            </w:pPr>
          </w:p>
        </w:tc>
        <w:tc>
          <w:tcPr>
            <w:tcW w:w="1901" w:type="dxa"/>
            <w:noWrap w:val="0"/>
            <w:vAlign w:val="center"/>
          </w:tcPr>
          <w:p>
            <w:pP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40" w:type="dxa"/>
            <w:noWrap w:val="0"/>
            <w:vAlign w:val="center"/>
          </w:tcPr>
          <w:p>
            <w:pPr>
              <w:rPr>
                <w:rFonts w:eastAsia="仿宋"/>
                <w:color w:val="000000"/>
              </w:rPr>
            </w:pPr>
          </w:p>
        </w:tc>
        <w:tc>
          <w:tcPr>
            <w:tcW w:w="1640" w:type="dxa"/>
            <w:noWrap w:val="0"/>
            <w:vAlign w:val="center"/>
          </w:tcPr>
          <w:p>
            <w:pPr>
              <w:rPr>
                <w:rFonts w:eastAsia="仿宋"/>
                <w:color w:val="000000"/>
              </w:rPr>
            </w:pPr>
          </w:p>
        </w:tc>
        <w:tc>
          <w:tcPr>
            <w:tcW w:w="1641" w:type="dxa"/>
            <w:noWrap w:val="0"/>
            <w:vAlign w:val="center"/>
          </w:tcPr>
          <w:p>
            <w:pPr>
              <w:rPr>
                <w:rFonts w:eastAsia="仿宋"/>
                <w:color w:val="000000"/>
              </w:rPr>
            </w:pPr>
          </w:p>
        </w:tc>
        <w:tc>
          <w:tcPr>
            <w:tcW w:w="2295" w:type="dxa"/>
            <w:noWrap w:val="0"/>
            <w:vAlign w:val="center"/>
          </w:tcPr>
          <w:p>
            <w:pPr>
              <w:rPr>
                <w:rFonts w:eastAsia="仿宋"/>
                <w:color w:val="000000"/>
              </w:rPr>
            </w:pPr>
          </w:p>
        </w:tc>
        <w:tc>
          <w:tcPr>
            <w:tcW w:w="1901" w:type="dxa"/>
            <w:noWrap w:val="0"/>
            <w:vAlign w:val="center"/>
          </w:tcPr>
          <w:p>
            <w:pP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40" w:type="dxa"/>
            <w:noWrap w:val="0"/>
            <w:vAlign w:val="center"/>
          </w:tcPr>
          <w:p>
            <w:pPr>
              <w:rPr>
                <w:rFonts w:eastAsia="仿宋"/>
                <w:color w:val="000000"/>
              </w:rPr>
            </w:pPr>
          </w:p>
        </w:tc>
        <w:tc>
          <w:tcPr>
            <w:tcW w:w="1640" w:type="dxa"/>
            <w:noWrap w:val="0"/>
            <w:vAlign w:val="center"/>
          </w:tcPr>
          <w:p>
            <w:pPr>
              <w:rPr>
                <w:rFonts w:eastAsia="仿宋"/>
                <w:color w:val="000000"/>
              </w:rPr>
            </w:pPr>
          </w:p>
        </w:tc>
        <w:tc>
          <w:tcPr>
            <w:tcW w:w="1641" w:type="dxa"/>
            <w:noWrap w:val="0"/>
            <w:vAlign w:val="center"/>
          </w:tcPr>
          <w:p>
            <w:pPr>
              <w:rPr>
                <w:rFonts w:eastAsia="仿宋"/>
                <w:color w:val="000000"/>
              </w:rPr>
            </w:pPr>
          </w:p>
        </w:tc>
        <w:tc>
          <w:tcPr>
            <w:tcW w:w="2295" w:type="dxa"/>
            <w:noWrap w:val="0"/>
            <w:vAlign w:val="center"/>
          </w:tcPr>
          <w:p>
            <w:pPr>
              <w:rPr>
                <w:rFonts w:eastAsia="仿宋"/>
                <w:color w:val="000000"/>
              </w:rPr>
            </w:pPr>
          </w:p>
        </w:tc>
        <w:tc>
          <w:tcPr>
            <w:tcW w:w="1901" w:type="dxa"/>
            <w:noWrap w:val="0"/>
            <w:vAlign w:val="center"/>
          </w:tcPr>
          <w:p>
            <w:pP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40" w:type="dxa"/>
            <w:noWrap w:val="0"/>
            <w:vAlign w:val="center"/>
          </w:tcPr>
          <w:p>
            <w:pPr>
              <w:rPr>
                <w:rFonts w:eastAsia="仿宋"/>
                <w:color w:val="000000"/>
              </w:rPr>
            </w:pPr>
          </w:p>
        </w:tc>
        <w:tc>
          <w:tcPr>
            <w:tcW w:w="1640" w:type="dxa"/>
            <w:noWrap w:val="0"/>
            <w:vAlign w:val="center"/>
          </w:tcPr>
          <w:p>
            <w:pPr>
              <w:rPr>
                <w:rFonts w:eastAsia="仿宋"/>
                <w:color w:val="000000"/>
              </w:rPr>
            </w:pPr>
          </w:p>
        </w:tc>
        <w:tc>
          <w:tcPr>
            <w:tcW w:w="1641" w:type="dxa"/>
            <w:noWrap w:val="0"/>
            <w:vAlign w:val="center"/>
          </w:tcPr>
          <w:p>
            <w:pPr>
              <w:rPr>
                <w:rFonts w:eastAsia="仿宋"/>
                <w:color w:val="000000"/>
              </w:rPr>
            </w:pPr>
          </w:p>
        </w:tc>
        <w:tc>
          <w:tcPr>
            <w:tcW w:w="2295" w:type="dxa"/>
            <w:noWrap w:val="0"/>
            <w:vAlign w:val="center"/>
          </w:tcPr>
          <w:p>
            <w:pPr>
              <w:rPr>
                <w:rFonts w:eastAsia="仿宋"/>
                <w:color w:val="000000"/>
              </w:rPr>
            </w:pPr>
          </w:p>
        </w:tc>
        <w:tc>
          <w:tcPr>
            <w:tcW w:w="1901" w:type="dxa"/>
            <w:noWrap w:val="0"/>
            <w:vAlign w:val="center"/>
          </w:tcPr>
          <w:p>
            <w:pPr>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40" w:type="dxa"/>
            <w:noWrap w:val="0"/>
            <w:vAlign w:val="center"/>
          </w:tcPr>
          <w:p>
            <w:pPr>
              <w:rPr>
                <w:rFonts w:eastAsia="仿宋"/>
                <w:color w:val="000000"/>
              </w:rPr>
            </w:pPr>
          </w:p>
        </w:tc>
        <w:tc>
          <w:tcPr>
            <w:tcW w:w="1640" w:type="dxa"/>
            <w:noWrap w:val="0"/>
            <w:vAlign w:val="center"/>
          </w:tcPr>
          <w:p>
            <w:pPr>
              <w:rPr>
                <w:rFonts w:eastAsia="仿宋"/>
                <w:color w:val="000000"/>
              </w:rPr>
            </w:pPr>
          </w:p>
        </w:tc>
        <w:tc>
          <w:tcPr>
            <w:tcW w:w="1641" w:type="dxa"/>
            <w:noWrap w:val="0"/>
            <w:vAlign w:val="center"/>
          </w:tcPr>
          <w:p>
            <w:pPr>
              <w:rPr>
                <w:rFonts w:eastAsia="仿宋"/>
                <w:color w:val="000000"/>
              </w:rPr>
            </w:pPr>
          </w:p>
        </w:tc>
        <w:tc>
          <w:tcPr>
            <w:tcW w:w="2295" w:type="dxa"/>
            <w:noWrap w:val="0"/>
            <w:vAlign w:val="center"/>
          </w:tcPr>
          <w:p>
            <w:pPr>
              <w:rPr>
                <w:rFonts w:eastAsia="仿宋"/>
                <w:color w:val="000000"/>
              </w:rPr>
            </w:pPr>
          </w:p>
        </w:tc>
        <w:tc>
          <w:tcPr>
            <w:tcW w:w="1901" w:type="dxa"/>
            <w:noWrap w:val="0"/>
            <w:vAlign w:val="center"/>
          </w:tcPr>
          <w:p>
            <w:pPr>
              <w:rPr>
                <w:rFonts w:eastAsia="仿宋"/>
                <w:color w:val="000000"/>
              </w:rPr>
            </w:pPr>
          </w:p>
        </w:tc>
      </w:tr>
    </w:tbl>
    <w:p>
      <w:pPr>
        <w:ind w:firstLine="1155" w:firstLineChars="550"/>
        <w:rPr>
          <w:bCs/>
          <w:color w:val="000000"/>
        </w:rPr>
      </w:pPr>
    </w:p>
    <w:p>
      <w:pPr>
        <w:ind w:firstLine="1155" w:firstLineChars="550"/>
        <w:rPr>
          <w:bCs/>
          <w:color w:val="000000"/>
        </w:rPr>
      </w:pPr>
    </w:p>
    <w:p>
      <w:pPr>
        <w:spacing w:line="360" w:lineRule="auto"/>
        <w:ind w:firstLine="1155" w:firstLineChars="550"/>
        <w:rPr>
          <w:color w:val="000000"/>
        </w:rPr>
      </w:pPr>
    </w:p>
    <w:p>
      <w:pPr>
        <w:spacing w:line="360" w:lineRule="auto"/>
        <w:ind w:firstLine="1155" w:firstLineChars="550"/>
        <w:rPr>
          <w:color w:val="000000"/>
        </w:rPr>
      </w:pPr>
    </w:p>
    <w:p>
      <w:pPr>
        <w:jc w:val="center"/>
        <w:rPr>
          <w:rFonts w:eastAsia="隶书"/>
          <w:b/>
          <w:color w:val="000000"/>
          <w:spacing w:val="40"/>
          <w:sz w:val="90"/>
          <w:szCs w:val="90"/>
        </w:rPr>
      </w:pPr>
      <w:r>
        <w:rPr>
          <w:color w:val="000000"/>
        </w:rPr>
        <w:br w:type="page"/>
      </w:r>
    </w:p>
    <w:p>
      <w:pPr>
        <w:jc w:val="center"/>
        <w:rPr>
          <w:rFonts w:eastAsia="隶书"/>
          <w:b/>
          <w:color w:val="000000"/>
          <w:spacing w:val="40"/>
          <w:sz w:val="90"/>
          <w:szCs w:val="90"/>
        </w:rPr>
      </w:pPr>
    </w:p>
    <w:p>
      <w:pPr>
        <w:jc w:val="center"/>
        <w:rPr>
          <w:rFonts w:eastAsia="隶书"/>
          <w:b/>
          <w:color w:val="000000"/>
          <w:spacing w:val="40"/>
          <w:sz w:val="90"/>
          <w:szCs w:val="90"/>
        </w:rPr>
      </w:pPr>
    </w:p>
    <w:p>
      <w:pPr>
        <w:jc w:val="center"/>
        <w:outlineLvl w:val="0"/>
        <w:rPr>
          <w:rFonts w:eastAsia="隶书"/>
          <w:b/>
          <w:bCs/>
          <w:color w:val="000000"/>
          <w:spacing w:val="40"/>
          <w:sz w:val="90"/>
          <w:szCs w:val="90"/>
        </w:rPr>
      </w:pPr>
      <w:bookmarkStart w:id="1871" w:name="_Toc51091929"/>
      <w:bookmarkStart w:id="1872" w:name="_Toc419379606"/>
      <w:bookmarkStart w:id="1873" w:name="_Toc20675"/>
      <w:bookmarkStart w:id="1874" w:name="_Toc28784"/>
      <w:r>
        <w:rPr>
          <w:rFonts w:eastAsia="隶书"/>
          <w:b/>
          <w:bCs/>
          <w:color w:val="000000"/>
          <w:spacing w:val="40"/>
          <w:sz w:val="90"/>
          <w:szCs w:val="90"/>
        </w:rPr>
        <w:t>第二卷</w:t>
      </w:r>
      <w:bookmarkEnd w:id="1871"/>
      <w:bookmarkEnd w:id="1872"/>
      <w:bookmarkEnd w:id="1873"/>
      <w:bookmarkEnd w:id="1874"/>
    </w:p>
    <w:p>
      <w:pPr>
        <w:spacing w:line="490" w:lineRule="exact"/>
        <w:jc w:val="center"/>
        <w:rPr>
          <w:color w:val="000000"/>
          <w:szCs w:val="21"/>
        </w:rPr>
      </w:pPr>
    </w:p>
    <w:p>
      <w:pPr>
        <w:spacing w:line="490" w:lineRule="exact"/>
        <w:jc w:val="center"/>
        <w:rPr>
          <w:color w:val="000000"/>
          <w:szCs w:val="21"/>
        </w:rPr>
      </w:pPr>
    </w:p>
    <w:p>
      <w:pPr>
        <w:spacing w:line="490" w:lineRule="exact"/>
        <w:jc w:val="center"/>
        <w:rPr>
          <w:color w:val="000000"/>
          <w:szCs w:val="21"/>
        </w:rPr>
      </w:pPr>
    </w:p>
    <w:p>
      <w:pPr>
        <w:spacing w:line="490" w:lineRule="exact"/>
        <w:jc w:val="center"/>
        <w:rPr>
          <w:color w:val="000000"/>
          <w:szCs w:val="21"/>
        </w:rPr>
      </w:pPr>
    </w:p>
    <w:p>
      <w:pPr>
        <w:spacing w:line="490" w:lineRule="exact"/>
        <w:jc w:val="center"/>
        <w:rPr>
          <w:color w:val="000000"/>
          <w:szCs w:val="21"/>
        </w:rPr>
      </w:pPr>
    </w:p>
    <w:p>
      <w:pPr>
        <w:spacing w:line="490" w:lineRule="exact"/>
        <w:jc w:val="center"/>
        <w:rPr>
          <w:color w:val="000000"/>
          <w:szCs w:val="21"/>
        </w:rPr>
      </w:pPr>
    </w:p>
    <w:p>
      <w:pPr>
        <w:spacing w:line="490" w:lineRule="exact"/>
        <w:jc w:val="center"/>
        <w:rPr>
          <w:color w:val="000000"/>
          <w:szCs w:val="21"/>
        </w:rPr>
      </w:pPr>
    </w:p>
    <w:p>
      <w:pPr>
        <w:spacing w:line="490" w:lineRule="exact"/>
        <w:jc w:val="center"/>
        <w:rPr>
          <w:color w:val="000000"/>
          <w:szCs w:val="21"/>
        </w:rPr>
      </w:pPr>
    </w:p>
    <w:p>
      <w:pPr>
        <w:spacing w:line="490" w:lineRule="exact"/>
        <w:jc w:val="center"/>
        <w:rPr>
          <w:color w:val="000000"/>
          <w:szCs w:val="21"/>
        </w:rPr>
      </w:pPr>
    </w:p>
    <w:p>
      <w:pPr>
        <w:spacing w:line="490" w:lineRule="exact"/>
        <w:jc w:val="center"/>
        <w:rPr>
          <w:color w:val="000000"/>
          <w:szCs w:val="21"/>
        </w:rPr>
      </w:pPr>
    </w:p>
    <w:p>
      <w:pPr>
        <w:spacing w:line="490" w:lineRule="exact"/>
        <w:jc w:val="center"/>
        <w:rPr>
          <w:color w:val="000000"/>
          <w:szCs w:val="21"/>
        </w:rPr>
      </w:pPr>
    </w:p>
    <w:p>
      <w:pPr>
        <w:spacing w:line="490" w:lineRule="exact"/>
        <w:jc w:val="center"/>
        <w:rPr>
          <w:color w:val="000000"/>
          <w:szCs w:val="21"/>
        </w:rPr>
      </w:pPr>
    </w:p>
    <w:p>
      <w:pPr>
        <w:spacing w:line="490" w:lineRule="exact"/>
        <w:jc w:val="center"/>
        <w:rPr>
          <w:color w:val="000000"/>
          <w:szCs w:val="21"/>
        </w:rPr>
      </w:pPr>
    </w:p>
    <w:p>
      <w:pPr>
        <w:spacing w:line="490" w:lineRule="exact"/>
        <w:jc w:val="center"/>
        <w:rPr>
          <w:color w:val="000000"/>
          <w:szCs w:val="21"/>
        </w:rPr>
      </w:pPr>
    </w:p>
    <w:p>
      <w:pPr>
        <w:spacing w:line="490" w:lineRule="exact"/>
        <w:jc w:val="center"/>
        <w:rPr>
          <w:color w:val="000000"/>
          <w:szCs w:val="21"/>
        </w:rPr>
      </w:pPr>
    </w:p>
    <w:p>
      <w:pPr>
        <w:spacing w:line="490" w:lineRule="exact"/>
        <w:jc w:val="center"/>
        <w:rPr>
          <w:color w:val="000000"/>
          <w:szCs w:val="21"/>
        </w:rPr>
      </w:pPr>
    </w:p>
    <w:p>
      <w:pPr>
        <w:spacing w:line="490" w:lineRule="exact"/>
        <w:jc w:val="center"/>
        <w:rPr>
          <w:color w:val="000000"/>
          <w:szCs w:val="21"/>
        </w:rPr>
      </w:pPr>
    </w:p>
    <w:p>
      <w:pPr>
        <w:spacing w:line="490" w:lineRule="exact"/>
        <w:jc w:val="center"/>
        <w:rPr>
          <w:color w:val="000000"/>
          <w:szCs w:val="21"/>
        </w:rPr>
      </w:pPr>
    </w:p>
    <w:p>
      <w:pPr>
        <w:spacing w:line="490" w:lineRule="exact"/>
        <w:jc w:val="center"/>
        <w:rPr>
          <w:color w:val="000000"/>
          <w:szCs w:val="21"/>
        </w:rPr>
        <w:sectPr>
          <w:footerReference r:id="rId19" w:type="default"/>
          <w:pgSz w:w="11906" w:h="16838"/>
          <w:pgMar w:top="1701" w:right="1361" w:bottom="1701" w:left="1474" w:header="1021" w:footer="1021" w:gutter="0"/>
          <w:cols w:space="720" w:num="1"/>
          <w:docGrid w:linePitch="312" w:charSpace="0"/>
        </w:sectPr>
      </w:pPr>
    </w:p>
    <w:p>
      <w:pPr>
        <w:pStyle w:val="2"/>
      </w:pPr>
    </w:p>
    <w:p>
      <w:pPr>
        <w:spacing w:line="490" w:lineRule="exact"/>
        <w:jc w:val="center"/>
        <w:rPr>
          <w:rFonts w:eastAsia="方正小标宋_GBK"/>
          <w:b/>
          <w:color w:val="000000"/>
          <w:sz w:val="40"/>
          <w:szCs w:val="44"/>
        </w:rPr>
        <w:sectPr>
          <w:footerReference r:id="rId20" w:type="default"/>
          <w:pgSz w:w="11906" w:h="16838"/>
          <w:pgMar w:top="1701" w:right="1361" w:bottom="1701" w:left="1474" w:header="1021" w:footer="1021" w:gutter="0"/>
          <w:cols w:space="720" w:num="1"/>
          <w:docGrid w:linePitch="312" w:charSpace="0"/>
        </w:sectPr>
      </w:pPr>
    </w:p>
    <w:p>
      <w:pPr>
        <w:pStyle w:val="2"/>
      </w:pPr>
    </w:p>
    <w:p>
      <w:pPr>
        <w:pStyle w:val="3"/>
        <w:keepNext w:val="0"/>
        <w:keepLines w:val="0"/>
        <w:spacing w:before="0" w:after="0" w:line="490" w:lineRule="exact"/>
        <w:rPr>
          <w:rFonts w:hint="eastAsia" w:ascii="方正小标宋简体" w:eastAsia="方正小标宋简体"/>
          <w:b w:val="0"/>
          <w:color w:val="000000"/>
          <w:sz w:val="40"/>
          <w:szCs w:val="32"/>
        </w:rPr>
      </w:pPr>
      <w:bookmarkStart w:id="1875" w:name="_Toc51091930"/>
      <w:bookmarkStart w:id="1876" w:name="_Toc23856"/>
      <w:bookmarkStart w:id="1877" w:name="_Toc1829"/>
      <w:r>
        <w:rPr>
          <w:rFonts w:hint="eastAsia" w:ascii="方正小标宋简体" w:eastAsia="方正小标宋简体"/>
          <w:b w:val="0"/>
          <w:color w:val="000000"/>
          <w:sz w:val="40"/>
          <w:szCs w:val="32"/>
        </w:rPr>
        <w:t>第六章  图纸（招标图纸）</w:t>
      </w:r>
      <w:bookmarkEnd w:id="1875"/>
      <w:bookmarkEnd w:id="1876"/>
      <w:bookmarkEnd w:id="1877"/>
    </w:p>
    <w:p>
      <w:pPr>
        <w:spacing w:line="490" w:lineRule="exact"/>
        <w:jc w:val="center"/>
        <w:rPr>
          <w:rFonts w:eastAsia="方正小标宋_GBK"/>
          <w:b/>
          <w:color w:val="000000"/>
          <w:sz w:val="40"/>
          <w:szCs w:val="44"/>
        </w:rPr>
      </w:pPr>
    </w:p>
    <w:p>
      <w:pPr>
        <w:pStyle w:val="4"/>
        <w:keepNext w:val="0"/>
        <w:keepLines w:val="0"/>
        <w:spacing w:before="0" w:after="0" w:line="490" w:lineRule="exact"/>
        <w:ind w:firstLine="562" w:firstLineChars="200"/>
        <w:rPr>
          <w:bCs w:val="0"/>
          <w:color w:val="000000"/>
          <w:sz w:val="28"/>
        </w:rPr>
      </w:pPr>
      <w:bookmarkStart w:id="1878" w:name="第06章图纸招标01"/>
      <w:bookmarkEnd w:id="1878"/>
      <w:bookmarkStart w:id="1879" w:name="_Toc51091931"/>
      <w:bookmarkStart w:id="1880" w:name="_Toc3666"/>
      <w:bookmarkStart w:id="1881" w:name="_Toc32683"/>
      <w:r>
        <w:rPr>
          <w:bCs w:val="0"/>
          <w:color w:val="000000"/>
          <w:sz w:val="28"/>
        </w:rPr>
        <w:t>1．招标图纸组成</w:t>
      </w:r>
      <w:bookmarkEnd w:id="1879"/>
      <w:bookmarkEnd w:id="1880"/>
      <w:bookmarkEnd w:id="1881"/>
    </w:p>
    <w:p>
      <w:pPr>
        <w:spacing w:line="490" w:lineRule="exact"/>
        <w:ind w:firstLine="560" w:firstLineChars="200"/>
        <w:rPr>
          <w:rFonts w:eastAsia="仿宋"/>
          <w:color w:val="000000"/>
          <w:sz w:val="28"/>
          <w:szCs w:val="32"/>
        </w:rPr>
      </w:pPr>
      <w:r>
        <w:rPr>
          <w:rFonts w:eastAsia="仿宋"/>
          <w:color w:val="000000"/>
          <w:sz w:val="28"/>
          <w:szCs w:val="32"/>
        </w:rPr>
        <w:t>附入招标文件中的图纸应包括以下各项图纸（不限于）：</w:t>
      </w:r>
    </w:p>
    <w:p>
      <w:pPr>
        <w:spacing w:line="490" w:lineRule="exact"/>
        <w:ind w:firstLine="560" w:firstLineChars="200"/>
        <w:rPr>
          <w:rFonts w:eastAsia="仿宋"/>
          <w:color w:val="000000"/>
          <w:sz w:val="28"/>
          <w:szCs w:val="32"/>
        </w:rPr>
      </w:pPr>
      <w:r>
        <w:rPr>
          <w:rFonts w:eastAsia="仿宋"/>
          <w:color w:val="000000"/>
          <w:sz w:val="28"/>
          <w:szCs w:val="32"/>
        </w:rPr>
        <w:t>（1）本工程流域水系有关测站的洪峰、洪量，以及工程场址的水位、流量、泥沙等的水文图表；</w:t>
      </w:r>
    </w:p>
    <w:p>
      <w:pPr>
        <w:spacing w:line="490" w:lineRule="exact"/>
        <w:ind w:firstLine="560" w:firstLineChars="200"/>
        <w:rPr>
          <w:rFonts w:eastAsia="仿宋"/>
          <w:color w:val="000000"/>
          <w:sz w:val="28"/>
          <w:szCs w:val="32"/>
        </w:rPr>
      </w:pPr>
      <w:r>
        <w:rPr>
          <w:rFonts w:eastAsia="仿宋"/>
          <w:color w:val="000000"/>
          <w:sz w:val="28"/>
          <w:szCs w:val="32"/>
        </w:rPr>
        <w:t>（2）本工程水库和各项工程建筑物（包括天然建筑材料场地）的平面地质总图、平面地质填图、地质剖面和平切面图，以及各永久工程建筑物基础与天然建筑材料的物理力学试验成果；</w:t>
      </w:r>
    </w:p>
    <w:p>
      <w:pPr>
        <w:spacing w:line="490" w:lineRule="exact"/>
        <w:ind w:firstLine="560" w:firstLineChars="200"/>
        <w:rPr>
          <w:rFonts w:eastAsia="仿宋"/>
          <w:color w:val="000000"/>
          <w:sz w:val="28"/>
          <w:szCs w:val="32"/>
        </w:rPr>
      </w:pPr>
      <w:r>
        <w:rPr>
          <w:rFonts w:eastAsia="仿宋"/>
          <w:color w:val="000000"/>
          <w:sz w:val="28"/>
          <w:szCs w:val="32"/>
        </w:rPr>
        <w:t>（3）工程枢纽建筑物布置总图、各项工程建筑物总布置图、体形图、结构布置详图、开挖和支护图、基础处理及灌浆与排水详图、边坡处理图、各项工程建筑物的典型钢筋配置图、压力输水管道和其它钢结构的制造安装图、工程建筑物细部的典型大样图，以及各项工程建筑物的安全监测详图等；</w:t>
      </w:r>
    </w:p>
    <w:p>
      <w:pPr>
        <w:spacing w:line="490" w:lineRule="exact"/>
        <w:ind w:firstLine="560" w:firstLineChars="200"/>
        <w:rPr>
          <w:rFonts w:eastAsia="仿宋"/>
          <w:color w:val="000000"/>
          <w:sz w:val="28"/>
          <w:szCs w:val="32"/>
        </w:rPr>
      </w:pPr>
      <w:r>
        <w:rPr>
          <w:rFonts w:eastAsia="仿宋"/>
          <w:color w:val="000000"/>
          <w:sz w:val="28"/>
          <w:szCs w:val="32"/>
        </w:rPr>
        <w:t>（4）本工程机电设备和金属结构的布置及制造安装总图、消防、采暖通风、火灾报警，以及计算机控制等的布置和系统安装图等；</w:t>
      </w:r>
    </w:p>
    <w:p>
      <w:pPr>
        <w:spacing w:line="490" w:lineRule="exact"/>
        <w:ind w:firstLine="560" w:firstLineChars="200"/>
        <w:rPr>
          <w:rFonts w:eastAsia="仿宋"/>
          <w:color w:val="000000"/>
          <w:sz w:val="28"/>
          <w:szCs w:val="32"/>
        </w:rPr>
      </w:pPr>
      <w:r>
        <w:rPr>
          <w:rFonts w:eastAsia="仿宋"/>
          <w:color w:val="000000"/>
          <w:sz w:val="28"/>
          <w:szCs w:val="32"/>
        </w:rPr>
        <w:t>（5）工程枢纽建筑物施工组织设计所需的工程位置和对外交通图、施工场地范围图（包括土料场、砂石料场、存渣场和弃渣场）等；</w:t>
      </w:r>
    </w:p>
    <w:p>
      <w:pPr>
        <w:spacing w:line="490" w:lineRule="exact"/>
        <w:ind w:firstLine="560" w:firstLineChars="200"/>
        <w:rPr>
          <w:rFonts w:eastAsia="仿宋"/>
          <w:color w:val="000000"/>
          <w:sz w:val="28"/>
          <w:szCs w:val="32"/>
        </w:rPr>
      </w:pPr>
      <w:r>
        <w:rPr>
          <w:rFonts w:eastAsia="仿宋"/>
          <w:color w:val="000000"/>
          <w:sz w:val="28"/>
          <w:szCs w:val="32"/>
        </w:rPr>
        <w:t>（6）施工总布置图，以及各项施工临时辅助设施布置图等；</w:t>
      </w:r>
    </w:p>
    <w:p>
      <w:pPr>
        <w:spacing w:line="490" w:lineRule="exact"/>
        <w:ind w:firstLine="560" w:firstLineChars="200"/>
        <w:rPr>
          <w:rFonts w:eastAsia="仿宋"/>
          <w:color w:val="000000"/>
          <w:sz w:val="28"/>
          <w:szCs w:val="32"/>
        </w:rPr>
      </w:pPr>
      <w:r>
        <w:rPr>
          <w:rFonts w:eastAsia="仿宋"/>
          <w:color w:val="000000"/>
          <w:sz w:val="28"/>
          <w:szCs w:val="32"/>
        </w:rPr>
        <w:t>（7）施工导流工程方案布置图、导流工程建筑物施工布置图、施工期通航方案布置图；</w:t>
      </w:r>
    </w:p>
    <w:p>
      <w:pPr>
        <w:spacing w:line="490" w:lineRule="exact"/>
        <w:ind w:firstLine="560" w:firstLineChars="200"/>
        <w:rPr>
          <w:rFonts w:eastAsia="仿宋"/>
          <w:color w:val="000000"/>
          <w:sz w:val="28"/>
          <w:szCs w:val="32"/>
        </w:rPr>
      </w:pPr>
      <w:r>
        <w:rPr>
          <w:rFonts w:eastAsia="仿宋"/>
          <w:color w:val="000000"/>
          <w:sz w:val="28"/>
          <w:szCs w:val="32"/>
        </w:rPr>
        <w:t>（8）施工控制性进度表，以及发包人建议的施工总进度网络图。</w:t>
      </w:r>
    </w:p>
    <w:p>
      <w:pPr>
        <w:pStyle w:val="4"/>
        <w:keepNext w:val="0"/>
        <w:keepLines w:val="0"/>
        <w:spacing w:before="0" w:after="0" w:line="490" w:lineRule="exact"/>
        <w:ind w:firstLine="562" w:firstLineChars="200"/>
        <w:rPr>
          <w:bCs w:val="0"/>
          <w:color w:val="000000"/>
          <w:sz w:val="28"/>
        </w:rPr>
      </w:pPr>
      <w:bookmarkStart w:id="1882" w:name="第06章图纸招标02"/>
      <w:bookmarkEnd w:id="1882"/>
      <w:bookmarkStart w:id="1883" w:name="_Toc12561"/>
      <w:bookmarkStart w:id="1884" w:name="_Toc51091932"/>
      <w:bookmarkStart w:id="1885" w:name="_Toc8190"/>
      <w:r>
        <w:rPr>
          <w:bCs w:val="0"/>
          <w:color w:val="000000"/>
          <w:sz w:val="28"/>
        </w:rPr>
        <w:t>2．招标图纸编绘</w:t>
      </w:r>
      <w:bookmarkEnd w:id="1883"/>
      <w:bookmarkEnd w:id="1884"/>
      <w:bookmarkEnd w:id="1885"/>
    </w:p>
    <w:p>
      <w:pPr>
        <w:spacing w:line="490" w:lineRule="exact"/>
        <w:ind w:firstLine="560" w:firstLineChars="200"/>
        <w:rPr>
          <w:rFonts w:eastAsia="仿宋"/>
          <w:color w:val="000000"/>
          <w:sz w:val="28"/>
          <w:szCs w:val="32"/>
        </w:rPr>
      </w:pPr>
      <w:r>
        <w:rPr>
          <w:rFonts w:eastAsia="仿宋"/>
          <w:color w:val="000000"/>
          <w:sz w:val="28"/>
          <w:szCs w:val="32"/>
        </w:rPr>
        <w:t>2.1  图纸的幅面及图框尺寸，应符合</w:t>
      </w:r>
      <w:r>
        <w:rPr>
          <w:rFonts w:eastAsia="仿宋"/>
          <w:color w:val="000000"/>
          <w:sz w:val="28"/>
          <w:szCs w:val="32"/>
          <w:u w:val="single"/>
        </w:rPr>
        <w:t>《水利水电工程制图标准基础制图》（SL73.1-2013）</w:t>
      </w:r>
      <w:r>
        <w:rPr>
          <w:rFonts w:eastAsia="仿宋"/>
          <w:color w:val="000000"/>
          <w:sz w:val="28"/>
          <w:szCs w:val="32"/>
        </w:rPr>
        <w:t>等有关规定的要求。招标文件附图的幅面，推荐采用A3。</w:t>
      </w:r>
    </w:p>
    <w:p>
      <w:pPr>
        <w:spacing w:line="490" w:lineRule="exact"/>
        <w:ind w:firstLine="560" w:firstLineChars="200"/>
        <w:rPr>
          <w:rFonts w:eastAsia="仿宋"/>
          <w:color w:val="000000"/>
          <w:sz w:val="28"/>
          <w:szCs w:val="32"/>
        </w:rPr>
      </w:pPr>
      <w:r>
        <w:rPr>
          <w:rFonts w:eastAsia="仿宋"/>
          <w:color w:val="000000"/>
          <w:sz w:val="28"/>
          <w:szCs w:val="32"/>
        </w:rPr>
        <w:t>2.2  图纸的幅面及图框尺寸见表1和图1。</w:t>
      </w:r>
    </w:p>
    <w:p>
      <w:pPr>
        <w:spacing w:line="490" w:lineRule="exact"/>
        <w:ind w:firstLine="560" w:firstLineChars="200"/>
        <w:rPr>
          <w:rFonts w:eastAsia="仿宋"/>
          <w:color w:val="000000"/>
          <w:sz w:val="28"/>
          <w:szCs w:val="32"/>
        </w:rPr>
      </w:pPr>
      <w:r>
        <w:rPr>
          <w:rFonts w:eastAsia="仿宋"/>
          <w:color w:val="000000"/>
          <w:sz w:val="28"/>
          <w:szCs w:val="32"/>
        </w:rPr>
        <w:t>2.3  图纸的加长应遵守</w:t>
      </w:r>
      <w:r>
        <w:rPr>
          <w:rFonts w:eastAsia="仿宋"/>
          <w:color w:val="000000"/>
          <w:sz w:val="28"/>
          <w:szCs w:val="32"/>
          <w:u w:val="single"/>
        </w:rPr>
        <w:t>《水利水电工程制图标准基础制图》（SL73.1-2013）</w:t>
      </w:r>
      <w:r>
        <w:rPr>
          <w:rFonts w:eastAsia="仿宋"/>
          <w:color w:val="000000"/>
          <w:sz w:val="28"/>
          <w:szCs w:val="32"/>
        </w:rPr>
        <w:t>的规定。</w:t>
      </w:r>
    </w:p>
    <w:p>
      <w:pPr>
        <w:spacing w:line="490" w:lineRule="exact"/>
        <w:ind w:firstLine="560" w:firstLineChars="200"/>
        <w:rPr>
          <w:rFonts w:eastAsia="仿宋"/>
          <w:color w:val="000000"/>
          <w:sz w:val="28"/>
          <w:szCs w:val="32"/>
        </w:rPr>
      </w:pPr>
      <w:r>
        <w:rPr>
          <w:rFonts w:eastAsia="仿宋"/>
          <w:color w:val="000000"/>
          <w:sz w:val="28"/>
          <w:szCs w:val="32"/>
        </w:rPr>
        <w:t>2.4  标题栏</w:t>
      </w:r>
    </w:p>
    <w:p>
      <w:pPr>
        <w:spacing w:line="490" w:lineRule="exact"/>
        <w:ind w:firstLine="560" w:firstLineChars="200"/>
        <w:rPr>
          <w:rFonts w:eastAsia="仿宋"/>
          <w:color w:val="000000"/>
          <w:sz w:val="32"/>
          <w:szCs w:val="32"/>
        </w:rPr>
      </w:pPr>
      <w:r>
        <w:rPr>
          <w:rFonts w:eastAsia="仿宋"/>
          <w:color w:val="000000"/>
          <w:sz w:val="28"/>
          <w:szCs w:val="32"/>
        </w:rPr>
        <w:t>标题栏设在图纸右下角，其格式和尺寸应遵守</w:t>
      </w:r>
      <w:r>
        <w:rPr>
          <w:rFonts w:eastAsia="仿宋"/>
          <w:color w:val="000000"/>
          <w:sz w:val="28"/>
          <w:szCs w:val="32"/>
          <w:u w:val="single"/>
        </w:rPr>
        <w:t>《水利水电工程制图标准基础制图》（SL73.1-2013）</w:t>
      </w:r>
      <w:r>
        <w:rPr>
          <w:rFonts w:eastAsia="仿宋"/>
          <w:color w:val="000000"/>
          <w:sz w:val="28"/>
          <w:szCs w:val="32"/>
        </w:rPr>
        <w:t>的规定</w:t>
      </w:r>
      <w:r>
        <w:rPr>
          <w:rFonts w:eastAsia="仿宋"/>
          <w:color w:val="000000"/>
          <w:sz w:val="32"/>
          <w:szCs w:val="32"/>
        </w:rPr>
        <w:t>。</w:t>
      </w:r>
    </w:p>
    <w:p>
      <w:pPr>
        <w:spacing w:before="120" w:beforeLines="50" w:after="120" w:afterLines="50" w:line="600" w:lineRule="exact"/>
        <w:jc w:val="center"/>
        <w:rPr>
          <w:rFonts w:eastAsia="黑体"/>
          <w:b/>
          <w:color w:val="000000"/>
          <w:sz w:val="32"/>
        </w:rPr>
      </w:pPr>
      <w:r>
        <w:rPr>
          <w:rFonts w:eastAsia="黑体"/>
          <w:b/>
          <w:color w:val="000000"/>
          <w:sz w:val="32"/>
        </w:rPr>
        <w:t>幅面及图框尺寸（表1）</w:t>
      </w:r>
    </w:p>
    <w:tbl>
      <w:tblPr>
        <w:tblStyle w:val="47"/>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9"/>
        <w:gridCol w:w="1557"/>
        <w:gridCol w:w="1557"/>
        <w:gridCol w:w="1557"/>
        <w:gridCol w:w="1557"/>
        <w:gridCol w:w="13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trPr>
        <w:tc>
          <w:tcPr>
            <w:tcW w:w="1449" w:type="dxa"/>
            <w:noWrap w:val="0"/>
            <w:vAlign w:val="center"/>
          </w:tcPr>
          <w:p>
            <w:pPr>
              <w:jc w:val="center"/>
              <w:rPr>
                <w:color w:val="000000"/>
              </w:rPr>
            </w:pPr>
            <w:r>
              <w:rPr>
                <w:color w:val="000000"/>
              </w:rPr>
              <w:t>幅面代号</w:t>
            </w:r>
          </w:p>
        </w:tc>
        <w:tc>
          <w:tcPr>
            <w:tcW w:w="1557" w:type="dxa"/>
            <w:noWrap w:val="0"/>
            <w:vAlign w:val="center"/>
          </w:tcPr>
          <w:p>
            <w:pPr>
              <w:jc w:val="center"/>
              <w:rPr>
                <w:color w:val="000000"/>
              </w:rPr>
            </w:pPr>
            <w:r>
              <w:rPr>
                <w:color w:val="000000"/>
              </w:rPr>
              <w:t>A0</w:t>
            </w:r>
          </w:p>
        </w:tc>
        <w:tc>
          <w:tcPr>
            <w:tcW w:w="1557" w:type="dxa"/>
            <w:noWrap w:val="0"/>
            <w:vAlign w:val="center"/>
          </w:tcPr>
          <w:p>
            <w:pPr>
              <w:jc w:val="center"/>
              <w:rPr>
                <w:color w:val="000000"/>
              </w:rPr>
            </w:pPr>
            <w:r>
              <w:rPr>
                <w:color w:val="000000"/>
              </w:rPr>
              <w:t>A1</w:t>
            </w:r>
          </w:p>
        </w:tc>
        <w:tc>
          <w:tcPr>
            <w:tcW w:w="1557" w:type="dxa"/>
            <w:noWrap w:val="0"/>
            <w:vAlign w:val="center"/>
          </w:tcPr>
          <w:p>
            <w:pPr>
              <w:jc w:val="center"/>
              <w:rPr>
                <w:color w:val="000000"/>
              </w:rPr>
            </w:pPr>
            <w:r>
              <w:rPr>
                <w:color w:val="000000"/>
              </w:rPr>
              <w:t>A2</w:t>
            </w:r>
          </w:p>
        </w:tc>
        <w:tc>
          <w:tcPr>
            <w:tcW w:w="1557" w:type="dxa"/>
            <w:noWrap w:val="0"/>
            <w:vAlign w:val="center"/>
          </w:tcPr>
          <w:p>
            <w:pPr>
              <w:jc w:val="center"/>
              <w:rPr>
                <w:color w:val="000000"/>
              </w:rPr>
            </w:pPr>
            <w:r>
              <w:rPr>
                <w:color w:val="000000"/>
              </w:rPr>
              <w:t>A3</w:t>
            </w:r>
          </w:p>
        </w:tc>
        <w:tc>
          <w:tcPr>
            <w:tcW w:w="1395" w:type="dxa"/>
            <w:noWrap w:val="0"/>
            <w:vAlign w:val="center"/>
          </w:tcPr>
          <w:p>
            <w:pPr>
              <w:jc w:val="center"/>
              <w:rPr>
                <w:color w:val="000000"/>
              </w:rPr>
            </w:pPr>
            <w:r>
              <w:rPr>
                <w:color w:val="000000"/>
              </w:rPr>
              <w:t>A4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449" w:type="dxa"/>
            <w:noWrap w:val="0"/>
            <w:vAlign w:val="center"/>
          </w:tcPr>
          <w:p>
            <w:pPr>
              <w:jc w:val="center"/>
              <w:rPr>
                <w:color w:val="000000"/>
              </w:rPr>
            </w:pPr>
            <w:r>
              <w:rPr>
                <w:color w:val="000000"/>
              </w:rPr>
              <w:t>B×L（mm）</w:t>
            </w:r>
          </w:p>
        </w:tc>
        <w:tc>
          <w:tcPr>
            <w:tcW w:w="1557" w:type="dxa"/>
            <w:noWrap w:val="0"/>
            <w:vAlign w:val="center"/>
          </w:tcPr>
          <w:p>
            <w:pPr>
              <w:jc w:val="center"/>
              <w:rPr>
                <w:color w:val="000000"/>
              </w:rPr>
            </w:pPr>
            <w:r>
              <w:rPr>
                <w:color w:val="000000"/>
              </w:rPr>
              <w:t>841×1189</w:t>
            </w:r>
          </w:p>
        </w:tc>
        <w:tc>
          <w:tcPr>
            <w:tcW w:w="1557" w:type="dxa"/>
            <w:noWrap w:val="0"/>
            <w:vAlign w:val="center"/>
          </w:tcPr>
          <w:p>
            <w:pPr>
              <w:jc w:val="center"/>
              <w:rPr>
                <w:color w:val="000000"/>
              </w:rPr>
            </w:pPr>
            <w:r>
              <w:rPr>
                <w:color w:val="000000"/>
              </w:rPr>
              <w:t>594×841</w:t>
            </w:r>
          </w:p>
        </w:tc>
        <w:tc>
          <w:tcPr>
            <w:tcW w:w="1557" w:type="dxa"/>
            <w:noWrap w:val="0"/>
            <w:vAlign w:val="center"/>
          </w:tcPr>
          <w:p>
            <w:pPr>
              <w:jc w:val="center"/>
              <w:rPr>
                <w:color w:val="000000"/>
              </w:rPr>
            </w:pPr>
            <w:r>
              <w:rPr>
                <w:color w:val="000000"/>
              </w:rPr>
              <w:t>420×594</w:t>
            </w:r>
          </w:p>
        </w:tc>
        <w:tc>
          <w:tcPr>
            <w:tcW w:w="1557" w:type="dxa"/>
            <w:noWrap w:val="0"/>
            <w:vAlign w:val="center"/>
          </w:tcPr>
          <w:p>
            <w:pPr>
              <w:jc w:val="center"/>
              <w:rPr>
                <w:color w:val="000000"/>
              </w:rPr>
            </w:pPr>
            <w:r>
              <w:rPr>
                <w:color w:val="000000"/>
              </w:rPr>
              <w:t>297×420</w:t>
            </w:r>
          </w:p>
        </w:tc>
        <w:tc>
          <w:tcPr>
            <w:tcW w:w="1395" w:type="dxa"/>
            <w:noWrap w:val="0"/>
            <w:vAlign w:val="center"/>
          </w:tcPr>
          <w:p>
            <w:pPr>
              <w:jc w:val="center"/>
              <w:rPr>
                <w:color w:val="000000"/>
              </w:rPr>
            </w:pPr>
            <w:r>
              <w:rPr>
                <w:color w:val="000000"/>
              </w:rPr>
              <w:t>210×297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449" w:type="dxa"/>
            <w:noWrap w:val="0"/>
            <w:vAlign w:val="center"/>
          </w:tcPr>
          <w:p>
            <w:pPr>
              <w:jc w:val="center"/>
              <w:rPr>
                <w:color w:val="000000"/>
              </w:rPr>
            </w:pPr>
            <w:r>
              <w:rPr>
                <w:color w:val="000000"/>
              </w:rPr>
              <w:t>c（mm）</w:t>
            </w:r>
          </w:p>
        </w:tc>
        <w:tc>
          <w:tcPr>
            <w:tcW w:w="4671" w:type="dxa"/>
            <w:gridSpan w:val="3"/>
            <w:noWrap w:val="0"/>
            <w:vAlign w:val="center"/>
          </w:tcPr>
          <w:p>
            <w:pPr>
              <w:jc w:val="center"/>
              <w:rPr>
                <w:color w:val="000000"/>
              </w:rPr>
            </w:pPr>
            <w:r>
              <w:rPr>
                <w:color w:val="000000"/>
              </w:rPr>
              <w:t>10</w:t>
            </w:r>
          </w:p>
        </w:tc>
        <w:tc>
          <w:tcPr>
            <w:tcW w:w="2952" w:type="dxa"/>
            <w:gridSpan w:val="2"/>
            <w:noWrap w:val="0"/>
            <w:vAlign w:val="center"/>
          </w:tcPr>
          <w:p>
            <w:pPr>
              <w:jc w:val="center"/>
              <w:rPr>
                <w:color w:val="000000"/>
              </w:rPr>
            </w:pPr>
            <w:r>
              <w:rPr>
                <w:color w:val="00000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449" w:type="dxa"/>
            <w:noWrap w:val="0"/>
            <w:vAlign w:val="center"/>
          </w:tcPr>
          <w:p>
            <w:pPr>
              <w:jc w:val="center"/>
              <w:rPr>
                <w:color w:val="000000"/>
              </w:rPr>
            </w:pPr>
            <w:r>
              <w:rPr>
                <w:color w:val="000000"/>
              </w:rPr>
              <w:t>a（mm）</w:t>
            </w:r>
          </w:p>
        </w:tc>
        <w:tc>
          <w:tcPr>
            <w:tcW w:w="7623" w:type="dxa"/>
            <w:gridSpan w:val="5"/>
            <w:noWrap w:val="0"/>
            <w:vAlign w:val="center"/>
          </w:tcPr>
          <w:p>
            <w:pPr>
              <w:jc w:val="center"/>
              <w:rPr>
                <w:color w:val="000000"/>
              </w:rPr>
            </w:pPr>
            <w:r>
              <w:rPr>
                <w:color w:val="000000"/>
              </w:rPr>
              <w:t>25</w:t>
            </w:r>
          </w:p>
        </w:tc>
      </w:tr>
    </w:tbl>
    <w:p>
      <w:pPr>
        <w:rPr>
          <w:color w:val="000000"/>
        </w:rPr>
      </w:pPr>
    </w:p>
    <w:p>
      <w:pPr>
        <w:rPr>
          <w:color w:val="000000"/>
        </w:rPr>
      </w:pPr>
    </w:p>
    <w:p>
      <w:pPr>
        <w:rPr>
          <w:color w:val="000000"/>
        </w:rPr>
      </w:pPr>
      <w:r>
        <w:rPr>
          <w:color w:val="000000"/>
        </w:rPr>
        <w:drawing>
          <wp:inline distT="0" distB="0" distL="114300" distR="114300">
            <wp:extent cx="5797550" cy="5824855"/>
            <wp:effectExtent l="0" t="0" r="8890" b="12065"/>
            <wp:docPr id="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
                    <pic:cNvPicPr>
                      <a:picLocks noChangeAspect="1"/>
                    </pic:cNvPicPr>
                  </pic:nvPicPr>
                  <pic:blipFill>
                    <a:blip r:embed="rId33"/>
                    <a:stretch>
                      <a:fillRect/>
                    </a:stretch>
                  </pic:blipFill>
                  <pic:spPr>
                    <a:xfrm>
                      <a:off x="0" y="0"/>
                      <a:ext cx="5797550" cy="5824855"/>
                    </a:xfrm>
                    <a:prstGeom prst="rect">
                      <a:avLst/>
                    </a:prstGeom>
                    <a:noFill/>
                    <a:ln>
                      <a:noFill/>
                    </a:ln>
                  </pic:spPr>
                </pic:pic>
              </a:graphicData>
            </a:graphic>
          </wp:inline>
        </w:drawing>
      </w:r>
    </w:p>
    <w:p>
      <w:pPr>
        <w:rPr>
          <w:color w:val="000000"/>
        </w:rPr>
      </w:pPr>
    </w:p>
    <w:p>
      <w:pPr>
        <w:jc w:val="center"/>
        <w:rPr>
          <w:color w:val="000000"/>
        </w:rPr>
      </w:pPr>
      <w:r>
        <w:rPr>
          <w:color w:val="000000"/>
        </w:rPr>
        <w:t>图1  图框</w:t>
      </w:r>
    </w:p>
    <w:p>
      <w:pPr>
        <w:rPr>
          <w:color w:val="000000"/>
        </w:rPr>
      </w:pPr>
    </w:p>
    <w:p>
      <w:pPr>
        <w:pStyle w:val="4"/>
        <w:keepNext w:val="0"/>
        <w:keepLines w:val="0"/>
        <w:spacing w:before="0" w:after="0" w:line="600" w:lineRule="exact"/>
        <w:ind w:firstLine="643" w:firstLineChars="200"/>
        <w:rPr>
          <w:bCs w:val="0"/>
          <w:color w:val="000000"/>
        </w:rPr>
      </w:pPr>
      <w:bookmarkStart w:id="1886" w:name="第06章图纸招标03"/>
      <w:bookmarkEnd w:id="1886"/>
      <w:bookmarkStart w:id="1887" w:name="_Toc4496"/>
      <w:bookmarkStart w:id="1888" w:name="_Toc51091933"/>
      <w:bookmarkStart w:id="1889" w:name="_Toc17101"/>
      <w:r>
        <w:rPr>
          <w:bCs w:val="0"/>
          <w:color w:val="000000"/>
        </w:rPr>
        <w:t>3．招标图纸目录</w:t>
      </w:r>
      <w:bookmarkEnd w:id="1887"/>
      <w:bookmarkEnd w:id="1888"/>
      <w:bookmarkEnd w:id="1889"/>
    </w:p>
    <w:tbl>
      <w:tblPr>
        <w:tblStyle w:val="4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9"/>
        <w:gridCol w:w="1557"/>
        <w:gridCol w:w="1557"/>
        <w:gridCol w:w="1557"/>
        <w:gridCol w:w="1557"/>
        <w:gridCol w:w="13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1449" w:type="dxa"/>
            <w:noWrap w:val="0"/>
            <w:vAlign w:val="center"/>
          </w:tcPr>
          <w:p>
            <w:pPr>
              <w:jc w:val="center"/>
              <w:rPr>
                <w:rFonts w:eastAsia="仿宋"/>
                <w:color w:val="000000"/>
              </w:rPr>
            </w:pPr>
            <w:r>
              <w:rPr>
                <w:rFonts w:eastAsia="仿宋"/>
                <w:color w:val="000000"/>
              </w:rPr>
              <w:t>序号</w:t>
            </w:r>
          </w:p>
        </w:tc>
        <w:tc>
          <w:tcPr>
            <w:tcW w:w="1557" w:type="dxa"/>
            <w:noWrap w:val="0"/>
            <w:vAlign w:val="center"/>
          </w:tcPr>
          <w:p>
            <w:pPr>
              <w:jc w:val="center"/>
              <w:rPr>
                <w:rFonts w:eastAsia="仿宋"/>
                <w:color w:val="000000"/>
              </w:rPr>
            </w:pPr>
            <w:r>
              <w:rPr>
                <w:rFonts w:eastAsia="仿宋"/>
                <w:color w:val="000000"/>
              </w:rPr>
              <w:t>图名</w:t>
            </w:r>
          </w:p>
        </w:tc>
        <w:tc>
          <w:tcPr>
            <w:tcW w:w="1557" w:type="dxa"/>
            <w:noWrap w:val="0"/>
            <w:vAlign w:val="center"/>
          </w:tcPr>
          <w:p>
            <w:pPr>
              <w:jc w:val="center"/>
              <w:rPr>
                <w:rFonts w:eastAsia="仿宋"/>
                <w:color w:val="000000"/>
              </w:rPr>
            </w:pPr>
            <w:r>
              <w:rPr>
                <w:rFonts w:eastAsia="仿宋"/>
                <w:color w:val="000000"/>
              </w:rPr>
              <w:t>图号</w:t>
            </w:r>
          </w:p>
        </w:tc>
        <w:tc>
          <w:tcPr>
            <w:tcW w:w="1557" w:type="dxa"/>
            <w:noWrap w:val="0"/>
            <w:vAlign w:val="center"/>
          </w:tcPr>
          <w:p>
            <w:pPr>
              <w:jc w:val="center"/>
              <w:rPr>
                <w:rFonts w:eastAsia="仿宋"/>
                <w:color w:val="000000"/>
              </w:rPr>
            </w:pPr>
            <w:r>
              <w:rPr>
                <w:rFonts w:eastAsia="仿宋"/>
                <w:color w:val="000000"/>
              </w:rPr>
              <w:t>版本</w:t>
            </w:r>
          </w:p>
        </w:tc>
        <w:tc>
          <w:tcPr>
            <w:tcW w:w="1557" w:type="dxa"/>
            <w:noWrap w:val="0"/>
            <w:vAlign w:val="center"/>
          </w:tcPr>
          <w:p>
            <w:pPr>
              <w:jc w:val="center"/>
              <w:rPr>
                <w:rFonts w:eastAsia="仿宋"/>
                <w:color w:val="000000"/>
              </w:rPr>
            </w:pPr>
            <w:r>
              <w:rPr>
                <w:rFonts w:eastAsia="仿宋"/>
                <w:color w:val="000000"/>
              </w:rPr>
              <w:t>出图日期</w:t>
            </w:r>
          </w:p>
        </w:tc>
        <w:tc>
          <w:tcPr>
            <w:tcW w:w="1395" w:type="dxa"/>
            <w:noWrap w:val="0"/>
            <w:vAlign w:val="center"/>
          </w:tcPr>
          <w:p>
            <w:pPr>
              <w:jc w:val="center"/>
              <w:rPr>
                <w:rFonts w:eastAsia="仿宋"/>
                <w:color w:val="000000"/>
              </w:rPr>
            </w:pPr>
            <w:r>
              <w:rPr>
                <w:rFonts w:eastAsia="仿宋"/>
                <w:color w:val="000000"/>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49" w:type="dxa"/>
            <w:noWrap w:val="0"/>
            <w:vAlign w:val="center"/>
          </w:tcPr>
          <w:p>
            <w:pPr>
              <w:jc w:val="center"/>
              <w:rPr>
                <w:rFonts w:eastAsia="仿宋"/>
                <w:color w:val="000000"/>
              </w:rPr>
            </w:pPr>
          </w:p>
        </w:tc>
        <w:tc>
          <w:tcPr>
            <w:tcW w:w="1557" w:type="dxa"/>
            <w:noWrap w:val="0"/>
            <w:vAlign w:val="center"/>
          </w:tcPr>
          <w:p>
            <w:pPr>
              <w:jc w:val="center"/>
              <w:rPr>
                <w:rFonts w:eastAsia="仿宋"/>
                <w:color w:val="000000"/>
              </w:rPr>
            </w:pPr>
          </w:p>
        </w:tc>
        <w:tc>
          <w:tcPr>
            <w:tcW w:w="1557" w:type="dxa"/>
            <w:noWrap w:val="0"/>
            <w:vAlign w:val="center"/>
          </w:tcPr>
          <w:p>
            <w:pPr>
              <w:jc w:val="center"/>
              <w:rPr>
                <w:rFonts w:eastAsia="仿宋"/>
                <w:color w:val="000000"/>
              </w:rPr>
            </w:pPr>
          </w:p>
        </w:tc>
        <w:tc>
          <w:tcPr>
            <w:tcW w:w="1557" w:type="dxa"/>
            <w:noWrap w:val="0"/>
            <w:vAlign w:val="center"/>
          </w:tcPr>
          <w:p>
            <w:pPr>
              <w:jc w:val="center"/>
              <w:rPr>
                <w:rFonts w:eastAsia="仿宋"/>
                <w:color w:val="000000"/>
              </w:rPr>
            </w:pPr>
          </w:p>
        </w:tc>
        <w:tc>
          <w:tcPr>
            <w:tcW w:w="1557" w:type="dxa"/>
            <w:noWrap w:val="0"/>
            <w:vAlign w:val="center"/>
          </w:tcPr>
          <w:p>
            <w:pPr>
              <w:jc w:val="center"/>
              <w:rPr>
                <w:rFonts w:eastAsia="仿宋"/>
                <w:color w:val="000000"/>
              </w:rPr>
            </w:pPr>
          </w:p>
        </w:tc>
        <w:tc>
          <w:tcPr>
            <w:tcW w:w="1395" w:type="dxa"/>
            <w:noWrap w:val="0"/>
            <w:vAlign w:val="center"/>
          </w:tcPr>
          <w:p>
            <w:pPr>
              <w:jc w:val="center"/>
              <w:rPr>
                <w:rFonts w:eastAsia="仿宋"/>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49" w:type="dxa"/>
            <w:noWrap w:val="0"/>
            <w:vAlign w:val="center"/>
          </w:tcPr>
          <w:p>
            <w:pPr>
              <w:jc w:val="center"/>
              <w:rPr>
                <w:rFonts w:eastAsia="仿宋"/>
                <w:color w:val="000000"/>
              </w:rPr>
            </w:pPr>
          </w:p>
        </w:tc>
        <w:tc>
          <w:tcPr>
            <w:tcW w:w="1557" w:type="dxa"/>
            <w:noWrap w:val="0"/>
            <w:vAlign w:val="center"/>
          </w:tcPr>
          <w:p>
            <w:pPr>
              <w:jc w:val="center"/>
              <w:rPr>
                <w:rFonts w:eastAsia="仿宋"/>
                <w:color w:val="000000"/>
              </w:rPr>
            </w:pPr>
          </w:p>
        </w:tc>
        <w:tc>
          <w:tcPr>
            <w:tcW w:w="1557" w:type="dxa"/>
            <w:noWrap w:val="0"/>
            <w:vAlign w:val="center"/>
          </w:tcPr>
          <w:p>
            <w:pPr>
              <w:jc w:val="center"/>
              <w:rPr>
                <w:rFonts w:eastAsia="仿宋"/>
                <w:color w:val="000000"/>
              </w:rPr>
            </w:pPr>
          </w:p>
        </w:tc>
        <w:tc>
          <w:tcPr>
            <w:tcW w:w="1557" w:type="dxa"/>
            <w:noWrap w:val="0"/>
            <w:vAlign w:val="center"/>
          </w:tcPr>
          <w:p>
            <w:pPr>
              <w:jc w:val="center"/>
              <w:rPr>
                <w:rFonts w:eastAsia="仿宋"/>
                <w:color w:val="000000"/>
              </w:rPr>
            </w:pPr>
          </w:p>
        </w:tc>
        <w:tc>
          <w:tcPr>
            <w:tcW w:w="1557" w:type="dxa"/>
            <w:noWrap w:val="0"/>
            <w:vAlign w:val="center"/>
          </w:tcPr>
          <w:p>
            <w:pPr>
              <w:jc w:val="center"/>
              <w:rPr>
                <w:rFonts w:eastAsia="仿宋"/>
                <w:color w:val="000000"/>
              </w:rPr>
            </w:pPr>
          </w:p>
        </w:tc>
        <w:tc>
          <w:tcPr>
            <w:tcW w:w="1395" w:type="dxa"/>
            <w:noWrap w:val="0"/>
            <w:vAlign w:val="center"/>
          </w:tcPr>
          <w:p>
            <w:pPr>
              <w:jc w:val="center"/>
              <w:rPr>
                <w:rFonts w:eastAsia="仿宋"/>
                <w:color w:val="000000"/>
              </w:rPr>
            </w:pPr>
          </w:p>
        </w:tc>
      </w:tr>
    </w:tbl>
    <w:p>
      <w:pPr>
        <w:rPr>
          <w:rFonts w:eastAsia="仿宋"/>
          <w:color w:val="000000"/>
        </w:rPr>
      </w:pPr>
      <w:r>
        <w:rPr>
          <w:rFonts w:eastAsia="仿宋"/>
          <w:color w:val="000000"/>
        </w:rPr>
        <w:t>注：招标图纸另册。</w:t>
      </w:r>
    </w:p>
    <w:p>
      <w:pPr>
        <w:rPr>
          <w:color w:val="000000"/>
        </w:rPr>
      </w:pPr>
    </w:p>
    <w:p>
      <w:pPr>
        <w:rPr>
          <w:color w:val="000000"/>
        </w:rPr>
      </w:pPr>
    </w:p>
    <w:p>
      <w:pPr>
        <w:pStyle w:val="177"/>
        <w:ind w:left="900" w:hanging="480"/>
        <w:rPr>
          <w:color w:val="000000"/>
        </w:rPr>
      </w:pPr>
    </w:p>
    <w:p>
      <w:pPr>
        <w:pStyle w:val="177"/>
        <w:ind w:left="900" w:hanging="480"/>
        <w:rPr>
          <w:color w:val="000000"/>
        </w:rPr>
      </w:pPr>
    </w:p>
    <w:p>
      <w:pPr>
        <w:pStyle w:val="177"/>
        <w:ind w:left="900" w:hanging="480"/>
        <w:rPr>
          <w:color w:val="000000"/>
        </w:rPr>
        <w:sectPr>
          <w:footerReference r:id="rId21" w:type="default"/>
          <w:pgSz w:w="11906" w:h="16838"/>
          <w:pgMar w:top="1701" w:right="1361" w:bottom="1701" w:left="1474" w:header="1021" w:footer="1021" w:gutter="0"/>
          <w:pgNumType w:start="273"/>
          <w:cols w:space="720" w:num="1"/>
          <w:docGrid w:linePitch="312" w:charSpace="0"/>
        </w:sectPr>
      </w:pPr>
    </w:p>
    <w:p/>
    <w:p>
      <w:pPr>
        <w:pStyle w:val="177"/>
        <w:ind w:left="900" w:hanging="480"/>
        <w:rPr>
          <w:color w:val="000000"/>
        </w:rPr>
        <w:sectPr>
          <w:footerReference r:id="rId22" w:type="default"/>
          <w:pgSz w:w="11906" w:h="16838"/>
          <w:pgMar w:top="1701" w:right="1361" w:bottom="1701" w:left="1474" w:header="1021" w:footer="1021" w:gutter="0"/>
          <w:pgNumType w:start="273"/>
          <w:cols w:space="720" w:num="1"/>
          <w:docGrid w:linePitch="312" w:charSpace="0"/>
        </w:sectPr>
      </w:pPr>
    </w:p>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pStyle w:val="177"/>
        <w:ind w:left="900" w:hanging="480"/>
        <w:rPr>
          <w:color w:val="000000"/>
        </w:rPr>
      </w:pPr>
    </w:p>
    <w:p>
      <w:pPr>
        <w:pStyle w:val="177"/>
        <w:ind w:left="900" w:hanging="480"/>
        <w:rPr>
          <w:color w:val="000000"/>
        </w:rPr>
      </w:pPr>
    </w:p>
    <w:p>
      <w:pPr>
        <w:pStyle w:val="3"/>
        <w:keepNext w:val="0"/>
        <w:keepLines w:val="0"/>
        <w:spacing w:before="0" w:after="0" w:line="240" w:lineRule="auto"/>
        <w:rPr>
          <w:rFonts w:eastAsia="方正小标宋_GBK"/>
          <w:b w:val="0"/>
          <w:color w:val="000000"/>
          <w:spacing w:val="40"/>
          <w:sz w:val="56"/>
          <w:szCs w:val="56"/>
        </w:rPr>
      </w:pPr>
      <w:bookmarkStart w:id="1890" w:name="_Toc25710"/>
      <w:bookmarkStart w:id="1891" w:name="_Toc51091934"/>
      <w:bookmarkStart w:id="1892" w:name="_Toc10905"/>
      <w:bookmarkStart w:id="1893" w:name="_Toc419379608"/>
      <w:r>
        <w:rPr>
          <w:rFonts w:eastAsia="隶书"/>
          <w:color w:val="000000"/>
          <w:spacing w:val="40"/>
          <w:sz w:val="90"/>
          <w:szCs w:val="90"/>
        </w:rPr>
        <w:t>第三卷</w:t>
      </w:r>
      <w:bookmarkEnd w:id="1890"/>
      <w:bookmarkEnd w:id="1891"/>
      <w:bookmarkEnd w:id="1892"/>
      <w:bookmarkEnd w:id="1893"/>
    </w:p>
    <w:p>
      <w:pPr>
        <w:spacing w:line="490" w:lineRule="exact"/>
        <w:rPr>
          <w:color w:val="000000"/>
        </w:rPr>
      </w:pPr>
    </w:p>
    <w:p>
      <w:pPr>
        <w:spacing w:line="490" w:lineRule="exact"/>
        <w:rPr>
          <w:color w:val="000000"/>
        </w:rPr>
      </w:pPr>
    </w:p>
    <w:p>
      <w:pPr>
        <w:spacing w:line="490" w:lineRule="exact"/>
        <w:rPr>
          <w:color w:val="000000"/>
        </w:rPr>
      </w:pPr>
    </w:p>
    <w:p>
      <w:pPr>
        <w:spacing w:line="490" w:lineRule="exact"/>
        <w:rPr>
          <w:color w:val="000000"/>
        </w:rPr>
      </w:pPr>
    </w:p>
    <w:p>
      <w:pPr>
        <w:spacing w:line="490" w:lineRule="exact"/>
        <w:rPr>
          <w:color w:val="000000"/>
        </w:rPr>
      </w:pPr>
    </w:p>
    <w:p>
      <w:pPr>
        <w:spacing w:line="490" w:lineRule="exact"/>
        <w:rPr>
          <w:color w:val="000000"/>
        </w:rPr>
      </w:pPr>
    </w:p>
    <w:p>
      <w:pPr>
        <w:spacing w:line="490" w:lineRule="exact"/>
        <w:rPr>
          <w:color w:val="000000"/>
        </w:rPr>
      </w:pPr>
    </w:p>
    <w:p>
      <w:pPr>
        <w:spacing w:line="490" w:lineRule="exact"/>
        <w:rPr>
          <w:color w:val="000000"/>
        </w:rPr>
      </w:pPr>
    </w:p>
    <w:p>
      <w:pPr>
        <w:spacing w:line="490" w:lineRule="exact"/>
        <w:rPr>
          <w:color w:val="000000"/>
        </w:rPr>
      </w:pPr>
    </w:p>
    <w:p>
      <w:pPr>
        <w:spacing w:line="490" w:lineRule="exact"/>
        <w:rPr>
          <w:color w:val="000000"/>
        </w:rPr>
      </w:pPr>
    </w:p>
    <w:p>
      <w:pPr>
        <w:spacing w:line="490" w:lineRule="exact"/>
        <w:rPr>
          <w:color w:val="000000"/>
        </w:rPr>
      </w:pPr>
    </w:p>
    <w:p>
      <w:pPr>
        <w:spacing w:line="490" w:lineRule="exact"/>
        <w:rPr>
          <w:color w:val="000000"/>
        </w:rPr>
      </w:pPr>
    </w:p>
    <w:p>
      <w:pPr>
        <w:spacing w:line="490" w:lineRule="exact"/>
        <w:rPr>
          <w:color w:val="000000"/>
        </w:rPr>
      </w:pPr>
    </w:p>
    <w:p>
      <w:pPr>
        <w:spacing w:line="490" w:lineRule="exact"/>
        <w:rPr>
          <w:color w:val="000000"/>
        </w:rPr>
      </w:pPr>
    </w:p>
    <w:p>
      <w:pPr>
        <w:spacing w:line="490" w:lineRule="exact"/>
        <w:rPr>
          <w:color w:val="000000"/>
        </w:rPr>
      </w:pPr>
    </w:p>
    <w:p>
      <w:pPr>
        <w:spacing w:line="490" w:lineRule="exact"/>
        <w:rPr>
          <w:color w:val="000000"/>
        </w:rPr>
      </w:pPr>
    </w:p>
    <w:p>
      <w:pPr>
        <w:spacing w:line="490" w:lineRule="exact"/>
        <w:rPr>
          <w:color w:val="000000"/>
        </w:rPr>
      </w:pPr>
    </w:p>
    <w:p>
      <w:pPr>
        <w:spacing w:line="490" w:lineRule="exact"/>
        <w:rPr>
          <w:color w:val="000000"/>
        </w:rPr>
        <w:sectPr>
          <w:footerReference r:id="rId23" w:type="default"/>
          <w:pgSz w:w="11906" w:h="16838"/>
          <w:pgMar w:top="1701" w:right="1361" w:bottom="1701" w:left="1474" w:header="1021" w:footer="1021" w:gutter="0"/>
          <w:pgNumType w:start="276"/>
          <w:cols w:space="720" w:num="1"/>
          <w:docGrid w:linePitch="312" w:charSpace="0"/>
        </w:sectPr>
      </w:pPr>
    </w:p>
    <w:p>
      <w:pPr>
        <w:pStyle w:val="2"/>
      </w:pPr>
    </w:p>
    <w:p>
      <w:pPr>
        <w:spacing w:line="490" w:lineRule="exact"/>
        <w:rPr>
          <w:rFonts w:eastAsia="方正小标宋_GBK"/>
          <w:color w:val="000000"/>
          <w:sz w:val="20"/>
        </w:rPr>
        <w:sectPr>
          <w:footerReference r:id="rId24" w:type="default"/>
          <w:pgSz w:w="11906" w:h="16838"/>
          <w:pgMar w:top="1701" w:right="1361" w:bottom="1701" w:left="1474" w:header="1021" w:footer="1021" w:gutter="0"/>
          <w:pgNumType w:start="276"/>
          <w:cols w:space="720" w:num="1"/>
          <w:docGrid w:linePitch="312" w:charSpace="0"/>
        </w:sectPr>
      </w:pPr>
    </w:p>
    <w:p>
      <w:pPr>
        <w:pStyle w:val="2"/>
      </w:pPr>
    </w:p>
    <w:p>
      <w:pPr>
        <w:pStyle w:val="3"/>
        <w:keepNext w:val="0"/>
        <w:keepLines w:val="0"/>
        <w:spacing w:before="0" w:after="0" w:line="490" w:lineRule="exact"/>
        <w:rPr>
          <w:rFonts w:hint="eastAsia" w:ascii="方正小标宋简体" w:eastAsia="方正小标宋简体"/>
          <w:b w:val="0"/>
          <w:color w:val="000000"/>
          <w:sz w:val="40"/>
          <w:szCs w:val="32"/>
        </w:rPr>
      </w:pPr>
      <w:bookmarkStart w:id="1894" w:name="_Toc419379609"/>
      <w:bookmarkStart w:id="1895" w:name="_Toc15226"/>
      <w:bookmarkStart w:id="1896" w:name="_Toc51091935"/>
      <w:bookmarkStart w:id="1897" w:name="_Toc22387"/>
      <w:r>
        <w:rPr>
          <w:rFonts w:hint="eastAsia" w:ascii="方正小标宋简体" w:eastAsia="方正小标宋简体"/>
          <w:b w:val="0"/>
          <w:color w:val="000000"/>
          <w:sz w:val="40"/>
          <w:szCs w:val="32"/>
        </w:rPr>
        <w:t>第七章  技术标准和要求（合同技术条款）</w:t>
      </w:r>
      <w:bookmarkEnd w:id="1894"/>
      <w:bookmarkEnd w:id="1895"/>
      <w:bookmarkEnd w:id="1896"/>
      <w:bookmarkEnd w:id="1897"/>
    </w:p>
    <w:p>
      <w:pPr>
        <w:rPr>
          <w:rFonts w:ascii="宋体" w:hAnsi="宋体" w:cs="宋体"/>
          <w:color w:val="000000"/>
          <w:szCs w:val="21"/>
        </w:rPr>
      </w:pPr>
      <w:r>
        <w:rPr>
          <w:rFonts w:hint="eastAsia" w:ascii="宋体" w:hAnsi="宋体" w:cs="宋体"/>
          <w:color w:val="000000"/>
          <w:szCs w:val="21"/>
        </w:rPr>
        <w:t xml:space="preserve">   </w:t>
      </w:r>
    </w:p>
    <w:p>
      <w:pPr>
        <w:spacing w:line="490" w:lineRule="exact"/>
        <w:rPr>
          <w:rFonts w:hint="eastAsia"/>
          <w:color w:val="000000"/>
          <w:sz w:val="28"/>
          <w:szCs w:val="28"/>
        </w:rPr>
      </w:pPr>
      <w:bookmarkStart w:id="1898" w:name="_Toc81213557"/>
      <w:bookmarkStart w:id="1899" w:name="_Toc8795"/>
      <w:bookmarkStart w:id="1900" w:name="_Toc5523"/>
      <w:bookmarkStart w:id="1901" w:name="_Toc28754"/>
      <w:bookmarkStart w:id="1902" w:name="_Toc31046"/>
      <w:bookmarkStart w:id="1903" w:name="_Toc396306660"/>
      <w:bookmarkStart w:id="1904" w:name="_Toc16097"/>
      <w:bookmarkStart w:id="1905" w:name="_Toc555094191"/>
    </w:p>
    <w:p>
      <w:pPr>
        <w:pStyle w:val="4"/>
        <w:spacing w:before="0" w:after="0" w:line="490" w:lineRule="exact"/>
        <w:rPr>
          <w:rFonts w:ascii="Times New Roman" w:hAnsi="Times New Roman"/>
          <w:b w:val="0"/>
          <w:bCs w:val="0"/>
          <w:color w:val="000000"/>
          <w:sz w:val="28"/>
          <w:szCs w:val="28"/>
        </w:rPr>
      </w:pPr>
      <w:bookmarkStart w:id="1906" w:name="_Toc17723"/>
      <w:bookmarkStart w:id="1907" w:name="_Toc8562"/>
      <w:r>
        <w:rPr>
          <w:rFonts w:ascii="Times New Roman" w:hAnsi="Times New Roman"/>
          <w:b w:val="0"/>
          <w:bCs w:val="0"/>
          <w:color w:val="000000"/>
          <w:sz w:val="28"/>
          <w:szCs w:val="28"/>
        </w:rPr>
        <w:t>1.工程说明</w:t>
      </w:r>
      <w:bookmarkEnd w:id="1898"/>
      <w:bookmarkEnd w:id="1899"/>
      <w:bookmarkEnd w:id="1900"/>
      <w:bookmarkEnd w:id="1901"/>
      <w:bookmarkEnd w:id="1902"/>
      <w:bookmarkEnd w:id="1903"/>
      <w:bookmarkEnd w:id="1904"/>
      <w:bookmarkEnd w:id="1905"/>
      <w:bookmarkEnd w:id="1906"/>
      <w:bookmarkEnd w:id="1907"/>
    </w:p>
    <w:p>
      <w:pPr>
        <w:pStyle w:val="87"/>
        <w:spacing w:line="490" w:lineRule="exact"/>
        <w:rPr>
          <w:b w:val="0"/>
          <w:sz w:val="28"/>
          <w:szCs w:val="28"/>
        </w:rPr>
      </w:pPr>
      <w:bookmarkStart w:id="1908" w:name="_Toc81213558"/>
      <w:bookmarkStart w:id="1909" w:name="_Toc5311"/>
      <w:bookmarkStart w:id="1910" w:name="_Toc26748"/>
      <w:bookmarkStart w:id="1911" w:name="_Toc29498"/>
      <w:r>
        <w:rPr>
          <w:b w:val="0"/>
          <w:sz w:val="28"/>
          <w:szCs w:val="28"/>
        </w:rPr>
        <w:t>1.1 工程概况</w:t>
      </w:r>
      <w:bookmarkEnd w:id="1908"/>
      <w:bookmarkEnd w:id="1909"/>
      <w:bookmarkEnd w:id="1910"/>
      <w:bookmarkEnd w:id="1911"/>
    </w:p>
    <w:p>
      <w:pPr>
        <w:spacing w:line="490" w:lineRule="exact"/>
        <w:ind w:firstLine="420"/>
        <w:rPr>
          <w:rFonts w:eastAsia="仿宋"/>
          <w:color w:val="000000"/>
          <w:sz w:val="28"/>
          <w:szCs w:val="28"/>
        </w:rPr>
      </w:pPr>
      <w:r>
        <w:rPr>
          <w:rFonts w:eastAsia="仿宋"/>
          <w:color w:val="000000"/>
          <w:sz w:val="28"/>
          <w:szCs w:val="28"/>
        </w:rPr>
        <w:t>l.1.1  本工程基本情况如下：</w:t>
      </w:r>
      <w:r>
        <w:rPr>
          <w:rFonts w:eastAsia="仿宋"/>
          <w:color w:val="000000"/>
          <w:sz w:val="28"/>
          <w:szCs w:val="28"/>
          <w:u w:val="single"/>
        </w:rPr>
        <w:t xml:space="preserve">                                  </w:t>
      </w:r>
      <w:r>
        <w:rPr>
          <w:rFonts w:eastAsia="仿宋"/>
          <w:color w:val="000000"/>
          <w:sz w:val="28"/>
          <w:szCs w:val="28"/>
        </w:rPr>
        <w:t>。</w:t>
      </w:r>
    </w:p>
    <w:p>
      <w:pPr>
        <w:spacing w:line="490" w:lineRule="exact"/>
        <w:ind w:firstLine="420"/>
        <w:rPr>
          <w:rFonts w:eastAsia="仿宋"/>
          <w:color w:val="000000"/>
          <w:sz w:val="28"/>
          <w:szCs w:val="28"/>
        </w:rPr>
      </w:pPr>
      <w:r>
        <w:rPr>
          <w:rFonts w:eastAsia="仿宋"/>
          <w:color w:val="000000"/>
          <w:sz w:val="28"/>
          <w:szCs w:val="28"/>
        </w:rPr>
        <w:t>1.1.2  本工程施工场地</w:t>
      </w:r>
      <w:r>
        <w:rPr>
          <w:rFonts w:hint="eastAsia" w:eastAsia="仿宋"/>
          <w:color w:val="000000"/>
          <w:sz w:val="28"/>
          <w:szCs w:val="28"/>
        </w:rPr>
        <w:t>（</w:t>
      </w:r>
      <w:r>
        <w:rPr>
          <w:rFonts w:eastAsia="仿宋"/>
          <w:color w:val="000000"/>
          <w:sz w:val="28"/>
          <w:szCs w:val="28"/>
        </w:rPr>
        <w:t>现场</w:t>
      </w:r>
      <w:r>
        <w:rPr>
          <w:rFonts w:hint="eastAsia" w:eastAsia="仿宋"/>
          <w:color w:val="000000"/>
          <w:sz w:val="28"/>
          <w:szCs w:val="28"/>
        </w:rPr>
        <w:t>）</w:t>
      </w:r>
      <w:r>
        <w:rPr>
          <w:rFonts w:eastAsia="仿宋"/>
          <w:color w:val="000000"/>
          <w:sz w:val="28"/>
          <w:szCs w:val="28"/>
        </w:rPr>
        <w:t>具体地理位置如下：</w:t>
      </w:r>
      <w:r>
        <w:rPr>
          <w:rFonts w:eastAsia="仿宋"/>
          <w:color w:val="000000"/>
          <w:sz w:val="28"/>
          <w:szCs w:val="28"/>
          <w:u w:val="single"/>
        </w:rPr>
        <w:t xml:space="preserve">                </w:t>
      </w:r>
      <w:r>
        <w:rPr>
          <w:rFonts w:eastAsia="仿宋"/>
          <w:color w:val="000000"/>
          <w:sz w:val="28"/>
          <w:szCs w:val="28"/>
        </w:rPr>
        <w:t>。</w:t>
      </w:r>
    </w:p>
    <w:p>
      <w:pPr>
        <w:pStyle w:val="87"/>
        <w:spacing w:line="490" w:lineRule="exact"/>
        <w:rPr>
          <w:b w:val="0"/>
          <w:sz w:val="28"/>
          <w:szCs w:val="28"/>
        </w:rPr>
      </w:pPr>
      <w:bookmarkStart w:id="1912" w:name="_Toc17963"/>
      <w:bookmarkStart w:id="1913" w:name="_Toc31288"/>
      <w:bookmarkStart w:id="1914" w:name="_Toc81213559"/>
      <w:bookmarkStart w:id="1915" w:name="_Toc14779"/>
      <w:r>
        <w:rPr>
          <w:b w:val="0"/>
          <w:sz w:val="28"/>
          <w:szCs w:val="28"/>
        </w:rPr>
        <w:t>1.2 现场条件和周围环境</w:t>
      </w:r>
      <w:bookmarkEnd w:id="1912"/>
      <w:bookmarkEnd w:id="1913"/>
      <w:bookmarkEnd w:id="1914"/>
      <w:bookmarkEnd w:id="1915"/>
    </w:p>
    <w:p>
      <w:pPr>
        <w:spacing w:line="490" w:lineRule="exact"/>
        <w:ind w:firstLine="420"/>
        <w:rPr>
          <w:rFonts w:eastAsia="仿宋"/>
          <w:color w:val="000000"/>
          <w:sz w:val="28"/>
          <w:szCs w:val="28"/>
        </w:rPr>
      </w:pPr>
      <w:r>
        <w:rPr>
          <w:rFonts w:eastAsia="仿宋"/>
          <w:color w:val="000000"/>
          <w:sz w:val="28"/>
          <w:szCs w:val="28"/>
        </w:rPr>
        <w:t>1.2.3  现场条件和周围环境的其他资料和信息数据如下：</w:t>
      </w:r>
      <w:r>
        <w:rPr>
          <w:rFonts w:eastAsia="仿宋"/>
          <w:color w:val="000000"/>
          <w:sz w:val="28"/>
          <w:szCs w:val="28"/>
          <w:u w:val="single"/>
        </w:rPr>
        <w:t xml:space="preserve">          </w:t>
      </w:r>
      <w:r>
        <w:rPr>
          <w:rFonts w:eastAsia="仿宋"/>
          <w:color w:val="000000"/>
          <w:sz w:val="28"/>
          <w:szCs w:val="28"/>
        </w:rPr>
        <w:t xml:space="preserve">。 </w:t>
      </w:r>
    </w:p>
    <w:p>
      <w:pPr>
        <w:spacing w:line="490" w:lineRule="exact"/>
        <w:ind w:firstLine="420"/>
        <w:rPr>
          <w:rFonts w:eastAsia="仿宋"/>
          <w:color w:val="000000"/>
          <w:sz w:val="28"/>
          <w:szCs w:val="28"/>
        </w:rPr>
      </w:pPr>
      <w:r>
        <w:rPr>
          <w:rFonts w:eastAsia="仿宋"/>
          <w:color w:val="000000"/>
          <w:sz w:val="28"/>
          <w:szCs w:val="28"/>
        </w:rPr>
        <w:t>1.2.4  施工单位被认为已在本工程投标阶段踏勘现场时充分了解本工程现场条件和周围环境，并已在其投标时就此给予了充分的考虑。</w:t>
      </w:r>
    </w:p>
    <w:p>
      <w:pPr>
        <w:pStyle w:val="87"/>
        <w:spacing w:line="490" w:lineRule="exact"/>
        <w:rPr>
          <w:b w:val="0"/>
          <w:sz w:val="28"/>
          <w:szCs w:val="28"/>
        </w:rPr>
      </w:pPr>
      <w:bookmarkStart w:id="1916" w:name="_Toc14967"/>
      <w:bookmarkStart w:id="1917" w:name="_Toc21145"/>
      <w:bookmarkStart w:id="1918" w:name="_Toc81213560"/>
      <w:bookmarkStart w:id="1919" w:name="_Toc20864"/>
      <w:r>
        <w:rPr>
          <w:b w:val="0"/>
          <w:sz w:val="28"/>
          <w:szCs w:val="28"/>
        </w:rPr>
        <w:t>1.3 地质及水文资料</w:t>
      </w:r>
      <w:bookmarkEnd w:id="1916"/>
      <w:bookmarkEnd w:id="1917"/>
      <w:bookmarkEnd w:id="1918"/>
      <w:bookmarkEnd w:id="1919"/>
    </w:p>
    <w:p>
      <w:pPr>
        <w:spacing w:line="490" w:lineRule="exact"/>
        <w:ind w:firstLine="420"/>
        <w:rPr>
          <w:rFonts w:eastAsia="仿宋"/>
          <w:color w:val="000000"/>
          <w:sz w:val="28"/>
          <w:szCs w:val="28"/>
        </w:rPr>
      </w:pPr>
      <w:r>
        <w:rPr>
          <w:rFonts w:eastAsia="仿宋"/>
          <w:color w:val="000000"/>
          <w:sz w:val="28"/>
          <w:szCs w:val="28"/>
        </w:rPr>
        <w:t xml:space="preserve">1.3.1  现场地质及水文资料和信息数据如下： </w:t>
      </w:r>
      <w:r>
        <w:rPr>
          <w:rFonts w:eastAsia="仿宋"/>
          <w:color w:val="000000"/>
          <w:sz w:val="28"/>
          <w:szCs w:val="28"/>
          <w:u w:val="single"/>
        </w:rPr>
        <w:t xml:space="preserve">                   </w:t>
      </w:r>
      <w:r>
        <w:rPr>
          <w:rFonts w:eastAsia="仿宋"/>
          <w:color w:val="000000"/>
          <w:sz w:val="28"/>
          <w:szCs w:val="28"/>
        </w:rPr>
        <w:t>。</w:t>
      </w:r>
    </w:p>
    <w:p>
      <w:pPr>
        <w:pStyle w:val="87"/>
        <w:spacing w:line="490" w:lineRule="exact"/>
        <w:rPr>
          <w:b w:val="0"/>
          <w:sz w:val="28"/>
          <w:szCs w:val="28"/>
        </w:rPr>
      </w:pPr>
      <w:bookmarkStart w:id="1920" w:name="_Toc29889"/>
      <w:bookmarkStart w:id="1921" w:name="_Toc8988"/>
      <w:bookmarkStart w:id="1922" w:name="_Toc81213561"/>
      <w:bookmarkStart w:id="1923" w:name="_Toc19047"/>
      <w:r>
        <w:rPr>
          <w:b w:val="0"/>
          <w:sz w:val="28"/>
          <w:szCs w:val="28"/>
        </w:rPr>
        <w:t>1.4 资料和信息的使用</w:t>
      </w:r>
      <w:bookmarkEnd w:id="1920"/>
      <w:bookmarkEnd w:id="1921"/>
      <w:bookmarkEnd w:id="1922"/>
      <w:bookmarkEnd w:id="1923"/>
    </w:p>
    <w:p>
      <w:pPr>
        <w:spacing w:line="490" w:lineRule="exact"/>
        <w:ind w:firstLine="420"/>
        <w:rPr>
          <w:bCs/>
          <w:color w:val="000000"/>
          <w:sz w:val="28"/>
          <w:szCs w:val="28"/>
        </w:rPr>
      </w:pPr>
      <w:r>
        <w:rPr>
          <w:rFonts w:eastAsia="仿宋"/>
          <w:color w:val="000000"/>
          <w:sz w:val="28"/>
          <w:szCs w:val="28"/>
        </w:rPr>
        <w:t>合同文件中载明的涉及本工程现场条件、周围环境、地质及水文等情况的资料和信息数据，是项目承担单位现有的和客观的，项目承担单位保证有关资料和信息数据的真实、准确。但</w:t>
      </w:r>
      <w:r>
        <w:rPr>
          <w:rFonts w:eastAsia="仿宋"/>
          <w:bCs/>
          <w:color w:val="000000"/>
          <w:sz w:val="28"/>
          <w:szCs w:val="28"/>
        </w:rPr>
        <w:t>施工单位</w:t>
      </w:r>
      <w:r>
        <w:rPr>
          <w:rFonts w:eastAsia="仿宋"/>
          <w:color w:val="000000"/>
          <w:sz w:val="28"/>
          <w:szCs w:val="28"/>
        </w:rPr>
        <w:t>据此作出的推论、判断和决策，由</w:t>
      </w:r>
      <w:r>
        <w:rPr>
          <w:rFonts w:eastAsia="仿宋"/>
          <w:bCs/>
          <w:color w:val="000000"/>
          <w:sz w:val="28"/>
          <w:szCs w:val="28"/>
        </w:rPr>
        <w:t>施工单位</w:t>
      </w:r>
      <w:r>
        <w:rPr>
          <w:rFonts w:eastAsia="仿宋"/>
          <w:color w:val="000000"/>
          <w:sz w:val="28"/>
          <w:szCs w:val="28"/>
        </w:rPr>
        <w:t>自行负责。</w:t>
      </w:r>
      <w:r>
        <w:rPr>
          <w:rFonts w:eastAsia="仿宋"/>
          <w:bCs/>
          <w:color w:val="000000"/>
          <w:sz w:val="28"/>
          <w:szCs w:val="28"/>
        </w:rPr>
        <w:t xml:space="preserve"> </w:t>
      </w:r>
      <w:r>
        <w:rPr>
          <w:bCs/>
          <w:color w:val="000000"/>
          <w:sz w:val="28"/>
          <w:szCs w:val="28"/>
        </w:rPr>
        <w:t xml:space="preserve">                                                                       </w:t>
      </w:r>
    </w:p>
    <w:p>
      <w:pPr>
        <w:pStyle w:val="4"/>
        <w:spacing w:before="0" w:after="0" w:line="490" w:lineRule="exact"/>
        <w:rPr>
          <w:rFonts w:ascii="Times New Roman" w:hAnsi="Times New Roman"/>
          <w:b w:val="0"/>
          <w:bCs w:val="0"/>
          <w:color w:val="000000"/>
          <w:sz w:val="28"/>
          <w:szCs w:val="28"/>
        </w:rPr>
      </w:pPr>
      <w:bookmarkStart w:id="1924" w:name="_Toc23731"/>
      <w:bookmarkStart w:id="1925" w:name="_Toc11018"/>
      <w:bookmarkStart w:id="1926" w:name="_Toc3873"/>
      <w:bookmarkStart w:id="1927" w:name="_Toc396306663"/>
      <w:bookmarkStart w:id="1928" w:name="_Toc81213562"/>
      <w:bookmarkStart w:id="1929" w:name="_Toc15912"/>
      <w:bookmarkStart w:id="1930" w:name="_Toc627123834"/>
      <w:bookmarkStart w:id="1931" w:name="_Toc12517"/>
      <w:bookmarkStart w:id="1932" w:name="_Toc23915"/>
      <w:bookmarkStart w:id="1933" w:name="_Toc30609"/>
      <w:r>
        <w:rPr>
          <w:rFonts w:ascii="Times New Roman" w:hAnsi="Times New Roman"/>
          <w:b w:val="0"/>
          <w:bCs w:val="0"/>
          <w:color w:val="000000"/>
          <w:sz w:val="28"/>
          <w:szCs w:val="28"/>
        </w:rPr>
        <w:t>2.质量要求</w:t>
      </w:r>
      <w:bookmarkEnd w:id="1924"/>
      <w:bookmarkEnd w:id="1925"/>
      <w:bookmarkEnd w:id="1926"/>
      <w:bookmarkEnd w:id="1927"/>
      <w:bookmarkEnd w:id="1928"/>
      <w:bookmarkEnd w:id="1929"/>
      <w:bookmarkEnd w:id="1930"/>
      <w:bookmarkEnd w:id="1931"/>
      <w:bookmarkEnd w:id="1932"/>
      <w:bookmarkEnd w:id="1933"/>
    </w:p>
    <w:p>
      <w:pPr>
        <w:spacing w:line="490" w:lineRule="exact"/>
        <w:ind w:firstLine="420"/>
        <w:rPr>
          <w:rFonts w:eastAsia="仿宋"/>
          <w:color w:val="000000"/>
          <w:sz w:val="28"/>
          <w:szCs w:val="28"/>
          <w:u w:val="single"/>
        </w:rPr>
      </w:pPr>
      <w:r>
        <w:rPr>
          <w:rFonts w:eastAsia="仿宋"/>
          <w:color w:val="000000"/>
          <w:sz w:val="28"/>
          <w:szCs w:val="28"/>
        </w:rPr>
        <w:t>本工程质量要求：</w:t>
      </w:r>
      <w:r>
        <w:rPr>
          <w:rFonts w:eastAsia="仿宋"/>
          <w:color w:val="000000"/>
          <w:sz w:val="28"/>
          <w:szCs w:val="28"/>
          <w:u w:val="single"/>
        </w:rPr>
        <w:t>详见第四章的“专用合同条款”。</w:t>
      </w:r>
    </w:p>
    <w:p>
      <w:pPr>
        <w:pStyle w:val="4"/>
        <w:spacing w:before="0" w:after="0" w:line="490" w:lineRule="exact"/>
        <w:rPr>
          <w:rFonts w:ascii="Times New Roman" w:hAnsi="Times New Roman"/>
          <w:b w:val="0"/>
          <w:bCs w:val="0"/>
          <w:color w:val="000000"/>
          <w:sz w:val="28"/>
          <w:szCs w:val="28"/>
        </w:rPr>
      </w:pPr>
      <w:bookmarkStart w:id="1934" w:name="_Toc23655"/>
      <w:bookmarkStart w:id="1935" w:name="_Toc15458"/>
      <w:bookmarkStart w:id="1936" w:name="_Toc24124"/>
      <w:bookmarkStart w:id="1937" w:name="_Toc793881132"/>
      <w:bookmarkStart w:id="1938" w:name="_Toc17836"/>
      <w:bookmarkStart w:id="1939" w:name="_Toc30019"/>
      <w:bookmarkStart w:id="1940" w:name="_Toc81213563"/>
      <w:bookmarkStart w:id="1941" w:name="_Toc29545"/>
      <w:bookmarkStart w:id="1942" w:name="_Toc396306664"/>
      <w:bookmarkStart w:id="1943" w:name="_Toc11989"/>
      <w:r>
        <w:rPr>
          <w:rFonts w:ascii="Times New Roman" w:hAnsi="Times New Roman"/>
          <w:b w:val="0"/>
          <w:bCs w:val="0"/>
          <w:color w:val="000000"/>
          <w:sz w:val="28"/>
          <w:szCs w:val="28"/>
        </w:rPr>
        <w:t>3.适用规范和标准</w:t>
      </w:r>
      <w:bookmarkEnd w:id="1934"/>
      <w:bookmarkEnd w:id="1935"/>
      <w:bookmarkEnd w:id="1936"/>
      <w:bookmarkEnd w:id="1937"/>
      <w:bookmarkEnd w:id="1938"/>
      <w:bookmarkEnd w:id="1939"/>
      <w:bookmarkEnd w:id="1940"/>
      <w:bookmarkEnd w:id="1941"/>
      <w:bookmarkEnd w:id="1942"/>
      <w:bookmarkEnd w:id="1943"/>
    </w:p>
    <w:p>
      <w:pPr>
        <w:spacing w:line="490" w:lineRule="exact"/>
        <w:jc w:val="left"/>
        <w:rPr>
          <w:rFonts w:eastAsia="仿宋"/>
          <w:color w:val="000000"/>
          <w:sz w:val="28"/>
          <w:szCs w:val="28"/>
        </w:rPr>
      </w:pPr>
      <w:r>
        <w:rPr>
          <w:rFonts w:eastAsia="仿宋"/>
          <w:color w:val="000000"/>
          <w:sz w:val="28"/>
          <w:szCs w:val="28"/>
        </w:rPr>
        <w:t xml:space="preserve">    承包人在执行本合同时，对于所有材料、设备和施工工艺，都应遵照国家和主管部门颁发的所有现行技术规范和合同所规定的技术规范执行。若国家或部颁标准和规范作出修改时，则以修订以后的新标准和规范为准。本合同必须遵照执行的现行技术标准的规程规范主要有（但不限于）；</w:t>
      </w:r>
    </w:p>
    <w:p>
      <w:pPr>
        <w:pStyle w:val="87"/>
        <w:spacing w:line="490" w:lineRule="exact"/>
        <w:rPr>
          <w:b w:val="0"/>
          <w:sz w:val="28"/>
          <w:szCs w:val="28"/>
        </w:rPr>
      </w:pPr>
      <w:bookmarkStart w:id="1944" w:name="_Toc7688"/>
      <w:bookmarkStart w:id="1945" w:name="_Toc2993"/>
      <w:bookmarkStart w:id="1946" w:name="_Toc81213564"/>
      <w:bookmarkStart w:id="1947" w:name="_Toc18784"/>
      <w:r>
        <w:rPr>
          <w:b w:val="0"/>
          <w:sz w:val="28"/>
          <w:szCs w:val="28"/>
        </w:rPr>
        <w:t>3.1  农田</w:t>
      </w:r>
      <w:r>
        <w:rPr>
          <w:rFonts w:hint="eastAsia"/>
          <w:b w:val="0"/>
          <w:sz w:val="28"/>
          <w:szCs w:val="28"/>
          <w:lang w:val="en-US" w:eastAsia="zh-CN"/>
        </w:rPr>
        <w:t>建设项目工程</w:t>
      </w:r>
      <w:r>
        <w:rPr>
          <w:b w:val="0"/>
          <w:sz w:val="28"/>
          <w:szCs w:val="28"/>
        </w:rPr>
        <w:t>建设推荐性行业标准</w:t>
      </w:r>
      <w:bookmarkEnd w:id="1944"/>
      <w:bookmarkEnd w:id="1945"/>
      <w:bookmarkEnd w:id="1946"/>
      <w:bookmarkEnd w:id="1947"/>
    </w:p>
    <w:p>
      <w:pPr>
        <w:spacing w:line="490" w:lineRule="exact"/>
        <w:ind w:firstLine="420"/>
        <w:rPr>
          <w:rFonts w:eastAsia="仿宋"/>
          <w:color w:val="000000"/>
          <w:sz w:val="28"/>
          <w:szCs w:val="28"/>
        </w:rPr>
      </w:pPr>
      <w:bookmarkStart w:id="1948" w:name="_Toc524949162"/>
      <w:bookmarkStart w:id="1949" w:name="_Toc13726"/>
      <w:bookmarkStart w:id="1950" w:name="_Toc1830"/>
      <w:bookmarkStart w:id="1951" w:name="_Toc5338"/>
      <w:bookmarkStart w:id="1952" w:name="_Toc24940"/>
      <w:bookmarkStart w:id="1953" w:name="_Toc19522"/>
      <w:bookmarkStart w:id="1954" w:name="_Toc1945883908"/>
      <w:bookmarkStart w:id="1955" w:name="_Toc81213566"/>
      <w:bookmarkStart w:id="1956" w:name="_Toc30953"/>
      <w:bookmarkStart w:id="1957" w:name="_Toc25252"/>
      <w:r>
        <w:rPr>
          <w:rFonts w:eastAsia="仿宋"/>
          <w:color w:val="000000"/>
          <w:sz w:val="28"/>
          <w:szCs w:val="28"/>
        </w:rPr>
        <w:t>《高标准农田建设通则》（GB/T 30600</w:t>
      </w:r>
      <w:r>
        <w:rPr>
          <w:rFonts w:hint="eastAsia" w:eastAsia="仿宋"/>
          <w:color w:val="000000"/>
          <w:sz w:val="28"/>
          <w:szCs w:val="28"/>
        </w:rPr>
        <w:t>-2022</w:t>
      </w:r>
      <w:r>
        <w:rPr>
          <w:rFonts w:eastAsia="仿宋"/>
          <w:color w:val="000000"/>
          <w:sz w:val="28"/>
          <w:szCs w:val="28"/>
        </w:rPr>
        <w:t>）</w:t>
      </w:r>
    </w:p>
    <w:p>
      <w:pPr>
        <w:spacing w:line="490" w:lineRule="exact"/>
        <w:ind w:firstLine="420"/>
        <w:rPr>
          <w:rFonts w:eastAsia="仿宋"/>
          <w:color w:val="000000"/>
          <w:sz w:val="28"/>
          <w:szCs w:val="28"/>
        </w:rPr>
      </w:pPr>
      <w:r>
        <w:rPr>
          <w:rFonts w:eastAsia="仿宋"/>
          <w:color w:val="000000"/>
          <w:sz w:val="28"/>
          <w:szCs w:val="28"/>
        </w:rPr>
        <w:t>《</w:t>
      </w:r>
      <w:r>
        <w:rPr>
          <w:rFonts w:hint="eastAsia" w:eastAsia="仿宋"/>
          <w:color w:val="000000"/>
          <w:sz w:val="28"/>
          <w:szCs w:val="28"/>
        </w:rPr>
        <w:t>湖南省</w:t>
      </w:r>
      <w:r>
        <w:rPr>
          <w:rFonts w:eastAsia="仿宋"/>
          <w:color w:val="000000"/>
          <w:sz w:val="28"/>
          <w:szCs w:val="28"/>
        </w:rPr>
        <w:t>高标准农田建设</w:t>
      </w:r>
      <w:r>
        <w:rPr>
          <w:rFonts w:hint="eastAsia" w:eastAsia="仿宋"/>
          <w:color w:val="000000"/>
          <w:sz w:val="28"/>
          <w:szCs w:val="28"/>
        </w:rPr>
        <w:t>地方</w:t>
      </w:r>
      <w:r>
        <w:rPr>
          <w:rFonts w:eastAsia="仿宋"/>
          <w:color w:val="000000"/>
          <w:sz w:val="28"/>
          <w:szCs w:val="28"/>
        </w:rPr>
        <w:t>标准》（</w:t>
      </w:r>
      <w:r>
        <w:rPr>
          <w:rFonts w:hint="eastAsia" w:eastAsia="仿宋"/>
          <w:color w:val="000000"/>
          <w:sz w:val="28"/>
          <w:szCs w:val="28"/>
        </w:rPr>
        <w:t>DB43</w:t>
      </w:r>
      <w:r>
        <w:rPr>
          <w:rFonts w:eastAsia="仿宋"/>
          <w:color w:val="000000"/>
          <w:sz w:val="28"/>
          <w:szCs w:val="28"/>
        </w:rPr>
        <w:t xml:space="preserve">/T </w:t>
      </w:r>
      <w:r>
        <w:rPr>
          <w:rFonts w:hint="eastAsia" w:eastAsia="仿宋"/>
          <w:color w:val="000000"/>
          <w:sz w:val="28"/>
          <w:szCs w:val="28"/>
        </w:rPr>
        <w:t xml:space="preserve"> 876-2014</w:t>
      </w:r>
      <w:r>
        <w:rPr>
          <w:rFonts w:eastAsia="仿宋"/>
          <w:color w:val="000000"/>
          <w:sz w:val="28"/>
          <w:szCs w:val="28"/>
        </w:rPr>
        <w:t>）</w:t>
      </w:r>
    </w:p>
    <w:p>
      <w:pPr>
        <w:spacing w:line="490" w:lineRule="exact"/>
        <w:ind w:firstLine="420"/>
        <w:rPr>
          <w:rFonts w:eastAsia="仿宋"/>
          <w:color w:val="000000"/>
          <w:sz w:val="28"/>
          <w:szCs w:val="28"/>
        </w:rPr>
      </w:pPr>
      <w:r>
        <w:rPr>
          <w:rFonts w:eastAsia="仿宋"/>
          <w:color w:val="000000"/>
          <w:sz w:val="28"/>
          <w:szCs w:val="28"/>
        </w:rPr>
        <w:t>《耕地质量验收技术规范》（NY/T 1120）</w:t>
      </w:r>
    </w:p>
    <w:p>
      <w:pPr>
        <w:spacing w:line="490" w:lineRule="exact"/>
        <w:ind w:firstLine="420"/>
        <w:rPr>
          <w:rFonts w:eastAsia="仿宋"/>
          <w:color w:val="000000"/>
          <w:sz w:val="28"/>
          <w:szCs w:val="28"/>
        </w:rPr>
      </w:pPr>
      <w:r>
        <w:rPr>
          <w:rFonts w:eastAsia="仿宋"/>
          <w:color w:val="000000"/>
          <w:sz w:val="28"/>
          <w:szCs w:val="28"/>
        </w:rPr>
        <w:t>《耕地质量地力调查与质量评价技术规程》（NY/T 1634</w:t>
      </w:r>
      <w:r>
        <w:rPr>
          <w:rFonts w:hint="eastAsia" w:eastAsia="仿宋"/>
          <w:color w:val="000000"/>
          <w:sz w:val="28"/>
          <w:szCs w:val="28"/>
        </w:rPr>
        <w:t>）</w:t>
      </w:r>
    </w:p>
    <w:p>
      <w:pPr>
        <w:spacing w:line="490" w:lineRule="exact"/>
        <w:ind w:firstLine="420"/>
        <w:rPr>
          <w:rFonts w:eastAsia="仿宋"/>
          <w:color w:val="000000"/>
          <w:sz w:val="28"/>
          <w:szCs w:val="28"/>
        </w:rPr>
      </w:pPr>
      <w:r>
        <w:rPr>
          <w:rFonts w:eastAsia="仿宋"/>
          <w:color w:val="000000"/>
          <w:sz w:val="28"/>
          <w:szCs w:val="28"/>
        </w:rPr>
        <w:t>《水土保持综合治理 技术规范 坡耕地治理技术》（GB/T 16453.1）</w:t>
      </w:r>
    </w:p>
    <w:p>
      <w:pPr>
        <w:spacing w:line="490" w:lineRule="exact"/>
        <w:ind w:firstLine="420"/>
        <w:rPr>
          <w:rFonts w:eastAsia="仿宋"/>
          <w:color w:val="000000"/>
          <w:sz w:val="28"/>
          <w:szCs w:val="28"/>
        </w:rPr>
      </w:pPr>
      <w:r>
        <w:rPr>
          <w:rFonts w:eastAsia="仿宋"/>
          <w:color w:val="000000"/>
          <w:sz w:val="28"/>
          <w:szCs w:val="28"/>
        </w:rPr>
        <w:t>《生态公益林建设 技术规程》（GB/T 18337.3）</w:t>
      </w:r>
    </w:p>
    <w:p>
      <w:pPr>
        <w:spacing w:line="490" w:lineRule="exact"/>
        <w:ind w:firstLine="420"/>
        <w:rPr>
          <w:rFonts w:eastAsia="仿宋"/>
          <w:color w:val="000000"/>
          <w:sz w:val="28"/>
          <w:szCs w:val="28"/>
        </w:rPr>
      </w:pPr>
      <w:r>
        <w:rPr>
          <w:rFonts w:eastAsia="仿宋"/>
          <w:color w:val="000000"/>
          <w:sz w:val="28"/>
          <w:szCs w:val="28"/>
        </w:rPr>
        <w:t>《农田土壤墒情监测技术规范》（NY/T 1782</w:t>
      </w:r>
      <w:r>
        <w:rPr>
          <w:rFonts w:hint="eastAsia" w:eastAsia="仿宋"/>
          <w:color w:val="000000"/>
          <w:sz w:val="28"/>
          <w:szCs w:val="28"/>
        </w:rPr>
        <w:t>）</w:t>
      </w:r>
    </w:p>
    <w:p>
      <w:pPr>
        <w:spacing w:line="490" w:lineRule="exact"/>
        <w:ind w:firstLine="420"/>
        <w:rPr>
          <w:rFonts w:eastAsia="仿宋"/>
          <w:color w:val="000000"/>
          <w:sz w:val="28"/>
          <w:szCs w:val="28"/>
        </w:rPr>
      </w:pPr>
      <w:r>
        <w:rPr>
          <w:rFonts w:eastAsia="仿宋"/>
          <w:color w:val="000000"/>
          <w:sz w:val="28"/>
          <w:szCs w:val="28"/>
        </w:rPr>
        <w:t>《耕地质量监测技术规程》（NY/T 1119）</w:t>
      </w:r>
    </w:p>
    <w:p>
      <w:pPr>
        <w:spacing w:line="490" w:lineRule="exact"/>
        <w:ind w:firstLine="420"/>
        <w:rPr>
          <w:rFonts w:eastAsia="仿宋"/>
          <w:color w:val="000000"/>
          <w:sz w:val="28"/>
          <w:szCs w:val="28"/>
        </w:rPr>
      </w:pPr>
      <w:r>
        <w:rPr>
          <w:rFonts w:eastAsia="仿宋"/>
          <w:color w:val="000000"/>
          <w:sz w:val="28"/>
          <w:szCs w:val="28"/>
        </w:rPr>
        <w:t>《</w:t>
      </w:r>
      <w:r>
        <w:rPr>
          <w:rFonts w:hint="eastAsia" w:eastAsia="仿宋"/>
          <w:color w:val="000000"/>
          <w:sz w:val="28"/>
          <w:szCs w:val="28"/>
        </w:rPr>
        <w:t>生态稻田建设技术规范</w:t>
      </w:r>
      <w:r>
        <w:rPr>
          <w:rFonts w:eastAsia="仿宋"/>
          <w:color w:val="000000"/>
          <w:sz w:val="28"/>
          <w:szCs w:val="28"/>
        </w:rPr>
        <w:t>》（</w:t>
      </w:r>
      <w:r>
        <w:rPr>
          <w:rFonts w:hint="eastAsia" w:eastAsia="仿宋"/>
          <w:color w:val="000000"/>
          <w:sz w:val="28"/>
          <w:szCs w:val="28"/>
        </w:rPr>
        <w:t xml:space="preserve">NY∕T 3825-2020 </w:t>
      </w:r>
      <w:r>
        <w:rPr>
          <w:rFonts w:eastAsia="仿宋"/>
          <w:color w:val="000000"/>
          <w:sz w:val="28"/>
          <w:szCs w:val="28"/>
        </w:rPr>
        <w:t>）</w:t>
      </w:r>
    </w:p>
    <w:p>
      <w:pPr>
        <w:spacing w:line="490" w:lineRule="exact"/>
        <w:ind w:firstLine="420"/>
        <w:rPr>
          <w:rFonts w:eastAsia="仿宋"/>
          <w:color w:val="000000"/>
          <w:sz w:val="28"/>
          <w:szCs w:val="28"/>
        </w:rPr>
      </w:pPr>
      <w:r>
        <w:rPr>
          <w:rFonts w:eastAsia="仿宋"/>
          <w:color w:val="000000"/>
          <w:sz w:val="28"/>
          <w:szCs w:val="28"/>
        </w:rPr>
        <w:t>《</w:t>
      </w:r>
      <w:r>
        <w:rPr>
          <w:rFonts w:hint="eastAsia" w:eastAsia="仿宋"/>
          <w:color w:val="000000"/>
          <w:sz w:val="28"/>
          <w:szCs w:val="28"/>
        </w:rPr>
        <w:t>水稻全程机械化生产技术规范</w:t>
      </w:r>
      <w:r>
        <w:rPr>
          <w:rFonts w:eastAsia="仿宋"/>
          <w:color w:val="000000"/>
          <w:sz w:val="28"/>
          <w:szCs w:val="28"/>
        </w:rPr>
        <w:t>》（</w:t>
      </w:r>
      <w:r>
        <w:rPr>
          <w:rFonts w:hint="eastAsia" w:eastAsia="仿宋"/>
          <w:color w:val="000000"/>
          <w:sz w:val="28"/>
          <w:szCs w:val="28"/>
        </w:rPr>
        <w:t>NYT_3658-2020）</w:t>
      </w:r>
    </w:p>
    <w:p>
      <w:pPr>
        <w:spacing w:line="490" w:lineRule="exact"/>
        <w:ind w:firstLine="420"/>
        <w:rPr>
          <w:rFonts w:eastAsia="仿宋"/>
          <w:color w:val="000000"/>
          <w:sz w:val="28"/>
          <w:szCs w:val="28"/>
        </w:rPr>
      </w:pPr>
      <w:r>
        <w:rPr>
          <w:rFonts w:eastAsia="仿宋"/>
          <w:color w:val="000000"/>
          <w:sz w:val="28"/>
          <w:szCs w:val="28"/>
        </w:rPr>
        <w:t>《</w:t>
      </w:r>
      <w:r>
        <w:rPr>
          <w:rFonts w:hint="eastAsia" w:eastAsia="仿宋"/>
          <w:color w:val="000000"/>
          <w:sz w:val="28"/>
          <w:szCs w:val="28"/>
        </w:rPr>
        <w:t>农田宜机化改造技术规程</w:t>
      </w:r>
      <w:r>
        <w:rPr>
          <w:rFonts w:eastAsia="仿宋"/>
          <w:color w:val="000000"/>
          <w:sz w:val="28"/>
          <w:szCs w:val="28"/>
        </w:rPr>
        <w:t>》（</w:t>
      </w:r>
      <w:r>
        <w:rPr>
          <w:rFonts w:hint="eastAsia" w:eastAsia="仿宋"/>
          <w:color w:val="000000"/>
          <w:sz w:val="28"/>
          <w:szCs w:val="28"/>
        </w:rPr>
        <w:t>DB43T 1996-2021</w:t>
      </w:r>
      <w:r>
        <w:rPr>
          <w:rFonts w:eastAsia="仿宋"/>
          <w:color w:val="000000"/>
          <w:sz w:val="28"/>
          <w:szCs w:val="28"/>
        </w:rPr>
        <w:t>）</w:t>
      </w:r>
    </w:p>
    <w:p>
      <w:pPr>
        <w:spacing w:line="490" w:lineRule="exact"/>
        <w:ind w:firstLine="420"/>
      </w:pPr>
      <w:r>
        <w:rPr>
          <w:rFonts w:hint="eastAsia" w:eastAsia="仿宋"/>
          <w:color w:val="000000"/>
          <w:sz w:val="28"/>
          <w:szCs w:val="28"/>
        </w:rPr>
        <w:t>《高标准农田建设质量管理办法（试行）》</w:t>
      </w:r>
    </w:p>
    <w:p>
      <w:pPr>
        <w:pStyle w:val="87"/>
        <w:spacing w:line="490" w:lineRule="exact"/>
        <w:rPr>
          <w:b w:val="0"/>
          <w:sz w:val="28"/>
          <w:szCs w:val="28"/>
        </w:rPr>
      </w:pPr>
      <w:bookmarkStart w:id="1958" w:name="_Toc2965"/>
      <w:bookmarkStart w:id="1959" w:name="_Toc28759"/>
      <w:bookmarkStart w:id="1960" w:name="_Toc81213565"/>
      <w:r>
        <w:rPr>
          <w:b w:val="0"/>
          <w:sz w:val="28"/>
          <w:szCs w:val="28"/>
        </w:rPr>
        <w:t>3.2</w:t>
      </w:r>
      <w:bookmarkEnd w:id="1948"/>
      <w:r>
        <w:rPr>
          <w:b w:val="0"/>
          <w:sz w:val="28"/>
          <w:szCs w:val="28"/>
        </w:rPr>
        <w:t xml:space="preserve">  其他</w:t>
      </w:r>
      <w:r>
        <w:rPr>
          <w:rFonts w:hint="eastAsia"/>
          <w:b w:val="0"/>
          <w:sz w:val="28"/>
          <w:szCs w:val="28"/>
          <w:lang w:val="en-US" w:eastAsia="zh-CN"/>
        </w:rPr>
        <w:t>参考</w:t>
      </w:r>
      <w:r>
        <w:rPr>
          <w:b w:val="0"/>
          <w:sz w:val="28"/>
          <w:szCs w:val="28"/>
        </w:rPr>
        <w:t>标准</w:t>
      </w:r>
      <w:bookmarkEnd w:id="1958"/>
      <w:bookmarkEnd w:id="1959"/>
      <w:bookmarkEnd w:id="1960"/>
    </w:p>
    <w:p>
      <w:pPr>
        <w:spacing w:line="490" w:lineRule="exact"/>
        <w:ind w:firstLine="420"/>
        <w:jc w:val="left"/>
        <w:rPr>
          <w:rFonts w:eastAsia="仿宋"/>
          <w:color w:val="000000"/>
          <w:sz w:val="28"/>
          <w:szCs w:val="28"/>
        </w:rPr>
      </w:pPr>
      <w:r>
        <w:rPr>
          <w:rFonts w:eastAsia="仿宋"/>
          <w:color w:val="000000"/>
          <w:sz w:val="28"/>
          <w:szCs w:val="28"/>
        </w:rPr>
        <w:t>《灌溉与排水工程设计标准》（GB 50288）</w:t>
      </w:r>
    </w:p>
    <w:p>
      <w:pPr>
        <w:spacing w:line="490" w:lineRule="exact"/>
        <w:ind w:firstLine="420"/>
        <w:jc w:val="left"/>
        <w:rPr>
          <w:rFonts w:eastAsia="仿宋"/>
          <w:color w:val="000000"/>
          <w:sz w:val="28"/>
          <w:szCs w:val="28"/>
        </w:rPr>
      </w:pPr>
      <w:r>
        <w:rPr>
          <w:rFonts w:eastAsia="仿宋"/>
          <w:color w:val="000000"/>
          <w:sz w:val="28"/>
          <w:szCs w:val="28"/>
        </w:rPr>
        <w:t>《水闸设计规划》（SL265）</w:t>
      </w:r>
    </w:p>
    <w:p>
      <w:pPr>
        <w:spacing w:line="490" w:lineRule="exact"/>
        <w:ind w:firstLine="420"/>
        <w:jc w:val="left"/>
        <w:rPr>
          <w:rFonts w:eastAsia="仿宋"/>
          <w:color w:val="000000"/>
          <w:sz w:val="28"/>
          <w:szCs w:val="28"/>
        </w:rPr>
      </w:pPr>
      <w:r>
        <w:rPr>
          <w:rFonts w:eastAsia="仿宋"/>
          <w:color w:val="000000"/>
          <w:sz w:val="28"/>
          <w:szCs w:val="28"/>
        </w:rPr>
        <w:t>《泵站设计规范》（GB 50265）</w:t>
      </w:r>
    </w:p>
    <w:p>
      <w:pPr>
        <w:spacing w:line="490" w:lineRule="exact"/>
        <w:ind w:firstLine="420"/>
        <w:rPr>
          <w:rFonts w:eastAsia="仿宋"/>
          <w:color w:val="000000"/>
          <w:sz w:val="28"/>
          <w:szCs w:val="28"/>
        </w:rPr>
      </w:pPr>
      <w:r>
        <w:rPr>
          <w:rFonts w:eastAsia="仿宋"/>
          <w:color w:val="000000"/>
          <w:sz w:val="28"/>
          <w:szCs w:val="28"/>
        </w:rPr>
        <w:t>《</w:t>
      </w:r>
      <w:r>
        <w:rPr>
          <w:rFonts w:hint="eastAsia" w:eastAsia="仿宋"/>
          <w:color w:val="000000"/>
          <w:sz w:val="28"/>
          <w:szCs w:val="28"/>
        </w:rPr>
        <w:t>湖南省机耕道通用技术条件地方</w:t>
      </w:r>
      <w:r>
        <w:rPr>
          <w:rFonts w:eastAsia="仿宋"/>
          <w:color w:val="000000"/>
          <w:sz w:val="28"/>
          <w:szCs w:val="28"/>
        </w:rPr>
        <w:t>标准》（</w:t>
      </w:r>
      <w:r>
        <w:rPr>
          <w:rFonts w:hint="eastAsia" w:eastAsia="仿宋"/>
          <w:color w:val="000000"/>
          <w:sz w:val="28"/>
          <w:szCs w:val="28"/>
        </w:rPr>
        <w:t>DB43</w:t>
      </w:r>
      <w:r>
        <w:rPr>
          <w:rFonts w:eastAsia="仿宋"/>
          <w:color w:val="000000"/>
          <w:sz w:val="28"/>
          <w:szCs w:val="28"/>
        </w:rPr>
        <w:t xml:space="preserve">/T </w:t>
      </w:r>
      <w:r>
        <w:rPr>
          <w:rFonts w:hint="eastAsia" w:eastAsia="仿宋"/>
          <w:color w:val="000000"/>
          <w:sz w:val="28"/>
          <w:szCs w:val="28"/>
        </w:rPr>
        <w:t xml:space="preserve"> 580--2010</w:t>
      </w:r>
      <w:r>
        <w:rPr>
          <w:rFonts w:eastAsia="仿宋"/>
          <w:color w:val="000000"/>
          <w:sz w:val="28"/>
          <w:szCs w:val="28"/>
        </w:rPr>
        <w:t>）</w:t>
      </w:r>
    </w:p>
    <w:p>
      <w:pPr>
        <w:spacing w:line="490" w:lineRule="exact"/>
        <w:ind w:firstLine="420"/>
        <w:jc w:val="left"/>
        <w:rPr>
          <w:rFonts w:eastAsia="仿宋"/>
          <w:color w:val="000000"/>
          <w:sz w:val="28"/>
          <w:szCs w:val="28"/>
        </w:rPr>
      </w:pPr>
      <w:r>
        <w:rPr>
          <w:rFonts w:eastAsia="仿宋"/>
          <w:color w:val="000000"/>
          <w:sz w:val="28"/>
          <w:szCs w:val="28"/>
        </w:rPr>
        <w:t>《农田排水工程技术规范》（SL/T4）</w:t>
      </w:r>
    </w:p>
    <w:p>
      <w:pPr>
        <w:spacing w:line="490" w:lineRule="exact"/>
        <w:ind w:firstLine="420"/>
        <w:jc w:val="left"/>
        <w:rPr>
          <w:rFonts w:eastAsia="仿宋"/>
          <w:color w:val="000000"/>
          <w:sz w:val="28"/>
          <w:szCs w:val="28"/>
        </w:rPr>
      </w:pPr>
      <w:r>
        <w:rPr>
          <w:rFonts w:eastAsia="仿宋"/>
          <w:color w:val="000000"/>
          <w:sz w:val="28"/>
          <w:szCs w:val="28"/>
        </w:rPr>
        <w:t>《节水灌溉工程技术标准》（GB/T50363）</w:t>
      </w:r>
    </w:p>
    <w:p>
      <w:pPr>
        <w:spacing w:line="490" w:lineRule="exact"/>
        <w:ind w:firstLine="420"/>
        <w:jc w:val="left"/>
        <w:rPr>
          <w:rFonts w:eastAsia="仿宋"/>
          <w:color w:val="000000"/>
          <w:sz w:val="28"/>
          <w:szCs w:val="28"/>
        </w:rPr>
      </w:pPr>
      <w:r>
        <w:rPr>
          <w:rFonts w:eastAsia="仿宋"/>
          <w:color w:val="000000"/>
          <w:sz w:val="28"/>
          <w:szCs w:val="28"/>
        </w:rPr>
        <w:t>《公路桥涵设计通用规范》（JTG D60）</w:t>
      </w:r>
    </w:p>
    <w:p>
      <w:pPr>
        <w:spacing w:line="490" w:lineRule="exact"/>
        <w:ind w:firstLine="420"/>
        <w:jc w:val="left"/>
        <w:rPr>
          <w:rFonts w:eastAsia="仿宋"/>
          <w:color w:val="000000"/>
          <w:sz w:val="28"/>
          <w:szCs w:val="28"/>
        </w:rPr>
      </w:pPr>
      <w:r>
        <w:rPr>
          <w:rFonts w:eastAsia="仿宋"/>
          <w:color w:val="000000"/>
          <w:sz w:val="28"/>
          <w:szCs w:val="28"/>
        </w:rPr>
        <w:t>《架空电力线路工程施工质量检验及评定规程》（DL/T 5161.10）</w:t>
      </w:r>
    </w:p>
    <w:p>
      <w:pPr>
        <w:spacing w:line="490" w:lineRule="exact"/>
        <w:ind w:firstLine="420"/>
        <w:jc w:val="left"/>
        <w:rPr>
          <w:rFonts w:eastAsia="仿宋"/>
          <w:color w:val="000000"/>
          <w:sz w:val="28"/>
          <w:szCs w:val="28"/>
        </w:rPr>
      </w:pPr>
      <w:r>
        <w:rPr>
          <w:rFonts w:eastAsia="仿宋"/>
          <w:color w:val="000000"/>
          <w:sz w:val="28"/>
          <w:szCs w:val="28"/>
        </w:rPr>
        <w:t>《渠道防渗工程技术规范》（GB/T 50600）</w:t>
      </w:r>
    </w:p>
    <w:p>
      <w:pPr>
        <w:spacing w:line="490" w:lineRule="exact"/>
        <w:ind w:firstLine="420"/>
        <w:jc w:val="left"/>
        <w:rPr>
          <w:rFonts w:eastAsia="仿宋"/>
          <w:color w:val="000000"/>
          <w:sz w:val="28"/>
          <w:szCs w:val="28"/>
        </w:rPr>
      </w:pPr>
      <w:r>
        <w:rPr>
          <w:rFonts w:eastAsia="仿宋"/>
          <w:color w:val="000000"/>
          <w:sz w:val="28"/>
          <w:szCs w:val="28"/>
        </w:rPr>
        <w:t xml:space="preserve">《砌体结构工程施工质量验收规范》（ GB 50203 ） </w:t>
      </w:r>
    </w:p>
    <w:p>
      <w:pPr>
        <w:spacing w:line="490" w:lineRule="exact"/>
        <w:ind w:firstLine="420"/>
        <w:jc w:val="left"/>
        <w:rPr>
          <w:rFonts w:eastAsia="仿宋"/>
          <w:color w:val="000000"/>
          <w:sz w:val="28"/>
          <w:szCs w:val="28"/>
        </w:rPr>
      </w:pPr>
      <w:r>
        <w:rPr>
          <w:rFonts w:eastAsia="仿宋"/>
          <w:color w:val="000000"/>
          <w:sz w:val="28"/>
          <w:szCs w:val="28"/>
        </w:rPr>
        <w:t>《水利水电工程制图标准》（SL73）</w:t>
      </w:r>
    </w:p>
    <w:p>
      <w:pPr>
        <w:spacing w:line="490" w:lineRule="exact"/>
        <w:ind w:firstLine="420"/>
        <w:jc w:val="left"/>
        <w:rPr>
          <w:rFonts w:eastAsia="仿宋"/>
          <w:color w:val="000000"/>
          <w:sz w:val="28"/>
          <w:szCs w:val="28"/>
        </w:rPr>
      </w:pPr>
      <w:r>
        <w:rPr>
          <w:rFonts w:eastAsia="仿宋"/>
          <w:color w:val="000000"/>
          <w:sz w:val="28"/>
          <w:szCs w:val="28"/>
        </w:rPr>
        <w:t>《道路工程制图标准》（GB50162）</w:t>
      </w:r>
    </w:p>
    <w:p>
      <w:pPr>
        <w:pStyle w:val="4"/>
        <w:spacing w:before="0" w:after="0" w:line="490" w:lineRule="exact"/>
        <w:rPr>
          <w:rFonts w:ascii="Times New Roman" w:hAnsi="Times New Roman"/>
          <w:b w:val="0"/>
          <w:bCs w:val="0"/>
          <w:color w:val="000000"/>
          <w:sz w:val="28"/>
          <w:szCs w:val="28"/>
        </w:rPr>
      </w:pPr>
      <w:r>
        <w:rPr>
          <w:rFonts w:ascii="Times New Roman" w:hAnsi="Times New Roman"/>
          <w:b w:val="0"/>
          <w:bCs w:val="0"/>
          <w:color w:val="000000"/>
          <w:sz w:val="28"/>
          <w:szCs w:val="28"/>
        </w:rPr>
        <w:t>4.施工工艺的特殊要求</w:t>
      </w:r>
      <w:bookmarkEnd w:id="1949"/>
      <w:bookmarkEnd w:id="1950"/>
      <w:bookmarkEnd w:id="1951"/>
      <w:bookmarkEnd w:id="1952"/>
      <w:bookmarkEnd w:id="1953"/>
      <w:bookmarkEnd w:id="1954"/>
      <w:bookmarkEnd w:id="1955"/>
      <w:bookmarkEnd w:id="1956"/>
      <w:bookmarkEnd w:id="1957"/>
    </w:p>
    <w:p>
      <w:pPr>
        <w:spacing w:line="490" w:lineRule="exact"/>
        <w:jc w:val="left"/>
        <w:rPr>
          <w:rFonts w:eastAsia="黑体"/>
          <w:color w:val="000000"/>
          <w:sz w:val="28"/>
          <w:szCs w:val="28"/>
        </w:rPr>
      </w:pPr>
      <w:r>
        <w:rPr>
          <w:rFonts w:eastAsia="黑体"/>
          <w:color w:val="000000"/>
          <w:sz w:val="28"/>
          <w:szCs w:val="28"/>
        </w:rPr>
        <w:t>_______________________________________________________________</w:t>
      </w:r>
    </w:p>
    <w:p>
      <w:pPr>
        <w:spacing w:line="490" w:lineRule="exact"/>
        <w:jc w:val="left"/>
        <w:rPr>
          <w:rFonts w:eastAsia="黑体"/>
          <w:color w:val="000000"/>
          <w:sz w:val="28"/>
          <w:szCs w:val="28"/>
        </w:rPr>
      </w:pPr>
      <w:r>
        <w:rPr>
          <w:rFonts w:eastAsia="黑体"/>
          <w:color w:val="000000"/>
          <w:sz w:val="28"/>
          <w:szCs w:val="28"/>
        </w:rPr>
        <w:t>_______________________________________________________________</w:t>
      </w:r>
    </w:p>
    <w:p>
      <w:pPr>
        <w:rPr>
          <w:color w:val="000000"/>
        </w:rPr>
      </w:pPr>
    </w:p>
    <w:p>
      <w:pPr>
        <w:rPr>
          <w:color w:val="000000"/>
        </w:rPr>
      </w:pPr>
    </w:p>
    <w:p>
      <w:pPr>
        <w:pStyle w:val="177"/>
        <w:ind w:left="900" w:hanging="480"/>
        <w:rPr>
          <w:color w:val="000000"/>
        </w:rPr>
      </w:pPr>
      <w:bookmarkStart w:id="1961" w:name="_Toc51091936"/>
      <w:bookmarkStart w:id="1962" w:name="_Toc29903"/>
      <w:bookmarkStart w:id="1963" w:name="_Toc4394"/>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pStyle w:val="177"/>
        <w:ind w:left="900" w:hanging="480"/>
        <w:rPr>
          <w:color w:val="000000"/>
        </w:rPr>
      </w:pPr>
    </w:p>
    <w:p>
      <w:pPr>
        <w:pStyle w:val="177"/>
        <w:ind w:left="900" w:hanging="480"/>
        <w:rPr>
          <w:color w:val="000000"/>
        </w:rPr>
      </w:pPr>
    </w:p>
    <w:p>
      <w:pPr>
        <w:pStyle w:val="3"/>
        <w:keepNext w:val="0"/>
        <w:keepLines w:val="0"/>
        <w:spacing w:before="0" w:after="0" w:line="240" w:lineRule="auto"/>
        <w:rPr>
          <w:rFonts w:eastAsia="隶书"/>
          <w:color w:val="000000"/>
          <w:spacing w:val="40"/>
          <w:sz w:val="90"/>
          <w:szCs w:val="90"/>
        </w:rPr>
      </w:pPr>
      <w:r>
        <w:rPr>
          <w:rFonts w:eastAsia="隶书"/>
          <w:color w:val="000000"/>
          <w:spacing w:val="40"/>
          <w:sz w:val="90"/>
          <w:szCs w:val="90"/>
        </w:rPr>
        <w:t>第四卷</w:t>
      </w:r>
      <w:bookmarkEnd w:id="1961"/>
      <w:bookmarkEnd w:id="1962"/>
      <w:bookmarkEnd w:id="1963"/>
    </w:p>
    <w:p>
      <w:pPr>
        <w:rPr>
          <w:rFonts w:eastAsia="隶书"/>
          <w:color w:val="000000"/>
          <w:sz w:val="90"/>
          <w:szCs w:val="90"/>
        </w:rPr>
      </w:pPr>
    </w:p>
    <w:p>
      <w:pPr>
        <w:spacing w:line="600" w:lineRule="exact"/>
        <w:jc w:val="center"/>
        <w:rPr>
          <w:color w:val="000000"/>
        </w:rPr>
      </w:pPr>
    </w:p>
    <w:p>
      <w:pPr>
        <w:spacing w:line="600" w:lineRule="exact"/>
        <w:jc w:val="center"/>
        <w:rPr>
          <w:color w:val="000000"/>
        </w:rPr>
      </w:pPr>
    </w:p>
    <w:p>
      <w:pPr>
        <w:spacing w:line="600" w:lineRule="exact"/>
        <w:jc w:val="center"/>
        <w:rPr>
          <w:color w:val="000000"/>
        </w:rPr>
      </w:pPr>
    </w:p>
    <w:p>
      <w:pPr>
        <w:spacing w:line="600" w:lineRule="exact"/>
        <w:jc w:val="center"/>
        <w:rPr>
          <w:color w:val="000000"/>
        </w:rPr>
      </w:pPr>
    </w:p>
    <w:p>
      <w:pPr>
        <w:spacing w:line="600" w:lineRule="exact"/>
        <w:jc w:val="center"/>
        <w:rPr>
          <w:color w:val="000000"/>
        </w:rPr>
      </w:pPr>
    </w:p>
    <w:p>
      <w:pPr>
        <w:spacing w:line="600" w:lineRule="exact"/>
        <w:jc w:val="center"/>
        <w:rPr>
          <w:color w:val="000000"/>
        </w:rPr>
      </w:pPr>
    </w:p>
    <w:p>
      <w:pPr>
        <w:spacing w:line="600" w:lineRule="exact"/>
        <w:jc w:val="center"/>
        <w:rPr>
          <w:color w:val="000000"/>
        </w:rPr>
      </w:pPr>
    </w:p>
    <w:p>
      <w:pPr>
        <w:spacing w:line="600" w:lineRule="exact"/>
        <w:jc w:val="center"/>
        <w:rPr>
          <w:color w:val="000000"/>
        </w:rPr>
      </w:pPr>
    </w:p>
    <w:p>
      <w:pPr>
        <w:spacing w:line="600" w:lineRule="exact"/>
        <w:jc w:val="center"/>
        <w:rPr>
          <w:color w:val="000000"/>
        </w:rPr>
      </w:pPr>
    </w:p>
    <w:p>
      <w:pPr>
        <w:spacing w:line="600" w:lineRule="exact"/>
        <w:jc w:val="center"/>
        <w:rPr>
          <w:color w:val="000000"/>
        </w:rPr>
      </w:pPr>
    </w:p>
    <w:p>
      <w:pPr>
        <w:spacing w:line="600" w:lineRule="exact"/>
        <w:jc w:val="center"/>
        <w:rPr>
          <w:color w:val="000000"/>
        </w:rPr>
      </w:pPr>
    </w:p>
    <w:p>
      <w:pPr>
        <w:spacing w:line="600" w:lineRule="exact"/>
        <w:jc w:val="center"/>
        <w:rPr>
          <w:color w:val="000000"/>
        </w:rPr>
      </w:pPr>
    </w:p>
    <w:p>
      <w:pPr>
        <w:spacing w:line="600" w:lineRule="exact"/>
        <w:jc w:val="center"/>
        <w:rPr>
          <w:color w:val="000000"/>
        </w:rPr>
        <w:sectPr>
          <w:footerReference r:id="rId25" w:type="default"/>
          <w:pgSz w:w="11906" w:h="16838"/>
          <w:pgMar w:top="1701" w:right="1361" w:bottom="1701" w:left="1474" w:header="1021" w:footer="1021" w:gutter="0"/>
          <w:pgNumType w:start="277"/>
          <w:cols w:space="720" w:num="1"/>
          <w:docGrid w:linePitch="312" w:charSpace="0"/>
        </w:sectPr>
      </w:pPr>
    </w:p>
    <w:p>
      <w:pPr>
        <w:pStyle w:val="2"/>
      </w:pPr>
    </w:p>
    <w:p>
      <w:pPr>
        <w:spacing w:line="600" w:lineRule="exact"/>
        <w:jc w:val="center"/>
        <w:rPr>
          <w:color w:val="000000"/>
        </w:rPr>
        <w:sectPr>
          <w:footerReference r:id="rId26" w:type="default"/>
          <w:pgSz w:w="11906" w:h="16838"/>
          <w:pgMar w:top="1701" w:right="1361" w:bottom="1701" w:left="1474" w:header="1021" w:footer="1021" w:gutter="0"/>
          <w:pgNumType w:start="277"/>
          <w:cols w:space="720" w:num="1"/>
          <w:docGrid w:linePitch="312" w:charSpace="0"/>
        </w:sectPr>
      </w:pPr>
      <w:bookmarkStart w:id="1964" w:name="_Toc419379610"/>
      <w:bookmarkStart w:id="1965" w:name="_Toc51091937"/>
    </w:p>
    <w:p>
      <w:pPr>
        <w:pStyle w:val="2"/>
      </w:pPr>
    </w:p>
    <w:p>
      <w:pPr>
        <w:pStyle w:val="3"/>
        <w:keepNext w:val="0"/>
        <w:keepLines w:val="0"/>
        <w:overflowPunct w:val="0"/>
        <w:topLinePunct/>
        <w:adjustRightInd w:val="0"/>
        <w:snapToGrid w:val="0"/>
        <w:spacing w:before="0" w:after="0" w:line="490" w:lineRule="exact"/>
        <w:rPr>
          <w:rFonts w:hint="eastAsia" w:ascii="方正小标宋简体" w:eastAsia="方正小标宋简体"/>
          <w:b w:val="0"/>
          <w:color w:val="000000"/>
          <w:sz w:val="40"/>
        </w:rPr>
      </w:pPr>
      <w:bookmarkStart w:id="1966" w:name="_Toc29112"/>
      <w:bookmarkStart w:id="1967" w:name="_Toc24405"/>
      <w:r>
        <w:rPr>
          <w:rFonts w:hint="eastAsia" w:ascii="方正小标宋简体" w:eastAsia="方正小标宋简体"/>
          <w:b w:val="0"/>
          <w:color w:val="000000"/>
          <w:sz w:val="40"/>
        </w:rPr>
        <w:t>第八章  投标文件格式</w:t>
      </w:r>
      <w:bookmarkEnd w:id="1964"/>
      <w:bookmarkEnd w:id="1965"/>
      <w:bookmarkEnd w:id="1966"/>
      <w:bookmarkEnd w:id="1967"/>
    </w:p>
    <w:p>
      <w:pPr>
        <w:spacing w:line="600" w:lineRule="exact"/>
        <w:jc w:val="center"/>
        <w:rPr>
          <w:rFonts w:eastAsia="方正小标宋_GBK"/>
          <w:b/>
          <w:color w:val="000000"/>
          <w:sz w:val="36"/>
          <w:szCs w:val="36"/>
        </w:rPr>
      </w:pPr>
      <w:r>
        <w:rPr>
          <w:rFonts w:eastAsia="方正小标宋_GBK"/>
          <w:b/>
          <w:color w:val="000000"/>
          <w:sz w:val="36"/>
          <w:szCs w:val="36"/>
        </w:rPr>
        <w:br w:type="page"/>
      </w:r>
      <w:bookmarkStart w:id="1968" w:name="_Toc303864998"/>
      <w:bookmarkStart w:id="1969" w:name="_Toc51091938"/>
      <w:bookmarkStart w:id="1970" w:name="_Toc300678565"/>
    </w:p>
    <w:p>
      <w:pPr>
        <w:spacing w:line="600" w:lineRule="exact"/>
        <w:jc w:val="center"/>
        <w:outlineLvl w:val="1"/>
        <w:rPr>
          <w:rFonts w:hint="eastAsia" w:ascii="方正小标宋简体" w:eastAsia="方正小标宋简体"/>
          <w:color w:val="000000"/>
          <w:sz w:val="18"/>
        </w:rPr>
      </w:pPr>
      <w:bookmarkStart w:id="1971" w:name="_Toc18308"/>
      <w:bookmarkStart w:id="1972" w:name="_Toc22127"/>
      <w:r>
        <w:rPr>
          <w:rFonts w:hint="eastAsia" w:ascii="方正小标宋简体" w:eastAsia="方正小标宋简体"/>
          <w:color w:val="000000"/>
          <w:sz w:val="44"/>
          <w:szCs w:val="56"/>
        </w:rPr>
        <w:t>第一部分  商务投标文件格式</w:t>
      </w:r>
      <w:bookmarkEnd w:id="1968"/>
      <w:bookmarkEnd w:id="1969"/>
      <w:bookmarkEnd w:id="1970"/>
      <w:bookmarkEnd w:id="1971"/>
      <w:bookmarkEnd w:id="1972"/>
    </w:p>
    <w:p>
      <w:pPr>
        <w:rPr>
          <w:color w:val="000000"/>
        </w:rPr>
      </w:pPr>
    </w:p>
    <w:p>
      <w:pPr>
        <w:rPr>
          <w:color w:val="000000"/>
        </w:rPr>
      </w:pPr>
    </w:p>
    <w:p>
      <w:pPr>
        <w:rPr>
          <w:color w:val="000000"/>
        </w:rPr>
      </w:pPr>
    </w:p>
    <w:p>
      <w:pPr>
        <w:rPr>
          <w:color w:val="000000"/>
        </w:rPr>
      </w:pPr>
    </w:p>
    <w:p>
      <w:pPr>
        <w:rPr>
          <w:color w:val="000000"/>
        </w:rPr>
      </w:pPr>
    </w:p>
    <w:p>
      <w:pPr>
        <w:rPr>
          <w:color w:val="000000"/>
        </w:rPr>
      </w:pPr>
    </w:p>
    <w:p>
      <w:pPr>
        <w:pStyle w:val="19"/>
        <w:jc w:val="center"/>
        <w:rPr>
          <w:rFonts w:eastAsia="黑体"/>
          <w:color w:val="000000"/>
          <w:sz w:val="32"/>
          <w:szCs w:val="32"/>
        </w:rPr>
      </w:pPr>
      <w:r>
        <w:rPr>
          <w:rFonts w:eastAsia="黑体"/>
          <w:color w:val="000000"/>
          <w:sz w:val="32"/>
          <w:szCs w:val="32"/>
          <w:u w:val="single"/>
        </w:rPr>
        <w:t xml:space="preserve">             </w:t>
      </w:r>
      <w:r>
        <w:rPr>
          <w:rFonts w:eastAsia="黑体"/>
          <w:color w:val="000000"/>
          <w:kern w:val="0"/>
          <w:sz w:val="32"/>
          <w:szCs w:val="32"/>
        </w:rPr>
        <w:t>（项目名称</w:t>
      </w:r>
      <w:r>
        <w:rPr>
          <w:rFonts w:eastAsia="黑体"/>
          <w:color w:val="000000"/>
          <w:sz w:val="32"/>
          <w:szCs w:val="32"/>
        </w:rPr>
        <w:t>）</w:t>
      </w:r>
      <w:r>
        <w:rPr>
          <w:rFonts w:eastAsia="黑体"/>
          <w:color w:val="000000"/>
          <w:sz w:val="32"/>
          <w:szCs w:val="32"/>
          <w:u w:val="single"/>
        </w:rPr>
        <w:t xml:space="preserve">              </w:t>
      </w:r>
      <w:r>
        <w:rPr>
          <w:rFonts w:eastAsia="黑体"/>
          <w:color w:val="000000"/>
          <w:sz w:val="32"/>
          <w:szCs w:val="32"/>
        </w:rPr>
        <w:t>（标段名称）施工</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jc w:val="center"/>
        <w:rPr>
          <w:rFonts w:hint="eastAsia" w:ascii="方正小标宋简体" w:eastAsia="方正小标宋简体"/>
          <w:b/>
          <w:color w:val="000000"/>
          <w:sz w:val="72"/>
          <w:szCs w:val="44"/>
        </w:rPr>
      </w:pPr>
      <w:r>
        <w:rPr>
          <w:rFonts w:hint="eastAsia" w:ascii="方正小标宋简体" w:eastAsia="方正小标宋简体"/>
          <w:b/>
          <w:color w:val="000000"/>
          <w:sz w:val="72"/>
          <w:szCs w:val="44"/>
        </w:rPr>
        <w:t>投 标 文 件</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pStyle w:val="172"/>
        <w:ind w:firstLine="1440" w:firstLineChars="450"/>
        <w:rPr>
          <w:rFonts w:ascii="Times New Roman" w:eastAsia="黑体" w:cs="Times New Roman"/>
          <w:color w:val="000000"/>
          <w:sz w:val="32"/>
          <w:szCs w:val="28"/>
        </w:rPr>
      </w:pPr>
      <w:r>
        <w:rPr>
          <w:rFonts w:ascii="Times New Roman" w:eastAsia="黑体" w:cs="Times New Roman"/>
          <w:color w:val="000000"/>
          <w:sz w:val="32"/>
          <w:szCs w:val="28"/>
        </w:rPr>
        <w:t>投  标  人：</w:t>
      </w:r>
      <w:r>
        <w:rPr>
          <w:rFonts w:ascii="Times New Roman" w:eastAsia="黑体" w:cs="Times New Roman"/>
          <w:color w:val="000000"/>
          <w:sz w:val="32"/>
          <w:szCs w:val="28"/>
          <w:u w:val="single"/>
        </w:rPr>
        <w:t xml:space="preserve">            </w:t>
      </w:r>
      <w:r>
        <w:rPr>
          <w:rFonts w:ascii="Times New Roman" w:eastAsia="黑体" w:cs="Times New Roman"/>
          <w:color w:val="000000"/>
          <w:sz w:val="32"/>
          <w:szCs w:val="28"/>
        </w:rPr>
        <w:t>（盖单位电子公章）</w:t>
      </w:r>
    </w:p>
    <w:p>
      <w:pPr>
        <w:pStyle w:val="106"/>
        <w:spacing w:line="626" w:lineRule="atLeast"/>
        <w:ind w:right="468" w:firstLine="1440" w:firstLineChars="450"/>
        <w:rPr>
          <w:rFonts w:ascii="Times New Roman" w:eastAsia="黑体" w:cs="Times New Roman"/>
          <w:sz w:val="32"/>
          <w:szCs w:val="28"/>
        </w:rPr>
      </w:pPr>
      <w:r>
        <w:rPr>
          <w:rFonts w:ascii="Times New Roman" w:eastAsia="黑体" w:cs="Times New Roman"/>
          <w:sz w:val="32"/>
          <w:szCs w:val="28"/>
        </w:rPr>
        <w:t>法定代表人：</w:t>
      </w:r>
      <w:r>
        <w:rPr>
          <w:rFonts w:ascii="Times New Roman" w:eastAsia="黑体" w:cs="Times New Roman"/>
          <w:sz w:val="22"/>
          <w:szCs w:val="21"/>
          <w:u w:val="single"/>
        </w:rPr>
        <w:t xml:space="preserve">                          </w:t>
      </w:r>
      <w:r>
        <w:rPr>
          <w:rFonts w:ascii="Times New Roman" w:eastAsia="黑体" w:cs="Times New Roman"/>
          <w:sz w:val="32"/>
          <w:szCs w:val="28"/>
        </w:rPr>
        <w:t>（电子签名）</w:t>
      </w:r>
    </w:p>
    <w:p>
      <w:pPr>
        <w:pStyle w:val="106"/>
        <w:spacing w:line="626" w:lineRule="atLeast"/>
        <w:ind w:right="468" w:firstLine="1440" w:firstLineChars="450"/>
        <w:rPr>
          <w:rFonts w:ascii="Times New Roman" w:eastAsia="黑体" w:cs="Times New Roman"/>
          <w:sz w:val="32"/>
          <w:szCs w:val="28"/>
        </w:rPr>
      </w:pPr>
      <w:r>
        <w:rPr>
          <w:rFonts w:ascii="Times New Roman" w:eastAsia="黑体" w:cs="Times New Roman"/>
          <w:sz w:val="32"/>
          <w:szCs w:val="28"/>
        </w:rPr>
        <w:t>时      间：</w:t>
      </w:r>
      <w:r>
        <w:rPr>
          <w:rFonts w:ascii="Times New Roman" w:eastAsia="黑体" w:cs="Times New Roman"/>
          <w:sz w:val="22"/>
          <w:szCs w:val="21"/>
          <w:u w:val="single"/>
        </w:rPr>
        <w:t xml:space="preserve">            </w:t>
      </w:r>
      <w:r>
        <w:rPr>
          <w:rFonts w:ascii="Times New Roman" w:eastAsia="黑体" w:cs="Times New Roman"/>
          <w:sz w:val="32"/>
          <w:szCs w:val="28"/>
        </w:rPr>
        <w:t>年</w:t>
      </w:r>
      <w:r>
        <w:rPr>
          <w:rFonts w:ascii="Times New Roman" w:eastAsia="黑体" w:cs="Times New Roman"/>
          <w:sz w:val="22"/>
          <w:szCs w:val="21"/>
          <w:u w:val="single"/>
        </w:rPr>
        <w:t xml:space="preserve">       </w:t>
      </w:r>
      <w:r>
        <w:rPr>
          <w:rFonts w:ascii="Times New Roman" w:eastAsia="黑体" w:cs="Times New Roman"/>
          <w:sz w:val="32"/>
          <w:szCs w:val="28"/>
        </w:rPr>
        <w:t>月</w:t>
      </w:r>
      <w:r>
        <w:rPr>
          <w:rFonts w:ascii="Times New Roman" w:eastAsia="黑体" w:cs="Times New Roman"/>
          <w:sz w:val="22"/>
          <w:szCs w:val="21"/>
          <w:u w:val="single"/>
        </w:rPr>
        <w:t xml:space="preserve">        </w:t>
      </w:r>
      <w:r>
        <w:rPr>
          <w:rFonts w:ascii="Times New Roman" w:eastAsia="黑体" w:cs="Times New Roman"/>
          <w:sz w:val="32"/>
          <w:szCs w:val="28"/>
        </w:rPr>
        <w:t>日</w:t>
      </w:r>
    </w:p>
    <w:p>
      <w:pPr>
        <w:pStyle w:val="2"/>
        <w:rPr>
          <w:color w:val="000000"/>
        </w:rPr>
      </w:pPr>
      <w:r>
        <w:rPr>
          <w:color w:val="000000"/>
        </w:rPr>
        <w:t xml:space="preserve"> </w:t>
      </w:r>
    </w:p>
    <w:p>
      <w:pPr>
        <w:pStyle w:val="106"/>
        <w:spacing w:line="600" w:lineRule="exact"/>
        <w:rPr>
          <w:rFonts w:ascii="Times New Roman" w:eastAsia="方正小标宋_GBK" w:cs="Times New Roman"/>
          <w:sz w:val="44"/>
          <w:szCs w:val="28"/>
        </w:rPr>
      </w:pPr>
      <w:r>
        <w:rPr>
          <w:rFonts w:ascii="Times New Roman" w:cs="Times New Roman"/>
        </w:rPr>
        <w:br w:type="page"/>
      </w:r>
    </w:p>
    <w:p>
      <w:pPr>
        <w:pStyle w:val="2"/>
        <w:spacing w:after="0" w:line="600" w:lineRule="exact"/>
        <w:jc w:val="center"/>
        <w:outlineLvl w:val="2"/>
        <w:rPr>
          <w:rFonts w:hint="eastAsia" w:ascii="方正小标宋简体" w:eastAsia="方正小标宋简体"/>
          <w:color w:val="000000"/>
          <w:sz w:val="44"/>
          <w:szCs w:val="28"/>
        </w:rPr>
      </w:pPr>
      <w:bookmarkStart w:id="1973" w:name="_Toc20122"/>
      <w:bookmarkStart w:id="1974" w:name="_Toc740"/>
      <w:r>
        <w:rPr>
          <w:rFonts w:hint="eastAsia" w:ascii="方正小标宋简体" w:eastAsia="方正小标宋简体"/>
          <w:color w:val="000000"/>
          <w:sz w:val="44"/>
          <w:szCs w:val="28"/>
        </w:rPr>
        <w:t>目    录</w:t>
      </w:r>
      <w:bookmarkEnd w:id="1973"/>
      <w:bookmarkEnd w:id="1974"/>
    </w:p>
    <w:p>
      <w:pPr>
        <w:spacing w:line="600" w:lineRule="exact"/>
        <w:rPr>
          <w:rFonts w:eastAsia="方正小标宋_GBK"/>
          <w:color w:val="000000"/>
          <w:sz w:val="44"/>
          <w:szCs w:val="28"/>
        </w:rPr>
      </w:pPr>
    </w:p>
    <w:p>
      <w:pPr>
        <w:pStyle w:val="32"/>
        <w:spacing w:line="500" w:lineRule="exact"/>
        <w:ind w:left="0" w:firstLine="560" w:firstLineChars="200"/>
        <w:outlineLvl w:val="0"/>
        <w:rPr>
          <w:rFonts w:eastAsia="仿宋_GB2312"/>
          <w:color w:val="000000"/>
          <w:sz w:val="28"/>
          <w:szCs w:val="28"/>
        </w:rPr>
      </w:pPr>
      <w:bookmarkStart w:id="1975" w:name="_Toc29550"/>
      <w:r>
        <w:rPr>
          <w:rFonts w:eastAsia="仿宋_GB2312"/>
          <w:color w:val="000000"/>
          <w:sz w:val="28"/>
          <w:szCs w:val="28"/>
        </w:rPr>
        <w:t>一</w:t>
      </w:r>
      <w:r>
        <w:rPr>
          <w:rFonts w:hint="eastAsia" w:eastAsia="仿宋"/>
          <w:color w:val="000000"/>
          <w:sz w:val="28"/>
          <w:szCs w:val="28"/>
        </w:rPr>
        <w:t>、</w:t>
      </w:r>
      <w:r>
        <w:rPr>
          <w:rFonts w:eastAsia="仿宋_GB2312"/>
          <w:color w:val="000000"/>
          <w:sz w:val="28"/>
          <w:szCs w:val="28"/>
        </w:rPr>
        <w:t>投标函</w:t>
      </w:r>
      <w:r>
        <w:rPr>
          <w:rFonts w:hint="eastAsia" w:eastAsia="仿宋_GB2312"/>
          <w:color w:val="000000"/>
          <w:sz w:val="28"/>
          <w:szCs w:val="28"/>
        </w:rPr>
        <w:t>及</w:t>
      </w:r>
      <w:r>
        <w:rPr>
          <w:rFonts w:eastAsia="仿宋_GB2312"/>
          <w:color w:val="000000"/>
          <w:sz w:val="28"/>
          <w:szCs w:val="28"/>
        </w:rPr>
        <w:t>投标函附录</w:t>
      </w:r>
      <w:bookmarkEnd w:id="1975"/>
    </w:p>
    <w:p>
      <w:pPr>
        <w:pStyle w:val="32"/>
        <w:spacing w:line="500" w:lineRule="exact"/>
        <w:ind w:left="0" w:firstLine="560" w:firstLineChars="200"/>
        <w:outlineLvl w:val="0"/>
        <w:rPr>
          <w:rFonts w:eastAsia="仿宋_GB2312"/>
          <w:color w:val="000000"/>
          <w:sz w:val="28"/>
          <w:szCs w:val="28"/>
        </w:rPr>
      </w:pPr>
      <w:bookmarkStart w:id="1976" w:name="_Toc32388"/>
      <w:r>
        <w:rPr>
          <w:rFonts w:eastAsia="仿宋_GB2312"/>
          <w:color w:val="000000"/>
          <w:sz w:val="28"/>
          <w:szCs w:val="28"/>
        </w:rPr>
        <w:t>二</w:t>
      </w:r>
      <w:r>
        <w:rPr>
          <w:rFonts w:hint="eastAsia" w:eastAsia="仿宋"/>
          <w:color w:val="000000"/>
          <w:sz w:val="28"/>
          <w:szCs w:val="28"/>
        </w:rPr>
        <w:t>、</w:t>
      </w:r>
      <w:r>
        <w:rPr>
          <w:rFonts w:eastAsia="仿宋_GB2312"/>
          <w:color w:val="000000"/>
          <w:sz w:val="28"/>
          <w:szCs w:val="28"/>
        </w:rPr>
        <w:t>法定代表人身份证明</w:t>
      </w:r>
      <w:bookmarkEnd w:id="1976"/>
    </w:p>
    <w:p>
      <w:pPr>
        <w:pStyle w:val="32"/>
        <w:spacing w:line="500" w:lineRule="exact"/>
        <w:ind w:left="0" w:firstLine="560" w:firstLineChars="200"/>
        <w:jc w:val="left"/>
        <w:outlineLvl w:val="0"/>
        <w:rPr>
          <w:rFonts w:eastAsia="仿宋_GB2312"/>
          <w:color w:val="000000"/>
          <w:sz w:val="28"/>
          <w:szCs w:val="28"/>
        </w:rPr>
      </w:pPr>
      <w:bookmarkStart w:id="1977" w:name="_Toc14613"/>
      <w:r>
        <w:rPr>
          <w:rFonts w:eastAsia="仿宋_GB2312"/>
          <w:color w:val="000000"/>
          <w:sz w:val="28"/>
          <w:szCs w:val="28"/>
        </w:rPr>
        <w:t>三</w:t>
      </w:r>
      <w:r>
        <w:rPr>
          <w:rFonts w:hint="eastAsia" w:eastAsia="仿宋"/>
          <w:color w:val="000000"/>
          <w:sz w:val="28"/>
          <w:szCs w:val="28"/>
        </w:rPr>
        <w:t>、</w:t>
      </w:r>
      <w:r>
        <w:rPr>
          <w:rFonts w:eastAsia="仿宋_GB2312"/>
          <w:color w:val="000000"/>
          <w:sz w:val="28"/>
          <w:szCs w:val="28"/>
        </w:rPr>
        <w:t>附有法定代表人身份证明的委托代理人授权委托书、投标联系人授权委托书</w:t>
      </w:r>
      <w:bookmarkEnd w:id="1977"/>
    </w:p>
    <w:p>
      <w:pPr>
        <w:pStyle w:val="32"/>
        <w:spacing w:line="500" w:lineRule="exact"/>
        <w:ind w:left="0" w:firstLine="560" w:firstLineChars="200"/>
        <w:outlineLvl w:val="0"/>
        <w:rPr>
          <w:rFonts w:eastAsia="仿宋_GB2312"/>
          <w:color w:val="000000"/>
          <w:sz w:val="28"/>
          <w:szCs w:val="28"/>
        </w:rPr>
      </w:pPr>
      <w:bookmarkStart w:id="1978" w:name="_Toc24595"/>
      <w:r>
        <w:rPr>
          <w:rFonts w:eastAsia="仿宋_GB2312"/>
          <w:color w:val="000000"/>
          <w:sz w:val="28"/>
          <w:szCs w:val="28"/>
        </w:rPr>
        <w:t>四</w:t>
      </w:r>
      <w:r>
        <w:rPr>
          <w:rFonts w:hint="eastAsia" w:eastAsia="仿宋"/>
          <w:color w:val="000000"/>
          <w:sz w:val="28"/>
          <w:szCs w:val="28"/>
        </w:rPr>
        <w:t>、</w:t>
      </w:r>
      <w:r>
        <w:rPr>
          <w:rFonts w:eastAsia="仿宋_GB2312"/>
          <w:color w:val="000000"/>
          <w:sz w:val="28"/>
          <w:szCs w:val="28"/>
        </w:rPr>
        <w:t>联合体协议书</w:t>
      </w:r>
      <w:bookmarkEnd w:id="1978"/>
    </w:p>
    <w:p>
      <w:pPr>
        <w:pStyle w:val="32"/>
        <w:spacing w:line="500" w:lineRule="exact"/>
        <w:ind w:left="0" w:firstLine="560" w:firstLineChars="200"/>
        <w:outlineLvl w:val="0"/>
        <w:rPr>
          <w:rFonts w:eastAsia="仿宋_GB2312"/>
          <w:color w:val="000000"/>
          <w:sz w:val="28"/>
          <w:szCs w:val="28"/>
        </w:rPr>
      </w:pPr>
      <w:bookmarkStart w:id="1979" w:name="_Toc26742"/>
      <w:r>
        <w:rPr>
          <w:rFonts w:eastAsia="仿宋_GB2312"/>
          <w:color w:val="000000"/>
          <w:sz w:val="28"/>
          <w:szCs w:val="28"/>
        </w:rPr>
        <w:t>五</w:t>
      </w:r>
      <w:r>
        <w:rPr>
          <w:rFonts w:hint="eastAsia" w:eastAsia="仿宋"/>
          <w:color w:val="000000"/>
          <w:sz w:val="28"/>
          <w:szCs w:val="28"/>
        </w:rPr>
        <w:t>、</w:t>
      </w:r>
      <w:r>
        <w:rPr>
          <w:rFonts w:eastAsia="仿宋_GB2312"/>
          <w:color w:val="000000"/>
          <w:sz w:val="28"/>
          <w:szCs w:val="28"/>
        </w:rPr>
        <w:t>投标担保</w:t>
      </w:r>
      <w:bookmarkEnd w:id="1979"/>
    </w:p>
    <w:p>
      <w:pPr>
        <w:pStyle w:val="32"/>
        <w:spacing w:line="500" w:lineRule="exact"/>
        <w:ind w:left="0" w:firstLine="560" w:firstLineChars="200"/>
        <w:outlineLvl w:val="0"/>
        <w:rPr>
          <w:rFonts w:eastAsia="仿宋_GB2312"/>
          <w:color w:val="000000"/>
          <w:sz w:val="28"/>
          <w:szCs w:val="28"/>
        </w:rPr>
      </w:pPr>
      <w:bookmarkStart w:id="1980" w:name="_Toc4843"/>
      <w:r>
        <w:rPr>
          <w:rFonts w:eastAsia="仿宋_GB2312"/>
          <w:color w:val="000000"/>
          <w:sz w:val="28"/>
          <w:szCs w:val="28"/>
        </w:rPr>
        <w:t>六</w:t>
      </w:r>
      <w:r>
        <w:rPr>
          <w:rFonts w:hint="eastAsia" w:eastAsia="仿宋"/>
          <w:color w:val="000000"/>
          <w:sz w:val="28"/>
          <w:szCs w:val="28"/>
        </w:rPr>
        <w:t>、</w:t>
      </w:r>
      <w:r>
        <w:rPr>
          <w:rFonts w:eastAsia="仿宋_GB2312"/>
          <w:color w:val="000000"/>
          <w:sz w:val="28"/>
          <w:szCs w:val="28"/>
        </w:rPr>
        <w:t>工程结算款支付账户</w:t>
      </w:r>
      <w:bookmarkEnd w:id="1980"/>
    </w:p>
    <w:p>
      <w:pPr>
        <w:pStyle w:val="32"/>
        <w:spacing w:line="500" w:lineRule="exact"/>
        <w:ind w:left="0" w:firstLine="560" w:firstLineChars="200"/>
        <w:outlineLvl w:val="0"/>
        <w:rPr>
          <w:rFonts w:eastAsia="仿宋_GB2312"/>
          <w:color w:val="000000"/>
          <w:sz w:val="28"/>
          <w:szCs w:val="28"/>
        </w:rPr>
      </w:pPr>
      <w:bookmarkStart w:id="1981" w:name="_Toc21919"/>
      <w:r>
        <w:rPr>
          <w:rFonts w:eastAsia="仿宋_GB2312"/>
          <w:color w:val="000000"/>
          <w:sz w:val="28"/>
          <w:szCs w:val="28"/>
        </w:rPr>
        <w:t>七</w:t>
      </w:r>
      <w:r>
        <w:rPr>
          <w:rFonts w:hint="eastAsia" w:eastAsia="仿宋"/>
          <w:color w:val="000000"/>
          <w:sz w:val="28"/>
          <w:szCs w:val="28"/>
        </w:rPr>
        <w:t>、</w:t>
      </w:r>
      <w:r>
        <w:rPr>
          <w:rFonts w:eastAsia="仿宋_GB2312"/>
          <w:color w:val="000000"/>
          <w:sz w:val="28"/>
          <w:szCs w:val="28"/>
        </w:rPr>
        <w:t>已标价工程量清单</w:t>
      </w:r>
      <w:bookmarkEnd w:id="1981"/>
    </w:p>
    <w:p>
      <w:pPr>
        <w:pStyle w:val="32"/>
        <w:spacing w:line="500" w:lineRule="exact"/>
        <w:ind w:left="0" w:firstLine="560" w:firstLineChars="200"/>
        <w:outlineLvl w:val="0"/>
        <w:rPr>
          <w:rFonts w:eastAsia="仿宋_GB2312"/>
          <w:color w:val="000000"/>
          <w:sz w:val="28"/>
          <w:szCs w:val="28"/>
        </w:rPr>
      </w:pPr>
      <w:bookmarkStart w:id="1982" w:name="_Toc24694"/>
      <w:r>
        <w:rPr>
          <w:rFonts w:eastAsia="仿宋_GB2312"/>
          <w:color w:val="000000"/>
          <w:sz w:val="28"/>
          <w:szCs w:val="28"/>
        </w:rPr>
        <w:t>八</w:t>
      </w:r>
      <w:r>
        <w:rPr>
          <w:rFonts w:hint="eastAsia" w:eastAsia="仿宋"/>
          <w:color w:val="000000"/>
          <w:sz w:val="28"/>
          <w:szCs w:val="28"/>
        </w:rPr>
        <w:t>、</w:t>
      </w:r>
      <w:r>
        <w:rPr>
          <w:rFonts w:eastAsia="仿宋_GB2312"/>
          <w:color w:val="000000"/>
          <w:sz w:val="28"/>
          <w:szCs w:val="28"/>
        </w:rPr>
        <w:t>项目管理机构</w:t>
      </w:r>
      <w:bookmarkEnd w:id="1982"/>
    </w:p>
    <w:p>
      <w:pPr>
        <w:pStyle w:val="32"/>
        <w:spacing w:line="500" w:lineRule="exact"/>
        <w:ind w:left="0" w:firstLine="560" w:firstLineChars="200"/>
        <w:outlineLvl w:val="0"/>
        <w:rPr>
          <w:rFonts w:eastAsia="仿宋_GB2312"/>
          <w:color w:val="000000"/>
          <w:sz w:val="28"/>
          <w:szCs w:val="28"/>
        </w:rPr>
      </w:pPr>
      <w:bookmarkStart w:id="1983" w:name="_Toc15244"/>
      <w:r>
        <w:rPr>
          <w:rFonts w:eastAsia="仿宋_GB2312"/>
          <w:color w:val="000000"/>
          <w:sz w:val="28"/>
          <w:szCs w:val="28"/>
        </w:rPr>
        <w:t>九</w:t>
      </w:r>
      <w:r>
        <w:rPr>
          <w:rFonts w:hint="eastAsia" w:eastAsia="仿宋"/>
          <w:color w:val="000000"/>
          <w:sz w:val="28"/>
          <w:szCs w:val="28"/>
        </w:rPr>
        <w:t>、</w:t>
      </w:r>
      <w:r>
        <w:rPr>
          <w:rFonts w:hint="eastAsia" w:eastAsia="仿宋_GB2312"/>
          <w:color w:val="000000"/>
          <w:sz w:val="28"/>
          <w:szCs w:val="28"/>
        </w:rPr>
        <w:t>企业资信及履约能力（业绩及信用）自评表</w:t>
      </w:r>
    </w:p>
    <w:p>
      <w:pPr>
        <w:pStyle w:val="32"/>
        <w:spacing w:line="500" w:lineRule="exact"/>
        <w:ind w:left="0" w:firstLine="560" w:firstLineChars="200"/>
        <w:outlineLvl w:val="0"/>
        <w:rPr>
          <w:rFonts w:eastAsia="仿宋_GB2312"/>
          <w:color w:val="000000"/>
          <w:sz w:val="28"/>
          <w:szCs w:val="28"/>
        </w:rPr>
      </w:pPr>
      <w:r>
        <w:rPr>
          <w:rFonts w:hint="eastAsia" w:eastAsia="仿宋_GB2312"/>
          <w:color w:val="000000"/>
          <w:sz w:val="28"/>
          <w:szCs w:val="28"/>
        </w:rPr>
        <w:t>十</w:t>
      </w:r>
      <w:r>
        <w:rPr>
          <w:rFonts w:hint="eastAsia" w:eastAsia="仿宋"/>
          <w:color w:val="000000"/>
          <w:sz w:val="28"/>
          <w:szCs w:val="28"/>
        </w:rPr>
        <w:t>、</w:t>
      </w:r>
      <w:r>
        <w:rPr>
          <w:rFonts w:eastAsia="仿宋_GB2312"/>
          <w:color w:val="000000"/>
          <w:sz w:val="28"/>
          <w:szCs w:val="28"/>
        </w:rPr>
        <w:t>拟分包项目情况表</w:t>
      </w:r>
      <w:bookmarkEnd w:id="1983"/>
    </w:p>
    <w:p>
      <w:pPr>
        <w:pStyle w:val="32"/>
        <w:spacing w:line="500" w:lineRule="exact"/>
        <w:ind w:left="0" w:firstLine="560" w:firstLineChars="200"/>
        <w:outlineLvl w:val="0"/>
        <w:rPr>
          <w:rFonts w:eastAsia="仿宋_GB2312"/>
          <w:color w:val="000000"/>
          <w:sz w:val="28"/>
          <w:szCs w:val="28"/>
        </w:rPr>
      </w:pPr>
      <w:bookmarkStart w:id="1984" w:name="_Toc6703"/>
      <w:r>
        <w:rPr>
          <w:rFonts w:eastAsia="仿宋_GB2312"/>
          <w:color w:val="000000"/>
          <w:sz w:val="28"/>
          <w:szCs w:val="28"/>
        </w:rPr>
        <w:t>十</w:t>
      </w:r>
      <w:r>
        <w:rPr>
          <w:rFonts w:hint="eastAsia" w:eastAsia="仿宋_GB2312"/>
          <w:color w:val="000000"/>
          <w:sz w:val="28"/>
          <w:szCs w:val="28"/>
        </w:rPr>
        <w:t>一</w:t>
      </w:r>
      <w:r>
        <w:rPr>
          <w:rFonts w:hint="eastAsia" w:eastAsia="仿宋"/>
          <w:color w:val="000000"/>
          <w:sz w:val="28"/>
          <w:szCs w:val="28"/>
        </w:rPr>
        <w:t>、</w:t>
      </w:r>
      <w:r>
        <w:rPr>
          <w:rFonts w:eastAsia="仿宋_GB2312"/>
          <w:color w:val="000000"/>
          <w:sz w:val="28"/>
          <w:szCs w:val="28"/>
        </w:rPr>
        <w:t>资格审查资料</w:t>
      </w:r>
      <w:bookmarkEnd w:id="1984"/>
    </w:p>
    <w:p>
      <w:pPr>
        <w:pStyle w:val="32"/>
        <w:spacing w:line="500" w:lineRule="exact"/>
        <w:ind w:left="0" w:firstLine="560" w:firstLineChars="200"/>
        <w:outlineLvl w:val="0"/>
        <w:rPr>
          <w:rFonts w:eastAsia="仿宋_GB2312"/>
          <w:color w:val="000000"/>
          <w:sz w:val="28"/>
          <w:szCs w:val="28"/>
        </w:rPr>
      </w:pPr>
      <w:bookmarkStart w:id="1985" w:name="_Toc24819"/>
      <w:r>
        <w:rPr>
          <w:rFonts w:eastAsia="仿宋_GB2312"/>
          <w:color w:val="000000"/>
          <w:sz w:val="28"/>
          <w:szCs w:val="28"/>
        </w:rPr>
        <w:t>十</w:t>
      </w:r>
      <w:r>
        <w:rPr>
          <w:rFonts w:hint="eastAsia" w:eastAsia="仿宋_GB2312"/>
          <w:color w:val="000000"/>
          <w:sz w:val="28"/>
          <w:szCs w:val="28"/>
        </w:rPr>
        <w:t>二</w:t>
      </w:r>
      <w:r>
        <w:rPr>
          <w:rFonts w:hint="eastAsia" w:eastAsia="仿宋"/>
          <w:color w:val="000000"/>
          <w:sz w:val="28"/>
          <w:szCs w:val="28"/>
        </w:rPr>
        <w:t>、</w:t>
      </w:r>
      <w:r>
        <w:rPr>
          <w:rFonts w:eastAsia="仿宋_GB2312"/>
          <w:color w:val="000000"/>
          <w:sz w:val="28"/>
          <w:szCs w:val="28"/>
        </w:rPr>
        <w:t>原件的扫描件</w:t>
      </w:r>
      <w:bookmarkEnd w:id="1985"/>
    </w:p>
    <w:p>
      <w:pPr>
        <w:pStyle w:val="32"/>
        <w:spacing w:line="500" w:lineRule="exact"/>
        <w:ind w:left="0" w:firstLine="560" w:firstLineChars="200"/>
        <w:outlineLvl w:val="0"/>
        <w:rPr>
          <w:rFonts w:eastAsia="仿宋_GB2312"/>
          <w:color w:val="000000"/>
          <w:sz w:val="28"/>
          <w:szCs w:val="28"/>
        </w:rPr>
      </w:pPr>
      <w:bookmarkStart w:id="1986" w:name="_Toc2762"/>
      <w:r>
        <w:rPr>
          <w:rFonts w:eastAsia="仿宋_GB2312"/>
          <w:color w:val="000000"/>
          <w:sz w:val="28"/>
          <w:szCs w:val="28"/>
        </w:rPr>
        <w:t>十</w:t>
      </w:r>
      <w:r>
        <w:rPr>
          <w:rFonts w:hint="eastAsia" w:eastAsia="仿宋_GB2312"/>
          <w:color w:val="000000"/>
          <w:sz w:val="28"/>
          <w:szCs w:val="28"/>
        </w:rPr>
        <w:t>三</w:t>
      </w:r>
      <w:r>
        <w:rPr>
          <w:rFonts w:hint="eastAsia" w:eastAsia="仿宋"/>
          <w:color w:val="000000"/>
          <w:sz w:val="28"/>
          <w:szCs w:val="28"/>
        </w:rPr>
        <w:t>、</w:t>
      </w:r>
      <w:r>
        <w:rPr>
          <w:rFonts w:eastAsia="仿宋_GB2312"/>
          <w:color w:val="000000"/>
          <w:sz w:val="28"/>
          <w:szCs w:val="28"/>
        </w:rPr>
        <w:t>其它材料</w:t>
      </w:r>
      <w:bookmarkEnd w:id="1986"/>
    </w:p>
    <w:p>
      <w:pPr>
        <w:pStyle w:val="2"/>
        <w:spacing w:after="0" w:line="490" w:lineRule="exact"/>
        <w:jc w:val="center"/>
        <w:rPr>
          <w:rFonts w:eastAsia="方正小标宋_GBK"/>
          <w:b/>
          <w:color w:val="000000"/>
          <w:sz w:val="40"/>
          <w:szCs w:val="28"/>
        </w:rPr>
      </w:pPr>
      <w:r>
        <w:rPr>
          <w:color w:val="000000"/>
        </w:rPr>
        <w:br w:type="page"/>
      </w:r>
    </w:p>
    <w:p>
      <w:pPr>
        <w:adjustRightInd w:val="0"/>
        <w:snapToGrid w:val="0"/>
        <w:spacing w:line="490" w:lineRule="exact"/>
        <w:jc w:val="center"/>
        <w:outlineLvl w:val="0"/>
        <w:rPr>
          <w:rFonts w:hint="eastAsia" w:ascii="方正小标宋简体" w:eastAsia="方正小标宋简体"/>
          <w:bCs/>
          <w:color w:val="000000"/>
          <w:sz w:val="30"/>
          <w:szCs w:val="30"/>
        </w:rPr>
      </w:pPr>
      <w:bookmarkStart w:id="1987" w:name="_Toc23438"/>
      <w:bookmarkStart w:id="1988" w:name="_Toc51091939"/>
      <w:bookmarkStart w:id="1989" w:name="_Toc1748"/>
      <w:r>
        <w:rPr>
          <w:rFonts w:hint="eastAsia" w:ascii="方正小标宋简体" w:eastAsia="方正小标宋简体"/>
          <w:bCs/>
          <w:color w:val="000000"/>
          <w:sz w:val="30"/>
          <w:szCs w:val="30"/>
        </w:rPr>
        <w:t>一．投标函及投标函附录</w:t>
      </w:r>
      <w:bookmarkEnd w:id="1987"/>
      <w:bookmarkEnd w:id="1988"/>
      <w:bookmarkEnd w:id="1989"/>
    </w:p>
    <w:p>
      <w:pPr>
        <w:pStyle w:val="2"/>
        <w:spacing w:after="0" w:line="490" w:lineRule="exact"/>
        <w:jc w:val="center"/>
        <w:rPr>
          <w:b/>
          <w:color w:val="000000"/>
          <w:sz w:val="28"/>
          <w:szCs w:val="32"/>
        </w:rPr>
      </w:pPr>
    </w:p>
    <w:p>
      <w:pPr>
        <w:pStyle w:val="2"/>
        <w:spacing w:after="0" w:line="490" w:lineRule="exact"/>
        <w:jc w:val="center"/>
        <w:outlineLvl w:val="1"/>
        <w:rPr>
          <w:rFonts w:hint="eastAsia" w:ascii="楷体_GB2312" w:eastAsia="楷体_GB2312"/>
          <w:b/>
          <w:color w:val="000000"/>
          <w:sz w:val="28"/>
          <w:szCs w:val="32"/>
        </w:rPr>
      </w:pPr>
      <w:bookmarkStart w:id="1990" w:name="_Toc4442"/>
      <w:r>
        <w:rPr>
          <w:rFonts w:hint="eastAsia" w:ascii="楷体_GB2312" w:eastAsia="楷体_GB2312"/>
          <w:b/>
          <w:color w:val="000000"/>
          <w:sz w:val="28"/>
          <w:szCs w:val="32"/>
        </w:rPr>
        <w:t>（一）投标函</w:t>
      </w:r>
      <w:bookmarkEnd w:id="1990"/>
    </w:p>
    <w:p>
      <w:pPr>
        <w:spacing w:line="530" w:lineRule="exact"/>
        <w:rPr>
          <w:rFonts w:eastAsia="仿宋_GB2312"/>
          <w:color w:val="000000"/>
          <w:sz w:val="28"/>
          <w:szCs w:val="32"/>
        </w:rPr>
      </w:pPr>
    </w:p>
    <w:p>
      <w:pPr>
        <w:pStyle w:val="45"/>
        <w:spacing w:after="0" w:line="530" w:lineRule="exact"/>
        <w:ind w:firstLine="0" w:firstLineChars="0"/>
        <w:rPr>
          <w:rFonts w:eastAsia="仿宋"/>
          <w:color w:val="000000"/>
          <w:sz w:val="28"/>
          <w:szCs w:val="32"/>
        </w:rPr>
      </w:pPr>
      <w:r>
        <w:rPr>
          <w:rFonts w:eastAsia="仿宋"/>
          <w:color w:val="000000"/>
          <w:sz w:val="28"/>
          <w:szCs w:val="32"/>
          <w:u w:val="single"/>
        </w:rPr>
        <w:t xml:space="preserve">             </w:t>
      </w:r>
      <w:r>
        <w:rPr>
          <w:rFonts w:eastAsia="仿宋"/>
          <w:color w:val="000000"/>
          <w:sz w:val="28"/>
          <w:szCs w:val="32"/>
        </w:rPr>
        <w:t>（招标人名称）：</w:t>
      </w:r>
    </w:p>
    <w:p>
      <w:pPr>
        <w:pStyle w:val="39"/>
        <w:spacing w:line="530" w:lineRule="exact"/>
        <w:ind w:left="2" w:leftChars="1" w:firstLine="560" w:firstLineChars="200"/>
        <w:jc w:val="left"/>
        <w:rPr>
          <w:rFonts w:eastAsia="仿宋"/>
          <w:color w:val="000000"/>
          <w:sz w:val="28"/>
          <w:szCs w:val="32"/>
        </w:rPr>
      </w:pPr>
      <w:r>
        <w:rPr>
          <w:rFonts w:eastAsia="仿宋"/>
          <w:color w:val="000000"/>
          <w:sz w:val="28"/>
          <w:szCs w:val="32"/>
        </w:rPr>
        <w:t>1．我方已仔细研究了</w:t>
      </w:r>
      <w:r>
        <w:rPr>
          <w:rFonts w:eastAsia="仿宋"/>
          <w:color w:val="000000"/>
          <w:sz w:val="28"/>
          <w:szCs w:val="32"/>
          <w:u w:val="single"/>
        </w:rPr>
        <w:t xml:space="preserve">          </w:t>
      </w:r>
      <w:r>
        <w:rPr>
          <w:rFonts w:eastAsia="仿宋"/>
          <w:color w:val="000000"/>
          <w:sz w:val="28"/>
          <w:szCs w:val="32"/>
        </w:rPr>
        <w:t>（项目名称）</w:t>
      </w:r>
      <w:r>
        <w:rPr>
          <w:rFonts w:eastAsia="仿宋"/>
          <w:color w:val="000000"/>
          <w:sz w:val="28"/>
          <w:szCs w:val="32"/>
          <w:u w:val="single"/>
        </w:rPr>
        <w:t xml:space="preserve">         </w:t>
      </w:r>
      <w:r>
        <w:rPr>
          <w:rFonts w:eastAsia="仿宋"/>
          <w:color w:val="000000"/>
          <w:sz w:val="28"/>
          <w:szCs w:val="32"/>
        </w:rPr>
        <w:t>（标段名称）招标文件的全部内容，愿意以人民币（大写）</w:t>
      </w:r>
      <w:r>
        <w:rPr>
          <w:rFonts w:eastAsia="仿宋"/>
          <w:color w:val="000000"/>
          <w:sz w:val="28"/>
          <w:szCs w:val="32"/>
          <w:u w:val="single"/>
        </w:rPr>
        <w:t xml:space="preserve">      </w:t>
      </w:r>
      <w:r>
        <w:rPr>
          <w:rFonts w:eastAsia="仿宋"/>
          <w:color w:val="000000"/>
          <w:sz w:val="28"/>
          <w:szCs w:val="32"/>
        </w:rPr>
        <w:t>元（</w:t>
      </w:r>
      <w:r>
        <w:rPr>
          <w:color w:val="000000"/>
          <w:sz w:val="28"/>
          <w:szCs w:val="32"/>
        </w:rPr>
        <w:t>¥</w:t>
      </w:r>
      <w:r>
        <w:rPr>
          <w:rFonts w:eastAsia="仿宋"/>
          <w:color w:val="000000"/>
          <w:sz w:val="28"/>
          <w:szCs w:val="32"/>
          <w:u w:val="single"/>
        </w:rPr>
        <w:t xml:space="preserve">       </w:t>
      </w:r>
      <w:r>
        <w:rPr>
          <w:rFonts w:eastAsia="仿宋"/>
          <w:color w:val="000000"/>
          <w:sz w:val="28"/>
          <w:szCs w:val="32"/>
        </w:rPr>
        <w:t>）的投标总报价，工期</w:t>
      </w:r>
      <w:r>
        <w:rPr>
          <w:rFonts w:eastAsia="仿宋"/>
          <w:color w:val="000000"/>
          <w:sz w:val="28"/>
          <w:szCs w:val="32"/>
          <w:u w:val="single"/>
        </w:rPr>
        <w:t xml:space="preserve">       </w:t>
      </w:r>
      <w:r>
        <w:rPr>
          <w:rFonts w:hint="eastAsia" w:eastAsia="仿宋"/>
          <w:color w:val="000000"/>
          <w:sz w:val="28"/>
          <w:szCs w:val="32"/>
        </w:rPr>
        <w:t>天</w:t>
      </w:r>
      <w:r>
        <w:rPr>
          <w:rFonts w:eastAsia="仿宋"/>
          <w:color w:val="000000"/>
          <w:sz w:val="28"/>
          <w:szCs w:val="32"/>
        </w:rPr>
        <w:t>，按合同约定实施和完成承包工程，修补工程中的任何缺陷，工程质量达到</w:t>
      </w:r>
      <w:r>
        <w:rPr>
          <w:rFonts w:eastAsia="仿宋"/>
          <w:color w:val="000000"/>
          <w:sz w:val="28"/>
          <w:szCs w:val="32"/>
          <w:u w:val="single"/>
        </w:rPr>
        <w:t xml:space="preserve">             </w:t>
      </w:r>
      <w:r>
        <w:rPr>
          <w:rFonts w:eastAsia="仿宋"/>
          <w:color w:val="000000"/>
          <w:sz w:val="28"/>
          <w:szCs w:val="32"/>
        </w:rPr>
        <w:t>。</w:t>
      </w:r>
    </w:p>
    <w:p>
      <w:pPr>
        <w:pStyle w:val="39"/>
        <w:spacing w:line="530" w:lineRule="exact"/>
        <w:ind w:left="2" w:leftChars="1" w:firstLine="560" w:firstLineChars="200"/>
        <w:rPr>
          <w:rFonts w:eastAsia="仿宋"/>
          <w:color w:val="000000"/>
          <w:sz w:val="28"/>
          <w:szCs w:val="32"/>
        </w:rPr>
      </w:pPr>
      <w:r>
        <w:rPr>
          <w:rFonts w:eastAsia="仿宋"/>
          <w:color w:val="000000"/>
          <w:sz w:val="28"/>
          <w:szCs w:val="32"/>
        </w:rPr>
        <w:t>2．</w:t>
      </w:r>
      <w:r>
        <w:rPr>
          <w:rFonts w:hint="eastAsia" w:eastAsia="仿宋"/>
          <w:color w:val="000000"/>
          <w:sz w:val="28"/>
          <w:szCs w:val="32"/>
        </w:rPr>
        <w:t>我方承诺以</w:t>
      </w:r>
      <w:r>
        <w:rPr>
          <w:rFonts w:hint="eastAsia" w:eastAsia="仿宋"/>
          <w:color w:val="000000"/>
          <w:sz w:val="28"/>
          <w:szCs w:val="32"/>
          <w:u w:val="single"/>
        </w:rPr>
        <w:t>建筑工程施工总承包  级或市政公用工程施工总承包 级或水利水电工程施工总承包  级</w:t>
      </w:r>
      <w:r>
        <w:rPr>
          <w:rFonts w:hint="eastAsia" w:eastAsia="仿宋"/>
          <w:color w:val="000000"/>
          <w:sz w:val="28"/>
          <w:szCs w:val="32"/>
        </w:rPr>
        <w:t>）和</w:t>
      </w:r>
      <w:r>
        <w:rPr>
          <w:rFonts w:hint="eastAsia" w:eastAsia="仿宋"/>
          <w:color w:val="000000"/>
          <w:sz w:val="28"/>
          <w:szCs w:val="32"/>
          <w:u w:val="single"/>
        </w:rPr>
        <w:t>建筑工程或市政公用工程或水利水电工程信用评价</w:t>
      </w:r>
      <w:r>
        <w:rPr>
          <w:rFonts w:hint="eastAsia" w:eastAsia="仿宋"/>
          <w:color w:val="000000"/>
          <w:sz w:val="28"/>
          <w:szCs w:val="32"/>
        </w:rPr>
        <w:t>及与专业相符的建造师、技术负责人、安全员及其他主要人员递交本投标文件，在投标有效期内不补充、修改、替代或者撤回本投标文件。</w:t>
      </w:r>
    </w:p>
    <w:p>
      <w:pPr>
        <w:pStyle w:val="39"/>
        <w:spacing w:line="530" w:lineRule="exact"/>
        <w:ind w:left="2" w:leftChars="1" w:firstLine="560" w:firstLineChars="200"/>
        <w:rPr>
          <w:rFonts w:eastAsia="仿宋"/>
          <w:color w:val="000000"/>
          <w:sz w:val="28"/>
          <w:szCs w:val="32"/>
        </w:rPr>
      </w:pPr>
      <w:r>
        <w:rPr>
          <w:rFonts w:eastAsia="仿宋"/>
          <w:color w:val="000000"/>
          <w:sz w:val="28"/>
          <w:szCs w:val="32"/>
        </w:rPr>
        <w:t>3．随同本投标函递交</w:t>
      </w:r>
      <w:r>
        <w:rPr>
          <w:rFonts w:eastAsia="仿宋"/>
          <w:color w:val="000000"/>
          <w:sz w:val="28"/>
        </w:rPr>
        <w:t>□</w:t>
      </w:r>
      <w:r>
        <w:rPr>
          <w:rFonts w:hint="eastAsia" w:eastAsia="仿宋"/>
          <w:color w:val="000000"/>
          <w:sz w:val="28"/>
          <w:szCs w:val="32"/>
        </w:rPr>
        <w:t>投标担保</w:t>
      </w:r>
      <w:r>
        <w:rPr>
          <w:rFonts w:eastAsia="仿宋"/>
          <w:color w:val="000000"/>
          <w:sz w:val="28"/>
          <w:szCs w:val="32"/>
        </w:rPr>
        <w:t xml:space="preserve"> </w:t>
      </w:r>
      <w:r>
        <w:rPr>
          <w:rFonts w:eastAsia="仿宋"/>
          <w:color w:val="000000"/>
          <w:sz w:val="28"/>
        </w:rPr>
        <w:t>□投标保函 □工程投标保证保险</w:t>
      </w:r>
      <w:r>
        <w:rPr>
          <w:rFonts w:eastAsia="仿宋"/>
          <w:color w:val="000000"/>
          <w:sz w:val="28"/>
          <w:szCs w:val="32"/>
        </w:rPr>
        <w:t>一份，金额为人民币（大写）</w:t>
      </w:r>
      <w:r>
        <w:rPr>
          <w:rFonts w:eastAsia="仿宋"/>
          <w:color w:val="000000"/>
          <w:sz w:val="28"/>
          <w:szCs w:val="32"/>
          <w:u w:val="single"/>
        </w:rPr>
        <w:t xml:space="preserve">       </w:t>
      </w:r>
      <w:r>
        <w:rPr>
          <w:rFonts w:eastAsia="仿宋"/>
          <w:color w:val="000000"/>
          <w:sz w:val="28"/>
          <w:szCs w:val="32"/>
        </w:rPr>
        <w:t>元（</w:t>
      </w:r>
      <w:r>
        <w:rPr>
          <w:color w:val="000000"/>
          <w:sz w:val="28"/>
          <w:szCs w:val="32"/>
        </w:rPr>
        <w:t>¥</w:t>
      </w:r>
      <w:r>
        <w:rPr>
          <w:rFonts w:eastAsia="仿宋"/>
          <w:color w:val="000000"/>
          <w:sz w:val="28"/>
          <w:szCs w:val="32"/>
          <w:u w:val="single"/>
        </w:rPr>
        <w:t xml:space="preserve">       </w:t>
      </w:r>
      <w:r>
        <w:rPr>
          <w:rFonts w:eastAsia="仿宋"/>
          <w:color w:val="000000"/>
          <w:sz w:val="28"/>
          <w:szCs w:val="32"/>
        </w:rPr>
        <w:t>）。 □投标承诺。</w:t>
      </w:r>
    </w:p>
    <w:p>
      <w:pPr>
        <w:pStyle w:val="39"/>
        <w:spacing w:line="530" w:lineRule="exact"/>
        <w:ind w:left="2" w:leftChars="1" w:firstLine="560" w:firstLineChars="200"/>
        <w:rPr>
          <w:rFonts w:eastAsia="仿宋"/>
          <w:color w:val="000000"/>
          <w:sz w:val="28"/>
          <w:szCs w:val="32"/>
        </w:rPr>
      </w:pPr>
      <w:r>
        <w:rPr>
          <w:rFonts w:eastAsia="仿宋"/>
          <w:color w:val="000000"/>
          <w:sz w:val="28"/>
          <w:szCs w:val="32"/>
        </w:rPr>
        <w:t>4．我方在此声明，所递交的投标文件及有关资料内容完整、真实和准确，且不存在第二章投标人须知第1.4.3款规定的任何一种情形。</w:t>
      </w:r>
    </w:p>
    <w:p>
      <w:pPr>
        <w:pStyle w:val="19"/>
        <w:spacing w:after="0" w:line="530" w:lineRule="exact"/>
        <w:ind w:left="0" w:leftChars="0" w:firstLine="560" w:firstLineChars="200"/>
        <w:rPr>
          <w:rFonts w:eastAsia="仿宋"/>
          <w:color w:val="000000"/>
          <w:sz w:val="28"/>
          <w:szCs w:val="32"/>
        </w:rPr>
      </w:pPr>
      <w:r>
        <w:rPr>
          <w:rFonts w:eastAsia="仿宋"/>
          <w:color w:val="000000"/>
          <w:sz w:val="28"/>
          <w:szCs w:val="32"/>
        </w:rPr>
        <w:t>5．我方承诺：</w:t>
      </w:r>
    </w:p>
    <w:p>
      <w:pPr>
        <w:pStyle w:val="19"/>
        <w:spacing w:after="0" w:line="530" w:lineRule="exact"/>
        <w:ind w:left="0" w:leftChars="0" w:firstLine="560" w:firstLineChars="200"/>
        <w:rPr>
          <w:rFonts w:eastAsia="仿宋"/>
          <w:color w:val="000000"/>
          <w:sz w:val="28"/>
          <w:szCs w:val="32"/>
        </w:rPr>
      </w:pPr>
      <w:r>
        <w:rPr>
          <w:rFonts w:eastAsia="仿宋"/>
          <w:color w:val="000000"/>
          <w:sz w:val="28"/>
          <w:szCs w:val="32"/>
        </w:rPr>
        <w:t>（1）保证投标文件内容无任何虚假，不提供伪造、涂改的公文及相关证明、证照、证件或谎报相关信息。若评标过程中查有虚假，同意作无效投标文件处理并由招标人报</w:t>
      </w:r>
      <w:r>
        <w:rPr>
          <w:rFonts w:hint="eastAsia" w:eastAsia="仿宋"/>
          <w:color w:val="000000"/>
          <w:sz w:val="28"/>
          <w:szCs w:val="32"/>
          <w:lang w:val="en-US" w:eastAsia="zh-CN"/>
        </w:rPr>
        <w:t>建设或水行政主管</w:t>
      </w:r>
      <w:r>
        <w:rPr>
          <w:rFonts w:eastAsia="仿宋"/>
          <w:color w:val="000000"/>
          <w:sz w:val="28"/>
          <w:szCs w:val="32"/>
        </w:rPr>
        <w:t>部门给予不良行为记录；若中标之后查有虚假，同意被废除授标并由招标人报</w:t>
      </w:r>
      <w:r>
        <w:rPr>
          <w:rFonts w:hint="eastAsia" w:eastAsia="仿宋"/>
          <w:color w:val="000000"/>
          <w:sz w:val="28"/>
          <w:szCs w:val="32"/>
          <w:lang w:val="en-US" w:eastAsia="zh-CN"/>
        </w:rPr>
        <w:t>建设或水行政主管</w:t>
      </w:r>
      <w:r>
        <w:rPr>
          <w:rFonts w:eastAsia="仿宋"/>
          <w:color w:val="000000"/>
          <w:sz w:val="28"/>
          <w:szCs w:val="32"/>
        </w:rPr>
        <w:t>部门给予不良行为记录。</w:t>
      </w:r>
    </w:p>
    <w:p>
      <w:pPr>
        <w:pStyle w:val="19"/>
        <w:spacing w:after="0" w:line="530" w:lineRule="exact"/>
        <w:ind w:left="0" w:leftChars="0" w:firstLine="560" w:firstLineChars="200"/>
        <w:rPr>
          <w:rFonts w:eastAsia="仿宋"/>
          <w:color w:val="000000"/>
          <w:sz w:val="28"/>
          <w:szCs w:val="32"/>
        </w:rPr>
      </w:pPr>
      <w:r>
        <w:rPr>
          <w:rFonts w:eastAsia="仿宋"/>
          <w:color w:val="000000"/>
          <w:sz w:val="28"/>
          <w:szCs w:val="32"/>
        </w:rPr>
        <w:t>（2）保证不借用他人资质投标或出借资质给他人投标，不与其他投标人串通投标，不使用非法手段获取中标。如在投标过程中发现有上述行为，同意作无效投标文件处理并由招标人报</w:t>
      </w:r>
      <w:r>
        <w:rPr>
          <w:rFonts w:hint="eastAsia" w:eastAsia="仿宋"/>
          <w:color w:val="000000"/>
          <w:sz w:val="28"/>
          <w:szCs w:val="32"/>
          <w:lang w:val="en-US" w:eastAsia="zh-CN"/>
        </w:rPr>
        <w:t>建设或水行政主管</w:t>
      </w:r>
      <w:r>
        <w:rPr>
          <w:rFonts w:eastAsia="仿宋"/>
          <w:color w:val="000000"/>
          <w:sz w:val="28"/>
          <w:szCs w:val="32"/>
        </w:rPr>
        <w:t>部门给予不良行为记录；若中标之后发现有上述行为，同意被废除授标并由招标人报</w:t>
      </w:r>
      <w:r>
        <w:rPr>
          <w:rFonts w:hint="eastAsia" w:eastAsia="仿宋"/>
          <w:color w:val="000000"/>
          <w:sz w:val="28"/>
          <w:szCs w:val="32"/>
          <w:lang w:val="en-US" w:eastAsia="zh-CN"/>
        </w:rPr>
        <w:t>建设或水行政主管</w:t>
      </w:r>
      <w:r>
        <w:rPr>
          <w:rFonts w:eastAsia="仿宋"/>
          <w:color w:val="000000"/>
          <w:sz w:val="28"/>
          <w:szCs w:val="32"/>
        </w:rPr>
        <w:t>部门给予不良行为记录。</w:t>
      </w:r>
    </w:p>
    <w:p>
      <w:pPr>
        <w:pStyle w:val="19"/>
        <w:spacing w:after="0" w:line="530" w:lineRule="exact"/>
        <w:ind w:left="0" w:leftChars="0" w:firstLine="560" w:firstLineChars="200"/>
        <w:rPr>
          <w:rFonts w:eastAsia="仿宋"/>
          <w:color w:val="000000"/>
          <w:sz w:val="28"/>
          <w:szCs w:val="32"/>
        </w:rPr>
      </w:pPr>
      <w:r>
        <w:rPr>
          <w:rFonts w:eastAsia="仿宋"/>
          <w:color w:val="000000"/>
          <w:sz w:val="28"/>
          <w:szCs w:val="32"/>
        </w:rPr>
        <w:t>（3）保证拟投入本项目的施工项目负责人在本项目投标及实施期间没有担任其它任何施工项目的项目负责人，如有违反，同意作无效投标文件处理并由招标人报</w:t>
      </w:r>
      <w:r>
        <w:rPr>
          <w:rFonts w:hint="eastAsia" w:eastAsia="仿宋"/>
          <w:color w:val="000000"/>
          <w:sz w:val="28"/>
          <w:szCs w:val="32"/>
          <w:lang w:val="en-US" w:eastAsia="zh-CN"/>
        </w:rPr>
        <w:t>建设或水行政主管</w:t>
      </w:r>
      <w:r>
        <w:rPr>
          <w:rFonts w:eastAsia="仿宋"/>
          <w:color w:val="000000"/>
          <w:sz w:val="28"/>
          <w:szCs w:val="32"/>
        </w:rPr>
        <w:t>部门给予不良行为记录；如已中标，同意被废除授标并由招标人报</w:t>
      </w:r>
      <w:r>
        <w:rPr>
          <w:rFonts w:hint="eastAsia" w:eastAsia="仿宋"/>
          <w:color w:val="000000"/>
          <w:sz w:val="28"/>
          <w:szCs w:val="32"/>
          <w:lang w:val="en-US" w:eastAsia="zh-CN"/>
        </w:rPr>
        <w:t>建设或水行政主管</w:t>
      </w:r>
      <w:r>
        <w:rPr>
          <w:rFonts w:eastAsia="仿宋"/>
          <w:color w:val="000000"/>
          <w:sz w:val="28"/>
          <w:szCs w:val="32"/>
        </w:rPr>
        <w:t>部门给予不良行为记录。</w:t>
      </w:r>
    </w:p>
    <w:p>
      <w:pPr>
        <w:pStyle w:val="39"/>
        <w:spacing w:line="530" w:lineRule="exact"/>
        <w:ind w:left="2" w:leftChars="1" w:firstLine="560" w:firstLineChars="200"/>
        <w:rPr>
          <w:rFonts w:eastAsia="仿宋"/>
          <w:color w:val="000000"/>
          <w:sz w:val="28"/>
          <w:szCs w:val="32"/>
        </w:rPr>
      </w:pPr>
      <w:r>
        <w:rPr>
          <w:rFonts w:eastAsia="仿宋"/>
          <w:color w:val="000000"/>
          <w:sz w:val="28"/>
          <w:szCs w:val="32"/>
        </w:rPr>
        <w:t>（4）如我方中标：</w:t>
      </w:r>
    </w:p>
    <w:p>
      <w:pPr>
        <w:pStyle w:val="39"/>
        <w:spacing w:line="530" w:lineRule="exact"/>
        <w:ind w:left="2" w:leftChars="1" w:firstLine="560" w:firstLineChars="200"/>
        <w:rPr>
          <w:rFonts w:eastAsia="仿宋"/>
          <w:color w:val="000000"/>
          <w:sz w:val="28"/>
          <w:szCs w:val="32"/>
        </w:rPr>
      </w:pPr>
      <w:r>
        <w:rPr>
          <w:rFonts w:hint="eastAsia" w:ascii="宋体" w:hAnsi="宋体" w:cs="宋体"/>
          <w:color w:val="000000"/>
          <w:sz w:val="28"/>
          <w:szCs w:val="32"/>
        </w:rPr>
        <w:t>①</w:t>
      </w:r>
      <w:r>
        <w:rPr>
          <w:rFonts w:eastAsia="仿宋"/>
          <w:color w:val="000000"/>
          <w:sz w:val="28"/>
          <w:szCs w:val="32"/>
        </w:rPr>
        <w:t>随同本投标函递交的投标函附录属于合同文件的组成部分；</w:t>
      </w:r>
    </w:p>
    <w:p>
      <w:pPr>
        <w:pStyle w:val="39"/>
        <w:spacing w:line="530" w:lineRule="exact"/>
        <w:ind w:left="2" w:leftChars="1" w:firstLine="560" w:firstLineChars="200"/>
        <w:rPr>
          <w:rFonts w:eastAsia="仿宋"/>
          <w:color w:val="000000"/>
          <w:sz w:val="28"/>
          <w:szCs w:val="32"/>
        </w:rPr>
      </w:pPr>
      <w:r>
        <w:rPr>
          <w:rFonts w:hint="eastAsia" w:ascii="宋体" w:hAnsi="宋体" w:cs="宋体"/>
          <w:color w:val="000000"/>
          <w:sz w:val="28"/>
          <w:szCs w:val="32"/>
        </w:rPr>
        <w:t>②</w:t>
      </w:r>
      <w:r>
        <w:rPr>
          <w:rFonts w:eastAsia="仿宋"/>
          <w:color w:val="000000"/>
          <w:sz w:val="28"/>
          <w:szCs w:val="32"/>
        </w:rPr>
        <w:t>保证按照招标文件及中标通知书的要求提交履约担保，在规定的期限内与你方签订合同。如有违反，同意取消我公司中标资格并不予退还</w:t>
      </w:r>
      <w:r>
        <w:rPr>
          <w:rFonts w:hint="eastAsia" w:eastAsia="仿宋"/>
          <w:color w:val="000000"/>
          <w:sz w:val="28"/>
          <w:szCs w:val="32"/>
        </w:rPr>
        <w:t>投标担保</w:t>
      </w:r>
      <w:r>
        <w:rPr>
          <w:rFonts w:eastAsia="仿宋"/>
          <w:color w:val="000000"/>
          <w:sz w:val="28"/>
          <w:szCs w:val="32"/>
        </w:rPr>
        <w:t>；</w:t>
      </w:r>
    </w:p>
    <w:p>
      <w:pPr>
        <w:pStyle w:val="19"/>
        <w:spacing w:after="0" w:line="530" w:lineRule="exact"/>
        <w:ind w:left="0" w:leftChars="0" w:firstLine="560" w:firstLineChars="200"/>
        <w:rPr>
          <w:rFonts w:eastAsia="仿宋"/>
          <w:color w:val="000000"/>
          <w:sz w:val="28"/>
          <w:szCs w:val="32"/>
        </w:rPr>
      </w:pPr>
      <w:r>
        <w:rPr>
          <w:rFonts w:hint="eastAsia" w:ascii="宋体" w:hAnsi="宋体" w:cs="宋体"/>
          <w:color w:val="000000"/>
          <w:sz w:val="28"/>
          <w:szCs w:val="32"/>
        </w:rPr>
        <w:t>③</w:t>
      </w:r>
      <w:r>
        <w:rPr>
          <w:rFonts w:eastAsia="仿宋"/>
          <w:color w:val="000000"/>
          <w:sz w:val="28"/>
          <w:szCs w:val="32"/>
        </w:rPr>
        <w:t>保证遵纪守法，严格按约定履行合同。在履行合同过程中不转包工程，若需分包将征得招标人同意，保证招标人免于承担因我公司违反法律而引起的任何责任。如有违反，同意按有关规定接收行政和法律处罚，同意终止合同并不予退还履约担保；</w:t>
      </w:r>
    </w:p>
    <w:p>
      <w:pPr>
        <w:pStyle w:val="19"/>
        <w:spacing w:after="0" w:line="530" w:lineRule="exact"/>
        <w:ind w:left="0" w:leftChars="0" w:firstLine="560" w:firstLineChars="200"/>
        <w:rPr>
          <w:rFonts w:eastAsia="仿宋"/>
          <w:color w:val="000000"/>
          <w:sz w:val="28"/>
          <w:szCs w:val="32"/>
        </w:rPr>
      </w:pPr>
      <w:r>
        <w:rPr>
          <w:rFonts w:hint="eastAsia" w:ascii="宋体" w:hAnsi="宋体" w:cs="宋体"/>
          <w:color w:val="000000"/>
          <w:sz w:val="28"/>
          <w:szCs w:val="32"/>
        </w:rPr>
        <w:t>④</w:t>
      </w:r>
      <w:r>
        <w:rPr>
          <w:rFonts w:eastAsia="仿宋"/>
          <w:color w:val="000000"/>
          <w:sz w:val="28"/>
          <w:szCs w:val="32"/>
        </w:rPr>
        <w:t>保证按照投标文件承诺派驻管理人员及投入机械设备，保证派驻现场的管理人员按约定进行考勤。如有违反，同意终止合同并不予退还履约担保；</w:t>
      </w:r>
    </w:p>
    <w:p>
      <w:pPr>
        <w:pStyle w:val="19"/>
        <w:spacing w:after="0" w:line="530" w:lineRule="exact"/>
        <w:ind w:left="0" w:leftChars="0" w:firstLine="560" w:firstLineChars="200"/>
        <w:rPr>
          <w:rFonts w:eastAsia="仿宋"/>
          <w:color w:val="000000"/>
          <w:sz w:val="28"/>
          <w:szCs w:val="32"/>
        </w:rPr>
      </w:pPr>
      <w:r>
        <w:rPr>
          <w:rFonts w:hint="eastAsia" w:ascii="宋体" w:hAnsi="宋体" w:cs="宋体"/>
          <w:color w:val="000000"/>
          <w:sz w:val="28"/>
          <w:szCs w:val="32"/>
        </w:rPr>
        <w:t>⑤</w:t>
      </w:r>
      <w:r>
        <w:rPr>
          <w:rFonts w:eastAsia="仿宋"/>
          <w:color w:val="000000"/>
          <w:sz w:val="28"/>
          <w:szCs w:val="32"/>
        </w:rPr>
        <w:t>保证加强施工现场管理</w:t>
      </w:r>
      <w:r>
        <w:rPr>
          <w:rFonts w:hint="eastAsia" w:eastAsia="仿宋"/>
          <w:color w:val="000000"/>
          <w:sz w:val="28"/>
          <w:szCs w:val="32"/>
          <w:lang w:eastAsia="zh-CN"/>
        </w:rPr>
        <w:t>，</w:t>
      </w:r>
      <w:r>
        <w:rPr>
          <w:rFonts w:eastAsia="仿宋"/>
          <w:color w:val="000000"/>
          <w:sz w:val="28"/>
          <w:szCs w:val="32"/>
        </w:rPr>
        <w:t>接受招标人及代表和现场监理人员的管理和考核，不发生质量或安全事故；</w:t>
      </w:r>
    </w:p>
    <w:p>
      <w:pPr>
        <w:pStyle w:val="19"/>
        <w:spacing w:after="0" w:line="530" w:lineRule="exact"/>
        <w:ind w:left="0" w:leftChars="0" w:firstLine="560" w:firstLineChars="200"/>
        <w:rPr>
          <w:rFonts w:eastAsia="仿宋"/>
          <w:color w:val="000000"/>
          <w:sz w:val="28"/>
          <w:szCs w:val="32"/>
        </w:rPr>
      </w:pPr>
      <w:r>
        <w:rPr>
          <w:rFonts w:hint="eastAsia" w:ascii="宋体" w:hAnsi="宋体" w:cs="宋体"/>
          <w:color w:val="000000"/>
          <w:sz w:val="28"/>
          <w:szCs w:val="32"/>
        </w:rPr>
        <w:t>⑥</w:t>
      </w:r>
      <w:r>
        <w:rPr>
          <w:rFonts w:eastAsia="仿宋"/>
          <w:color w:val="000000"/>
          <w:sz w:val="28"/>
          <w:szCs w:val="32"/>
        </w:rPr>
        <w:t>保证按照合同约定的单价进行结算，总价项目按实际完成工程量比例结算；</w:t>
      </w:r>
    </w:p>
    <w:p>
      <w:pPr>
        <w:pStyle w:val="19"/>
        <w:spacing w:after="0" w:line="530" w:lineRule="exact"/>
        <w:ind w:left="0" w:leftChars="0" w:firstLine="560" w:firstLineChars="200"/>
        <w:rPr>
          <w:rFonts w:eastAsia="仿宋"/>
          <w:color w:val="000000"/>
          <w:sz w:val="28"/>
          <w:szCs w:val="32"/>
        </w:rPr>
      </w:pPr>
      <w:r>
        <w:rPr>
          <w:rFonts w:hint="eastAsia" w:ascii="宋体" w:hAnsi="宋体" w:cs="宋体"/>
          <w:color w:val="000000"/>
          <w:sz w:val="28"/>
          <w:szCs w:val="32"/>
        </w:rPr>
        <w:t>⑦</w:t>
      </w:r>
      <w:r>
        <w:rPr>
          <w:rFonts w:eastAsia="仿宋"/>
          <w:color w:val="000000"/>
          <w:sz w:val="28"/>
          <w:szCs w:val="32"/>
        </w:rPr>
        <w:t>保证及时申请验收，按合同约定的期限和质量标准完成和移交全部合同工程。</w:t>
      </w:r>
    </w:p>
    <w:p>
      <w:pPr>
        <w:pStyle w:val="19"/>
        <w:spacing w:after="0" w:line="530" w:lineRule="exact"/>
        <w:ind w:left="0" w:leftChars="0" w:firstLine="560" w:firstLineChars="200"/>
        <w:rPr>
          <w:rFonts w:eastAsia="仿宋"/>
          <w:color w:val="000000"/>
          <w:sz w:val="28"/>
          <w:szCs w:val="32"/>
        </w:rPr>
      </w:pPr>
      <w:r>
        <w:rPr>
          <w:rFonts w:eastAsia="仿宋"/>
          <w:color w:val="000000"/>
          <w:sz w:val="28"/>
          <w:szCs w:val="32"/>
        </w:rPr>
        <w:t>我公司若违反以上承诺或出现其他违法、严重违约等行为，同意招标人向</w:t>
      </w:r>
      <w:r>
        <w:rPr>
          <w:rFonts w:hint="eastAsia" w:eastAsia="仿宋"/>
          <w:color w:val="000000"/>
          <w:sz w:val="28"/>
          <w:szCs w:val="32"/>
          <w:lang w:val="en-US" w:eastAsia="zh-CN"/>
        </w:rPr>
        <w:t>建设或水行政</w:t>
      </w:r>
      <w:r>
        <w:rPr>
          <w:rFonts w:eastAsia="仿宋"/>
          <w:color w:val="000000"/>
          <w:sz w:val="28"/>
          <w:szCs w:val="32"/>
        </w:rPr>
        <w:t>主管部门申报我公司不良行为记录；除非招标人同意，我公司自愿放弃参与招标人今后组织的任何项目的投标活动。</w:t>
      </w:r>
    </w:p>
    <w:p>
      <w:pPr>
        <w:pStyle w:val="39"/>
        <w:spacing w:line="530" w:lineRule="exact"/>
        <w:ind w:left="0" w:leftChars="0" w:firstLine="560" w:firstLineChars="200"/>
        <w:rPr>
          <w:rFonts w:eastAsia="仿宋"/>
          <w:color w:val="000000"/>
          <w:sz w:val="28"/>
          <w:szCs w:val="32"/>
          <w:u w:val="single"/>
        </w:rPr>
      </w:pPr>
      <w:r>
        <w:rPr>
          <w:rFonts w:eastAsia="仿宋"/>
          <w:color w:val="000000"/>
          <w:sz w:val="28"/>
          <w:szCs w:val="32"/>
        </w:rPr>
        <w:t>6．投标有效期：</w:t>
      </w:r>
      <w:r>
        <w:rPr>
          <w:rFonts w:eastAsia="仿宋"/>
          <w:color w:val="000000"/>
          <w:sz w:val="28"/>
          <w:szCs w:val="32"/>
          <w:u w:val="single"/>
        </w:rPr>
        <w:t xml:space="preserve">              </w:t>
      </w:r>
      <w:r>
        <w:rPr>
          <w:rFonts w:eastAsia="仿宋"/>
          <w:color w:val="000000"/>
          <w:sz w:val="28"/>
          <w:szCs w:val="32"/>
        </w:rPr>
        <w:t>。</w:t>
      </w:r>
    </w:p>
    <w:p>
      <w:pPr>
        <w:pStyle w:val="39"/>
        <w:spacing w:line="490" w:lineRule="exact"/>
        <w:ind w:left="0" w:leftChars="0" w:firstLine="560" w:firstLineChars="200"/>
        <w:rPr>
          <w:rFonts w:eastAsia="仿宋"/>
          <w:color w:val="000000"/>
          <w:sz w:val="20"/>
        </w:rPr>
      </w:pPr>
      <w:r>
        <w:rPr>
          <w:rFonts w:eastAsia="仿宋"/>
          <w:color w:val="000000"/>
          <w:sz w:val="28"/>
          <w:szCs w:val="32"/>
        </w:rPr>
        <w:t xml:space="preserve">7． </w:t>
      </w:r>
      <w:r>
        <w:rPr>
          <w:rFonts w:eastAsia="仿宋"/>
          <w:color w:val="000000"/>
          <w:sz w:val="28"/>
          <w:szCs w:val="32"/>
          <w:u w:val="single"/>
        </w:rPr>
        <w:t xml:space="preserve">         </w:t>
      </w:r>
      <w:r>
        <w:rPr>
          <w:rFonts w:eastAsia="仿宋"/>
          <w:color w:val="000000"/>
          <w:sz w:val="28"/>
          <w:szCs w:val="32"/>
        </w:rPr>
        <w:t>（其它补充说明）。</w:t>
      </w:r>
    </w:p>
    <w:p>
      <w:pPr>
        <w:spacing w:line="490" w:lineRule="exact"/>
        <w:rPr>
          <w:rFonts w:eastAsia="仿宋"/>
          <w:color w:val="000000"/>
          <w:sz w:val="28"/>
          <w:szCs w:val="32"/>
        </w:rPr>
      </w:pPr>
    </w:p>
    <w:p>
      <w:pPr>
        <w:spacing w:line="490" w:lineRule="exact"/>
        <w:rPr>
          <w:rFonts w:eastAsia="仿宋"/>
          <w:color w:val="000000"/>
          <w:sz w:val="28"/>
          <w:szCs w:val="32"/>
        </w:rPr>
      </w:pPr>
    </w:p>
    <w:p>
      <w:pPr>
        <w:spacing w:line="490" w:lineRule="exact"/>
        <w:rPr>
          <w:rFonts w:eastAsia="仿宋"/>
          <w:color w:val="000000"/>
          <w:sz w:val="28"/>
          <w:szCs w:val="32"/>
        </w:rPr>
      </w:pPr>
    </w:p>
    <w:p>
      <w:pPr>
        <w:tabs>
          <w:tab w:val="left" w:pos="2700"/>
          <w:tab w:val="left" w:pos="6663"/>
        </w:tabs>
        <w:spacing w:line="490" w:lineRule="exact"/>
        <w:ind w:firstLine="2884" w:firstLineChars="1030"/>
        <w:rPr>
          <w:rFonts w:eastAsia="仿宋"/>
          <w:color w:val="000000"/>
          <w:sz w:val="28"/>
          <w:szCs w:val="32"/>
          <w:u w:val="single"/>
        </w:rPr>
      </w:pPr>
      <w:r>
        <w:rPr>
          <w:rFonts w:eastAsia="仿宋"/>
          <w:color w:val="000000"/>
          <w:sz w:val="28"/>
          <w:szCs w:val="32"/>
        </w:rPr>
        <w:t>投  标  人：</w:t>
      </w:r>
      <w:r>
        <w:rPr>
          <w:rFonts w:eastAsia="仿宋"/>
          <w:color w:val="000000"/>
          <w:sz w:val="28"/>
          <w:szCs w:val="32"/>
          <w:u w:val="single"/>
        </w:rPr>
        <w:t xml:space="preserve">                             </w:t>
      </w:r>
    </w:p>
    <w:p>
      <w:pPr>
        <w:tabs>
          <w:tab w:val="left" w:pos="2700"/>
        </w:tabs>
        <w:spacing w:line="490" w:lineRule="exact"/>
        <w:ind w:firstLine="5404" w:firstLineChars="1930"/>
        <w:rPr>
          <w:rFonts w:eastAsia="仿宋"/>
          <w:color w:val="000000"/>
          <w:sz w:val="28"/>
          <w:szCs w:val="32"/>
        </w:rPr>
      </w:pPr>
      <w:r>
        <w:rPr>
          <w:rFonts w:eastAsia="仿宋"/>
          <w:color w:val="000000"/>
          <w:sz w:val="28"/>
          <w:szCs w:val="32"/>
        </w:rPr>
        <w:t>（盖单位电子公章）</w:t>
      </w:r>
    </w:p>
    <w:p>
      <w:pPr>
        <w:tabs>
          <w:tab w:val="left" w:pos="2700"/>
        </w:tabs>
        <w:spacing w:line="490" w:lineRule="exact"/>
        <w:ind w:firstLine="2884" w:firstLineChars="1030"/>
        <w:rPr>
          <w:rFonts w:eastAsia="仿宋"/>
          <w:color w:val="000000"/>
          <w:sz w:val="28"/>
          <w:szCs w:val="32"/>
          <w:u w:val="single"/>
        </w:rPr>
      </w:pPr>
      <w:r>
        <w:rPr>
          <w:rFonts w:eastAsia="仿宋"/>
          <w:color w:val="000000"/>
          <w:sz w:val="28"/>
          <w:szCs w:val="32"/>
        </w:rPr>
        <w:t>法定代表人：</w:t>
      </w:r>
      <w:r>
        <w:rPr>
          <w:rFonts w:eastAsia="仿宋"/>
          <w:color w:val="000000"/>
          <w:sz w:val="28"/>
          <w:szCs w:val="32"/>
          <w:u w:val="single"/>
        </w:rPr>
        <w:t xml:space="preserve">                             </w:t>
      </w:r>
    </w:p>
    <w:p>
      <w:pPr>
        <w:tabs>
          <w:tab w:val="left" w:pos="2700"/>
        </w:tabs>
        <w:spacing w:line="490" w:lineRule="exact"/>
        <w:ind w:firstLine="5824" w:firstLineChars="2080"/>
        <w:rPr>
          <w:rFonts w:eastAsia="仿宋"/>
          <w:color w:val="000000"/>
          <w:sz w:val="28"/>
          <w:szCs w:val="32"/>
        </w:rPr>
      </w:pPr>
      <w:r>
        <w:rPr>
          <w:rFonts w:eastAsia="仿宋"/>
          <w:color w:val="000000"/>
          <w:sz w:val="28"/>
          <w:szCs w:val="32"/>
        </w:rPr>
        <w:t>（电子签名）</w:t>
      </w:r>
    </w:p>
    <w:p>
      <w:pPr>
        <w:tabs>
          <w:tab w:val="left" w:pos="2700"/>
        </w:tabs>
        <w:spacing w:line="490" w:lineRule="exact"/>
        <w:ind w:firstLine="2884" w:firstLineChars="1030"/>
        <w:rPr>
          <w:rFonts w:eastAsia="仿宋"/>
          <w:color w:val="000000"/>
          <w:sz w:val="28"/>
          <w:szCs w:val="32"/>
        </w:rPr>
      </w:pPr>
      <w:r>
        <w:rPr>
          <w:rFonts w:eastAsia="仿宋"/>
          <w:color w:val="000000"/>
          <w:sz w:val="28"/>
          <w:szCs w:val="32"/>
        </w:rPr>
        <w:t>地      址：</w:t>
      </w:r>
      <w:r>
        <w:rPr>
          <w:rFonts w:eastAsia="仿宋"/>
          <w:color w:val="000000"/>
          <w:sz w:val="28"/>
          <w:szCs w:val="32"/>
          <w:u w:val="single"/>
        </w:rPr>
        <w:t xml:space="preserve">                             </w:t>
      </w:r>
    </w:p>
    <w:p>
      <w:pPr>
        <w:tabs>
          <w:tab w:val="left" w:pos="2700"/>
        </w:tabs>
        <w:spacing w:line="490" w:lineRule="exact"/>
        <w:ind w:firstLine="2884" w:firstLineChars="1030"/>
        <w:rPr>
          <w:rFonts w:eastAsia="仿宋"/>
          <w:color w:val="000000"/>
          <w:sz w:val="28"/>
          <w:szCs w:val="32"/>
        </w:rPr>
      </w:pPr>
      <w:r>
        <w:rPr>
          <w:rFonts w:eastAsia="仿宋"/>
          <w:color w:val="000000"/>
          <w:sz w:val="28"/>
          <w:szCs w:val="32"/>
        </w:rPr>
        <w:t>网      址：</w:t>
      </w:r>
      <w:r>
        <w:rPr>
          <w:rFonts w:eastAsia="仿宋"/>
          <w:color w:val="000000"/>
          <w:sz w:val="28"/>
          <w:szCs w:val="32"/>
          <w:u w:val="single"/>
        </w:rPr>
        <w:t xml:space="preserve">                             </w:t>
      </w:r>
    </w:p>
    <w:p>
      <w:pPr>
        <w:tabs>
          <w:tab w:val="left" w:pos="2700"/>
        </w:tabs>
        <w:spacing w:line="490" w:lineRule="exact"/>
        <w:ind w:firstLine="2884" w:firstLineChars="1030"/>
        <w:rPr>
          <w:rFonts w:eastAsia="仿宋"/>
          <w:color w:val="000000"/>
          <w:sz w:val="28"/>
          <w:szCs w:val="32"/>
        </w:rPr>
      </w:pPr>
      <w:r>
        <w:rPr>
          <w:rFonts w:eastAsia="仿宋"/>
          <w:color w:val="000000"/>
          <w:sz w:val="28"/>
          <w:szCs w:val="32"/>
        </w:rPr>
        <w:t>电      话：</w:t>
      </w:r>
      <w:r>
        <w:rPr>
          <w:rFonts w:eastAsia="仿宋"/>
          <w:color w:val="000000"/>
          <w:sz w:val="28"/>
          <w:szCs w:val="32"/>
          <w:u w:val="single"/>
        </w:rPr>
        <w:t xml:space="preserve">                             </w:t>
      </w:r>
    </w:p>
    <w:p>
      <w:pPr>
        <w:tabs>
          <w:tab w:val="left" w:pos="2700"/>
        </w:tabs>
        <w:spacing w:line="490" w:lineRule="exact"/>
        <w:ind w:firstLine="2884" w:firstLineChars="1030"/>
        <w:rPr>
          <w:rFonts w:eastAsia="仿宋"/>
          <w:color w:val="000000"/>
          <w:sz w:val="28"/>
          <w:szCs w:val="32"/>
        </w:rPr>
      </w:pPr>
      <w:r>
        <w:rPr>
          <w:rFonts w:eastAsia="仿宋"/>
          <w:color w:val="000000"/>
          <w:sz w:val="28"/>
          <w:szCs w:val="32"/>
        </w:rPr>
        <w:t>传      真：</w:t>
      </w:r>
      <w:r>
        <w:rPr>
          <w:rFonts w:eastAsia="仿宋"/>
          <w:color w:val="000000"/>
          <w:sz w:val="28"/>
          <w:szCs w:val="32"/>
          <w:u w:val="single"/>
        </w:rPr>
        <w:t xml:space="preserve">                              </w:t>
      </w:r>
    </w:p>
    <w:p>
      <w:pPr>
        <w:pStyle w:val="2"/>
        <w:tabs>
          <w:tab w:val="left" w:pos="2700"/>
        </w:tabs>
        <w:spacing w:after="0" w:line="490" w:lineRule="exact"/>
        <w:ind w:firstLine="2884" w:firstLineChars="1030"/>
        <w:rPr>
          <w:rFonts w:eastAsia="仿宋"/>
          <w:color w:val="000000"/>
          <w:sz w:val="28"/>
          <w:szCs w:val="32"/>
        </w:rPr>
      </w:pPr>
      <w:r>
        <w:rPr>
          <w:rFonts w:eastAsia="仿宋"/>
          <w:color w:val="000000"/>
          <w:sz w:val="28"/>
          <w:szCs w:val="32"/>
        </w:rPr>
        <w:t>邮政 编 码：</w:t>
      </w:r>
      <w:r>
        <w:rPr>
          <w:rFonts w:eastAsia="仿宋"/>
          <w:color w:val="000000"/>
          <w:sz w:val="28"/>
          <w:szCs w:val="32"/>
          <w:u w:val="single"/>
        </w:rPr>
        <w:t xml:space="preserve">                              </w:t>
      </w:r>
    </w:p>
    <w:p>
      <w:pPr>
        <w:pStyle w:val="19"/>
        <w:tabs>
          <w:tab w:val="left" w:pos="3435"/>
        </w:tabs>
        <w:spacing w:after="0" w:line="490" w:lineRule="exact"/>
        <w:ind w:left="0" w:leftChars="0" w:firstLine="4564" w:firstLineChars="1630"/>
        <w:rPr>
          <w:rFonts w:eastAsia="仿宋"/>
          <w:color w:val="000000"/>
          <w:sz w:val="28"/>
          <w:szCs w:val="32"/>
        </w:rPr>
      </w:pPr>
      <w:r>
        <w:rPr>
          <w:rFonts w:eastAsia="仿宋"/>
          <w:color w:val="000000"/>
          <w:sz w:val="28"/>
          <w:szCs w:val="32"/>
          <w:u w:val="single"/>
        </w:rPr>
        <w:t xml:space="preserve">         </w:t>
      </w:r>
      <w:r>
        <w:rPr>
          <w:rFonts w:eastAsia="仿宋"/>
          <w:color w:val="000000"/>
          <w:sz w:val="28"/>
          <w:szCs w:val="32"/>
        </w:rPr>
        <w:t>年</w:t>
      </w:r>
      <w:r>
        <w:rPr>
          <w:rFonts w:eastAsia="仿宋"/>
          <w:color w:val="000000"/>
          <w:sz w:val="28"/>
          <w:szCs w:val="32"/>
          <w:u w:val="single"/>
        </w:rPr>
        <w:t xml:space="preserve">        </w:t>
      </w:r>
      <w:r>
        <w:rPr>
          <w:rFonts w:eastAsia="仿宋"/>
          <w:color w:val="000000"/>
          <w:sz w:val="28"/>
          <w:szCs w:val="32"/>
        </w:rPr>
        <w:t>月</w:t>
      </w:r>
      <w:r>
        <w:rPr>
          <w:rFonts w:eastAsia="仿宋"/>
          <w:i/>
          <w:color w:val="000000"/>
          <w:sz w:val="28"/>
          <w:szCs w:val="32"/>
          <w:u w:val="single"/>
        </w:rPr>
        <w:t xml:space="preserve">   </w:t>
      </w:r>
      <w:r>
        <w:rPr>
          <w:rFonts w:eastAsia="仿宋"/>
          <w:color w:val="000000"/>
          <w:sz w:val="28"/>
          <w:szCs w:val="32"/>
          <w:u w:val="single"/>
        </w:rPr>
        <w:t xml:space="preserve">    </w:t>
      </w:r>
      <w:r>
        <w:rPr>
          <w:rFonts w:eastAsia="仿宋"/>
          <w:color w:val="000000"/>
          <w:sz w:val="28"/>
          <w:szCs w:val="32"/>
        </w:rPr>
        <w:t>日</w:t>
      </w:r>
    </w:p>
    <w:p>
      <w:pPr>
        <w:rPr>
          <w:color w:val="000000"/>
        </w:rPr>
      </w:pPr>
    </w:p>
    <w:p>
      <w:pPr>
        <w:pStyle w:val="2"/>
        <w:spacing w:after="0" w:line="600" w:lineRule="exact"/>
        <w:jc w:val="center"/>
        <w:outlineLvl w:val="1"/>
        <w:rPr>
          <w:rFonts w:hint="eastAsia" w:ascii="楷体_GB2312" w:eastAsia="楷体_GB2312"/>
          <w:b/>
          <w:color w:val="000000"/>
          <w:sz w:val="32"/>
          <w:szCs w:val="32"/>
        </w:rPr>
      </w:pPr>
      <w:r>
        <w:rPr>
          <w:color w:val="000000"/>
        </w:rPr>
        <w:br w:type="page"/>
      </w:r>
      <w:bookmarkStart w:id="1991" w:name="_Toc32479"/>
      <w:r>
        <w:rPr>
          <w:rFonts w:hint="eastAsia" w:ascii="楷体_GB2312" w:eastAsia="楷体_GB2312"/>
          <w:b/>
          <w:color w:val="000000"/>
          <w:sz w:val="32"/>
          <w:szCs w:val="32"/>
        </w:rPr>
        <w:t>（二）投标函附录</w:t>
      </w:r>
      <w:bookmarkEnd w:id="1991"/>
    </w:p>
    <w:p>
      <w:pPr>
        <w:rPr>
          <w:color w:val="000000"/>
        </w:rPr>
      </w:pP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2894"/>
        <w:gridCol w:w="1257"/>
        <w:gridCol w:w="3230"/>
        <w:gridCol w:w="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7" w:type="dxa"/>
            <w:noWrap w:val="0"/>
            <w:vAlign w:val="center"/>
          </w:tcPr>
          <w:p>
            <w:pPr>
              <w:jc w:val="center"/>
              <w:rPr>
                <w:rFonts w:hint="eastAsia" w:ascii="仿宋_GB2312" w:hAnsi="宋体" w:eastAsia="仿宋_GB2312"/>
                <w:color w:val="000000"/>
              </w:rPr>
            </w:pPr>
            <w:r>
              <w:rPr>
                <w:rFonts w:hint="eastAsia" w:ascii="仿宋_GB2312" w:hAnsi="宋体" w:eastAsia="仿宋_GB2312"/>
                <w:color w:val="000000"/>
              </w:rPr>
              <w:t>序号</w:t>
            </w:r>
          </w:p>
        </w:tc>
        <w:tc>
          <w:tcPr>
            <w:tcW w:w="2894" w:type="dxa"/>
            <w:noWrap w:val="0"/>
            <w:vAlign w:val="center"/>
          </w:tcPr>
          <w:p>
            <w:pPr>
              <w:jc w:val="center"/>
              <w:rPr>
                <w:rFonts w:hint="eastAsia" w:ascii="仿宋_GB2312" w:hAnsi="宋体" w:eastAsia="仿宋_GB2312"/>
                <w:color w:val="000000"/>
              </w:rPr>
            </w:pPr>
            <w:r>
              <w:rPr>
                <w:rFonts w:hint="eastAsia" w:ascii="仿宋_GB2312" w:hAnsi="宋体" w:eastAsia="仿宋_GB2312"/>
                <w:color w:val="000000"/>
              </w:rPr>
              <w:t>条款名称</w:t>
            </w:r>
          </w:p>
        </w:tc>
        <w:tc>
          <w:tcPr>
            <w:tcW w:w="1257" w:type="dxa"/>
            <w:noWrap w:val="0"/>
            <w:vAlign w:val="center"/>
          </w:tcPr>
          <w:p>
            <w:pPr>
              <w:jc w:val="center"/>
              <w:rPr>
                <w:rFonts w:hint="eastAsia" w:ascii="仿宋_GB2312" w:hAnsi="宋体" w:eastAsia="仿宋_GB2312"/>
                <w:color w:val="000000"/>
                <w:sz w:val="18"/>
                <w:szCs w:val="18"/>
              </w:rPr>
            </w:pPr>
            <w:r>
              <w:rPr>
                <w:rFonts w:hint="eastAsia" w:ascii="仿宋_GB2312" w:hAnsi="宋体" w:eastAsia="仿宋_GB2312"/>
                <w:color w:val="000000"/>
                <w:sz w:val="18"/>
                <w:szCs w:val="18"/>
              </w:rPr>
              <w:t>合同条款号</w:t>
            </w:r>
          </w:p>
        </w:tc>
        <w:tc>
          <w:tcPr>
            <w:tcW w:w="3230" w:type="dxa"/>
            <w:noWrap w:val="0"/>
            <w:vAlign w:val="center"/>
          </w:tcPr>
          <w:p>
            <w:pPr>
              <w:jc w:val="center"/>
              <w:rPr>
                <w:rFonts w:hint="eastAsia" w:ascii="仿宋_GB2312" w:hAnsi="宋体" w:eastAsia="仿宋_GB2312"/>
                <w:color w:val="000000"/>
              </w:rPr>
            </w:pPr>
            <w:r>
              <w:rPr>
                <w:rFonts w:hint="eastAsia" w:ascii="仿宋_GB2312" w:hAnsi="宋体" w:eastAsia="仿宋_GB2312"/>
                <w:color w:val="000000"/>
              </w:rPr>
              <w:t>约定内容</w:t>
            </w:r>
          </w:p>
        </w:tc>
        <w:tc>
          <w:tcPr>
            <w:tcW w:w="976" w:type="dxa"/>
            <w:noWrap w:val="0"/>
            <w:vAlign w:val="center"/>
          </w:tcPr>
          <w:p>
            <w:pPr>
              <w:jc w:val="center"/>
              <w:rPr>
                <w:rFonts w:hint="eastAsia" w:ascii="仿宋_GB2312" w:hAnsi="宋体" w:eastAsia="仿宋_GB2312"/>
                <w:color w:val="000000"/>
              </w:rPr>
            </w:pPr>
            <w:r>
              <w:rPr>
                <w:rFonts w:hint="eastAsia" w:ascii="仿宋_GB2312" w:hAnsi="宋体" w:eastAsia="仿宋_GB2312"/>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47" w:type="dxa"/>
            <w:noWrap w:val="0"/>
            <w:vAlign w:val="center"/>
          </w:tcPr>
          <w:p>
            <w:pPr>
              <w:jc w:val="center"/>
              <w:rPr>
                <w:rFonts w:eastAsia="仿宋"/>
                <w:color w:val="000000"/>
              </w:rPr>
            </w:pPr>
            <w:r>
              <w:rPr>
                <w:rFonts w:eastAsia="仿宋"/>
                <w:color w:val="000000"/>
              </w:rPr>
              <w:t>1</w:t>
            </w:r>
          </w:p>
        </w:tc>
        <w:tc>
          <w:tcPr>
            <w:tcW w:w="2894" w:type="dxa"/>
            <w:noWrap w:val="0"/>
            <w:vAlign w:val="center"/>
          </w:tcPr>
          <w:p>
            <w:pPr>
              <w:jc w:val="center"/>
              <w:rPr>
                <w:rFonts w:eastAsia="仿宋"/>
                <w:color w:val="000000"/>
              </w:rPr>
            </w:pPr>
            <w:r>
              <w:rPr>
                <w:rFonts w:eastAsia="仿宋"/>
                <w:color w:val="000000"/>
              </w:rPr>
              <w:t>项目负责人</w:t>
            </w:r>
          </w:p>
        </w:tc>
        <w:tc>
          <w:tcPr>
            <w:tcW w:w="1257" w:type="dxa"/>
            <w:noWrap w:val="0"/>
            <w:vAlign w:val="center"/>
          </w:tcPr>
          <w:p>
            <w:pPr>
              <w:jc w:val="center"/>
              <w:rPr>
                <w:rFonts w:eastAsia="仿宋"/>
                <w:color w:val="000000"/>
              </w:rPr>
            </w:pPr>
            <w:r>
              <w:rPr>
                <w:rFonts w:eastAsia="仿宋"/>
                <w:color w:val="000000"/>
              </w:rPr>
              <w:t>1.1.2.4</w:t>
            </w:r>
          </w:p>
        </w:tc>
        <w:tc>
          <w:tcPr>
            <w:tcW w:w="3230" w:type="dxa"/>
            <w:noWrap w:val="0"/>
            <w:vAlign w:val="center"/>
          </w:tcPr>
          <w:p>
            <w:pPr>
              <w:rPr>
                <w:rFonts w:eastAsia="仿宋"/>
                <w:color w:val="000000"/>
                <w:u w:val="single"/>
              </w:rPr>
            </w:pPr>
            <w:r>
              <w:rPr>
                <w:rFonts w:eastAsia="仿宋"/>
                <w:color w:val="000000"/>
              </w:rPr>
              <w:t>姓      名：</w:t>
            </w:r>
            <w:r>
              <w:rPr>
                <w:rFonts w:eastAsia="仿宋"/>
                <w:color w:val="000000"/>
                <w:u w:val="single"/>
              </w:rPr>
              <w:t xml:space="preserve">                </w:t>
            </w:r>
          </w:p>
          <w:p>
            <w:pPr>
              <w:rPr>
                <w:rFonts w:eastAsia="仿宋"/>
                <w:color w:val="000000"/>
                <w:u w:val="single"/>
              </w:rPr>
            </w:pPr>
            <w:r>
              <w:rPr>
                <w:rFonts w:eastAsia="仿宋"/>
                <w:color w:val="000000"/>
              </w:rPr>
              <w:t>执业证书号：</w:t>
            </w:r>
            <w:r>
              <w:rPr>
                <w:rFonts w:eastAsia="仿宋"/>
                <w:color w:val="000000"/>
                <w:u w:val="single"/>
              </w:rPr>
              <w:t xml:space="preserve">                </w:t>
            </w:r>
          </w:p>
          <w:p>
            <w:pPr>
              <w:rPr>
                <w:rFonts w:eastAsia="仿宋"/>
                <w:color w:val="000000"/>
                <w:u w:val="single"/>
              </w:rPr>
            </w:pPr>
            <w:r>
              <w:rPr>
                <w:rFonts w:eastAsia="仿宋"/>
                <w:color w:val="000000"/>
              </w:rPr>
              <w:t>身份证号码：</w:t>
            </w:r>
            <w:r>
              <w:rPr>
                <w:rFonts w:eastAsia="仿宋"/>
                <w:color w:val="000000"/>
                <w:u w:val="single"/>
              </w:rPr>
              <w:t xml:space="preserve">                </w:t>
            </w:r>
          </w:p>
        </w:tc>
        <w:tc>
          <w:tcPr>
            <w:tcW w:w="976" w:type="dxa"/>
            <w:noWrap w:val="0"/>
            <w:vAlign w:val="center"/>
          </w:tcPr>
          <w:p>
            <w:pPr>
              <w:jc w:val="center"/>
              <w:rPr>
                <w:rFonts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7" w:type="dxa"/>
            <w:noWrap w:val="0"/>
            <w:vAlign w:val="center"/>
          </w:tcPr>
          <w:p>
            <w:pPr>
              <w:jc w:val="center"/>
              <w:rPr>
                <w:rFonts w:eastAsia="仿宋"/>
                <w:color w:val="000000"/>
              </w:rPr>
            </w:pPr>
            <w:r>
              <w:rPr>
                <w:rFonts w:eastAsia="仿宋"/>
                <w:color w:val="000000"/>
              </w:rPr>
              <w:t>2</w:t>
            </w:r>
          </w:p>
        </w:tc>
        <w:tc>
          <w:tcPr>
            <w:tcW w:w="2894" w:type="dxa"/>
            <w:noWrap w:val="0"/>
            <w:vAlign w:val="center"/>
          </w:tcPr>
          <w:p>
            <w:pPr>
              <w:jc w:val="center"/>
              <w:rPr>
                <w:rFonts w:eastAsia="仿宋"/>
                <w:color w:val="000000"/>
              </w:rPr>
            </w:pPr>
            <w:r>
              <w:rPr>
                <w:rFonts w:eastAsia="仿宋"/>
                <w:color w:val="000000"/>
              </w:rPr>
              <w:t>技术负责人</w:t>
            </w:r>
          </w:p>
        </w:tc>
        <w:tc>
          <w:tcPr>
            <w:tcW w:w="1257" w:type="dxa"/>
            <w:noWrap w:val="0"/>
            <w:vAlign w:val="center"/>
          </w:tcPr>
          <w:p>
            <w:pPr>
              <w:jc w:val="center"/>
              <w:rPr>
                <w:rFonts w:eastAsia="仿宋"/>
                <w:color w:val="000000"/>
              </w:rPr>
            </w:pPr>
            <w:r>
              <w:rPr>
                <w:rFonts w:eastAsia="仿宋"/>
                <w:color w:val="000000"/>
              </w:rPr>
              <w:t>1.1.2.4</w:t>
            </w:r>
          </w:p>
        </w:tc>
        <w:tc>
          <w:tcPr>
            <w:tcW w:w="3230" w:type="dxa"/>
            <w:noWrap w:val="0"/>
            <w:vAlign w:val="center"/>
          </w:tcPr>
          <w:p>
            <w:pPr>
              <w:rPr>
                <w:rFonts w:eastAsia="仿宋"/>
                <w:color w:val="000000"/>
                <w:u w:val="single"/>
              </w:rPr>
            </w:pPr>
            <w:r>
              <w:rPr>
                <w:rFonts w:eastAsia="仿宋"/>
                <w:color w:val="000000"/>
              </w:rPr>
              <w:t>姓      名：</w:t>
            </w:r>
            <w:r>
              <w:rPr>
                <w:rFonts w:eastAsia="仿宋"/>
                <w:color w:val="000000"/>
                <w:u w:val="single"/>
              </w:rPr>
              <w:t xml:space="preserve">                </w:t>
            </w:r>
          </w:p>
          <w:p>
            <w:pPr>
              <w:rPr>
                <w:rFonts w:eastAsia="仿宋"/>
                <w:color w:val="000000"/>
              </w:rPr>
            </w:pPr>
            <w:r>
              <w:rPr>
                <w:rFonts w:eastAsia="仿宋"/>
                <w:color w:val="000000"/>
              </w:rPr>
              <w:t>身份证号码：</w:t>
            </w:r>
            <w:r>
              <w:rPr>
                <w:rFonts w:eastAsia="仿宋"/>
                <w:color w:val="000000"/>
                <w:u w:val="single"/>
              </w:rPr>
              <w:t xml:space="preserve">                </w:t>
            </w:r>
          </w:p>
        </w:tc>
        <w:tc>
          <w:tcPr>
            <w:tcW w:w="976" w:type="dxa"/>
            <w:noWrap w:val="0"/>
            <w:vAlign w:val="center"/>
          </w:tcPr>
          <w:p>
            <w:pPr>
              <w:jc w:val="center"/>
              <w:rPr>
                <w:rFonts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647" w:type="dxa"/>
            <w:noWrap w:val="0"/>
            <w:vAlign w:val="center"/>
          </w:tcPr>
          <w:p>
            <w:pPr>
              <w:jc w:val="center"/>
              <w:rPr>
                <w:rFonts w:eastAsia="仿宋"/>
                <w:color w:val="000000"/>
              </w:rPr>
            </w:pPr>
            <w:r>
              <w:rPr>
                <w:rFonts w:eastAsia="仿宋"/>
                <w:color w:val="000000"/>
              </w:rPr>
              <w:t>3</w:t>
            </w:r>
          </w:p>
        </w:tc>
        <w:tc>
          <w:tcPr>
            <w:tcW w:w="2894" w:type="dxa"/>
            <w:noWrap w:val="0"/>
            <w:vAlign w:val="center"/>
          </w:tcPr>
          <w:p>
            <w:pPr>
              <w:jc w:val="center"/>
              <w:rPr>
                <w:rFonts w:eastAsia="仿宋"/>
                <w:color w:val="000000"/>
              </w:rPr>
            </w:pPr>
            <w:r>
              <w:rPr>
                <w:rFonts w:eastAsia="仿宋"/>
                <w:color w:val="000000"/>
              </w:rPr>
              <w:t>专职安全员</w:t>
            </w:r>
          </w:p>
        </w:tc>
        <w:tc>
          <w:tcPr>
            <w:tcW w:w="1257" w:type="dxa"/>
            <w:noWrap w:val="0"/>
            <w:vAlign w:val="center"/>
          </w:tcPr>
          <w:p>
            <w:pPr>
              <w:jc w:val="center"/>
              <w:rPr>
                <w:rFonts w:eastAsia="仿宋"/>
                <w:color w:val="000000"/>
              </w:rPr>
            </w:pPr>
            <w:r>
              <w:rPr>
                <w:rFonts w:eastAsia="仿宋"/>
                <w:color w:val="000000"/>
              </w:rPr>
              <w:t>1.1.2.4</w:t>
            </w:r>
          </w:p>
        </w:tc>
        <w:tc>
          <w:tcPr>
            <w:tcW w:w="3230" w:type="dxa"/>
            <w:noWrap w:val="0"/>
            <w:vAlign w:val="center"/>
          </w:tcPr>
          <w:p>
            <w:pPr>
              <w:rPr>
                <w:rFonts w:eastAsia="仿宋"/>
                <w:color w:val="000000"/>
                <w:u w:val="single"/>
              </w:rPr>
            </w:pPr>
            <w:r>
              <w:rPr>
                <w:rFonts w:eastAsia="仿宋"/>
                <w:color w:val="000000"/>
              </w:rPr>
              <w:t>姓      名：</w:t>
            </w:r>
            <w:r>
              <w:rPr>
                <w:rFonts w:eastAsia="仿宋"/>
                <w:color w:val="000000"/>
                <w:u w:val="single"/>
              </w:rPr>
              <w:t xml:space="preserve">                </w:t>
            </w:r>
          </w:p>
          <w:p>
            <w:pPr>
              <w:rPr>
                <w:rFonts w:eastAsia="仿宋"/>
                <w:color w:val="000000"/>
                <w:u w:val="single"/>
              </w:rPr>
            </w:pPr>
            <w:r>
              <w:rPr>
                <w:rFonts w:eastAsia="仿宋"/>
                <w:color w:val="000000"/>
              </w:rPr>
              <w:t>身份证号码：</w:t>
            </w:r>
            <w:r>
              <w:rPr>
                <w:rFonts w:eastAsia="仿宋"/>
                <w:color w:val="000000"/>
                <w:u w:val="single"/>
              </w:rPr>
              <w:t xml:space="preserve">                </w:t>
            </w:r>
          </w:p>
          <w:p>
            <w:pPr>
              <w:rPr>
                <w:rFonts w:eastAsia="仿宋"/>
                <w:color w:val="000000"/>
                <w:sz w:val="18"/>
                <w:szCs w:val="18"/>
                <w:u w:val="single"/>
              </w:rPr>
            </w:pPr>
            <w:r>
              <w:rPr>
                <w:rFonts w:hint="eastAsia" w:eastAsia="仿宋"/>
                <w:color w:val="000000"/>
                <w:sz w:val="18"/>
                <w:szCs w:val="18"/>
              </w:rPr>
              <w:t>建设或水行政</w:t>
            </w:r>
            <w:r>
              <w:rPr>
                <w:rFonts w:eastAsia="仿宋"/>
                <w:color w:val="000000"/>
                <w:sz w:val="18"/>
                <w:szCs w:val="18"/>
              </w:rPr>
              <w:t>主管部门颁发的安全生产考核合格证书号码：</w:t>
            </w:r>
            <w:r>
              <w:rPr>
                <w:rFonts w:eastAsia="仿宋"/>
                <w:color w:val="000000"/>
                <w:sz w:val="18"/>
                <w:szCs w:val="18"/>
                <w:u w:val="single"/>
              </w:rPr>
              <w:t xml:space="preserve">                   </w:t>
            </w:r>
          </w:p>
        </w:tc>
        <w:tc>
          <w:tcPr>
            <w:tcW w:w="976" w:type="dxa"/>
            <w:noWrap w:val="0"/>
            <w:vAlign w:val="center"/>
          </w:tcPr>
          <w:p>
            <w:pPr>
              <w:jc w:val="center"/>
              <w:rPr>
                <w:rFonts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7" w:type="dxa"/>
            <w:noWrap w:val="0"/>
            <w:vAlign w:val="center"/>
          </w:tcPr>
          <w:p>
            <w:pPr>
              <w:jc w:val="center"/>
              <w:rPr>
                <w:rFonts w:eastAsia="仿宋"/>
                <w:color w:val="000000"/>
              </w:rPr>
            </w:pPr>
            <w:r>
              <w:rPr>
                <w:rFonts w:eastAsia="仿宋"/>
                <w:color w:val="000000"/>
              </w:rPr>
              <w:t>4</w:t>
            </w:r>
          </w:p>
        </w:tc>
        <w:tc>
          <w:tcPr>
            <w:tcW w:w="2894" w:type="dxa"/>
            <w:noWrap w:val="0"/>
            <w:vAlign w:val="center"/>
          </w:tcPr>
          <w:p>
            <w:pPr>
              <w:jc w:val="center"/>
              <w:rPr>
                <w:rFonts w:eastAsia="仿宋"/>
                <w:color w:val="000000"/>
              </w:rPr>
            </w:pPr>
            <w:r>
              <w:rPr>
                <w:rFonts w:eastAsia="仿宋"/>
                <w:color w:val="000000"/>
              </w:rPr>
              <w:t>工期</w:t>
            </w:r>
          </w:p>
        </w:tc>
        <w:tc>
          <w:tcPr>
            <w:tcW w:w="1257" w:type="dxa"/>
            <w:noWrap w:val="0"/>
            <w:vAlign w:val="center"/>
          </w:tcPr>
          <w:p>
            <w:pPr>
              <w:jc w:val="center"/>
              <w:rPr>
                <w:rFonts w:eastAsia="仿宋"/>
                <w:color w:val="000000"/>
              </w:rPr>
            </w:pPr>
            <w:r>
              <w:rPr>
                <w:rFonts w:eastAsia="仿宋"/>
                <w:color w:val="000000"/>
              </w:rPr>
              <w:t>1.1.4.3</w:t>
            </w:r>
          </w:p>
        </w:tc>
        <w:tc>
          <w:tcPr>
            <w:tcW w:w="3230" w:type="dxa"/>
            <w:noWrap w:val="0"/>
            <w:vAlign w:val="center"/>
          </w:tcPr>
          <w:p>
            <w:pPr>
              <w:jc w:val="center"/>
              <w:rPr>
                <w:rFonts w:hint="eastAsia" w:eastAsia="仿宋"/>
                <w:color w:val="000000"/>
              </w:rPr>
            </w:pPr>
            <w:r>
              <w:rPr>
                <w:rFonts w:eastAsia="仿宋"/>
                <w:color w:val="000000"/>
              </w:rPr>
              <w:t>天数：</w:t>
            </w:r>
            <w:r>
              <w:rPr>
                <w:rFonts w:eastAsia="仿宋"/>
                <w:color w:val="000000"/>
                <w:u w:val="single"/>
              </w:rPr>
              <w:t xml:space="preserve">      </w:t>
            </w:r>
            <w:r>
              <w:rPr>
                <w:rFonts w:hint="eastAsia" w:eastAsia="仿宋"/>
                <w:color w:val="000000"/>
              </w:rPr>
              <w:t>天</w:t>
            </w:r>
          </w:p>
        </w:tc>
        <w:tc>
          <w:tcPr>
            <w:tcW w:w="976" w:type="dxa"/>
            <w:noWrap w:val="0"/>
            <w:vAlign w:val="center"/>
          </w:tcPr>
          <w:p>
            <w:pPr>
              <w:jc w:val="center"/>
              <w:rPr>
                <w:rFonts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7" w:type="dxa"/>
            <w:noWrap w:val="0"/>
            <w:vAlign w:val="center"/>
          </w:tcPr>
          <w:p>
            <w:pPr>
              <w:pStyle w:val="106"/>
              <w:jc w:val="center"/>
              <w:rPr>
                <w:rFonts w:ascii="Times New Roman" w:eastAsia="仿宋" w:cs="Times New Roman"/>
                <w:sz w:val="21"/>
                <w:szCs w:val="21"/>
              </w:rPr>
            </w:pPr>
            <w:r>
              <w:rPr>
                <w:rFonts w:ascii="Times New Roman" w:eastAsia="仿宋" w:cs="Times New Roman"/>
                <w:sz w:val="21"/>
                <w:szCs w:val="21"/>
              </w:rPr>
              <w:t>5</w:t>
            </w:r>
          </w:p>
        </w:tc>
        <w:tc>
          <w:tcPr>
            <w:tcW w:w="2894" w:type="dxa"/>
            <w:noWrap w:val="0"/>
            <w:vAlign w:val="center"/>
          </w:tcPr>
          <w:p>
            <w:pPr>
              <w:jc w:val="center"/>
              <w:rPr>
                <w:rFonts w:eastAsia="仿宋"/>
                <w:color w:val="000000"/>
              </w:rPr>
            </w:pPr>
            <w:r>
              <w:rPr>
                <w:rFonts w:eastAsia="仿宋"/>
                <w:color w:val="000000"/>
              </w:rPr>
              <w:t>缺陷责任期</w:t>
            </w:r>
          </w:p>
          <w:p>
            <w:pPr>
              <w:jc w:val="center"/>
              <w:rPr>
                <w:rFonts w:eastAsia="仿宋"/>
                <w:color w:val="000000"/>
              </w:rPr>
            </w:pPr>
            <w:r>
              <w:rPr>
                <w:rFonts w:eastAsia="仿宋"/>
                <w:color w:val="000000"/>
              </w:rPr>
              <w:t>（工程质量保修期）</w:t>
            </w:r>
          </w:p>
        </w:tc>
        <w:tc>
          <w:tcPr>
            <w:tcW w:w="1257" w:type="dxa"/>
            <w:noWrap w:val="0"/>
            <w:vAlign w:val="center"/>
          </w:tcPr>
          <w:p>
            <w:pPr>
              <w:jc w:val="center"/>
              <w:rPr>
                <w:rFonts w:eastAsia="仿宋"/>
                <w:color w:val="000000"/>
              </w:rPr>
            </w:pPr>
            <w:r>
              <w:rPr>
                <w:rFonts w:eastAsia="仿宋"/>
                <w:color w:val="000000"/>
              </w:rPr>
              <w:t>1.1.4.5</w:t>
            </w:r>
          </w:p>
        </w:tc>
        <w:tc>
          <w:tcPr>
            <w:tcW w:w="3230" w:type="dxa"/>
            <w:noWrap w:val="0"/>
            <w:vAlign w:val="center"/>
          </w:tcPr>
          <w:p>
            <w:pPr>
              <w:jc w:val="center"/>
              <w:rPr>
                <w:rFonts w:hint="eastAsia" w:eastAsia="仿宋"/>
                <w:color w:val="000000"/>
                <w:szCs w:val="21"/>
              </w:rPr>
            </w:pPr>
            <w:r>
              <w:rPr>
                <w:rFonts w:eastAsia="仿宋"/>
                <w:color w:val="000000"/>
                <w:u w:val="single"/>
              </w:rPr>
              <w:t xml:space="preserve">        </w:t>
            </w:r>
            <w:r>
              <w:rPr>
                <w:rFonts w:hint="eastAsia" w:eastAsia="仿宋"/>
                <w:color w:val="000000"/>
              </w:rPr>
              <w:t>天</w:t>
            </w:r>
          </w:p>
        </w:tc>
        <w:tc>
          <w:tcPr>
            <w:tcW w:w="976" w:type="dxa"/>
            <w:noWrap w:val="0"/>
            <w:vAlign w:val="center"/>
          </w:tcPr>
          <w:p>
            <w:pPr>
              <w:jc w:val="center"/>
              <w:rPr>
                <w:rFonts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7" w:type="dxa"/>
            <w:noWrap w:val="0"/>
            <w:vAlign w:val="center"/>
          </w:tcPr>
          <w:p>
            <w:pPr>
              <w:pStyle w:val="106"/>
              <w:jc w:val="center"/>
              <w:rPr>
                <w:rFonts w:ascii="Times New Roman" w:eastAsia="仿宋" w:cs="Times New Roman"/>
                <w:sz w:val="21"/>
                <w:szCs w:val="21"/>
              </w:rPr>
            </w:pPr>
            <w:r>
              <w:rPr>
                <w:rFonts w:ascii="Times New Roman" w:eastAsia="仿宋" w:cs="Times New Roman"/>
                <w:sz w:val="21"/>
                <w:szCs w:val="21"/>
              </w:rPr>
              <w:t>6</w:t>
            </w:r>
          </w:p>
        </w:tc>
        <w:tc>
          <w:tcPr>
            <w:tcW w:w="2894" w:type="dxa"/>
            <w:noWrap w:val="0"/>
            <w:vAlign w:val="center"/>
          </w:tcPr>
          <w:p>
            <w:pPr>
              <w:jc w:val="center"/>
              <w:rPr>
                <w:rFonts w:eastAsia="仿宋"/>
                <w:color w:val="000000"/>
              </w:rPr>
            </w:pPr>
            <w:r>
              <w:rPr>
                <w:rFonts w:eastAsia="仿宋"/>
                <w:color w:val="000000"/>
              </w:rPr>
              <w:t>分包</w:t>
            </w:r>
          </w:p>
        </w:tc>
        <w:tc>
          <w:tcPr>
            <w:tcW w:w="1257" w:type="dxa"/>
            <w:noWrap w:val="0"/>
            <w:vAlign w:val="center"/>
          </w:tcPr>
          <w:p>
            <w:pPr>
              <w:jc w:val="center"/>
              <w:rPr>
                <w:rFonts w:eastAsia="仿宋"/>
                <w:color w:val="000000"/>
                <w:szCs w:val="21"/>
              </w:rPr>
            </w:pPr>
            <w:r>
              <w:rPr>
                <w:rFonts w:eastAsia="仿宋"/>
                <w:color w:val="000000"/>
              </w:rPr>
              <w:t>4.3</w:t>
            </w:r>
          </w:p>
        </w:tc>
        <w:tc>
          <w:tcPr>
            <w:tcW w:w="3230" w:type="dxa"/>
            <w:noWrap w:val="0"/>
            <w:vAlign w:val="center"/>
          </w:tcPr>
          <w:p>
            <w:pPr>
              <w:rPr>
                <w:rFonts w:eastAsia="仿宋"/>
                <w:color w:val="000000"/>
              </w:rPr>
            </w:pPr>
            <w:r>
              <w:rPr>
                <w:rFonts w:eastAsia="仿宋"/>
                <w:color w:val="000000"/>
              </w:rPr>
              <w:t>□允许，分包工程项目：</w:t>
            </w:r>
            <w:r>
              <w:rPr>
                <w:rFonts w:eastAsia="仿宋"/>
                <w:color w:val="000000"/>
                <w:u w:val="single"/>
              </w:rPr>
              <w:t xml:space="preserve">     </w:t>
            </w:r>
            <w:r>
              <w:rPr>
                <w:rFonts w:eastAsia="仿宋"/>
                <w:color w:val="000000"/>
              </w:rPr>
              <w:t>。</w:t>
            </w:r>
          </w:p>
          <w:p>
            <w:pPr>
              <w:ind w:firstLine="420" w:firstLineChars="200"/>
              <w:rPr>
                <w:rFonts w:eastAsia="仿宋"/>
                <w:color w:val="000000"/>
              </w:rPr>
            </w:pPr>
            <w:r>
              <w:rPr>
                <w:rFonts w:eastAsia="仿宋"/>
                <w:color w:val="000000"/>
              </w:rPr>
              <w:t>分包内容：</w:t>
            </w:r>
            <w:r>
              <w:rPr>
                <w:rFonts w:eastAsia="仿宋"/>
                <w:color w:val="000000"/>
                <w:u w:val="single"/>
              </w:rPr>
              <w:t xml:space="preserve">             </w:t>
            </w:r>
            <w:r>
              <w:rPr>
                <w:rFonts w:eastAsia="仿宋"/>
                <w:color w:val="000000"/>
              </w:rPr>
              <w:t>。</w:t>
            </w:r>
          </w:p>
          <w:p>
            <w:pPr>
              <w:ind w:firstLine="420" w:firstLineChars="200"/>
              <w:rPr>
                <w:rFonts w:eastAsia="仿宋"/>
                <w:color w:val="000000"/>
              </w:rPr>
            </w:pPr>
            <w:r>
              <w:rPr>
                <w:rFonts w:eastAsia="仿宋"/>
                <w:color w:val="000000"/>
              </w:rPr>
              <w:t>分包金额限额：</w:t>
            </w:r>
            <w:r>
              <w:rPr>
                <w:rFonts w:eastAsia="仿宋"/>
                <w:color w:val="000000"/>
                <w:u w:val="single"/>
              </w:rPr>
              <w:t xml:space="preserve">         </w:t>
            </w:r>
            <w:r>
              <w:rPr>
                <w:rFonts w:eastAsia="仿宋"/>
                <w:color w:val="000000"/>
              </w:rPr>
              <w:t>。</w:t>
            </w:r>
          </w:p>
          <w:p>
            <w:pPr>
              <w:autoSpaceDE w:val="0"/>
              <w:autoSpaceDN w:val="0"/>
              <w:adjustRightInd w:val="0"/>
              <w:jc w:val="left"/>
              <w:rPr>
                <w:rFonts w:eastAsia="仿宋"/>
                <w:color w:val="000000"/>
                <w:szCs w:val="21"/>
              </w:rPr>
            </w:pPr>
            <w:r>
              <w:rPr>
                <w:rFonts w:eastAsia="仿宋"/>
                <w:color w:val="000000"/>
              </w:rPr>
              <w:t>□不允许</w:t>
            </w:r>
          </w:p>
        </w:tc>
        <w:tc>
          <w:tcPr>
            <w:tcW w:w="976" w:type="dxa"/>
            <w:noWrap w:val="0"/>
            <w:vAlign w:val="center"/>
          </w:tcPr>
          <w:p>
            <w:pPr>
              <w:jc w:val="center"/>
              <w:rPr>
                <w:rFonts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7" w:type="dxa"/>
            <w:noWrap w:val="0"/>
            <w:vAlign w:val="center"/>
          </w:tcPr>
          <w:p>
            <w:pPr>
              <w:pStyle w:val="106"/>
              <w:jc w:val="center"/>
              <w:rPr>
                <w:rFonts w:ascii="Times New Roman" w:eastAsia="仿宋" w:cs="Times New Roman"/>
                <w:sz w:val="21"/>
                <w:szCs w:val="21"/>
              </w:rPr>
            </w:pPr>
            <w:r>
              <w:rPr>
                <w:rFonts w:ascii="Times New Roman" w:eastAsia="仿宋" w:cs="Times New Roman"/>
                <w:sz w:val="21"/>
                <w:szCs w:val="21"/>
              </w:rPr>
              <w:t>7</w:t>
            </w:r>
          </w:p>
        </w:tc>
        <w:tc>
          <w:tcPr>
            <w:tcW w:w="2894" w:type="dxa"/>
            <w:noWrap w:val="0"/>
            <w:vAlign w:val="center"/>
          </w:tcPr>
          <w:p>
            <w:pPr>
              <w:pStyle w:val="106"/>
              <w:jc w:val="center"/>
              <w:rPr>
                <w:rFonts w:ascii="Times New Roman" w:eastAsia="仿宋" w:cs="Times New Roman"/>
                <w:sz w:val="21"/>
                <w:szCs w:val="21"/>
              </w:rPr>
            </w:pPr>
            <w:r>
              <w:rPr>
                <w:rFonts w:ascii="Times New Roman" w:eastAsia="仿宋" w:cs="Times New Roman"/>
                <w:sz w:val="21"/>
                <w:szCs w:val="21"/>
              </w:rPr>
              <w:t>承包人工期延误赔偿费</w:t>
            </w:r>
          </w:p>
        </w:tc>
        <w:tc>
          <w:tcPr>
            <w:tcW w:w="1257" w:type="dxa"/>
            <w:noWrap w:val="0"/>
            <w:vAlign w:val="center"/>
          </w:tcPr>
          <w:p>
            <w:pPr>
              <w:jc w:val="center"/>
              <w:rPr>
                <w:rFonts w:eastAsia="仿宋"/>
                <w:color w:val="000000"/>
              </w:rPr>
            </w:pPr>
            <w:r>
              <w:rPr>
                <w:rFonts w:eastAsia="仿宋"/>
                <w:color w:val="000000"/>
              </w:rPr>
              <w:t>11.5</w:t>
            </w:r>
          </w:p>
        </w:tc>
        <w:tc>
          <w:tcPr>
            <w:tcW w:w="3230" w:type="dxa"/>
            <w:noWrap w:val="0"/>
            <w:vAlign w:val="center"/>
          </w:tcPr>
          <w:p>
            <w:pPr>
              <w:pStyle w:val="106"/>
              <w:jc w:val="center"/>
              <w:rPr>
                <w:rFonts w:ascii="Times New Roman" w:eastAsia="仿宋" w:cs="Times New Roman"/>
                <w:sz w:val="21"/>
                <w:szCs w:val="21"/>
              </w:rPr>
            </w:pPr>
            <w:r>
              <w:rPr>
                <w:rFonts w:ascii="Times New Roman" w:eastAsia="仿宋" w:cs="Times New Roman"/>
                <w:b/>
                <w:sz w:val="21"/>
                <w:szCs w:val="21"/>
                <w:u w:val="single"/>
              </w:rPr>
              <w:t xml:space="preserve">       </w:t>
            </w:r>
            <w:r>
              <w:rPr>
                <w:rFonts w:ascii="Times New Roman" w:eastAsia="仿宋" w:cs="Times New Roman"/>
                <w:sz w:val="21"/>
                <w:szCs w:val="21"/>
              </w:rPr>
              <w:t>元/天</w:t>
            </w:r>
          </w:p>
        </w:tc>
        <w:tc>
          <w:tcPr>
            <w:tcW w:w="976" w:type="dxa"/>
            <w:noWrap w:val="0"/>
            <w:vAlign w:val="center"/>
          </w:tcPr>
          <w:p>
            <w:pPr>
              <w:jc w:val="center"/>
              <w:rPr>
                <w:rFonts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7" w:type="dxa"/>
            <w:noWrap w:val="0"/>
            <w:vAlign w:val="center"/>
          </w:tcPr>
          <w:p>
            <w:pPr>
              <w:pStyle w:val="106"/>
              <w:jc w:val="center"/>
              <w:rPr>
                <w:rFonts w:ascii="Times New Roman" w:eastAsia="仿宋" w:cs="Times New Roman"/>
                <w:sz w:val="21"/>
                <w:szCs w:val="21"/>
              </w:rPr>
            </w:pPr>
            <w:r>
              <w:rPr>
                <w:rFonts w:ascii="Times New Roman" w:eastAsia="仿宋" w:cs="Times New Roman"/>
                <w:sz w:val="21"/>
                <w:szCs w:val="21"/>
              </w:rPr>
              <w:t>8</w:t>
            </w:r>
          </w:p>
        </w:tc>
        <w:tc>
          <w:tcPr>
            <w:tcW w:w="2894" w:type="dxa"/>
            <w:noWrap w:val="0"/>
            <w:vAlign w:val="center"/>
          </w:tcPr>
          <w:p>
            <w:pPr>
              <w:pStyle w:val="106"/>
              <w:jc w:val="center"/>
              <w:rPr>
                <w:rFonts w:ascii="Times New Roman" w:eastAsia="仿宋" w:cs="Times New Roman"/>
                <w:sz w:val="21"/>
                <w:szCs w:val="21"/>
              </w:rPr>
            </w:pPr>
            <w:r>
              <w:rPr>
                <w:rFonts w:ascii="Times New Roman" w:eastAsia="仿宋" w:cs="Times New Roman"/>
                <w:sz w:val="21"/>
                <w:szCs w:val="21"/>
              </w:rPr>
              <w:t>承包人工期延误赔偿费限额</w:t>
            </w:r>
          </w:p>
        </w:tc>
        <w:tc>
          <w:tcPr>
            <w:tcW w:w="1257" w:type="dxa"/>
            <w:noWrap w:val="0"/>
            <w:vAlign w:val="center"/>
          </w:tcPr>
          <w:p>
            <w:pPr>
              <w:jc w:val="center"/>
              <w:rPr>
                <w:rFonts w:eastAsia="仿宋"/>
                <w:color w:val="000000"/>
              </w:rPr>
            </w:pPr>
            <w:r>
              <w:rPr>
                <w:rFonts w:eastAsia="仿宋"/>
                <w:color w:val="000000"/>
              </w:rPr>
              <w:t>11.5</w:t>
            </w:r>
          </w:p>
        </w:tc>
        <w:tc>
          <w:tcPr>
            <w:tcW w:w="3230" w:type="dxa"/>
            <w:noWrap w:val="0"/>
            <w:vAlign w:val="center"/>
          </w:tcPr>
          <w:p>
            <w:pPr>
              <w:pStyle w:val="106"/>
              <w:jc w:val="center"/>
              <w:rPr>
                <w:rFonts w:ascii="Times New Roman" w:eastAsia="仿宋" w:cs="Times New Roman"/>
                <w:sz w:val="21"/>
                <w:szCs w:val="21"/>
              </w:rPr>
            </w:pPr>
            <w:r>
              <w:rPr>
                <w:rFonts w:ascii="Times New Roman" w:eastAsia="仿宋" w:cs="Times New Roman"/>
                <w:sz w:val="21"/>
                <w:szCs w:val="21"/>
              </w:rPr>
              <w:t>合同价的</w:t>
            </w:r>
            <w:r>
              <w:rPr>
                <w:rFonts w:ascii="Times New Roman" w:eastAsia="仿宋" w:cs="Times New Roman"/>
                <w:sz w:val="21"/>
                <w:szCs w:val="21"/>
                <w:u w:val="single"/>
              </w:rPr>
              <w:t xml:space="preserve">      </w:t>
            </w:r>
            <w:r>
              <w:rPr>
                <w:rFonts w:ascii="Times New Roman" w:eastAsia="仿宋" w:cs="Times New Roman"/>
                <w:sz w:val="21"/>
                <w:szCs w:val="21"/>
              </w:rPr>
              <w:t>％</w:t>
            </w:r>
          </w:p>
        </w:tc>
        <w:tc>
          <w:tcPr>
            <w:tcW w:w="976" w:type="dxa"/>
            <w:noWrap w:val="0"/>
            <w:vAlign w:val="center"/>
          </w:tcPr>
          <w:p>
            <w:pPr>
              <w:jc w:val="center"/>
              <w:rPr>
                <w:rFonts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7" w:type="dxa"/>
            <w:noWrap w:val="0"/>
            <w:vAlign w:val="center"/>
          </w:tcPr>
          <w:p>
            <w:pPr>
              <w:pStyle w:val="106"/>
              <w:jc w:val="center"/>
              <w:rPr>
                <w:rFonts w:ascii="Times New Roman" w:eastAsia="仿宋" w:cs="Times New Roman"/>
                <w:sz w:val="21"/>
                <w:szCs w:val="21"/>
              </w:rPr>
            </w:pPr>
            <w:r>
              <w:rPr>
                <w:rFonts w:ascii="Times New Roman" w:eastAsia="仿宋" w:cs="Times New Roman"/>
                <w:sz w:val="21"/>
                <w:szCs w:val="21"/>
              </w:rPr>
              <w:t>9</w:t>
            </w:r>
          </w:p>
        </w:tc>
        <w:tc>
          <w:tcPr>
            <w:tcW w:w="2894" w:type="dxa"/>
            <w:noWrap w:val="0"/>
            <w:vAlign w:val="center"/>
          </w:tcPr>
          <w:p>
            <w:pPr>
              <w:pStyle w:val="106"/>
              <w:jc w:val="center"/>
              <w:rPr>
                <w:rFonts w:ascii="Times New Roman" w:eastAsia="仿宋" w:cs="Times New Roman"/>
                <w:sz w:val="21"/>
                <w:szCs w:val="21"/>
              </w:rPr>
            </w:pPr>
            <w:r>
              <w:rPr>
                <w:rFonts w:ascii="Times New Roman" w:eastAsia="仿宋" w:cs="Times New Roman"/>
                <w:sz w:val="21"/>
                <w:szCs w:val="21"/>
              </w:rPr>
              <w:t>质量保证金扣留的百分比</w:t>
            </w:r>
          </w:p>
        </w:tc>
        <w:tc>
          <w:tcPr>
            <w:tcW w:w="1257" w:type="dxa"/>
            <w:noWrap w:val="0"/>
            <w:vAlign w:val="center"/>
          </w:tcPr>
          <w:p>
            <w:pPr>
              <w:jc w:val="center"/>
              <w:rPr>
                <w:rFonts w:eastAsia="仿宋"/>
                <w:color w:val="000000"/>
              </w:rPr>
            </w:pPr>
            <w:r>
              <w:rPr>
                <w:rFonts w:eastAsia="仿宋"/>
                <w:color w:val="000000"/>
              </w:rPr>
              <w:t>17.4</w:t>
            </w:r>
          </w:p>
        </w:tc>
        <w:tc>
          <w:tcPr>
            <w:tcW w:w="3230" w:type="dxa"/>
            <w:noWrap w:val="0"/>
            <w:vAlign w:val="center"/>
          </w:tcPr>
          <w:p>
            <w:pPr>
              <w:pStyle w:val="106"/>
              <w:jc w:val="center"/>
              <w:rPr>
                <w:rFonts w:ascii="Times New Roman" w:eastAsia="仿宋" w:cs="Times New Roman"/>
                <w:sz w:val="21"/>
                <w:szCs w:val="21"/>
              </w:rPr>
            </w:pPr>
            <w:r>
              <w:rPr>
                <w:rFonts w:ascii="Times New Roman" w:eastAsia="仿宋" w:cs="Times New Roman"/>
                <w:sz w:val="21"/>
                <w:szCs w:val="21"/>
              </w:rPr>
              <w:t>月进度金额</w:t>
            </w:r>
            <w:r>
              <w:rPr>
                <w:rFonts w:ascii="Times New Roman" w:eastAsia="仿宋" w:cs="Times New Roman"/>
                <w:sz w:val="21"/>
                <w:szCs w:val="21"/>
                <w:u w:val="single"/>
              </w:rPr>
              <w:t xml:space="preserve">      </w:t>
            </w:r>
            <w:r>
              <w:rPr>
                <w:rFonts w:ascii="Times New Roman" w:eastAsia="仿宋" w:cs="Times New Roman"/>
                <w:sz w:val="21"/>
                <w:szCs w:val="21"/>
              </w:rPr>
              <w:t>％</w:t>
            </w:r>
          </w:p>
        </w:tc>
        <w:tc>
          <w:tcPr>
            <w:tcW w:w="976" w:type="dxa"/>
            <w:noWrap w:val="0"/>
            <w:vAlign w:val="center"/>
          </w:tcPr>
          <w:p>
            <w:pPr>
              <w:jc w:val="center"/>
              <w:rPr>
                <w:rFonts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7" w:type="dxa"/>
            <w:noWrap w:val="0"/>
            <w:vAlign w:val="center"/>
          </w:tcPr>
          <w:p>
            <w:pPr>
              <w:pStyle w:val="106"/>
              <w:jc w:val="center"/>
              <w:rPr>
                <w:rFonts w:ascii="Times New Roman" w:eastAsia="仿宋" w:cs="Times New Roman"/>
                <w:sz w:val="21"/>
                <w:szCs w:val="21"/>
              </w:rPr>
            </w:pPr>
            <w:r>
              <w:rPr>
                <w:rFonts w:ascii="Times New Roman" w:eastAsia="仿宋" w:cs="Times New Roman"/>
                <w:sz w:val="21"/>
                <w:szCs w:val="21"/>
              </w:rPr>
              <w:t>10</w:t>
            </w:r>
          </w:p>
        </w:tc>
        <w:tc>
          <w:tcPr>
            <w:tcW w:w="2894" w:type="dxa"/>
            <w:noWrap w:val="0"/>
            <w:vAlign w:val="center"/>
          </w:tcPr>
          <w:p>
            <w:pPr>
              <w:pStyle w:val="106"/>
              <w:jc w:val="center"/>
              <w:rPr>
                <w:rFonts w:ascii="Times New Roman" w:eastAsia="仿宋" w:cs="Times New Roman"/>
                <w:sz w:val="21"/>
                <w:szCs w:val="21"/>
              </w:rPr>
            </w:pPr>
            <w:r>
              <w:rPr>
                <w:rFonts w:ascii="Times New Roman" w:eastAsia="仿宋" w:cs="Times New Roman"/>
                <w:sz w:val="21"/>
                <w:szCs w:val="21"/>
              </w:rPr>
              <w:t>质量保证金的限额</w:t>
            </w:r>
          </w:p>
        </w:tc>
        <w:tc>
          <w:tcPr>
            <w:tcW w:w="1257" w:type="dxa"/>
            <w:noWrap w:val="0"/>
            <w:vAlign w:val="center"/>
          </w:tcPr>
          <w:p>
            <w:pPr>
              <w:jc w:val="center"/>
              <w:rPr>
                <w:rFonts w:eastAsia="仿宋"/>
                <w:color w:val="000000"/>
              </w:rPr>
            </w:pPr>
            <w:r>
              <w:rPr>
                <w:rFonts w:eastAsia="仿宋"/>
                <w:color w:val="000000"/>
              </w:rPr>
              <w:t>17.4</w:t>
            </w:r>
          </w:p>
        </w:tc>
        <w:tc>
          <w:tcPr>
            <w:tcW w:w="3230" w:type="dxa"/>
            <w:noWrap w:val="0"/>
            <w:vAlign w:val="center"/>
          </w:tcPr>
          <w:p>
            <w:pPr>
              <w:pStyle w:val="106"/>
              <w:jc w:val="center"/>
              <w:rPr>
                <w:rFonts w:ascii="Times New Roman" w:eastAsia="仿宋" w:cs="Times New Roman"/>
                <w:sz w:val="21"/>
                <w:szCs w:val="21"/>
              </w:rPr>
            </w:pPr>
            <w:r>
              <w:rPr>
                <w:rFonts w:ascii="Times New Roman" w:eastAsia="仿宋" w:cs="Times New Roman"/>
                <w:sz w:val="21"/>
                <w:szCs w:val="21"/>
              </w:rPr>
              <w:t>合同价的</w:t>
            </w:r>
            <w:r>
              <w:rPr>
                <w:rFonts w:ascii="Times New Roman" w:eastAsia="仿宋" w:cs="Times New Roman"/>
                <w:sz w:val="21"/>
                <w:szCs w:val="21"/>
                <w:u w:val="single"/>
              </w:rPr>
              <w:t xml:space="preserve">      </w:t>
            </w:r>
            <w:r>
              <w:rPr>
                <w:rFonts w:ascii="Times New Roman" w:eastAsia="仿宋" w:cs="Times New Roman"/>
                <w:sz w:val="21"/>
                <w:szCs w:val="21"/>
              </w:rPr>
              <w:t>％</w:t>
            </w:r>
          </w:p>
        </w:tc>
        <w:tc>
          <w:tcPr>
            <w:tcW w:w="976" w:type="dxa"/>
            <w:noWrap w:val="0"/>
            <w:vAlign w:val="center"/>
          </w:tcPr>
          <w:p>
            <w:pPr>
              <w:jc w:val="center"/>
              <w:rPr>
                <w:rFonts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7" w:type="dxa"/>
            <w:noWrap w:val="0"/>
            <w:vAlign w:val="center"/>
          </w:tcPr>
          <w:p>
            <w:pPr>
              <w:pStyle w:val="106"/>
              <w:jc w:val="center"/>
              <w:rPr>
                <w:rFonts w:ascii="Times New Roman" w:eastAsia="仿宋" w:cs="Times New Roman"/>
                <w:sz w:val="21"/>
                <w:szCs w:val="21"/>
              </w:rPr>
            </w:pPr>
            <w:r>
              <w:rPr>
                <w:rFonts w:ascii="Times New Roman" w:eastAsia="仿宋" w:cs="Times New Roman"/>
                <w:sz w:val="21"/>
                <w:szCs w:val="21"/>
              </w:rPr>
              <w:t>11</w:t>
            </w:r>
          </w:p>
        </w:tc>
        <w:tc>
          <w:tcPr>
            <w:tcW w:w="2894" w:type="dxa"/>
            <w:noWrap w:val="0"/>
            <w:vAlign w:val="center"/>
          </w:tcPr>
          <w:p>
            <w:pPr>
              <w:jc w:val="center"/>
              <w:rPr>
                <w:rFonts w:eastAsia="仿宋"/>
                <w:color w:val="000000"/>
              </w:rPr>
            </w:pPr>
            <w:r>
              <w:rPr>
                <w:rFonts w:eastAsia="仿宋"/>
                <w:color w:val="000000"/>
                <w:kern w:val="0"/>
                <w:szCs w:val="21"/>
              </w:rPr>
              <w:t>保修期</w:t>
            </w:r>
          </w:p>
        </w:tc>
        <w:tc>
          <w:tcPr>
            <w:tcW w:w="1257" w:type="dxa"/>
            <w:noWrap w:val="0"/>
            <w:vAlign w:val="center"/>
          </w:tcPr>
          <w:p>
            <w:pPr>
              <w:jc w:val="center"/>
              <w:rPr>
                <w:rFonts w:eastAsia="仿宋"/>
                <w:color w:val="000000"/>
              </w:rPr>
            </w:pPr>
            <w:r>
              <w:rPr>
                <w:rFonts w:eastAsia="仿宋"/>
                <w:color w:val="000000"/>
              </w:rPr>
              <w:t>19.7</w:t>
            </w:r>
          </w:p>
        </w:tc>
        <w:tc>
          <w:tcPr>
            <w:tcW w:w="3230" w:type="dxa"/>
            <w:noWrap w:val="0"/>
            <w:vAlign w:val="center"/>
          </w:tcPr>
          <w:p>
            <w:pPr>
              <w:jc w:val="center"/>
              <w:rPr>
                <w:rFonts w:eastAsia="仿宋"/>
                <w:color w:val="000000"/>
              </w:rPr>
            </w:pPr>
            <w:r>
              <w:rPr>
                <w:rFonts w:eastAsia="仿宋"/>
                <w:color w:val="000000"/>
                <w:u w:val="single"/>
              </w:rPr>
              <w:t xml:space="preserve">         </w:t>
            </w:r>
            <w:r>
              <w:rPr>
                <w:rFonts w:eastAsia="仿宋"/>
                <w:color w:val="000000"/>
              </w:rPr>
              <w:t>天</w:t>
            </w:r>
          </w:p>
        </w:tc>
        <w:tc>
          <w:tcPr>
            <w:tcW w:w="976" w:type="dxa"/>
            <w:noWrap w:val="0"/>
            <w:vAlign w:val="center"/>
          </w:tcPr>
          <w:p>
            <w:pPr>
              <w:jc w:val="center"/>
              <w:rPr>
                <w:rFonts w:eastAsia="仿宋"/>
                <w:color w:val="000000"/>
                <w:szCs w:val="21"/>
              </w:rPr>
            </w:pPr>
          </w:p>
        </w:tc>
      </w:tr>
    </w:tbl>
    <w:p>
      <w:pPr>
        <w:tabs>
          <w:tab w:val="left" w:pos="690"/>
        </w:tabs>
        <w:ind w:firstLine="420" w:firstLineChars="200"/>
        <w:jc w:val="left"/>
        <w:rPr>
          <w:rFonts w:eastAsia="仿宋"/>
          <w:color w:val="000000"/>
          <w:szCs w:val="21"/>
        </w:rPr>
      </w:pPr>
      <w:r>
        <w:rPr>
          <w:rFonts w:eastAsia="仿宋"/>
          <w:color w:val="000000"/>
          <w:szCs w:val="21"/>
        </w:rPr>
        <w:t>说明：上表中人员的执业证书如要求提供注册执业资格证书的，执业证书号应填写注册编号；如要求提供非注册资格证书的，执业证书号应填写相应证书编号或编码。</w:t>
      </w:r>
    </w:p>
    <w:p>
      <w:pPr>
        <w:tabs>
          <w:tab w:val="left" w:pos="690"/>
        </w:tabs>
        <w:rPr>
          <w:color w:val="000000"/>
        </w:rPr>
      </w:pPr>
      <w:r>
        <w:rPr>
          <w:color w:val="000000"/>
        </w:rPr>
        <w:tab/>
      </w:r>
    </w:p>
    <w:p>
      <w:pPr>
        <w:tabs>
          <w:tab w:val="left" w:pos="690"/>
        </w:tabs>
        <w:rPr>
          <w:color w:val="000000"/>
        </w:rPr>
      </w:pPr>
    </w:p>
    <w:p>
      <w:pPr>
        <w:tabs>
          <w:tab w:val="left" w:pos="690"/>
        </w:tabs>
        <w:rPr>
          <w:color w:val="000000"/>
        </w:rPr>
      </w:pPr>
    </w:p>
    <w:p>
      <w:pPr>
        <w:tabs>
          <w:tab w:val="left" w:pos="690"/>
        </w:tabs>
        <w:rPr>
          <w:color w:val="000000"/>
        </w:rPr>
      </w:pPr>
    </w:p>
    <w:p>
      <w:pPr>
        <w:tabs>
          <w:tab w:val="left" w:pos="690"/>
        </w:tabs>
        <w:rPr>
          <w:color w:val="000000"/>
        </w:rPr>
      </w:pPr>
    </w:p>
    <w:p>
      <w:pPr>
        <w:tabs>
          <w:tab w:val="left" w:pos="690"/>
        </w:tabs>
        <w:rPr>
          <w:color w:val="000000"/>
        </w:rPr>
      </w:pPr>
    </w:p>
    <w:p>
      <w:pPr>
        <w:tabs>
          <w:tab w:val="left" w:pos="690"/>
        </w:tabs>
        <w:rPr>
          <w:color w:val="000000"/>
        </w:rPr>
      </w:pPr>
    </w:p>
    <w:p>
      <w:pPr>
        <w:tabs>
          <w:tab w:val="left" w:pos="690"/>
        </w:tabs>
        <w:rPr>
          <w:color w:val="000000"/>
        </w:rPr>
      </w:pPr>
    </w:p>
    <w:p>
      <w:pPr>
        <w:tabs>
          <w:tab w:val="left" w:pos="690"/>
        </w:tabs>
        <w:rPr>
          <w:color w:val="000000"/>
        </w:rPr>
      </w:pPr>
    </w:p>
    <w:p>
      <w:pPr>
        <w:rPr>
          <w:color w:val="000000"/>
        </w:rPr>
      </w:pPr>
    </w:p>
    <w:p>
      <w:pPr>
        <w:adjustRightInd w:val="0"/>
        <w:snapToGrid w:val="0"/>
        <w:spacing w:line="490" w:lineRule="exact"/>
        <w:jc w:val="center"/>
        <w:outlineLvl w:val="0"/>
        <w:rPr>
          <w:rFonts w:hint="eastAsia"/>
          <w:color w:val="000000"/>
        </w:rPr>
      </w:pPr>
      <w:r>
        <w:rPr>
          <w:color w:val="000000"/>
        </w:rPr>
        <w:br w:type="page"/>
      </w:r>
      <w:bookmarkStart w:id="1992" w:name="_Toc226"/>
      <w:bookmarkStart w:id="1993" w:name="_Toc13319"/>
      <w:bookmarkStart w:id="1994" w:name="_Toc51091940"/>
    </w:p>
    <w:p>
      <w:pPr>
        <w:adjustRightInd w:val="0"/>
        <w:snapToGrid w:val="0"/>
        <w:spacing w:line="490" w:lineRule="exact"/>
        <w:jc w:val="center"/>
        <w:outlineLvl w:val="0"/>
        <w:rPr>
          <w:rFonts w:hint="eastAsia" w:ascii="方正小标宋简体" w:eastAsia="方正小标宋简体"/>
          <w:bCs/>
          <w:color w:val="000000"/>
          <w:sz w:val="30"/>
          <w:szCs w:val="30"/>
        </w:rPr>
      </w:pPr>
      <w:r>
        <w:rPr>
          <w:rFonts w:hint="eastAsia" w:ascii="方正小标宋简体" w:eastAsia="方正小标宋简体"/>
          <w:bCs/>
          <w:color w:val="000000"/>
          <w:sz w:val="30"/>
          <w:szCs w:val="30"/>
        </w:rPr>
        <w:t>二.法定代表人身份证明</w:t>
      </w:r>
      <w:bookmarkEnd w:id="1992"/>
      <w:bookmarkEnd w:id="1993"/>
      <w:bookmarkEnd w:id="1994"/>
    </w:p>
    <w:p>
      <w:pPr>
        <w:spacing w:line="490" w:lineRule="exact"/>
        <w:rPr>
          <w:color w:val="000000"/>
          <w:sz w:val="20"/>
        </w:rPr>
      </w:pPr>
    </w:p>
    <w:p>
      <w:pPr>
        <w:pStyle w:val="41"/>
        <w:spacing w:after="0" w:line="490" w:lineRule="exact"/>
        <w:ind w:left="0" w:leftChars="0" w:firstLine="560" w:firstLineChars="200"/>
        <w:rPr>
          <w:rFonts w:eastAsia="仿宋_GB2312"/>
          <w:color w:val="000000"/>
          <w:sz w:val="28"/>
          <w:szCs w:val="32"/>
        </w:rPr>
      </w:pPr>
      <w:r>
        <w:rPr>
          <w:rFonts w:eastAsia="仿宋_GB2312"/>
          <w:color w:val="000000"/>
          <w:sz w:val="28"/>
          <w:szCs w:val="32"/>
        </w:rPr>
        <w:t>投标人名称：</w:t>
      </w:r>
      <w:r>
        <w:rPr>
          <w:rFonts w:eastAsia="仿宋_GB2312"/>
          <w:color w:val="000000"/>
          <w:sz w:val="28"/>
          <w:szCs w:val="32"/>
          <w:u w:val="single"/>
        </w:rPr>
        <w:t xml:space="preserve">                              </w:t>
      </w:r>
    </w:p>
    <w:p>
      <w:pPr>
        <w:pStyle w:val="41"/>
        <w:spacing w:after="0" w:line="490" w:lineRule="exact"/>
        <w:ind w:left="0" w:leftChars="0" w:firstLine="560" w:firstLineChars="200"/>
        <w:rPr>
          <w:rFonts w:eastAsia="仿宋_GB2312"/>
          <w:color w:val="000000"/>
          <w:sz w:val="28"/>
          <w:szCs w:val="32"/>
        </w:rPr>
      </w:pPr>
      <w:r>
        <w:rPr>
          <w:rFonts w:eastAsia="仿宋_GB2312"/>
          <w:color w:val="000000"/>
          <w:sz w:val="28"/>
          <w:szCs w:val="32"/>
        </w:rPr>
        <w:t>单位性质：</w:t>
      </w:r>
      <w:r>
        <w:rPr>
          <w:rFonts w:eastAsia="仿宋_GB2312"/>
          <w:color w:val="000000"/>
          <w:sz w:val="28"/>
          <w:szCs w:val="32"/>
          <w:u w:val="single"/>
        </w:rPr>
        <w:t xml:space="preserve">                                </w:t>
      </w:r>
    </w:p>
    <w:p>
      <w:pPr>
        <w:pStyle w:val="41"/>
        <w:spacing w:after="0" w:line="490" w:lineRule="exact"/>
        <w:ind w:left="0" w:leftChars="0" w:firstLine="560" w:firstLineChars="200"/>
        <w:rPr>
          <w:rFonts w:eastAsia="仿宋_GB2312"/>
          <w:color w:val="000000"/>
          <w:sz w:val="28"/>
          <w:szCs w:val="32"/>
        </w:rPr>
      </w:pPr>
      <w:r>
        <w:rPr>
          <w:rFonts w:eastAsia="仿宋_GB2312"/>
          <w:color w:val="000000"/>
          <w:sz w:val="28"/>
          <w:szCs w:val="32"/>
        </w:rPr>
        <w:t>地    址：</w:t>
      </w:r>
      <w:r>
        <w:rPr>
          <w:rFonts w:eastAsia="仿宋_GB2312"/>
          <w:color w:val="000000"/>
          <w:sz w:val="28"/>
          <w:szCs w:val="32"/>
          <w:u w:val="single"/>
        </w:rPr>
        <w:t xml:space="preserve">                                </w:t>
      </w:r>
    </w:p>
    <w:p>
      <w:pPr>
        <w:pStyle w:val="41"/>
        <w:spacing w:after="0" w:line="490" w:lineRule="exact"/>
        <w:ind w:left="0" w:leftChars="0" w:firstLine="560" w:firstLineChars="200"/>
        <w:rPr>
          <w:rFonts w:eastAsia="仿宋_GB2312"/>
          <w:color w:val="000000"/>
          <w:sz w:val="28"/>
          <w:szCs w:val="32"/>
        </w:rPr>
      </w:pPr>
      <w:r>
        <w:rPr>
          <w:rFonts w:eastAsia="仿宋_GB2312"/>
          <w:color w:val="000000"/>
          <w:sz w:val="28"/>
          <w:szCs w:val="32"/>
        </w:rPr>
        <w:t>成立时间：</w:t>
      </w:r>
      <w:r>
        <w:rPr>
          <w:rFonts w:eastAsia="仿宋_GB2312"/>
          <w:color w:val="000000"/>
          <w:sz w:val="28"/>
          <w:szCs w:val="32"/>
          <w:u w:val="single"/>
        </w:rPr>
        <w:t xml:space="preserve">            </w:t>
      </w:r>
      <w:r>
        <w:rPr>
          <w:rFonts w:eastAsia="仿宋_GB2312"/>
          <w:color w:val="000000"/>
          <w:sz w:val="28"/>
          <w:szCs w:val="32"/>
        </w:rPr>
        <w:t>年</w:t>
      </w:r>
      <w:r>
        <w:rPr>
          <w:rFonts w:eastAsia="仿宋_GB2312"/>
          <w:color w:val="000000"/>
          <w:sz w:val="28"/>
          <w:szCs w:val="32"/>
          <w:u w:val="single"/>
        </w:rPr>
        <w:t xml:space="preserve">        </w:t>
      </w:r>
      <w:r>
        <w:rPr>
          <w:rFonts w:eastAsia="仿宋_GB2312"/>
          <w:color w:val="000000"/>
          <w:sz w:val="28"/>
          <w:szCs w:val="32"/>
        </w:rPr>
        <w:t>月</w:t>
      </w:r>
      <w:r>
        <w:rPr>
          <w:rFonts w:eastAsia="仿宋_GB2312"/>
          <w:color w:val="000000"/>
          <w:sz w:val="28"/>
          <w:szCs w:val="32"/>
          <w:u w:val="single"/>
        </w:rPr>
        <w:t xml:space="preserve">         </w:t>
      </w:r>
      <w:r>
        <w:rPr>
          <w:rFonts w:eastAsia="仿宋_GB2312"/>
          <w:color w:val="000000"/>
          <w:sz w:val="28"/>
          <w:szCs w:val="32"/>
        </w:rPr>
        <w:t>日</w:t>
      </w:r>
    </w:p>
    <w:p>
      <w:pPr>
        <w:pStyle w:val="41"/>
        <w:spacing w:after="0" w:line="490" w:lineRule="exact"/>
        <w:ind w:left="0" w:leftChars="0" w:firstLine="560" w:firstLineChars="200"/>
        <w:rPr>
          <w:rFonts w:eastAsia="仿宋_GB2312"/>
          <w:color w:val="000000"/>
          <w:sz w:val="28"/>
          <w:szCs w:val="32"/>
        </w:rPr>
      </w:pPr>
      <w:r>
        <w:rPr>
          <w:rFonts w:eastAsia="仿宋_GB2312"/>
          <w:color w:val="000000"/>
          <w:sz w:val="28"/>
          <w:szCs w:val="32"/>
        </w:rPr>
        <w:t>经营期限：</w:t>
      </w:r>
      <w:r>
        <w:rPr>
          <w:rFonts w:eastAsia="仿宋_GB2312"/>
          <w:color w:val="000000"/>
          <w:sz w:val="28"/>
          <w:szCs w:val="32"/>
          <w:u w:val="single"/>
        </w:rPr>
        <w:t xml:space="preserve">                                </w:t>
      </w:r>
    </w:p>
    <w:p>
      <w:pPr>
        <w:pStyle w:val="41"/>
        <w:spacing w:after="0" w:line="490" w:lineRule="exact"/>
        <w:ind w:left="0" w:leftChars="0" w:firstLine="560" w:firstLineChars="200"/>
        <w:rPr>
          <w:rFonts w:eastAsia="仿宋_GB2312"/>
          <w:color w:val="000000"/>
          <w:sz w:val="28"/>
          <w:szCs w:val="32"/>
          <w:u w:val="single"/>
        </w:rPr>
      </w:pPr>
      <w:r>
        <w:rPr>
          <w:rFonts w:eastAsia="仿宋_GB2312"/>
          <w:color w:val="000000"/>
          <w:sz w:val="28"/>
          <w:szCs w:val="32"/>
        </w:rPr>
        <w:t>姓名：</w:t>
      </w:r>
      <w:r>
        <w:rPr>
          <w:rFonts w:eastAsia="仿宋_GB2312"/>
          <w:color w:val="000000"/>
          <w:sz w:val="28"/>
          <w:szCs w:val="32"/>
          <w:u w:val="single"/>
        </w:rPr>
        <w:t xml:space="preserve">            </w:t>
      </w:r>
      <w:r>
        <w:rPr>
          <w:rFonts w:eastAsia="仿宋_GB2312"/>
          <w:color w:val="000000"/>
          <w:sz w:val="28"/>
          <w:szCs w:val="32"/>
        </w:rPr>
        <w:t>性别：</w:t>
      </w:r>
      <w:r>
        <w:rPr>
          <w:rFonts w:eastAsia="仿宋_GB2312"/>
          <w:color w:val="000000"/>
          <w:sz w:val="28"/>
          <w:szCs w:val="32"/>
          <w:u w:val="single"/>
        </w:rPr>
        <w:t xml:space="preserve">            </w:t>
      </w:r>
      <w:r>
        <w:rPr>
          <w:rFonts w:eastAsia="仿宋_GB2312"/>
          <w:color w:val="000000"/>
          <w:sz w:val="28"/>
          <w:szCs w:val="32"/>
        </w:rPr>
        <w:t>年龄：</w:t>
      </w:r>
      <w:r>
        <w:rPr>
          <w:rFonts w:eastAsia="仿宋_GB2312"/>
          <w:color w:val="000000"/>
          <w:sz w:val="28"/>
          <w:szCs w:val="32"/>
          <w:u w:val="single"/>
        </w:rPr>
        <w:t xml:space="preserve">           </w:t>
      </w:r>
    </w:p>
    <w:p>
      <w:pPr>
        <w:pStyle w:val="41"/>
        <w:spacing w:after="0" w:line="490" w:lineRule="exact"/>
        <w:ind w:left="0" w:leftChars="0" w:firstLine="560" w:firstLineChars="200"/>
        <w:rPr>
          <w:rFonts w:eastAsia="仿宋_GB2312"/>
          <w:color w:val="000000"/>
          <w:sz w:val="28"/>
          <w:szCs w:val="32"/>
        </w:rPr>
      </w:pPr>
      <w:r>
        <w:rPr>
          <w:rFonts w:eastAsia="仿宋_GB2312"/>
          <w:color w:val="000000"/>
          <w:sz w:val="28"/>
          <w:szCs w:val="32"/>
        </w:rPr>
        <w:t>身份证号码：</w:t>
      </w:r>
      <w:r>
        <w:rPr>
          <w:rFonts w:eastAsia="仿宋_GB2312"/>
          <w:color w:val="000000"/>
          <w:sz w:val="28"/>
          <w:szCs w:val="32"/>
          <w:u w:val="single"/>
        </w:rPr>
        <w:t xml:space="preserve">                </w:t>
      </w:r>
    </w:p>
    <w:p>
      <w:pPr>
        <w:pStyle w:val="41"/>
        <w:spacing w:after="0" w:line="490" w:lineRule="exact"/>
        <w:ind w:left="0" w:leftChars="0" w:firstLine="560" w:firstLineChars="200"/>
        <w:rPr>
          <w:rFonts w:eastAsia="仿宋_GB2312"/>
          <w:color w:val="000000"/>
          <w:sz w:val="28"/>
          <w:szCs w:val="32"/>
        </w:rPr>
      </w:pPr>
      <w:r>
        <w:rPr>
          <w:rFonts w:eastAsia="仿宋_GB2312"/>
          <w:color w:val="000000"/>
          <w:sz w:val="28"/>
          <w:szCs w:val="32"/>
        </w:rPr>
        <w:t>职务：</w:t>
      </w:r>
      <w:r>
        <w:rPr>
          <w:rFonts w:eastAsia="仿宋_GB2312"/>
          <w:color w:val="000000"/>
          <w:sz w:val="28"/>
          <w:szCs w:val="32"/>
          <w:u w:val="single"/>
        </w:rPr>
        <w:t xml:space="preserve">            </w:t>
      </w:r>
      <w:r>
        <w:rPr>
          <w:rFonts w:eastAsia="仿宋_GB2312"/>
          <w:color w:val="000000"/>
          <w:sz w:val="28"/>
          <w:szCs w:val="32"/>
        </w:rPr>
        <w:t>系</w:t>
      </w:r>
      <w:r>
        <w:rPr>
          <w:rFonts w:eastAsia="仿宋_GB2312"/>
          <w:color w:val="000000"/>
          <w:sz w:val="28"/>
          <w:szCs w:val="32"/>
          <w:u w:val="single"/>
        </w:rPr>
        <w:t xml:space="preserve">               </w:t>
      </w:r>
      <w:r>
        <w:rPr>
          <w:rFonts w:eastAsia="仿宋_GB2312"/>
          <w:color w:val="000000"/>
          <w:sz w:val="28"/>
          <w:szCs w:val="32"/>
        </w:rPr>
        <w:t>（投标人名称）的法定代表人。</w:t>
      </w:r>
    </w:p>
    <w:p>
      <w:pPr>
        <w:pStyle w:val="41"/>
        <w:spacing w:after="0" w:line="490" w:lineRule="exact"/>
        <w:ind w:left="0" w:leftChars="0" w:firstLine="560" w:firstLineChars="200"/>
        <w:rPr>
          <w:rFonts w:eastAsia="仿宋_GB2312"/>
          <w:color w:val="000000"/>
          <w:sz w:val="28"/>
          <w:szCs w:val="32"/>
        </w:rPr>
      </w:pPr>
      <w:r>
        <w:rPr>
          <w:rFonts w:eastAsia="仿宋_GB2312"/>
          <w:color w:val="000000"/>
          <w:sz w:val="28"/>
          <w:szCs w:val="32"/>
        </w:rPr>
        <w:t>特此证明。</w:t>
      </w:r>
    </w:p>
    <w:p>
      <w:pPr>
        <w:rPr>
          <w:color w:val="000000"/>
        </w:rPr>
      </w:pP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596" w:hRule="atLeast"/>
          <w:jc w:val="center"/>
        </w:trPr>
        <w:tc>
          <w:tcPr>
            <w:tcW w:w="6024" w:type="dxa"/>
            <w:noWrap w:val="0"/>
            <w:vAlign w:val="center"/>
          </w:tcPr>
          <w:p>
            <w:pPr>
              <w:pStyle w:val="23"/>
              <w:jc w:val="center"/>
              <w:rPr>
                <w:rFonts w:ascii="Times New Roman" w:hAnsi="Times New Roman"/>
                <w:b/>
                <w:color w:val="000000"/>
                <w:lang w:val="en-US" w:eastAsia="zh-CN"/>
              </w:rPr>
            </w:pPr>
            <w:r>
              <w:rPr>
                <w:rFonts w:ascii="Times New Roman" w:hAnsi="Times New Roman"/>
                <w:b/>
                <w:color w:val="000000"/>
                <w:lang w:val="en-US" w:eastAsia="zh-CN"/>
              </w:rPr>
              <w:t>法定代表人二代身份证（正、反面）扫描件</w:t>
            </w:r>
          </w:p>
        </w:tc>
      </w:tr>
    </w:tbl>
    <w:p>
      <w:pPr>
        <w:rPr>
          <w:color w:val="000000"/>
        </w:rPr>
      </w:pPr>
    </w:p>
    <w:p>
      <w:pPr>
        <w:rPr>
          <w:color w:val="000000"/>
        </w:rPr>
      </w:pPr>
    </w:p>
    <w:p>
      <w:pPr>
        <w:rPr>
          <w:color w:val="000000"/>
        </w:rPr>
      </w:pPr>
    </w:p>
    <w:p>
      <w:pPr>
        <w:pStyle w:val="106"/>
        <w:spacing w:line="490" w:lineRule="exact"/>
        <w:ind w:firstLine="4060" w:firstLineChars="1450"/>
        <w:rPr>
          <w:rFonts w:ascii="Times New Roman" w:eastAsia="仿宋_GB2312" w:cs="Times New Roman"/>
          <w:sz w:val="28"/>
          <w:szCs w:val="32"/>
          <w:u w:val="single"/>
        </w:rPr>
      </w:pPr>
      <w:r>
        <w:rPr>
          <w:rFonts w:ascii="Times New Roman" w:eastAsia="仿宋_GB2312" w:cs="Times New Roman"/>
          <w:sz w:val="28"/>
          <w:szCs w:val="32"/>
        </w:rPr>
        <w:t>投标人：</w:t>
      </w:r>
      <w:r>
        <w:rPr>
          <w:rFonts w:ascii="Times New Roman" w:eastAsia="仿宋_GB2312" w:cs="Times New Roman"/>
          <w:sz w:val="28"/>
          <w:szCs w:val="32"/>
          <w:u w:val="single"/>
        </w:rPr>
        <w:t xml:space="preserve">                     </w:t>
      </w:r>
    </w:p>
    <w:p>
      <w:pPr>
        <w:pStyle w:val="106"/>
        <w:spacing w:line="490" w:lineRule="exact"/>
        <w:ind w:firstLine="5460" w:firstLineChars="1950"/>
        <w:rPr>
          <w:rFonts w:ascii="Times New Roman" w:eastAsia="仿宋_GB2312" w:cs="Times New Roman"/>
          <w:sz w:val="28"/>
          <w:szCs w:val="32"/>
        </w:rPr>
      </w:pPr>
      <w:r>
        <w:rPr>
          <w:rFonts w:ascii="Times New Roman" w:eastAsia="仿宋_GB2312" w:cs="Times New Roman"/>
          <w:sz w:val="28"/>
          <w:szCs w:val="32"/>
        </w:rPr>
        <w:t>（盖单位电子公章）</w:t>
      </w:r>
    </w:p>
    <w:p>
      <w:pPr>
        <w:pStyle w:val="106"/>
        <w:spacing w:line="490" w:lineRule="exact"/>
        <w:ind w:firstLine="4060" w:firstLineChars="1450"/>
        <w:rPr>
          <w:rFonts w:ascii="Times New Roman" w:eastAsia="仿宋_GB2312" w:cs="Times New Roman"/>
          <w:sz w:val="28"/>
          <w:szCs w:val="32"/>
        </w:rPr>
      </w:pPr>
      <w:r>
        <w:rPr>
          <w:rFonts w:ascii="Times New Roman" w:eastAsia="仿宋_GB2312" w:cs="Times New Roman"/>
          <w:sz w:val="28"/>
          <w:szCs w:val="32"/>
        </w:rPr>
        <w:t>日  期：</w:t>
      </w:r>
      <w:r>
        <w:rPr>
          <w:rFonts w:ascii="Times New Roman" w:eastAsia="仿宋_GB2312" w:cs="Times New Roman"/>
          <w:sz w:val="28"/>
          <w:szCs w:val="32"/>
          <w:u w:val="single"/>
        </w:rPr>
        <w:t xml:space="preserve">     </w:t>
      </w:r>
      <w:r>
        <w:rPr>
          <w:rFonts w:ascii="Times New Roman" w:eastAsia="仿宋_GB2312" w:cs="Times New Roman"/>
          <w:sz w:val="28"/>
          <w:szCs w:val="32"/>
        </w:rPr>
        <w:t>年_</w:t>
      </w:r>
      <w:r>
        <w:rPr>
          <w:rFonts w:ascii="Times New Roman" w:eastAsia="仿宋_GB2312" w:cs="Times New Roman"/>
          <w:sz w:val="28"/>
          <w:szCs w:val="32"/>
          <w:u w:val="single"/>
        </w:rPr>
        <w:t xml:space="preserve">     </w:t>
      </w:r>
      <w:r>
        <w:rPr>
          <w:rFonts w:ascii="Times New Roman" w:eastAsia="仿宋_GB2312" w:cs="Times New Roman"/>
          <w:sz w:val="28"/>
          <w:szCs w:val="32"/>
        </w:rPr>
        <w:t>月</w:t>
      </w:r>
      <w:r>
        <w:rPr>
          <w:rFonts w:ascii="Times New Roman" w:eastAsia="仿宋_GB2312" w:cs="Times New Roman"/>
          <w:sz w:val="28"/>
          <w:szCs w:val="32"/>
          <w:u w:val="single"/>
        </w:rPr>
        <w:t xml:space="preserve">     </w:t>
      </w:r>
      <w:r>
        <w:rPr>
          <w:rFonts w:ascii="Times New Roman" w:eastAsia="仿宋_GB2312" w:cs="Times New Roman"/>
          <w:sz w:val="28"/>
          <w:szCs w:val="32"/>
        </w:rPr>
        <w:t>日</w:t>
      </w:r>
    </w:p>
    <w:p>
      <w:pPr>
        <w:pStyle w:val="2"/>
        <w:spacing w:after="0" w:line="490" w:lineRule="exact"/>
        <w:jc w:val="center"/>
        <w:rPr>
          <w:color w:val="000000"/>
          <w:sz w:val="20"/>
          <w:szCs w:val="21"/>
        </w:rPr>
      </w:pPr>
      <w:r>
        <w:rPr>
          <w:color w:val="000000"/>
          <w:szCs w:val="21"/>
        </w:rPr>
        <w:br w:type="page"/>
      </w:r>
    </w:p>
    <w:p>
      <w:pPr>
        <w:adjustRightInd w:val="0"/>
        <w:snapToGrid w:val="0"/>
        <w:spacing w:line="490" w:lineRule="exact"/>
        <w:jc w:val="center"/>
        <w:outlineLvl w:val="0"/>
        <w:rPr>
          <w:rFonts w:hint="eastAsia" w:ascii="方正小标宋简体" w:eastAsia="方正小标宋简体"/>
          <w:bCs/>
          <w:color w:val="000000"/>
          <w:sz w:val="30"/>
          <w:szCs w:val="30"/>
        </w:rPr>
      </w:pPr>
      <w:bookmarkStart w:id="1995" w:name="_Toc23480"/>
      <w:bookmarkStart w:id="1996" w:name="_Toc51091941"/>
      <w:bookmarkStart w:id="1997" w:name="_Toc23573"/>
      <w:r>
        <w:rPr>
          <w:rFonts w:hint="eastAsia" w:ascii="方正小标宋简体" w:eastAsia="方正小标宋简体"/>
          <w:bCs/>
          <w:color w:val="000000"/>
          <w:sz w:val="30"/>
          <w:szCs w:val="30"/>
        </w:rPr>
        <w:t>三.授权委托书（委托代理人）</w:t>
      </w:r>
      <w:bookmarkEnd w:id="1995"/>
      <w:bookmarkEnd w:id="1996"/>
      <w:bookmarkEnd w:id="1997"/>
    </w:p>
    <w:p>
      <w:pPr>
        <w:spacing w:line="490" w:lineRule="exact"/>
        <w:ind w:firstLine="560" w:firstLineChars="200"/>
        <w:rPr>
          <w:rFonts w:eastAsia="仿宋_GB2312"/>
          <w:color w:val="000000"/>
          <w:sz w:val="28"/>
          <w:szCs w:val="32"/>
        </w:rPr>
      </w:pPr>
    </w:p>
    <w:p>
      <w:pPr>
        <w:spacing w:line="490" w:lineRule="exact"/>
        <w:ind w:firstLine="560" w:firstLineChars="200"/>
        <w:rPr>
          <w:rFonts w:eastAsia="仿宋_GB2312"/>
          <w:color w:val="000000"/>
          <w:sz w:val="28"/>
          <w:szCs w:val="32"/>
        </w:rPr>
      </w:pPr>
      <w:r>
        <w:rPr>
          <w:rFonts w:eastAsia="仿宋_GB2312"/>
          <w:color w:val="000000"/>
          <w:sz w:val="28"/>
          <w:szCs w:val="32"/>
        </w:rPr>
        <w:t>本人</w:t>
      </w:r>
      <w:r>
        <w:rPr>
          <w:rFonts w:eastAsia="仿宋_GB2312"/>
          <w:color w:val="000000"/>
          <w:sz w:val="28"/>
          <w:szCs w:val="32"/>
          <w:u w:val="single"/>
        </w:rPr>
        <w:t xml:space="preserve">               </w:t>
      </w:r>
      <w:r>
        <w:rPr>
          <w:rFonts w:eastAsia="仿宋_GB2312"/>
          <w:color w:val="000000"/>
          <w:sz w:val="28"/>
          <w:szCs w:val="32"/>
        </w:rPr>
        <w:t>（姓名）系</w:t>
      </w:r>
      <w:r>
        <w:rPr>
          <w:rFonts w:eastAsia="仿宋_GB2312"/>
          <w:color w:val="000000"/>
          <w:sz w:val="28"/>
          <w:szCs w:val="32"/>
          <w:u w:val="single"/>
        </w:rPr>
        <w:t xml:space="preserve">                    </w:t>
      </w:r>
      <w:r>
        <w:rPr>
          <w:rFonts w:eastAsia="仿宋_GB2312"/>
          <w:color w:val="000000"/>
          <w:sz w:val="28"/>
          <w:szCs w:val="32"/>
        </w:rPr>
        <w:t>（投标人名称） 的法定代表人，现委托</w:t>
      </w:r>
      <w:r>
        <w:rPr>
          <w:rFonts w:eastAsia="仿宋_GB2312"/>
          <w:color w:val="000000"/>
          <w:sz w:val="28"/>
          <w:szCs w:val="32"/>
          <w:u w:val="single"/>
        </w:rPr>
        <w:t xml:space="preserve">             </w:t>
      </w:r>
      <w:r>
        <w:rPr>
          <w:rFonts w:eastAsia="仿宋_GB2312"/>
          <w:color w:val="000000"/>
          <w:sz w:val="28"/>
          <w:szCs w:val="32"/>
        </w:rPr>
        <w:t xml:space="preserve">（姓名）为我方代理人。代理人根据授权，以我方名义签署、澄清、说明、补正、递交、撤回、修改 </w:t>
      </w:r>
      <w:r>
        <w:rPr>
          <w:rFonts w:eastAsia="仿宋_GB2312"/>
          <w:color w:val="000000"/>
          <w:sz w:val="28"/>
          <w:szCs w:val="32"/>
          <w:u w:val="single"/>
        </w:rPr>
        <w:t xml:space="preserve">           </w:t>
      </w:r>
      <w:r>
        <w:rPr>
          <w:rFonts w:eastAsia="仿宋_GB2312"/>
          <w:color w:val="000000"/>
          <w:sz w:val="28"/>
          <w:szCs w:val="32"/>
        </w:rPr>
        <w:t>（项目名称）</w:t>
      </w:r>
      <w:r>
        <w:rPr>
          <w:rFonts w:eastAsia="仿宋_GB2312"/>
          <w:color w:val="000000"/>
          <w:sz w:val="28"/>
          <w:szCs w:val="32"/>
          <w:u w:val="single"/>
        </w:rPr>
        <w:t xml:space="preserve">             </w:t>
      </w:r>
      <w:r>
        <w:rPr>
          <w:rFonts w:eastAsia="仿宋_GB2312"/>
          <w:color w:val="000000"/>
          <w:sz w:val="28"/>
          <w:szCs w:val="32"/>
        </w:rPr>
        <w:t>（标段名称）投标文件、签订合同和处理有关事宜，其法律后果由我方承担。</w:t>
      </w:r>
    </w:p>
    <w:p>
      <w:pPr>
        <w:spacing w:line="490" w:lineRule="exact"/>
        <w:ind w:firstLine="560" w:firstLineChars="200"/>
        <w:rPr>
          <w:rFonts w:eastAsia="仿宋_GB2312"/>
          <w:color w:val="000000"/>
          <w:sz w:val="28"/>
          <w:szCs w:val="32"/>
        </w:rPr>
      </w:pPr>
      <w:r>
        <w:rPr>
          <w:rFonts w:eastAsia="仿宋_GB2312"/>
          <w:color w:val="000000"/>
          <w:sz w:val="28"/>
          <w:szCs w:val="32"/>
        </w:rPr>
        <w:t>委托期限：</w:t>
      </w:r>
      <w:r>
        <w:rPr>
          <w:rFonts w:eastAsia="仿宋_GB2312"/>
          <w:color w:val="000000"/>
          <w:sz w:val="28"/>
          <w:szCs w:val="32"/>
          <w:u w:val="single"/>
        </w:rPr>
        <w:t xml:space="preserve">                   </w:t>
      </w:r>
      <w:r>
        <w:rPr>
          <w:rFonts w:eastAsia="仿宋_GB2312"/>
          <w:color w:val="000000"/>
          <w:sz w:val="28"/>
          <w:szCs w:val="32"/>
        </w:rPr>
        <w:t xml:space="preserve"> 。</w:t>
      </w:r>
    </w:p>
    <w:p>
      <w:pPr>
        <w:spacing w:line="490" w:lineRule="exact"/>
        <w:ind w:firstLine="560" w:firstLineChars="200"/>
        <w:rPr>
          <w:rFonts w:eastAsia="仿宋_GB2312"/>
          <w:color w:val="000000"/>
          <w:sz w:val="28"/>
          <w:szCs w:val="32"/>
        </w:rPr>
      </w:pPr>
      <w:r>
        <w:rPr>
          <w:rFonts w:eastAsia="仿宋_GB2312"/>
          <w:color w:val="000000"/>
          <w:sz w:val="28"/>
          <w:szCs w:val="32"/>
        </w:rPr>
        <w:t>代理人无转委托权。</w:t>
      </w:r>
    </w:p>
    <w:p>
      <w:pPr>
        <w:spacing w:line="490" w:lineRule="exact"/>
        <w:ind w:firstLine="560" w:firstLineChars="200"/>
        <w:rPr>
          <w:rFonts w:eastAsia="仿宋_GB2312"/>
          <w:color w:val="000000"/>
          <w:sz w:val="28"/>
          <w:szCs w:val="32"/>
        </w:rPr>
      </w:pPr>
    </w:p>
    <w:p>
      <w:pPr>
        <w:spacing w:line="490" w:lineRule="exact"/>
        <w:ind w:firstLine="420" w:firstLineChars="200"/>
        <w:rPr>
          <w:rFonts w:eastAsia="仿宋_GB2312"/>
          <w:color w:val="000000"/>
          <w:sz w:val="24"/>
        </w:rPr>
      </w:pPr>
      <w:r>
        <w:rPr>
          <w:rFonts w:eastAsia="仿宋_GB2312"/>
          <w:color w:val="000000"/>
        </w:rPr>
        <w:t>附</w:t>
      </w:r>
      <w:r>
        <w:rPr>
          <w:rFonts w:eastAsia="仿宋_GB2312"/>
          <w:color w:val="000000"/>
          <w:sz w:val="24"/>
        </w:rPr>
        <w:t>：法定代表人及委托代理人的身份证扫描件。</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70"/>
        <w:gridCol w:w="735"/>
        <w:gridCol w:w="3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513" w:hRule="atLeast"/>
          <w:jc w:val="center"/>
        </w:trPr>
        <w:tc>
          <w:tcPr>
            <w:tcW w:w="3570" w:type="dxa"/>
            <w:noWrap w:val="0"/>
            <w:vAlign w:val="center"/>
          </w:tcPr>
          <w:p>
            <w:pPr>
              <w:pStyle w:val="23"/>
              <w:jc w:val="center"/>
              <w:rPr>
                <w:rFonts w:ascii="Times New Roman" w:hAnsi="Times New Roman"/>
                <w:b/>
                <w:color w:val="000000"/>
                <w:lang w:val="en-US" w:eastAsia="zh-CN"/>
              </w:rPr>
            </w:pPr>
            <w:r>
              <w:rPr>
                <w:rFonts w:ascii="Times New Roman" w:hAnsi="Times New Roman"/>
                <w:b/>
                <w:color w:val="000000"/>
                <w:lang w:val="en-US" w:eastAsia="zh-CN"/>
              </w:rPr>
              <w:t>法定代表人身份证扫描件</w:t>
            </w:r>
          </w:p>
        </w:tc>
        <w:tc>
          <w:tcPr>
            <w:tcW w:w="735" w:type="dxa"/>
            <w:tcBorders>
              <w:top w:val="nil"/>
              <w:bottom w:val="nil"/>
            </w:tcBorders>
            <w:noWrap w:val="0"/>
            <w:vAlign w:val="top"/>
          </w:tcPr>
          <w:p>
            <w:pPr>
              <w:pStyle w:val="23"/>
              <w:ind w:firstLine="480"/>
              <w:jc w:val="center"/>
              <w:rPr>
                <w:rFonts w:ascii="Times New Roman" w:hAnsi="Times New Roman"/>
                <w:b/>
                <w:color w:val="000000"/>
                <w:lang w:val="en-US" w:eastAsia="zh-CN"/>
              </w:rPr>
            </w:pPr>
          </w:p>
        </w:tc>
        <w:tc>
          <w:tcPr>
            <w:tcW w:w="3570" w:type="dxa"/>
            <w:noWrap w:val="0"/>
            <w:vAlign w:val="center"/>
          </w:tcPr>
          <w:p>
            <w:pPr>
              <w:pStyle w:val="23"/>
              <w:jc w:val="center"/>
              <w:rPr>
                <w:rFonts w:ascii="Times New Roman" w:hAnsi="Times New Roman"/>
                <w:b/>
                <w:color w:val="000000"/>
                <w:lang w:val="en-US" w:eastAsia="zh-CN"/>
              </w:rPr>
            </w:pPr>
            <w:r>
              <w:rPr>
                <w:rFonts w:ascii="Times New Roman" w:hAnsi="Times New Roman"/>
                <w:b/>
                <w:color w:val="000000"/>
                <w:lang w:val="en-US" w:eastAsia="zh-CN"/>
              </w:rPr>
              <w:t>委托代理人身份证扫描件</w:t>
            </w:r>
          </w:p>
        </w:tc>
      </w:tr>
    </w:tbl>
    <w:p>
      <w:pPr>
        <w:spacing w:line="400" w:lineRule="exact"/>
        <w:rPr>
          <w:color w:val="000000"/>
        </w:rPr>
      </w:pPr>
    </w:p>
    <w:p>
      <w:pPr>
        <w:spacing w:line="400" w:lineRule="exact"/>
        <w:rPr>
          <w:color w:val="000000"/>
        </w:rPr>
      </w:pPr>
    </w:p>
    <w:p>
      <w:pPr>
        <w:pStyle w:val="106"/>
        <w:tabs>
          <w:tab w:val="left" w:pos="1843"/>
          <w:tab w:val="left" w:pos="1985"/>
          <w:tab w:val="left" w:pos="2127"/>
        </w:tabs>
        <w:spacing w:line="460" w:lineRule="exact"/>
        <w:ind w:right="420" w:firstLine="560" w:firstLineChars="200"/>
        <w:jc w:val="right"/>
        <w:rPr>
          <w:rFonts w:ascii="Times New Roman" w:eastAsia="仿宋_GB2312" w:cs="Times New Roman"/>
          <w:sz w:val="28"/>
          <w:szCs w:val="32"/>
        </w:rPr>
      </w:pPr>
      <w:r>
        <w:rPr>
          <w:rFonts w:ascii="Times New Roman" w:eastAsia="仿宋_GB2312" w:cs="Times New Roman"/>
          <w:sz w:val="28"/>
          <w:szCs w:val="32"/>
        </w:rPr>
        <w:t>投  标  人：</w:t>
      </w:r>
      <w:r>
        <w:rPr>
          <w:rFonts w:ascii="Times New Roman" w:eastAsia="仿宋_GB2312" w:cs="Times New Roman"/>
          <w:sz w:val="28"/>
          <w:szCs w:val="32"/>
          <w:u w:val="single"/>
        </w:rPr>
        <w:t xml:space="preserve">              </w:t>
      </w:r>
      <w:r>
        <w:rPr>
          <w:rFonts w:ascii="Times New Roman" w:eastAsia="仿宋_GB2312" w:cs="Times New Roman"/>
          <w:sz w:val="28"/>
          <w:szCs w:val="32"/>
        </w:rPr>
        <w:t>（盖单位电子公章）</w:t>
      </w:r>
    </w:p>
    <w:p>
      <w:pPr>
        <w:pStyle w:val="106"/>
        <w:spacing w:line="460" w:lineRule="exact"/>
        <w:ind w:firstLine="1988" w:firstLineChars="710"/>
        <w:rPr>
          <w:rFonts w:ascii="Times New Roman" w:eastAsia="仿宋_GB2312" w:cs="Times New Roman"/>
          <w:sz w:val="28"/>
          <w:szCs w:val="32"/>
        </w:rPr>
      </w:pPr>
      <w:r>
        <w:rPr>
          <w:rFonts w:ascii="Times New Roman" w:eastAsia="仿宋_GB2312" w:cs="Times New Roman"/>
          <w:sz w:val="28"/>
          <w:szCs w:val="32"/>
        </w:rPr>
        <w:t xml:space="preserve">   法定代表人：</w:t>
      </w:r>
      <w:r>
        <w:rPr>
          <w:rFonts w:ascii="Times New Roman" w:eastAsia="仿宋_GB2312" w:cs="Times New Roman"/>
          <w:sz w:val="28"/>
          <w:szCs w:val="32"/>
          <w:u w:val="single"/>
        </w:rPr>
        <w:t xml:space="preserve">                    </w:t>
      </w:r>
      <w:r>
        <w:rPr>
          <w:rFonts w:ascii="Times New Roman" w:eastAsia="仿宋_GB2312" w:cs="Times New Roman"/>
          <w:sz w:val="28"/>
          <w:szCs w:val="32"/>
        </w:rPr>
        <w:t>（电子签名）</w:t>
      </w:r>
    </w:p>
    <w:p>
      <w:pPr>
        <w:pStyle w:val="106"/>
        <w:spacing w:line="460" w:lineRule="exact"/>
        <w:ind w:firstLine="1988" w:firstLineChars="710"/>
        <w:rPr>
          <w:rFonts w:ascii="Times New Roman" w:eastAsia="仿宋_GB2312" w:cs="Times New Roman"/>
          <w:sz w:val="28"/>
          <w:szCs w:val="32"/>
        </w:rPr>
      </w:pPr>
      <w:r>
        <w:rPr>
          <w:rFonts w:ascii="Times New Roman" w:eastAsia="仿宋_GB2312" w:cs="Times New Roman"/>
          <w:sz w:val="28"/>
          <w:szCs w:val="32"/>
        </w:rPr>
        <w:t xml:space="preserve">   委托代理人：</w:t>
      </w:r>
      <w:r>
        <w:rPr>
          <w:rFonts w:ascii="Times New Roman" w:eastAsia="仿宋_GB2312" w:cs="Times New Roman"/>
          <w:sz w:val="28"/>
          <w:szCs w:val="32"/>
          <w:u w:val="single"/>
        </w:rPr>
        <w:t xml:space="preserve">                        </w:t>
      </w:r>
      <w:r>
        <w:rPr>
          <w:rFonts w:ascii="Times New Roman" w:eastAsia="仿宋_GB2312" w:cs="Times New Roman"/>
          <w:sz w:val="28"/>
          <w:szCs w:val="32"/>
        </w:rPr>
        <w:t>（姓名）</w:t>
      </w:r>
    </w:p>
    <w:p>
      <w:pPr>
        <w:pStyle w:val="106"/>
        <w:spacing w:line="460" w:lineRule="exact"/>
        <w:ind w:firstLine="1988" w:firstLineChars="710"/>
        <w:rPr>
          <w:rFonts w:ascii="Times New Roman" w:eastAsia="仿宋_GB2312" w:cs="Times New Roman"/>
          <w:sz w:val="28"/>
          <w:szCs w:val="32"/>
          <w:u w:val="single"/>
        </w:rPr>
      </w:pPr>
      <w:r>
        <w:rPr>
          <w:rFonts w:ascii="Times New Roman" w:eastAsia="仿宋_GB2312" w:cs="Times New Roman"/>
          <w:sz w:val="28"/>
          <w:szCs w:val="32"/>
        </w:rPr>
        <w:t xml:space="preserve">   委托代理人联系电话（必填）：</w:t>
      </w:r>
      <w:r>
        <w:rPr>
          <w:rFonts w:ascii="Times New Roman" w:eastAsia="仿宋_GB2312" w:cs="Times New Roman"/>
          <w:sz w:val="28"/>
          <w:szCs w:val="32"/>
          <w:u w:val="single"/>
        </w:rPr>
        <w:t xml:space="preserve">               </w:t>
      </w:r>
    </w:p>
    <w:p>
      <w:pPr>
        <w:pStyle w:val="106"/>
        <w:spacing w:line="460" w:lineRule="exact"/>
        <w:ind w:firstLine="1988" w:firstLineChars="710"/>
        <w:rPr>
          <w:rFonts w:ascii="Times New Roman" w:cs="Times New Roman"/>
          <w:sz w:val="20"/>
          <w:szCs w:val="21"/>
        </w:rPr>
      </w:pPr>
      <w:r>
        <w:rPr>
          <w:rFonts w:ascii="Times New Roman" w:eastAsia="仿宋_GB2312" w:cs="Times New Roman"/>
          <w:sz w:val="28"/>
          <w:szCs w:val="32"/>
        </w:rPr>
        <w:t xml:space="preserve">   日      期：</w:t>
      </w:r>
      <w:r>
        <w:rPr>
          <w:rFonts w:ascii="Times New Roman" w:eastAsia="仿宋_GB2312" w:cs="Times New Roman"/>
          <w:sz w:val="28"/>
          <w:szCs w:val="32"/>
          <w:u w:val="single"/>
        </w:rPr>
        <w:t xml:space="preserve">      </w:t>
      </w:r>
      <w:r>
        <w:rPr>
          <w:rFonts w:ascii="Times New Roman" w:eastAsia="仿宋_GB2312" w:cs="Times New Roman"/>
          <w:sz w:val="28"/>
          <w:szCs w:val="32"/>
        </w:rPr>
        <w:t>年</w:t>
      </w:r>
      <w:r>
        <w:rPr>
          <w:rFonts w:ascii="Times New Roman" w:eastAsia="仿宋_GB2312" w:cs="Times New Roman"/>
          <w:sz w:val="28"/>
          <w:szCs w:val="32"/>
          <w:u w:val="single"/>
        </w:rPr>
        <w:t xml:space="preserve">      </w:t>
      </w:r>
      <w:r>
        <w:rPr>
          <w:rFonts w:ascii="Times New Roman" w:eastAsia="仿宋_GB2312" w:cs="Times New Roman"/>
          <w:sz w:val="28"/>
          <w:szCs w:val="32"/>
        </w:rPr>
        <w:t>月</w:t>
      </w:r>
      <w:r>
        <w:rPr>
          <w:rFonts w:ascii="Times New Roman" w:eastAsia="仿宋_GB2312" w:cs="Times New Roman"/>
          <w:sz w:val="28"/>
          <w:szCs w:val="32"/>
          <w:u w:val="single"/>
        </w:rPr>
        <w:t xml:space="preserve">     </w:t>
      </w:r>
      <w:r>
        <w:rPr>
          <w:rFonts w:ascii="Times New Roman" w:eastAsia="仿宋_GB2312" w:cs="Times New Roman"/>
          <w:sz w:val="28"/>
          <w:szCs w:val="32"/>
        </w:rPr>
        <w:t>日</w:t>
      </w:r>
    </w:p>
    <w:p>
      <w:pPr>
        <w:pStyle w:val="106"/>
        <w:spacing w:line="490" w:lineRule="exact"/>
        <w:rPr>
          <w:rFonts w:ascii="Times New Roman" w:cs="Times New Roman"/>
          <w:b/>
          <w:sz w:val="21"/>
          <w:szCs w:val="21"/>
        </w:rPr>
      </w:pPr>
    </w:p>
    <w:p>
      <w:pPr>
        <w:pStyle w:val="106"/>
        <w:spacing w:line="490" w:lineRule="exact"/>
        <w:rPr>
          <w:rFonts w:ascii="Times New Roman" w:cs="Times New Roman"/>
          <w:b/>
          <w:sz w:val="21"/>
          <w:szCs w:val="21"/>
        </w:rPr>
      </w:pPr>
    </w:p>
    <w:p>
      <w:pPr>
        <w:rPr>
          <w:rFonts w:eastAsia="仿宋"/>
          <w:b/>
          <w:color w:val="000000"/>
          <w:sz w:val="24"/>
        </w:rPr>
      </w:pPr>
      <w:r>
        <w:rPr>
          <w:rFonts w:eastAsia="仿宋"/>
          <w:b/>
          <w:color w:val="000000"/>
          <w:sz w:val="24"/>
        </w:rPr>
        <w:t>备注：本授权书投标人法定代表人的授权委托人应当是投标项目拟任施工项目负责人。</w:t>
      </w:r>
    </w:p>
    <w:p>
      <w:pPr>
        <w:rPr>
          <w:b/>
          <w:color w:val="000000"/>
        </w:rPr>
      </w:pPr>
    </w:p>
    <w:p>
      <w:pPr>
        <w:rPr>
          <w:b/>
          <w:color w:val="000000"/>
        </w:rPr>
      </w:pPr>
    </w:p>
    <w:p>
      <w:pPr>
        <w:adjustRightInd w:val="0"/>
        <w:snapToGrid w:val="0"/>
        <w:spacing w:line="490" w:lineRule="exact"/>
        <w:jc w:val="center"/>
        <w:outlineLvl w:val="0"/>
        <w:rPr>
          <w:rFonts w:eastAsia="黑体"/>
          <w:b/>
          <w:bCs/>
          <w:color w:val="000000"/>
          <w:sz w:val="30"/>
          <w:szCs w:val="30"/>
        </w:rPr>
      </w:pPr>
      <w:bookmarkStart w:id="1998" w:name="_Toc7333"/>
      <w:bookmarkStart w:id="1999" w:name="_Toc51091942"/>
      <w:bookmarkStart w:id="2000" w:name="_Toc2888"/>
    </w:p>
    <w:p>
      <w:pPr>
        <w:adjustRightInd w:val="0"/>
        <w:snapToGrid w:val="0"/>
        <w:spacing w:line="490" w:lineRule="exact"/>
        <w:jc w:val="center"/>
        <w:outlineLvl w:val="0"/>
        <w:rPr>
          <w:rFonts w:hint="eastAsia" w:ascii="方正小标宋简体" w:eastAsia="方正小标宋简体"/>
          <w:bCs/>
          <w:color w:val="000000"/>
          <w:sz w:val="30"/>
          <w:szCs w:val="30"/>
        </w:rPr>
      </w:pPr>
      <w:r>
        <w:rPr>
          <w:rFonts w:hint="eastAsia" w:ascii="方正小标宋简体" w:eastAsia="方正小标宋简体"/>
          <w:bCs/>
          <w:color w:val="000000"/>
          <w:sz w:val="30"/>
          <w:szCs w:val="30"/>
        </w:rPr>
        <w:t>三.授权委托书（投标联系人）</w:t>
      </w:r>
      <w:bookmarkEnd w:id="1998"/>
      <w:bookmarkEnd w:id="1999"/>
      <w:bookmarkEnd w:id="2000"/>
    </w:p>
    <w:p>
      <w:pPr>
        <w:pStyle w:val="106"/>
        <w:spacing w:line="490" w:lineRule="exact"/>
        <w:rPr>
          <w:rFonts w:ascii="Times New Roman" w:eastAsia="黑体" w:cs="Times New Roman"/>
          <w:sz w:val="22"/>
        </w:rPr>
      </w:pPr>
    </w:p>
    <w:p>
      <w:pPr>
        <w:spacing w:line="490" w:lineRule="exact"/>
        <w:ind w:firstLine="560" w:firstLineChars="200"/>
        <w:jc w:val="left"/>
        <w:rPr>
          <w:rFonts w:eastAsia="仿宋_GB2312"/>
          <w:color w:val="000000"/>
          <w:sz w:val="28"/>
          <w:szCs w:val="32"/>
        </w:rPr>
      </w:pPr>
      <w:r>
        <w:rPr>
          <w:rFonts w:eastAsia="仿宋_GB2312"/>
          <w:color w:val="000000"/>
          <w:sz w:val="28"/>
          <w:szCs w:val="32"/>
        </w:rPr>
        <w:t>本人</w:t>
      </w:r>
      <w:r>
        <w:rPr>
          <w:rFonts w:eastAsia="仿宋_GB2312"/>
          <w:color w:val="000000"/>
          <w:sz w:val="28"/>
          <w:szCs w:val="32"/>
          <w:u w:val="single"/>
        </w:rPr>
        <w:t xml:space="preserve">      </w:t>
      </w:r>
      <w:r>
        <w:rPr>
          <w:rFonts w:eastAsia="仿宋_GB2312"/>
          <w:color w:val="000000"/>
          <w:sz w:val="28"/>
          <w:szCs w:val="32"/>
        </w:rPr>
        <w:t>（姓名）系</w:t>
      </w:r>
      <w:r>
        <w:rPr>
          <w:rFonts w:eastAsia="仿宋_GB2312"/>
          <w:color w:val="000000"/>
          <w:sz w:val="28"/>
          <w:szCs w:val="32"/>
          <w:u w:val="single"/>
        </w:rPr>
        <w:t xml:space="preserve">              </w:t>
      </w:r>
      <w:r>
        <w:rPr>
          <w:rFonts w:eastAsia="仿宋_GB2312"/>
          <w:color w:val="000000"/>
          <w:sz w:val="28"/>
          <w:szCs w:val="32"/>
        </w:rPr>
        <w:t>（投标人名称）的法定代表人，现委托</w:t>
      </w:r>
      <w:r>
        <w:rPr>
          <w:rFonts w:eastAsia="仿宋_GB2312"/>
          <w:color w:val="000000"/>
          <w:sz w:val="28"/>
          <w:szCs w:val="32"/>
          <w:u w:val="single"/>
        </w:rPr>
        <w:t xml:space="preserve">             </w:t>
      </w:r>
      <w:r>
        <w:rPr>
          <w:rFonts w:eastAsia="仿宋_GB2312"/>
          <w:color w:val="000000"/>
          <w:sz w:val="28"/>
          <w:szCs w:val="32"/>
        </w:rPr>
        <w:t>（姓名）为我</w:t>
      </w:r>
      <w:r>
        <w:rPr>
          <w:rFonts w:eastAsia="仿宋_GB2312"/>
          <w:color w:val="000000"/>
          <w:sz w:val="28"/>
          <w:szCs w:val="32"/>
          <w:u w:val="single"/>
        </w:rPr>
        <w:t xml:space="preserve">        </w:t>
      </w:r>
      <w:r>
        <w:rPr>
          <w:rFonts w:eastAsia="仿宋_GB2312"/>
          <w:color w:val="000000"/>
          <w:sz w:val="28"/>
          <w:szCs w:val="32"/>
        </w:rPr>
        <w:t>（项目名称）</w:t>
      </w:r>
      <w:r>
        <w:rPr>
          <w:rFonts w:eastAsia="仿宋_GB2312"/>
          <w:color w:val="000000"/>
          <w:sz w:val="28"/>
          <w:szCs w:val="32"/>
          <w:u w:val="single"/>
        </w:rPr>
        <w:t xml:space="preserve">             </w:t>
      </w:r>
      <w:r>
        <w:rPr>
          <w:rFonts w:eastAsia="仿宋_GB2312"/>
          <w:color w:val="000000"/>
          <w:sz w:val="28"/>
          <w:szCs w:val="32"/>
        </w:rPr>
        <w:t>（标段名称）投标联系人，</w:t>
      </w:r>
      <w:r>
        <w:rPr>
          <w:rFonts w:eastAsia="仿宋_GB2312"/>
          <w:color w:val="000000"/>
          <w:sz w:val="28"/>
          <w:szCs w:val="32"/>
          <w:u w:val="single"/>
        </w:rPr>
        <w:t xml:space="preserve">                </w:t>
      </w:r>
      <w:r>
        <w:rPr>
          <w:rFonts w:eastAsia="仿宋_GB2312"/>
          <w:color w:val="000000"/>
          <w:sz w:val="28"/>
          <w:szCs w:val="32"/>
        </w:rPr>
        <w:t>（委托权限）。</w:t>
      </w:r>
    </w:p>
    <w:p>
      <w:pPr>
        <w:spacing w:line="490" w:lineRule="exact"/>
        <w:ind w:firstLine="560" w:firstLineChars="200"/>
        <w:rPr>
          <w:rFonts w:eastAsia="仿宋_GB2312"/>
          <w:color w:val="000000"/>
          <w:sz w:val="28"/>
          <w:szCs w:val="32"/>
        </w:rPr>
      </w:pPr>
      <w:r>
        <w:rPr>
          <w:rFonts w:eastAsia="仿宋_GB2312"/>
          <w:color w:val="000000"/>
          <w:sz w:val="28"/>
          <w:szCs w:val="32"/>
        </w:rPr>
        <w:t>委托期限：</w:t>
      </w:r>
      <w:r>
        <w:rPr>
          <w:rFonts w:eastAsia="仿宋_GB2312"/>
          <w:color w:val="000000"/>
          <w:sz w:val="28"/>
          <w:szCs w:val="32"/>
          <w:u w:val="single"/>
        </w:rPr>
        <w:t xml:space="preserve">                    </w:t>
      </w:r>
      <w:r>
        <w:rPr>
          <w:rFonts w:eastAsia="仿宋_GB2312"/>
          <w:color w:val="000000"/>
          <w:sz w:val="28"/>
          <w:szCs w:val="32"/>
        </w:rPr>
        <w:t>。</w:t>
      </w:r>
    </w:p>
    <w:p>
      <w:pPr>
        <w:spacing w:line="490" w:lineRule="exact"/>
        <w:ind w:firstLine="560" w:firstLineChars="200"/>
        <w:rPr>
          <w:rFonts w:eastAsia="仿宋_GB2312"/>
          <w:color w:val="000000"/>
          <w:sz w:val="28"/>
          <w:szCs w:val="32"/>
        </w:rPr>
      </w:pPr>
      <w:r>
        <w:rPr>
          <w:rFonts w:eastAsia="仿宋_GB2312"/>
          <w:color w:val="000000"/>
          <w:sz w:val="28"/>
          <w:szCs w:val="32"/>
        </w:rPr>
        <w:t>代理人无转委托权。</w:t>
      </w:r>
    </w:p>
    <w:p>
      <w:pPr>
        <w:spacing w:line="360" w:lineRule="auto"/>
        <w:rPr>
          <w:color w:val="000000"/>
        </w:rPr>
      </w:pPr>
    </w:p>
    <w:p>
      <w:pPr>
        <w:ind w:firstLine="482" w:firstLineChars="200"/>
        <w:rPr>
          <w:rFonts w:eastAsia="仿宋"/>
          <w:color w:val="000000"/>
          <w:sz w:val="24"/>
        </w:rPr>
      </w:pPr>
      <w:r>
        <w:rPr>
          <w:rFonts w:eastAsia="仿宋"/>
          <w:b/>
          <w:color w:val="000000"/>
          <w:sz w:val="24"/>
        </w:rPr>
        <w:t>附：</w:t>
      </w:r>
      <w:r>
        <w:rPr>
          <w:rFonts w:eastAsia="仿宋"/>
          <w:color w:val="000000"/>
          <w:kern w:val="0"/>
          <w:sz w:val="24"/>
          <w:lang w:val="zh-CN"/>
        </w:rPr>
        <w:t>法定代表人及投标联系人的身份证扫描件。</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70"/>
        <w:gridCol w:w="735"/>
        <w:gridCol w:w="3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13" w:hRule="atLeast"/>
          <w:jc w:val="center"/>
        </w:trPr>
        <w:tc>
          <w:tcPr>
            <w:tcW w:w="3570" w:type="dxa"/>
            <w:noWrap w:val="0"/>
            <w:vAlign w:val="center"/>
          </w:tcPr>
          <w:p>
            <w:pPr>
              <w:pStyle w:val="23"/>
              <w:jc w:val="center"/>
              <w:rPr>
                <w:rFonts w:ascii="Times New Roman" w:hAnsi="Times New Roman"/>
                <w:b/>
                <w:color w:val="000000"/>
                <w:lang w:val="en-US" w:eastAsia="zh-CN"/>
              </w:rPr>
            </w:pPr>
            <w:r>
              <w:rPr>
                <w:rFonts w:ascii="Times New Roman" w:hAnsi="Times New Roman"/>
                <w:b/>
                <w:color w:val="000000"/>
                <w:lang w:val="en-US" w:eastAsia="zh-CN"/>
              </w:rPr>
              <w:t>法定代表人身份证扫描件</w:t>
            </w:r>
          </w:p>
        </w:tc>
        <w:tc>
          <w:tcPr>
            <w:tcW w:w="735" w:type="dxa"/>
            <w:tcBorders>
              <w:top w:val="nil"/>
              <w:bottom w:val="nil"/>
            </w:tcBorders>
            <w:noWrap w:val="0"/>
            <w:vAlign w:val="top"/>
          </w:tcPr>
          <w:p>
            <w:pPr>
              <w:pStyle w:val="23"/>
              <w:ind w:firstLine="480"/>
              <w:jc w:val="center"/>
              <w:rPr>
                <w:rFonts w:ascii="Times New Roman" w:hAnsi="Times New Roman"/>
                <w:b/>
                <w:color w:val="000000"/>
                <w:lang w:val="en-US" w:eastAsia="zh-CN"/>
              </w:rPr>
            </w:pPr>
          </w:p>
        </w:tc>
        <w:tc>
          <w:tcPr>
            <w:tcW w:w="3570" w:type="dxa"/>
            <w:noWrap w:val="0"/>
            <w:vAlign w:val="center"/>
          </w:tcPr>
          <w:p>
            <w:pPr>
              <w:pStyle w:val="23"/>
              <w:jc w:val="center"/>
              <w:rPr>
                <w:rFonts w:ascii="Times New Roman" w:hAnsi="Times New Roman"/>
                <w:b/>
                <w:color w:val="000000"/>
                <w:lang w:val="en-US" w:eastAsia="zh-CN"/>
              </w:rPr>
            </w:pPr>
            <w:r>
              <w:rPr>
                <w:rFonts w:ascii="Times New Roman" w:hAnsi="Times New Roman"/>
                <w:b/>
                <w:color w:val="000000"/>
                <w:lang w:val="en-US" w:eastAsia="zh-CN"/>
              </w:rPr>
              <w:t>投标联系人身份证扫描件</w:t>
            </w:r>
          </w:p>
        </w:tc>
      </w:tr>
    </w:tbl>
    <w:p>
      <w:pPr>
        <w:spacing w:line="360" w:lineRule="auto"/>
        <w:rPr>
          <w:color w:val="000000"/>
        </w:rPr>
      </w:pPr>
    </w:p>
    <w:p>
      <w:pPr>
        <w:spacing w:line="360" w:lineRule="auto"/>
        <w:rPr>
          <w:color w:val="000000"/>
        </w:rPr>
      </w:pPr>
    </w:p>
    <w:p>
      <w:pPr>
        <w:spacing w:line="360" w:lineRule="auto"/>
        <w:rPr>
          <w:color w:val="000000"/>
        </w:rPr>
      </w:pPr>
    </w:p>
    <w:p>
      <w:pPr>
        <w:pStyle w:val="106"/>
        <w:spacing w:line="490" w:lineRule="exact"/>
        <w:ind w:right="420"/>
        <w:jc w:val="right"/>
        <w:rPr>
          <w:rFonts w:ascii="Times New Roman" w:eastAsia="仿宋_GB2312" w:cs="Times New Roman"/>
          <w:sz w:val="28"/>
          <w:szCs w:val="32"/>
        </w:rPr>
      </w:pPr>
      <w:r>
        <w:rPr>
          <w:rFonts w:ascii="Times New Roman" w:eastAsia="仿宋_GB2312" w:cs="Times New Roman"/>
          <w:sz w:val="28"/>
          <w:szCs w:val="32"/>
        </w:rPr>
        <w:t>投  标  人：</w:t>
      </w:r>
      <w:r>
        <w:rPr>
          <w:rFonts w:ascii="Times New Roman" w:eastAsia="仿宋_GB2312" w:cs="Times New Roman"/>
          <w:sz w:val="28"/>
          <w:szCs w:val="32"/>
          <w:u w:val="single"/>
        </w:rPr>
        <w:t xml:space="preserve">              </w:t>
      </w:r>
      <w:r>
        <w:rPr>
          <w:rFonts w:ascii="Times New Roman" w:eastAsia="仿宋_GB2312" w:cs="Times New Roman"/>
          <w:sz w:val="28"/>
          <w:szCs w:val="32"/>
        </w:rPr>
        <w:t>（盖单位电子公章）</w:t>
      </w:r>
    </w:p>
    <w:p>
      <w:pPr>
        <w:pStyle w:val="106"/>
        <w:spacing w:line="490" w:lineRule="exact"/>
        <w:ind w:firstLine="1974" w:firstLineChars="705"/>
        <w:rPr>
          <w:rFonts w:ascii="Times New Roman" w:eastAsia="仿宋_GB2312" w:cs="Times New Roman"/>
          <w:sz w:val="28"/>
          <w:szCs w:val="32"/>
        </w:rPr>
      </w:pPr>
      <w:r>
        <w:rPr>
          <w:rFonts w:ascii="Times New Roman" w:eastAsia="仿宋_GB2312" w:cs="Times New Roman"/>
          <w:sz w:val="28"/>
          <w:szCs w:val="32"/>
        </w:rPr>
        <w:t xml:space="preserve">   法定代表人：</w:t>
      </w:r>
      <w:r>
        <w:rPr>
          <w:rFonts w:ascii="Times New Roman" w:eastAsia="仿宋_GB2312" w:cs="Times New Roman"/>
          <w:sz w:val="28"/>
          <w:szCs w:val="32"/>
          <w:u w:val="single"/>
        </w:rPr>
        <w:t xml:space="preserve">                   </w:t>
      </w:r>
      <w:r>
        <w:rPr>
          <w:rFonts w:ascii="Times New Roman" w:eastAsia="仿宋_GB2312" w:cs="Times New Roman"/>
          <w:sz w:val="28"/>
          <w:szCs w:val="32"/>
        </w:rPr>
        <w:t>（电子签名）</w:t>
      </w:r>
    </w:p>
    <w:p>
      <w:pPr>
        <w:pStyle w:val="106"/>
        <w:spacing w:line="490" w:lineRule="exact"/>
        <w:ind w:firstLine="1974" w:firstLineChars="705"/>
        <w:rPr>
          <w:rFonts w:ascii="Times New Roman" w:eastAsia="仿宋_GB2312" w:cs="Times New Roman"/>
          <w:sz w:val="28"/>
          <w:szCs w:val="32"/>
        </w:rPr>
      </w:pPr>
      <w:r>
        <w:rPr>
          <w:rFonts w:ascii="Times New Roman" w:eastAsia="仿宋_GB2312" w:cs="Times New Roman"/>
          <w:sz w:val="28"/>
          <w:szCs w:val="32"/>
        </w:rPr>
        <w:t xml:space="preserve">   投标联系人：</w:t>
      </w:r>
      <w:r>
        <w:rPr>
          <w:rFonts w:ascii="Times New Roman" w:eastAsia="仿宋_GB2312" w:cs="Times New Roman"/>
          <w:sz w:val="28"/>
          <w:szCs w:val="32"/>
          <w:u w:val="single"/>
        </w:rPr>
        <w:t xml:space="preserve">                       </w:t>
      </w:r>
      <w:r>
        <w:rPr>
          <w:rFonts w:ascii="Times New Roman" w:eastAsia="仿宋_GB2312" w:cs="Times New Roman"/>
          <w:sz w:val="28"/>
          <w:szCs w:val="32"/>
        </w:rPr>
        <w:t>（姓名）</w:t>
      </w:r>
    </w:p>
    <w:p>
      <w:pPr>
        <w:pStyle w:val="106"/>
        <w:spacing w:line="490" w:lineRule="exact"/>
        <w:ind w:firstLine="1974" w:firstLineChars="705"/>
        <w:rPr>
          <w:rFonts w:ascii="Times New Roman" w:eastAsia="仿宋_GB2312" w:cs="Times New Roman"/>
          <w:sz w:val="28"/>
          <w:szCs w:val="32"/>
        </w:rPr>
      </w:pPr>
      <w:r>
        <w:rPr>
          <w:rFonts w:ascii="Times New Roman" w:eastAsia="仿宋_GB2312" w:cs="Times New Roman"/>
          <w:sz w:val="28"/>
          <w:szCs w:val="32"/>
        </w:rPr>
        <w:t xml:space="preserve">   投标联系人电话（必填）：</w:t>
      </w:r>
      <w:r>
        <w:rPr>
          <w:rFonts w:ascii="Times New Roman" w:eastAsia="仿宋_GB2312" w:cs="Times New Roman"/>
          <w:sz w:val="28"/>
          <w:szCs w:val="32"/>
          <w:u w:val="single"/>
        </w:rPr>
        <w:t xml:space="preserve">                  </w:t>
      </w:r>
    </w:p>
    <w:p>
      <w:pPr>
        <w:pStyle w:val="106"/>
        <w:spacing w:line="490" w:lineRule="exact"/>
        <w:ind w:firstLine="1974" w:firstLineChars="705"/>
        <w:rPr>
          <w:rFonts w:ascii="Times New Roman" w:cs="Times New Roman"/>
          <w:sz w:val="20"/>
          <w:szCs w:val="21"/>
        </w:rPr>
      </w:pPr>
      <w:r>
        <w:rPr>
          <w:rFonts w:ascii="Times New Roman" w:eastAsia="仿宋_GB2312" w:cs="Times New Roman"/>
          <w:sz w:val="28"/>
          <w:szCs w:val="32"/>
        </w:rPr>
        <w:t xml:space="preserve">   日      期：</w:t>
      </w:r>
      <w:r>
        <w:rPr>
          <w:rFonts w:ascii="Times New Roman" w:eastAsia="仿宋_GB2312" w:cs="Times New Roman"/>
          <w:sz w:val="28"/>
          <w:szCs w:val="32"/>
          <w:u w:val="single"/>
        </w:rPr>
        <w:t xml:space="preserve">      </w:t>
      </w:r>
      <w:r>
        <w:rPr>
          <w:rFonts w:ascii="Times New Roman" w:eastAsia="仿宋_GB2312" w:cs="Times New Roman"/>
          <w:sz w:val="28"/>
          <w:szCs w:val="32"/>
        </w:rPr>
        <w:t>年</w:t>
      </w:r>
      <w:r>
        <w:rPr>
          <w:rFonts w:ascii="Times New Roman" w:eastAsia="仿宋_GB2312" w:cs="Times New Roman"/>
          <w:sz w:val="28"/>
          <w:szCs w:val="32"/>
          <w:u w:val="single"/>
        </w:rPr>
        <w:t xml:space="preserve">      </w:t>
      </w:r>
      <w:r>
        <w:rPr>
          <w:rFonts w:ascii="Times New Roman" w:eastAsia="仿宋_GB2312" w:cs="Times New Roman"/>
          <w:sz w:val="28"/>
          <w:szCs w:val="32"/>
        </w:rPr>
        <w:t>月</w:t>
      </w:r>
      <w:r>
        <w:rPr>
          <w:rFonts w:ascii="Times New Roman" w:eastAsia="仿宋_GB2312" w:cs="Times New Roman"/>
          <w:sz w:val="28"/>
          <w:szCs w:val="32"/>
          <w:u w:val="single"/>
        </w:rPr>
        <w:t xml:space="preserve">     </w:t>
      </w:r>
      <w:r>
        <w:rPr>
          <w:rFonts w:ascii="Times New Roman" w:eastAsia="仿宋_GB2312" w:cs="Times New Roman"/>
          <w:sz w:val="28"/>
          <w:szCs w:val="32"/>
        </w:rPr>
        <w:t>日</w:t>
      </w:r>
    </w:p>
    <w:p>
      <w:pPr>
        <w:pStyle w:val="106"/>
        <w:spacing w:line="360" w:lineRule="auto"/>
        <w:ind w:firstLine="3675" w:firstLineChars="1750"/>
        <w:rPr>
          <w:rFonts w:ascii="Times New Roman" w:cs="Times New Roman"/>
          <w:sz w:val="21"/>
          <w:szCs w:val="21"/>
        </w:rPr>
      </w:pPr>
    </w:p>
    <w:p>
      <w:pPr>
        <w:pStyle w:val="106"/>
        <w:spacing w:line="360" w:lineRule="auto"/>
        <w:ind w:firstLine="3675" w:firstLineChars="1750"/>
        <w:rPr>
          <w:rFonts w:ascii="Times New Roman" w:cs="Times New Roman"/>
          <w:sz w:val="21"/>
          <w:szCs w:val="21"/>
        </w:rPr>
      </w:pPr>
    </w:p>
    <w:p>
      <w:pPr>
        <w:pStyle w:val="106"/>
        <w:spacing w:line="360" w:lineRule="auto"/>
        <w:ind w:firstLine="3675" w:firstLineChars="1750"/>
        <w:rPr>
          <w:rFonts w:ascii="Times New Roman" w:cs="Times New Roman"/>
          <w:sz w:val="21"/>
          <w:szCs w:val="21"/>
        </w:rPr>
      </w:pPr>
    </w:p>
    <w:p>
      <w:pPr>
        <w:pStyle w:val="106"/>
        <w:spacing w:line="360" w:lineRule="auto"/>
        <w:ind w:firstLine="3675" w:firstLineChars="1750"/>
        <w:rPr>
          <w:rFonts w:ascii="Times New Roman" w:cs="Times New Roman"/>
          <w:sz w:val="21"/>
          <w:szCs w:val="21"/>
        </w:rPr>
      </w:pPr>
    </w:p>
    <w:p>
      <w:pPr>
        <w:pStyle w:val="106"/>
        <w:spacing w:line="360" w:lineRule="auto"/>
        <w:ind w:firstLine="3675" w:firstLineChars="1750"/>
        <w:rPr>
          <w:rFonts w:ascii="Times New Roman" w:cs="Times New Roman"/>
          <w:sz w:val="21"/>
          <w:szCs w:val="21"/>
        </w:rPr>
      </w:pPr>
    </w:p>
    <w:p>
      <w:pPr>
        <w:pStyle w:val="106"/>
        <w:spacing w:line="360" w:lineRule="auto"/>
        <w:rPr>
          <w:rFonts w:eastAsia="仿宋_GB2312"/>
          <w:sz w:val="28"/>
          <w:szCs w:val="32"/>
          <w:u w:val="single"/>
        </w:rPr>
      </w:pPr>
      <w:r>
        <w:rPr>
          <w:rFonts w:ascii="Times New Roman" w:cs="Times New Roman"/>
          <w:b/>
          <w:sz w:val="21"/>
          <w:szCs w:val="21"/>
        </w:rPr>
        <w:t>备注：投标联系人与委托代理人为同一人时，不需提供该授权委托书。</w:t>
      </w:r>
      <w:r>
        <w:br w:type="page"/>
      </w:r>
      <w:bookmarkStart w:id="2001" w:name="_Toc189386287"/>
    </w:p>
    <w:p>
      <w:pPr>
        <w:adjustRightInd w:val="0"/>
        <w:snapToGrid w:val="0"/>
        <w:spacing w:line="490" w:lineRule="exact"/>
        <w:jc w:val="center"/>
        <w:outlineLvl w:val="0"/>
        <w:rPr>
          <w:rFonts w:hint="eastAsia" w:ascii="方正小标宋简体" w:eastAsia="方正小标宋简体"/>
          <w:bCs/>
          <w:color w:val="000000"/>
          <w:sz w:val="30"/>
          <w:szCs w:val="30"/>
        </w:rPr>
      </w:pPr>
      <w:bookmarkStart w:id="2002" w:name="_Toc51091943"/>
      <w:bookmarkStart w:id="2003" w:name="_Toc19916"/>
      <w:bookmarkStart w:id="2004" w:name="_Toc8256"/>
      <w:r>
        <w:rPr>
          <w:rFonts w:hint="eastAsia" w:ascii="方正小标宋简体" w:eastAsia="方正小标宋简体"/>
          <w:bCs/>
          <w:color w:val="000000"/>
          <w:sz w:val="30"/>
          <w:szCs w:val="30"/>
        </w:rPr>
        <w:t>四.联合体协议书</w:t>
      </w:r>
      <w:bookmarkEnd w:id="2001"/>
      <w:bookmarkEnd w:id="2002"/>
      <w:r>
        <w:rPr>
          <w:rFonts w:hint="eastAsia" w:ascii="方正小标宋简体" w:eastAsia="方正小标宋简体"/>
          <w:bCs/>
          <w:color w:val="000000"/>
          <w:sz w:val="30"/>
          <w:szCs w:val="30"/>
        </w:rPr>
        <w:t>（如有）</w:t>
      </w:r>
      <w:bookmarkEnd w:id="2003"/>
      <w:bookmarkEnd w:id="2004"/>
    </w:p>
    <w:p>
      <w:pPr>
        <w:spacing w:line="440" w:lineRule="exact"/>
        <w:ind w:firstLine="560" w:firstLineChars="200"/>
        <w:jc w:val="left"/>
        <w:rPr>
          <w:rFonts w:eastAsia="仿宋_GB2312"/>
          <w:color w:val="000000"/>
          <w:sz w:val="28"/>
          <w:szCs w:val="32"/>
          <w:u w:val="single"/>
        </w:rPr>
      </w:pPr>
    </w:p>
    <w:p>
      <w:pPr>
        <w:spacing w:line="440" w:lineRule="exact"/>
        <w:ind w:firstLine="560" w:firstLineChars="200"/>
        <w:jc w:val="left"/>
        <w:rPr>
          <w:rFonts w:eastAsia="仿宋_GB2312"/>
          <w:color w:val="000000"/>
          <w:sz w:val="28"/>
          <w:szCs w:val="32"/>
          <w:u w:val="single"/>
        </w:rPr>
      </w:pPr>
    </w:p>
    <w:p>
      <w:pPr>
        <w:spacing w:line="360" w:lineRule="auto"/>
        <w:ind w:firstLine="700" w:firstLineChars="250"/>
        <w:jc w:val="left"/>
        <w:rPr>
          <w:rFonts w:eastAsia="仿宋_GB2312"/>
          <w:color w:val="000000"/>
          <w:sz w:val="28"/>
          <w:szCs w:val="32"/>
        </w:rPr>
      </w:pPr>
      <w:r>
        <w:rPr>
          <w:rFonts w:eastAsia="仿宋_GB2312"/>
          <w:color w:val="000000"/>
          <w:sz w:val="28"/>
          <w:szCs w:val="32"/>
          <w:u w:val="single"/>
        </w:rPr>
        <w:t xml:space="preserve">                 </w:t>
      </w:r>
      <w:r>
        <w:rPr>
          <w:rFonts w:eastAsia="仿宋_GB2312"/>
          <w:color w:val="000000"/>
          <w:sz w:val="28"/>
          <w:szCs w:val="32"/>
        </w:rPr>
        <w:t>（所有成员单位名称）自愿组成</w:t>
      </w:r>
      <w:r>
        <w:rPr>
          <w:rFonts w:eastAsia="仿宋_GB2312"/>
          <w:color w:val="000000"/>
          <w:sz w:val="28"/>
          <w:szCs w:val="32"/>
          <w:u w:val="single"/>
        </w:rPr>
        <w:t xml:space="preserve">        </w:t>
      </w:r>
      <w:r>
        <w:rPr>
          <w:rFonts w:eastAsia="仿宋_GB2312"/>
          <w:color w:val="000000"/>
          <w:sz w:val="28"/>
          <w:szCs w:val="32"/>
        </w:rPr>
        <w:t>（联合体名称），共同参加</w:t>
      </w:r>
      <w:r>
        <w:rPr>
          <w:rFonts w:eastAsia="仿宋_GB2312"/>
          <w:color w:val="000000"/>
          <w:sz w:val="28"/>
          <w:szCs w:val="32"/>
          <w:u w:val="single"/>
        </w:rPr>
        <w:t xml:space="preserve">           </w:t>
      </w:r>
      <w:r>
        <w:rPr>
          <w:rFonts w:eastAsia="仿宋_GB2312"/>
          <w:color w:val="000000"/>
          <w:sz w:val="28"/>
          <w:szCs w:val="32"/>
        </w:rPr>
        <w:t>（项目名称）</w:t>
      </w:r>
      <w:r>
        <w:rPr>
          <w:rFonts w:eastAsia="仿宋_GB2312"/>
          <w:color w:val="000000"/>
          <w:sz w:val="28"/>
          <w:szCs w:val="32"/>
          <w:u w:val="single"/>
        </w:rPr>
        <w:t xml:space="preserve">           </w:t>
      </w:r>
      <w:r>
        <w:rPr>
          <w:rFonts w:eastAsia="仿宋_GB2312"/>
          <w:color w:val="000000"/>
          <w:sz w:val="28"/>
          <w:szCs w:val="32"/>
        </w:rPr>
        <w:t>（标段名称）施工投标。现就联合体投标事宜订立如下协议。</w:t>
      </w:r>
    </w:p>
    <w:p>
      <w:pPr>
        <w:spacing w:line="360" w:lineRule="auto"/>
        <w:ind w:firstLine="560" w:firstLineChars="200"/>
        <w:rPr>
          <w:rFonts w:eastAsia="仿宋_GB2312"/>
          <w:color w:val="000000"/>
          <w:sz w:val="28"/>
          <w:szCs w:val="32"/>
        </w:rPr>
      </w:pPr>
      <w:r>
        <w:rPr>
          <w:rFonts w:eastAsia="仿宋_GB2312"/>
          <w:color w:val="000000"/>
          <w:sz w:val="28"/>
          <w:szCs w:val="32"/>
        </w:rPr>
        <w:t>1</w:t>
      </w:r>
      <w:r>
        <w:rPr>
          <w:rFonts w:hint="eastAsia" w:eastAsia="仿宋_GB2312"/>
          <w:color w:val="000000"/>
          <w:sz w:val="28"/>
          <w:szCs w:val="32"/>
        </w:rPr>
        <w:t>.</w:t>
      </w:r>
      <w:r>
        <w:rPr>
          <w:rFonts w:eastAsia="仿宋_GB2312"/>
          <w:color w:val="000000"/>
          <w:sz w:val="28"/>
          <w:szCs w:val="32"/>
          <w:u w:val="single"/>
        </w:rPr>
        <w:t xml:space="preserve">            </w:t>
      </w:r>
      <w:r>
        <w:rPr>
          <w:rFonts w:eastAsia="仿宋_GB2312"/>
          <w:color w:val="000000"/>
          <w:sz w:val="28"/>
          <w:szCs w:val="32"/>
        </w:rPr>
        <w:t>（某成员单位名称）为</w:t>
      </w:r>
      <w:r>
        <w:rPr>
          <w:rFonts w:eastAsia="仿宋_GB2312"/>
          <w:color w:val="000000"/>
          <w:sz w:val="28"/>
          <w:szCs w:val="32"/>
          <w:u w:val="single"/>
        </w:rPr>
        <w:t xml:space="preserve">           </w:t>
      </w:r>
      <w:r>
        <w:rPr>
          <w:rFonts w:eastAsia="仿宋_GB2312"/>
          <w:color w:val="000000"/>
          <w:sz w:val="28"/>
          <w:szCs w:val="32"/>
        </w:rPr>
        <w:t>（联合体名称）牵头人。</w:t>
      </w:r>
    </w:p>
    <w:p>
      <w:pPr>
        <w:spacing w:line="360" w:lineRule="auto"/>
        <w:ind w:firstLine="560" w:firstLineChars="200"/>
        <w:rPr>
          <w:rFonts w:eastAsia="仿宋_GB2312"/>
          <w:color w:val="000000"/>
          <w:sz w:val="28"/>
          <w:szCs w:val="32"/>
        </w:rPr>
      </w:pPr>
      <w:r>
        <w:rPr>
          <w:rFonts w:eastAsia="仿宋_GB2312"/>
          <w:color w:val="000000"/>
          <w:sz w:val="28"/>
          <w:szCs w:val="32"/>
        </w:rPr>
        <w:t>2</w:t>
      </w:r>
      <w:r>
        <w:rPr>
          <w:rFonts w:hint="eastAsia" w:eastAsia="仿宋_GB2312"/>
          <w:color w:val="000000"/>
          <w:sz w:val="28"/>
          <w:szCs w:val="32"/>
        </w:rPr>
        <w:t>.</w:t>
      </w:r>
      <w:r>
        <w:rPr>
          <w:rFonts w:eastAsia="仿宋_GB2312"/>
          <w:color w:val="000000"/>
          <w:sz w:val="28"/>
          <w:szCs w:val="32"/>
        </w:rPr>
        <w:t>在本招标项目投标阶段，联合体牵头人合法代表联合体各成员负责本工程投标文件编制活动，代表联合体提交和接收相关的资料、信息及指示，并处理与投标和中标有关的一切事务；联合体中标后，联合体牵头人负责合同订立和合同实施阶段的主办、组织和协调工作。</w:t>
      </w:r>
    </w:p>
    <w:p>
      <w:pPr>
        <w:spacing w:line="360" w:lineRule="auto"/>
        <w:ind w:firstLine="560" w:firstLineChars="200"/>
        <w:rPr>
          <w:rFonts w:eastAsia="仿宋_GB2312"/>
          <w:color w:val="000000"/>
          <w:sz w:val="28"/>
          <w:szCs w:val="32"/>
        </w:rPr>
      </w:pPr>
      <w:r>
        <w:rPr>
          <w:rFonts w:eastAsia="仿宋_GB2312"/>
          <w:color w:val="000000"/>
          <w:sz w:val="28"/>
          <w:szCs w:val="32"/>
        </w:rPr>
        <w:t>3</w:t>
      </w:r>
      <w:r>
        <w:rPr>
          <w:rFonts w:hint="eastAsia" w:eastAsia="仿宋_GB2312"/>
          <w:color w:val="000000"/>
          <w:sz w:val="28"/>
          <w:szCs w:val="32"/>
        </w:rPr>
        <w:t>.</w:t>
      </w:r>
      <w:r>
        <w:rPr>
          <w:rFonts w:eastAsia="仿宋_GB2312"/>
          <w:color w:val="000000"/>
          <w:sz w:val="28"/>
          <w:szCs w:val="32"/>
        </w:rPr>
        <w:t>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pPr>
        <w:spacing w:line="360" w:lineRule="auto"/>
        <w:ind w:firstLine="560" w:firstLineChars="200"/>
        <w:rPr>
          <w:rFonts w:eastAsia="仿宋_GB2312"/>
          <w:color w:val="000000"/>
          <w:sz w:val="28"/>
          <w:szCs w:val="32"/>
        </w:rPr>
      </w:pPr>
      <w:r>
        <w:rPr>
          <w:rFonts w:eastAsia="仿宋_GB2312"/>
          <w:color w:val="000000"/>
          <w:sz w:val="28"/>
          <w:szCs w:val="32"/>
        </w:rPr>
        <w:t>4</w:t>
      </w:r>
      <w:r>
        <w:rPr>
          <w:rFonts w:hint="eastAsia" w:eastAsia="仿宋_GB2312"/>
          <w:color w:val="000000"/>
          <w:sz w:val="28"/>
          <w:szCs w:val="32"/>
        </w:rPr>
        <w:t>.</w:t>
      </w:r>
      <w:r>
        <w:rPr>
          <w:rFonts w:eastAsia="仿宋_GB2312"/>
          <w:color w:val="000000"/>
          <w:sz w:val="28"/>
          <w:szCs w:val="32"/>
        </w:rPr>
        <w:t>联合体各成员单位内部的职责分工如下：</w:t>
      </w:r>
      <w:r>
        <w:rPr>
          <w:rFonts w:eastAsia="仿宋_GB2312"/>
          <w:color w:val="000000"/>
          <w:sz w:val="28"/>
          <w:szCs w:val="32"/>
          <w:u w:val="single"/>
        </w:rPr>
        <w:t xml:space="preserve">            </w:t>
      </w:r>
      <w:r>
        <w:rPr>
          <w:rFonts w:eastAsia="仿宋_GB2312"/>
          <w:color w:val="000000"/>
          <w:sz w:val="28"/>
          <w:szCs w:val="32"/>
        </w:rPr>
        <w:t>。按照本条上述分工，联合体成员单位各自所承担的合同工作量比例如下：</w:t>
      </w:r>
      <w:r>
        <w:rPr>
          <w:rFonts w:eastAsia="仿宋_GB2312"/>
          <w:color w:val="000000"/>
          <w:sz w:val="28"/>
          <w:szCs w:val="32"/>
          <w:u w:val="single"/>
        </w:rPr>
        <w:t xml:space="preserve">            </w:t>
      </w:r>
      <w:r>
        <w:rPr>
          <w:rFonts w:eastAsia="仿宋_GB2312"/>
          <w:color w:val="000000"/>
          <w:sz w:val="28"/>
          <w:szCs w:val="32"/>
        </w:rPr>
        <w:t>。</w:t>
      </w:r>
    </w:p>
    <w:p>
      <w:pPr>
        <w:spacing w:line="360" w:lineRule="auto"/>
        <w:ind w:firstLine="560" w:firstLineChars="200"/>
        <w:rPr>
          <w:rFonts w:eastAsia="仿宋_GB2312"/>
          <w:color w:val="000000"/>
          <w:sz w:val="28"/>
          <w:szCs w:val="32"/>
        </w:rPr>
      </w:pPr>
      <w:r>
        <w:rPr>
          <w:rFonts w:eastAsia="仿宋_GB2312"/>
          <w:color w:val="000000"/>
          <w:sz w:val="28"/>
          <w:szCs w:val="32"/>
        </w:rPr>
        <w:t>5</w:t>
      </w:r>
      <w:r>
        <w:rPr>
          <w:rFonts w:hint="eastAsia" w:eastAsia="仿宋_GB2312"/>
          <w:color w:val="000000"/>
          <w:sz w:val="28"/>
          <w:szCs w:val="32"/>
        </w:rPr>
        <w:t>.</w:t>
      </w:r>
      <w:r>
        <w:rPr>
          <w:rFonts w:eastAsia="仿宋_GB2312"/>
          <w:color w:val="000000"/>
          <w:sz w:val="28"/>
          <w:szCs w:val="32"/>
        </w:rPr>
        <w:t>投标工作和联合体在中标后工程实施过程中的有关费用按各自承担的工作量分摊。</w:t>
      </w:r>
    </w:p>
    <w:p>
      <w:pPr>
        <w:spacing w:line="360" w:lineRule="auto"/>
        <w:ind w:firstLine="560" w:firstLineChars="200"/>
        <w:rPr>
          <w:rFonts w:eastAsia="仿宋_GB2312"/>
          <w:color w:val="000000"/>
          <w:sz w:val="28"/>
          <w:szCs w:val="32"/>
        </w:rPr>
      </w:pPr>
      <w:r>
        <w:rPr>
          <w:rFonts w:eastAsia="仿宋_GB2312"/>
          <w:color w:val="000000"/>
          <w:sz w:val="28"/>
          <w:szCs w:val="32"/>
        </w:rPr>
        <w:t>6</w:t>
      </w:r>
      <w:r>
        <w:rPr>
          <w:rFonts w:hint="eastAsia" w:eastAsia="仿宋_GB2312"/>
          <w:color w:val="000000"/>
          <w:sz w:val="28"/>
          <w:szCs w:val="32"/>
        </w:rPr>
        <w:t>.</w:t>
      </w:r>
      <w:r>
        <w:rPr>
          <w:rFonts w:eastAsia="仿宋_GB2312"/>
          <w:color w:val="000000"/>
          <w:sz w:val="28"/>
          <w:szCs w:val="32"/>
        </w:rPr>
        <w:t>联合体中标后，本联合体协议是合同的附件，对联合体各成员单位有合同约束力。</w:t>
      </w:r>
    </w:p>
    <w:p>
      <w:pPr>
        <w:spacing w:line="360" w:lineRule="auto"/>
        <w:ind w:firstLine="560" w:firstLineChars="200"/>
        <w:rPr>
          <w:rFonts w:eastAsia="仿宋_GB2312"/>
          <w:color w:val="000000"/>
          <w:sz w:val="28"/>
          <w:szCs w:val="32"/>
        </w:rPr>
      </w:pPr>
      <w:r>
        <w:rPr>
          <w:rFonts w:eastAsia="仿宋_GB2312"/>
          <w:color w:val="000000"/>
          <w:sz w:val="28"/>
          <w:szCs w:val="32"/>
        </w:rPr>
        <w:t>7</w:t>
      </w:r>
      <w:r>
        <w:rPr>
          <w:rFonts w:hint="eastAsia" w:eastAsia="仿宋_GB2312"/>
          <w:color w:val="000000"/>
          <w:sz w:val="28"/>
          <w:szCs w:val="32"/>
        </w:rPr>
        <w:t>.</w:t>
      </w:r>
      <w:r>
        <w:rPr>
          <w:rFonts w:eastAsia="仿宋_GB2312"/>
          <w:color w:val="000000"/>
          <w:sz w:val="28"/>
          <w:szCs w:val="32"/>
        </w:rPr>
        <w:t>本协议书自签署之日起生效，联合体未中标或者中标时合同履行完毕后自动失效。</w:t>
      </w:r>
    </w:p>
    <w:p>
      <w:pPr>
        <w:spacing w:line="360" w:lineRule="auto"/>
        <w:ind w:firstLine="560" w:firstLineChars="200"/>
        <w:rPr>
          <w:rFonts w:eastAsia="仿宋_GB2312"/>
          <w:color w:val="000000"/>
          <w:sz w:val="28"/>
          <w:szCs w:val="32"/>
        </w:rPr>
      </w:pPr>
      <w:r>
        <w:rPr>
          <w:rFonts w:eastAsia="仿宋_GB2312"/>
          <w:color w:val="000000"/>
          <w:sz w:val="28"/>
          <w:szCs w:val="32"/>
        </w:rPr>
        <w:t>8</w:t>
      </w:r>
      <w:r>
        <w:rPr>
          <w:rFonts w:hint="eastAsia" w:eastAsia="仿宋_GB2312"/>
          <w:color w:val="000000"/>
          <w:sz w:val="28"/>
          <w:szCs w:val="32"/>
        </w:rPr>
        <w:t>.</w:t>
      </w:r>
      <w:r>
        <w:rPr>
          <w:rFonts w:eastAsia="仿宋_GB2312"/>
          <w:color w:val="000000"/>
          <w:sz w:val="28"/>
          <w:szCs w:val="32"/>
        </w:rPr>
        <w:t>本协议书一式</w:t>
      </w:r>
      <w:r>
        <w:rPr>
          <w:rFonts w:eastAsia="仿宋_GB2312"/>
          <w:color w:val="000000"/>
          <w:sz w:val="28"/>
          <w:szCs w:val="32"/>
          <w:u w:val="single"/>
        </w:rPr>
        <w:t xml:space="preserve">     </w:t>
      </w:r>
      <w:r>
        <w:rPr>
          <w:rFonts w:eastAsia="仿宋_GB2312"/>
          <w:color w:val="000000"/>
          <w:sz w:val="28"/>
          <w:szCs w:val="32"/>
        </w:rPr>
        <w:t>份，联合体成员和招标人各执一份。</w:t>
      </w:r>
    </w:p>
    <w:p>
      <w:pPr>
        <w:spacing w:line="360" w:lineRule="auto"/>
        <w:ind w:firstLine="560" w:firstLineChars="200"/>
        <w:rPr>
          <w:rFonts w:eastAsia="仿宋_GB2312"/>
          <w:color w:val="000000"/>
          <w:sz w:val="28"/>
          <w:szCs w:val="32"/>
        </w:rPr>
      </w:pPr>
    </w:p>
    <w:p>
      <w:pPr>
        <w:spacing w:line="360" w:lineRule="auto"/>
        <w:ind w:firstLine="560" w:firstLineChars="200"/>
        <w:rPr>
          <w:rFonts w:eastAsia="仿宋_GB2312"/>
          <w:color w:val="000000"/>
          <w:sz w:val="28"/>
          <w:szCs w:val="32"/>
        </w:rPr>
      </w:pPr>
    </w:p>
    <w:p>
      <w:pPr>
        <w:spacing w:line="360" w:lineRule="auto"/>
        <w:ind w:firstLine="480" w:firstLineChars="200"/>
        <w:rPr>
          <w:rFonts w:eastAsia="仿宋_GB2312"/>
          <w:color w:val="000000"/>
          <w:sz w:val="24"/>
        </w:rPr>
      </w:pPr>
      <w:r>
        <w:rPr>
          <w:rFonts w:eastAsia="仿宋_GB2312"/>
          <w:color w:val="000000"/>
          <w:sz w:val="24"/>
        </w:rPr>
        <w:t>注：本协议书由联合体各成员法定代表人签字，附法定代表人身份证明。</w:t>
      </w:r>
    </w:p>
    <w:p>
      <w:pPr>
        <w:spacing w:line="360" w:lineRule="auto"/>
        <w:ind w:firstLine="560" w:firstLineChars="200"/>
        <w:rPr>
          <w:rFonts w:eastAsia="仿宋_GB2312"/>
          <w:color w:val="000000"/>
          <w:sz w:val="28"/>
          <w:szCs w:val="32"/>
        </w:rPr>
      </w:pPr>
    </w:p>
    <w:p>
      <w:pPr>
        <w:spacing w:line="360" w:lineRule="auto"/>
        <w:ind w:firstLine="560" w:firstLineChars="200"/>
        <w:rPr>
          <w:rFonts w:eastAsia="仿宋_GB2312"/>
          <w:color w:val="000000"/>
          <w:sz w:val="28"/>
          <w:szCs w:val="32"/>
        </w:rPr>
      </w:pPr>
    </w:p>
    <w:p>
      <w:pPr>
        <w:spacing w:line="360" w:lineRule="auto"/>
        <w:ind w:right="140" w:firstLine="560" w:firstLineChars="200"/>
        <w:jc w:val="right"/>
        <w:rPr>
          <w:rFonts w:eastAsia="仿宋_GB2312"/>
          <w:color w:val="000000"/>
          <w:sz w:val="28"/>
          <w:szCs w:val="32"/>
        </w:rPr>
      </w:pPr>
      <w:r>
        <w:rPr>
          <w:rFonts w:eastAsia="仿宋_GB2312"/>
          <w:color w:val="000000"/>
          <w:sz w:val="28"/>
          <w:szCs w:val="32"/>
        </w:rPr>
        <w:t>牵头人名称：</w:t>
      </w:r>
      <w:r>
        <w:rPr>
          <w:rFonts w:eastAsia="仿宋_GB2312"/>
          <w:color w:val="000000"/>
          <w:sz w:val="28"/>
          <w:szCs w:val="32"/>
          <w:u w:val="single"/>
        </w:rPr>
        <w:t xml:space="preserve">            </w:t>
      </w:r>
      <w:r>
        <w:rPr>
          <w:rFonts w:eastAsia="仿宋_GB2312"/>
          <w:color w:val="000000"/>
          <w:sz w:val="28"/>
          <w:szCs w:val="32"/>
        </w:rPr>
        <w:t>（盖单位公章）</w:t>
      </w:r>
    </w:p>
    <w:p>
      <w:pPr>
        <w:spacing w:line="360" w:lineRule="auto"/>
        <w:ind w:firstLine="3500" w:firstLineChars="1250"/>
        <w:rPr>
          <w:rFonts w:eastAsia="仿宋_GB2312"/>
          <w:color w:val="000000"/>
          <w:sz w:val="28"/>
          <w:szCs w:val="32"/>
        </w:rPr>
      </w:pPr>
      <w:r>
        <w:rPr>
          <w:rFonts w:eastAsia="仿宋_GB2312"/>
          <w:bCs/>
          <w:color w:val="000000"/>
          <w:sz w:val="28"/>
          <w:szCs w:val="32"/>
        </w:rPr>
        <w:t>法定代表人</w:t>
      </w:r>
      <w:r>
        <w:rPr>
          <w:rFonts w:eastAsia="仿宋_GB2312"/>
          <w:color w:val="000000"/>
          <w:sz w:val="28"/>
          <w:szCs w:val="32"/>
        </w:rPr>
        <w:t>：</w:t>
      </w:r>
      <w:r>
        <w:rPr>
          <w:rFonts w:eastAsia="仿宋_GB2312"/>
          <w:color w:val="000000"/>
          <w:sz w:val="28"/>
          <w:szCs w:val="32"/>
          <w:u w:val="single"/>
        </w:rPr>
        <w:t xml:space="preserve">                 </w:t>
      </w:r>
      <w:r>
        <w:rPr>
          <w:rFonts w:eastAsia="仿宋_GB2312"/>
          <w:color w:val="000000"/>
          <w:sz w:val="28"/>
          <w:szCs w:val="32"/>
        </w:rPr>
        <w:t>（签名）</w:t>
      </w:r>
    </w:p>
    <w:p>
      <w:pPr>
        <w:spacing w:line="360" w:lineRule="auto"/>
        <w:ind w:firstLine="3500" w:firstLineChars="1250"/>
        <w:rPr>
          <w:rFonts w:eastAsia="仿宋_GB2312"/>
          <w:color w:val="000000"/>
          <w:sz w:val="28"/>
          <w:szCs w:val="32"/>
        </w:rPr>
      </w:pPr>
      <w:r>
        <w:rPr>
          <w:rFonts w:eastAsia="仿宋_GB2312"/>
          <w:color w:val="000000"/>
          <w:sz w:val="28"/>
          <w:szCs w:val="32"/>
        </w:rPr>
        <w:t>成员一名称：</w:t>
      </w:r>
      <w:r>
        <w:rPr>
          <w:rFonts w:eastAsia="仿宋_GB2312"/>
          <w:color w:val="000000"/>
          <w:sz w:val="28"/>
          <w:szCs w:val="32"/>
          <w:u w:val="single"/>
        </w:rPr>
        <w:t xml:space="preserve">            </w:t>
      </w:r>
      <w:r>
        <w:rPr>
          <w:rFonts w:eastAsia="仿宋_GB2312"/>
          <w:color w:val="000000"/>
          <w:sz w:val="28"/>
          <w:szCs w:val="32"/>
        </w:rPr>
        <w:t>（盖单位公章）</w:t>
      </w:r>
    </w:p>
    <w:p>
      <w:pPr>
        <w:spacing w:line="360" w:lineRule="auto"/>
        <w:ind w:firstLine="3500" w:firstLineChars="1250"/>
        <w:rPr>
          <w:rFonts w:eastAsia="仿宋_GB2312"/>
          <w:color w:val="000000"/>
          <w:sz w:val="28"/>
          <w:szCs w:val="32"/>
        </w:rPr>
      </w:pPr>
      <w:r>
        <w:rPr>
          <w:rFonts w:eastAsia="仿宋_GB2312"/>
          <w:bCs/>
          <w:color w:val="000000"/>
          <w:sz w:val="28"/>
          <w:szCs w:val="32"/>
        </w:rPr>
        <w:t>法定代表人</w:t>
      </w:r>
      <w:r>
        <w:rPr>
          <w:rFonts w:eastAsia="仿宋_GB2312"/>
          <w:color w:val="000000"/>
          <w:sz w:val="28"/>
          <w:szCs w:val="32"/>
        </w:rPr>
        <w:t>：</w:t>
      </w:r>
      <w:r>
        <w:rPr>
          <w:rFonts w:eastAsia="仿宋_GB2312"/>
          <w:color w:val="000000"/>
          <w:sz w:val="28"/>
          <w:szCs w:val="32"/>
          <w:u w:val="single"/>
        </w:rPr>
        <w:t xml:space="preserve">                 </w:t>
      </w:r>
      <w:r>
        <w:rPr>
          <w:rFonts w:eastAsia="仿宋_GB2312"/>
          <w:color w:val="000000"/>
          <w:sz w:val="28"/>
          <w:szCs w:val="32"/>
        </w:rPr>
        <w:t>（签名）</w:t>
      </w:r>
    </w:p>
    <w:p>
      <w:pPr>
        <w:spacing w:line="360" w:lineRule="auto"/>
        <w:ind w:firstLine="3500" w:firstLineChars="1250"/>
        <w:rPr>
          <w:rFonts w:eastAsia="仿宋_GB2312"/>
          <w:color w:val="000000"/>
          <w:sz w:val="28"/>
          <w:szCs w:val="32"/>
        </w:rPr>
      </w:pPr>
      <w:r>
        <w:rPr>
          <w:rFonts w:eastAsia="仿宋_GB2312"/>
          <w:color w:val="000000"/>
          <w:sz w:val="28"/>
          <w:szCs w:val="32"/>
        </w:rPr>
        <w:t>成员二名称：</w:t>
      </w:r>
      <w:r>
        <w:rPr>
          <w:rFonts w:eastAsia="仿宋_GB2312"/>
          <w:color w:val="000000"/>
          <w:sz w:val="28"/>
          <w:szCs w:val="32"/>
          <w:u w:val="single"/>
        </w:rPr>
        <w:t xml:space="preserve">             </w:t>
      </w:r>
      <w:r>
        <w:rPr>
          <w:rFonts w:eastAsia="仿宋_GB2312"/>
          <w:color w:val="000000"/>
          <w:sz w:val="28"/>
          <w:szCs w:val="32"/>
        </w:rPr>
        <w:t>（盖单位公章）</w:t>
      </w:r>
    </w:p>
    <w:p>
      <w:pPr>
        <w:spacing w:line="360" w:lineRule="auto"/>
        <w:ind w:firstLine="3500" w:firstLineChars="1250"/>
        <w:rPr>
          <w:rFonts w:eastAsia="仿宋_GB2312"/>
          <w:color w:val="000000"/>
          <w:sz w:val="28"/>
          <w:szCs w:val="32"/>
        </w:rPr>
      </w:pPr>
      <w:r>
        <w:rPr>
          <w:rFonts w:eastAsia="仿宋_GB2312"/>
          <w:bCs/>
          <w:color w:val="000000"/>
          <w:sz w:val="28"/>
          <w:szCs w:val="32"/>
        </w:rPr>
        <w:t>法定代表人</w:t>
      </w:r>
      <w:r>
        <w:rPr>
          <w:rFonts w:eastAsia="仿宋_GB2312"/>
          <w:color w:val="000000"/>
          <w:sz w:val="28"/>
          <w:szCs w:val="32"/>
        </w:rPr>
        <w:t>：</w:t>
      </w:r>
      <w:r>
        <w:rPr>
          <w:rFonts w:eastAsia="仿宋_GB2312"/>
          <w:color w:val="000000"/>
          <w:sz w:val="28"/>
          <w:szCs w:val="32"/>
          <w:u w:val="single"/>
        </w:rPr>
        <w:t xml:space="preserve">                 </w:t>
      </w:r>
      <w:r>
        <w:rPr>
          <w:rFonts w:eastAsia="仿宋_GB2312"/>
          <w:color w:val="000000"/>
          <w:sz w:val="28"/>
          <w:szCs w:val="32"/>
        </w:rPr>
        <w:t>（签名）</w:t>
      </w:r>
    </w:p>
    <w:p>
      <w:pPr>
        <w:spacing w:line="360" w:lineRule="auto"/>
        <w:ind w:firstLine="5040" w:firstLineChars="1800"/>
        <w:rPr>
          <w:rFonts w:eastAsia="仿宋_GB2312"/>
          <w:color w:val="000000"/>
          <w:sz w:val="28"/>
          <w:szCs w:val="32"/>
        </w:rPr>
      </w:pPr>
      <w:r>
        <w:rPr>
          <w:rFonts w:eastAsia="仿宋_GB2312"/>
          <w:color w:val="000000"/>
          <w:sz w:val="28"/>
          <w:szCs w:val="32"/>
        </w:rPr>
        <w:t>…………</w:t>
      </w:r>
    </w:p>
    <w:p>
      <w:pPr>
        <w:spacing w:line="360" w:lineRule="auto"/>
        <w:ind w:firstLine="5040" w:firstLineChars="1800"/>
        <w:rPr>
          <w:rFonts w:eastAsia="仿宋_GB2312"/>
          <w:color w:val="000000"/>
          <w:sz w:val="28"/>
          <w:szCs w:val="32"/>
        </w:rPr>
      </w:pPr>
    </w:p>
    <w:p>
      <w:pPr>
        <w:spacing w:line="360" w:lineRule="auto"/>
        <w:ind w:firstLine="4620" w:firstLineChars="1650"/>
        <w:rPr>
          <w:rFonts w:eastAsia="仿宋_GB2312"/>
          <w:color w:val="000000"/>
          <w:sz w:val="28"/>
          <w:szCs w:val="32"/>
        </w:rPr>
      </w:pPr>
      <w:r>
        <w:rPr>
          <w:rFonts w:eastAsia="仿宋_GB2312"/>
          <w:color w:val="000000"/>
          <w:sz w:val="28"/>
          <w:szCs w:val="32"/>
          <w:u w:val="single"/>
        </w:rPr>
        <w:t xml:space="preserve">         </w:t>
      </w:r>
      <w:r>
        <w:rPr>
          <w:rFonts w:eastAsia="仿宋_GB2312"/>
          <w:color w:val="000000"/>
          <w:sz w:val="28"/>
          <w:szCs w:val="32"/>
        </w:rPr>
        <w:t>年</w:t>
      </w:r>
      <w:r>
        <w:rPr>
          <w:rFonts w:eastAsia="仿宋_GB2312"/>
          <w:color w:val="000000"/>
          <w:sz w:val="28"/>
          <w:szCs w:val="32"/>
          <w:u w:val="single"/>
        </w:rPr>
        <w:t xml:space="preserve">      </w:t>
      </w:r>
      <w:r>
        <w:rPr>
          <w:rFonts w:eastAsia="仿宋_GB2312"/>
          <w:color w:val="000000"/>
          <w:sz w:val="28"/>
          <w:szCs w:val="32"/>
        </w:rPr>
        <w:t>月</w:t>
      </w:r>
      <w:r>
        <w:rPr>
          <w:rFonts w:eastAsia="仿宋_GB2312"/>
          <w:color w:val="000000"/>
          <w:sz w:val="28"/>
          <w:szCs w:val="32"/>
          <w:u w:val="single"/>
        </w:rPr>
        <w:t xml:space="preserve">      </w:t>
      </w:r>
      <w:r>
        <w:rPr>
          <w:rFonts w:eastAsia="仿宋_GB2312"/>
          <w:color w:val="000000"/>
          <w:sz w:val="28"/>
          <w:szCs w:val="32"/>
        </w:rPr>
        <w:t>日</w:t>
      </w:r>
    </w:p>
    <w:p>
      <w:pPr>
        <w:spacing w:line="400" w:lineRule="exact"/>
        <w:ind w:firstLine="3920" w:firstLineChars="1400"/>
        <w:rPr>
          <w:rFonts w:eastAsia="仿宋_GB2312"/>
          <w:color w:val="000000"/>
          <w:sz w:val="28"/>
          <w:szCs w:val="32"/>
        </w:rPr>
      </w:pPr>
    </w:p>
    <w:p>
      <w:pPr>
        <w:spacing w:line="400" w:lineRule="exact"/>
        <w:ind w:firstLine="3920" w:firstLineChars="1400"/>
        <w:rPr>
          <w:rFonts w:eastAsia="仿宋_GB2312"/>
          <w:color w:val="000000"/>
          <w:sz w:val="28"/>
          <w:szCs w:val="32"/>
        </w:rPr>
      </w:pPr>
    </w:p>
    <w:p>
      <w:pPr>
        <w:spacing w:line="400" w:lineRule="exact"/>
        <w:ind w:firstLine="3920" w:firstLineChars="1400"/>
        <w:rPr>
          <w:rFonts w:eastAsia="仿宋_GB2312"/>
          <w:color w:val="000000"/>
          <w:sz w:val="28"/>
          <w:szCs w:val="32"/>
        </w:rPr>
      </w:pPr>
    </w:p>
    <w:p>
      <w:pPr>
        <w:spacing w:line="400" w:lineRule="exact"/>
        <w:ind w:firstLine="3920" w:firstLineChars="1400"/>
        <w:rPr>
          <w:rFonts w:eastAsia="仿宋_GB2312"/>
          <w:color w:val="000000"/>
          <w:sz w:val="28"/>
          <w:szCs w:val="32"/>
        </w:rPr>
      </w:pPr>
    </w:p>
    <w:p>
      <w:pPr>
        <w:spacing w:line="400" w:lineRule="exact"/>
        <w:ind w:firstLine="3920" w:firstLineChars="1400"/>
        <w:rPr>
          <w:rFonts w:eastAsia="仿宋_GB2312"/>
          <w:color w:val="000000"/>
          <w:sz w:val="28"/>
          <w:szCs w:val="32"/>
        </w:rPr>
      </w:pPr>
    </w:p>
    <w:p>
      <w:pPr>
        <w:spacing w:line="400" w:lineRule="exact"/>
        <w:ind w:firstLine="3920" w:firstLineChars="1400"/>
        <w:rPr>
          <w:rFonts w:eastAsia="仿宋_GB2312"/>
          <w:color w:val="000000"/>
          <w:sz w:val="28"/>
          <w:szCs w:val="32"/>
        </w:rPr>
      </w:pPr>
    </w:p>
    <w:p>
      <w:pPr>
        <w:spacing w:line="400" w:lineRule="exact"/>
        <w:ind w:firstLine="3920" w:firstLineChars="1400"/>
        <w:rPr>
          <w:rFonts w:eastAsia="仿宋_GB2312"/>
          <w:color w:val="000000"/>
          <w:sz w:val="28"/>
          <w:szCs w:val="32"/>
        </w:rPr>
      </w:pPr>
    </w:p>
    <w:p>
      <w:pPr>
        <w:spacing w:line="360" w:lineRule="auto"/>
        <w:ind w:firstLine="480" w:firstLineChars="200"/>
        <w:rPr>
          <w:rFonts w:eastAsia="仿宋_GB2312"/>
          <w:color w:val="000000"/>
          <w:sz w:val="24"/>
        </w:rPr>
      </w:pPr>
      <w:r>
        <w:rPr>
          <w:rFonts w:eastAsia="仿宋_GB2312"/>
          <w:color w:val="000000"/>
          <w:sz w:val="24"/>
        </w:rPr>
        <w:t>说明：投标文件附联合体协议书</w:t>
      </w:r>
      <w:r>
        <w:rPr>
          <w:rFonts w:hint="eastAsia" w:eastAsia="仿宋_GB2312"/>
          <w:color w:val="000000"/>
          <w:sz w:val="24"/>
        </w:rPr>
        <w:t>原件扫描件</w:t>
      </w:r>
      <w:r>
        <w:rPr>
          <w:rFonts w:eastAsia="仿宋_GB2312"/>
          <w:color w:val="000000"/>
          <w:sz w:val="24"/>
        </w:rPr>
        <w:t>，如招标文件对原件提交有规定的，原件按招标文件要求提交。</w:t>
      </w:r>
    </w:p>
    <w:p>
      <w:pPr>
        <w:spacing w:line="400" w:lineRule="exact"/>
        <w:ind w:firstLine="3920" w:firstLineChars="1400"/>
        <w:rPr>
          <w:rFonts w:eastAsia="仿宋_GB2312"/>
          <w:color w:val="000000"/>
          <w:sz w:val="28"/>
          <w:szCs w:val="32"/>
        </w:rPr>
      </w:pPr>
    </w:p>
    <w:p>
      <w:pPr>
        <w:spacing w:line="400" w:lineRule="exact"/>
        <w:ind w:firstLine="3920" w:firstLineChars="1400"/>
        <w:rPr>
          <w:rFonts w:eastAsia="仿宋_GB2312"/>
          <w:color w:val="000000"/>
          <w:sz w:val="28"/>
          <w:szCs w:val="32"/>
        </w:rPr>
      </w:pPr>
    </w:p>
    <w:p>
      <w:pPr>
        <w:spacing w:line="490" w:lineRule="exact"/>
        <w:ind w:firstLine="723" w:firstLineChars="200"/>
        <w:jc w:val="center"/>
        <w:rPr>
          <w:rFonts w:eastAsia="方正小标宋_GBK"/>
          <w:b/>
          <w:color w:val="000000"/>
          <w:sz w:val="36"/>
          <w:szCs w:val="36"/>
        </w:rPr>
      </w:pPr>
      <w:bookmarkStart w:id="2005" w:name="_Toc512257501"/>
    </w:p>
    <w:p>
      <w:pPr>
        <w:spacing w:line="490" w:lineRule="exact"/>
        <w:ind w:firstLine="723" w:firstLineChars="200"/>
        <w:jc w:val="center"/>
        <w:rPr>
          <w:rFonts w:eastAsia="方正小标宋_GBK"/>
          <w:b/>
          <w:color w:val="000000"/>
          <w:sz w:val="36"/>
          <w:szCs w:val="36"/>
        </w:rPr>
      </w:pPr>
    </w:p>
    <w:p>
      <w:pPr>
        <w:spacing w:line="490" w:lineRule="exact"/>
        <w:ind w:firstLine="720" w:firstLineChars="200"/>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联合体授权委托书（格式）</w:t>
      </w:r>
      <w:bookmarkEnd w:id="2005"/>
    </w:p>
    <w:p>
      <w:pPr>
        <w:spacing w:line="490" w:lineRule="exact"/>
        <w:rPr>
          <w:rFonts w:eastAsia="仿宋_GB2312"/>
          <w:bCs/>
          <w:color w:val="000000"/>
          <w:sz w:val="28"/>
          <w:szCs w:val="32"/>
        </w:rPr>
      </w:pPr>
    </w:p>
    <w:p>
      <w:pPr>
        <w:spacing w:line="490" w:lineRule="exact"/>
        <w:rPr>
          <w:rFonts w:eastAsia="仿宋_GB2312"/>
          <w:color w:val="000000"/>
          <w:sz w:val="28"/>
          <w:szCs w:val="32"/>
          <w:u w:val="single"/>
        </w:rPr>
      </w:pPr>
      <w:r>
        <w:rPr>
          <w:rFonts w:eastAsia="仿宋_GB2312"/>
          <w:bCs/>
          <w:color w:val="000000"/>
          <w:sz w:val="28"/>
          <w:szCs w:val="32"/>
        </w:rPr>
        <w:t>致</w:t>
      </w:r>
      <w:r>
        <w:rPr>
          <w:rFonts w:eastAsia="仿宋_GB2312"/>
          <w:color w:val="000000"/>
          <w:sz w:val="28"/>
          <w:szCs w:val="32"/>
          <w:u w:val="single"/>
        </w:rPr>
        <w:t xml:space="preserve">    （招标人名称）     </w:t>
      </w:r>
      <w:r>
        <w:rPr>
          <w:rFonts w:eastAsia="仿宋_GB2312"/>
          <w:color w:val="000000"/>
          <w:sz w:val="28"/>
          <w:szCs w:val="32"/>
        </w:rPr>
        <w:t>：</w:t>
      </w:r>
    </w:p>
    <w:p>
      <w:pPr>
        <w:spacing w:line="490" w:lineRule="exact"/>
        <w:ind w:firstLine="560" w:firstLineChars="200"/>
        <w:rPr>
          <w:rFonts w:eastAsia="仿宋_GB2312"/>
          <w:color w:val="000000"/>
          <w:sz w:val="28"/>
          <w:szCs w:val="32"/>
        </w:rPr>
      </w:pPr>
      <w:r>
        <w:rPr>
          <w:rFonts w:eastAsia="仿宋_GB2312"/>
          <w:color w:val="000000"/>
          <w:sz w:val="28"/>
          <w:szCs w:val="32"/>
        </w:rPr>
        <w:t>兹授权</w:t>
      </w:r>
      <w:r>
        <w:rPr>
          <w:rFonts w:eastAsia="仿宋_GB2312"/>
          <w:color w:val="000000"/>
          <w:sz w:val="28"/>
          <w:szCs w:val="32"/>
          <w:u w:val="single"/>
        </w:rPr>
        <w:t xml:space="preserve">    （被授权委托单位全称）   </w:t>
      </w:r>
      <w:r>
        <w:rPr>
          <w:rFonts w:eastAsia="仿宋_GB2312"/>
          <w:color w:val="000000"/>
          <w:sz w:val="28"/>
          <w:szCs w:val="32"/>
        </w:rPr>
        <w:t>作为我单位就</w:t>
      </w:r>
      <w:r>
        <w:rPr>
          <w:rFonts w:eastAsia="仿宋_GB2312"/>
          <w:color w:val="000000"/>
          <w:sz w:val="28"/>
          <w:szCs w:val="32"/>
          <w:u w:val="single"/>
        </w:rPr>
        <w:t xml:space="preserve">         </w:t>
      </w:r>
      <w:r>
        <w:rPr>
          <w:rFonts w:eastAsia="仿宋_GB2312"/>
          <w:color w:val="000000"/>
          <w:sz w:val="28"/>
          <w:szCs w:val="32"/>
        </w:rPr>
        <w:t>（项目名称）</w:t>
      </w:r>
      <w:r>
        <w:rPr>
          <w:rFonts w:eastAsia="仿宋_GB2312"/>
          <w:color w:val="000000"/>
          <w:sz w:val="28"/>
          <w:szCs w:val="32"/>
          <w:u w:val="single"/>
        </w:rPr>
        <w:t xml:space="preserve">         </w:t>
      </w:r>
      <w:r>
        <w:rPr>
          <w:rFonts w:eastAsia="仿宋_GB2312"/>
          <w:color w:val="000000"/>
          <w:sz w:val="28"/>
          <w:szCs w:val="32"/>
        </w:rPr>
        <w:t>（标段名称）工程施工联合投标及履行合同的责任单位，其授权代表人同时作为我单位的授权代表人。</w:t>
      </w:r>
    </w:p>
    <w:p>
      <w:pPr>
        <w:spacing w:line="490" w:lineRule="exact"/>
        <w:ind w:firstLine="560" w:firstLineChars="200"/>
        <w:rPr>
          <w:rFonts w:eastAsia="仿宋_GB2312"/>
          <w:color w:val="000000"/>
          <w:sz w:val="28"/>
          <w:szCs w:val="32"/>
        </w:rPr>
      </w:pPr>
      <w:r>
        <w:rPr>
          <w:rFonts w:eastAsia="仿宋_GB2312"/>
          <w:color w:val="000000"/>
          <w:sz w:val="28"/>
          <w:szCs w:val="32"/>
        </w:rPr>
        <w:t>我单位对上述授权责任单位就本工程施工投标及履行合同的任何行为承担连带责任，授权责任单位的授权代表人在授权期内签署的任何与本工程施工投标及合同签订有关的文件均为有效。</w:t>
      </w:r>
    </w:p>
    <w:p>
      <w:pPr>
        <w:pStyle w:val="23"/>
        <w:tabs>
          <w:tab w:val="left" w:pos="5890"/>
        </w:tabs>
        <w:spacing w:line="490" w:lineRule="exact"/>
        <w:ind w:firstLine="560" w:firstLineChars="200"/>
        <w:rPr>
          <w:rFonts w:ascii="Times New Roman" w:hAnsi="Times New Roman" w:eastAsia="仿宋_GB2312"/>
          <w:color w:val="000000"/>
          <w:sz w:val="28"/>
          <w:szCs w:val="32"/>
        </w:rPr>
      </w:pPr>
    </w:p>
    <w:p>
      <w:pPr>
        <w:pStyle w:val="23"/>
        <w:tabs>
          <w:tab w:val="left" w:pos="2268"/>
        </w:tabs>
        <w:spacing w:line="490" w:lineRule="exact"/>
        <w:ind w:firstLine="3663" w:firstLineChars="1347"/>
        <w:rPr>
          <w:rFonts w:ascii="Times New Roman" w:hAnsi="Times New Roman" w:eastAsia="仿宋_GB2312"/>
          <w:color w:val="000000"/>
          <w:sz w:val="28"/>
          <w:szCs w:val="32"/>
          <w:u w:val="single"/>
        </w:rPr>
      </w:pPr>
      <w:r>
        <w:rPr>
          <w:rFonts w:ascii="Times New Roman" w:hAnsi="Times New Roman" w:eastAsia="仿宋_GB2312"/>
          <w:color w:val="000000"/>
          <w:spacing w:val="-4"/>
          <w:sz w:val="28"/>
          <w:szCs w:val="32"/>
        </w:rPr>
        <w:t>授权委托单位：</w:t>
      </w:r>
      <w:r>
        <w:rPr>
          <w:rFonts w:ascii="Times New Roman" w:hAnsi="Times New Roman" w:eastAsia="仿宋_GB2312"/>
          <w:color w:val="000000"/>
          <w:sz w:val="28"/>
          <w:szCs w:val="32"/>
          <w:u w:val="single"/>
        </w:rPr>
        <w:t xml:space="preserve">       （全称）        </w:t>
      </w:r>
    </w:p>
    <w:p>
      <w:pPr>
        <w:pStyle w:val="23"/>
        <w:tabs>
          <w:tab w:val="left" w:pos="2268"/>
        </w:tabs>
        <w:spacing w:line="490" w:lineRule="exact"/>
        <w:ind w:firstLine="3211" w:firstLineChars="1147"/>
        <w:rPr>
          <w:rFonts w:ascii="Times New Roman" w:hAnsi="Times New Roman" w:eastAsia="仿宋_GB2312"/>
          <w:color w:val="000000"/>
          <w:sz w:val="28"/>
          <w:szCs w:val="32"/>
        </w:rPr>
      </w:pPr>
      <w:r>
        <w:rPr>
          <w:rFonts w:ascii="Times New Roman" w:hAnsi="Times New Roman" w:eastAsia="仿宋_GB2312"/>
          <w:color w:val="000000"/>
          <w:sz w:val="28"/>
          <w:szCs w:val="32"/>
        </w:rPr>
        <w:t xml:space="preserve">                     （盖单位 公章）</w:t>
      </w:r>
    </w:p>
    <w:p>
      <w:pPr>
        <w:pStyle w:val="23"/>
        <w:tabs>
          <w:tab w:val="left" w:pos="2268"/>
        </w:tabs>
        <w:spacing w:line="490" w:lineRule="exact"/>
        <w:ind w:firstLine="3716" w:firstLineChars="1147"/>
        <w:rPr>
          <w:rFonts w:ascii="Times New Roman" w:hAnsi="Times New Roman" w:eastAsia="仿宋_GB2312"/>
          <w:color w:val="000000"/>
          <w:sz w:val="28"/>
          <w:szCs w:val="32"/>
          <w:u w:val="single"/>
        </w:rPr>
      </w:pPr>
      <w:r>
        <w:rPr>
          <w:rFonts w:ascii="Times New Roman" w:hAnsi="Times New Roman" w:eastAsia="仿宋_GB2312"/>
          <w:color w:val="000000"/>
          <w:spacing w:val="22"/>
          <w:sz w:val="28"/>
          <w:szCs w:val="32"/>
        </w:rPr>
        <w:t>法定代表人</w:t>
      </w:r>
      <w:r>
        <w:rPr>
          <w:rFonts w:ascii="Times New Roman" w:hAnsi="Times New Roman" w:eastAsia="仿宋_GB2312"/>
          <w:color w:val="000000"/>
          <w:sz w:val="28"/>
          <w:szCs w:val="32"/>
        </w:rPr>
        <w:t>：</w:t>
      </w:r>
      <w:r>
        <w:rPr>
          <w:rFonts w:ascii="Times New Roman" w:hAnsi="Times New Roman" w:eastAsia="仿宋_GB2312"/>
          <w:color w:val="000000"/>
          <w:sz w:val="28"/>
          <w:szCs w:val="32"/>
          <w:u w:val="single"/>
        </w:rPr>
        <w:t xml:space="preserve">      （电子签名）    </w:t>
      </w:r>
    </w:p>
    <w:p>
      <w:pPr>
        <w:pStyle w:val="23"/>
        <w:tabs>
          <w:tab w:val="left" w:pos="2268"/>
        </w:tabs>
        <w:spacing w:line="490" w:lineRule="exact"/>
        <w:ind w:firstLine="3119" w:firstLineChars="1147"/>
        <w:rPr>
          <w:rFonts w:ascii="Times New Roman" w:hAnsi="Times New Roman" w:eastAsia="仿宋_GB2312"/>
          <w:color w:val="000000"/>
          <w:spacing w:val="-4"/>
          <w:sz w:val="28"/>
          <w:szCs w:val="32"/>
        </w:rPr>
      </w:pPr>
    </w:p>
    <w:p>
      <w:pPr>
        <w:pStyle w:val="23"/>
        <w:tabs>
          <w:tab w:val="left" w:pos="2268"/>
        </w:tabs>
        <w:spacing w:line="490" w:lineRule="exact"/>
        <w:ind w:firstLine="3663" w:firstLineChars="1347"/>
        <w:rPr>
          <w:rFonts w:ascii="Times New Roman" w:hAnsi="Times New Roman" w:eastAsia="仿宋_GB2312"/>
          <w:color w:val="000000"/>
          <w:sz w:val="28"/>
          <w:szCs w:val="32"/>
          <w:u w:val="single"/>
        </w:rPr>
      </w:pPr>
      <w:r>
        <w:rPr>
          <w:rFonts w:ascii="Times New Roman" w:hAnsi="Times New Roman" w:eastAsia="仿宋_GB2312"/>
          <w:color w:val="000000"/>
          <w:spacing w:val="-4"/>
          <w:sz w:val="28"/>
          <w:szCs w:val="32"/>
        </w:rPr>
        <w:t>被授权委托单位：</w:t>
      </w:r>
      <w:r>
        <w:rPr>
          <w:rFonts w:ascii="Times New Roman" w:hAnsi="Times New Roman" w:eastAsia="仿宋_GB2312"/>
          <w:color w:val="000000"/>
          <w:sz w:val="28"/>
          <w:szCs w:val="32"/>
          <w:u w:val="single"/>
        </w:rPr>
        <w:t xml:space="preserve">       （全称）      </w:t>
      </w:r>
    </w:p>
    <w:p>
      <w:pPr>
        <w:pStyle w:val="23"/>
        <w:tabs>
          <w:tab w:val="left" w:pos="2268"/>
        </w:tabs>
        <w:spacing w:line="490" w:lineRule="exact"/>
        <w:ind w:firstLine="3211" w:firstLineChars="1147"/>
        <w:rPr>
          <w:rFonts w:ascii="Times New Roman" w:hAnsi="Times New Roman" w:eastAsia="仿宋_GB2312"/>
          <w:color w:val="000000"/>
          <w:sz w:val="28"/>
          <w:szCs w:val="32"/>
        </w:rPr>
      </w:pPr>
      <w:r>
        <w:rPr>
          <w:rFonts w:ascii="Times New Roman" w:hAnsi="Times New Roman" w:eastAsia="仿宋_GB2312"/>
          <w:color w:val="000000"/>
          <w:sz w:val="28"/>
          <w:szCs w:val="32"/>
        </w:rPr>
        <w:t xml:space="preserve">                       （盖单位 公章）</w:t>
      </w:r>
    </w:p>
    <w:p>
      <w:pPr>
        <w:pStyle w:val="23"/>
        <w:tabs>
          <w:tab w:val="left" w:pos="2268"/>
        </w:tabs>
        <w:spacing w:line="490" w:lineRule="exact"/>
        <w:ind w:firstLine="3651" w:firstLineChars="1127"/>
        <w:rPr>
          <w:rFonts w:ascii="Times New Roman" w:hAnsi="Times New Roman" w:eastAsia="仿宋_GB2312"/>
          <w:color w:val="000000"/>
          <w:sz w:val="28"/>
          <w:szCs w:val="32"/>
          <w:u w:val="single"/>
        </w:rPr>
      </w:pPr>
      <w:r>
        <w:rPr>
          <w:rFonts w:ascii="Times New Roman" w:hAnsi="Times New Roman" w:eastAsia="仿宋_GB2312"/>
          <w:color w:val="000000"/>
          <w:spacing w:val="22"/>
          <w:sz w:val="28"/>
          <w:szCs w:val="32"/>
        </w:rPr>
        <w:t>法定代表人</w:t>
      </w:r>
      <w:r>
        <w:rPr>
          <w:rFonts w:ascii="Times New Roman" w:hAnsi="Times New Roman" w:eastAsia="仿宋_GB2312"/>
          <w:color w:val="000000"/>
          <w:sz w:val="28"/>
          <w:szCs w:val="32"/>
        </w:rPr>
        <w:t>：</w:t>
      </w:r>
      <w:r>
        <w:rPr>
          <w:rFonts w:ascii="Times New Roman" w:hAnsi="Times New Roman" w:eastAsia="仿宋_GB2312"/>
          <w:color w:val="000000"/>
          <w:sz w:val="28"/>
          <w:szCs w:val="32"/>
          <w:u w:val="single"/>
        </w:rPr>
        <w:t xml:space="preserve">       （电子签名）    </w:t>
      </w:r>
    </w:p>
    <w:p>
      <w:pPr>
        <w:pStyle w:val="23"/>
        <w:spacing w:line="490" w:lineRule="exact"/>
        <w:ind w:firstLine="3716" w:firstLineChars="1147"/>
        <w:rPr>
          <w:rFonts w:ascii="Times New Roman" w:hAnsi="Times New Roman" w:eastAsia="仿宋_GB2312"/>
          <w:color w:val="000000"/>
          <w:spacing w:val="22"/>
          <w:sz w:val="28"/>
          <w:szCs w:val="32"/>
        </w:rPr>
      </w:pPr>
    </w:p>
    <w:p>
      <w:pPr>
        <w:spacing w:line="490" w:lineRule="exact"/>
        <w:ind w:firstLine="5591" w:firstLineChars="1997"/>
        <w:rPr>
          <w:rFonts w:eastAsia="仿宋_GB2312"/>
          <w:color w:val="000000"/>
          <w:sz w:val="28"/>
          <w:szCs w:val="32"/>
        </w:rPr>
      </w:pPr>
      <w:r>
        <w:rPr>
          <w:rFonts w:eastAsia="仿宋_GB2312"/>
          <w:color w:val="000000"/>
          <w:sz w:val="28"/>
          <w:szCs w:val="32"/>
          <w:u w:val="single"/>
        </w:rPr>
        <w:t xml:space="preserve">        </w:t>
      </w:r>
      <w:r>
        <w:rPr>
          <w:rFonts w:eastAsia="仿宋_GB2312"/>
          <w:color w:val="000000"/>
          <w:sz w:val="28"/>
          <w:szCs w:val="32"/>
        </w:rPr>
        <w:t>年</w:t>
      </w:r>
      <w:r>
        <w:rPr>
          <w:rFonts w:eastAsia="仿宋_GB2312"/>
          <w:color w:val="000000"/>
          <w:sz w:val="28"/>
          <w:szCs w:val="32"/>
          <w:u w:val="single"/>
        </w:rPr>
        <w:t xml:space="preserve">     </w:t>
      </w:r>
      <w:r>
        <w:rPr>
          <w:rFonts w:eastAsia="仿宋_GB2312"/>
          <w:color w:val="000000"/>
          <w:sz w:val="28"/>
          <w:szCs w:val="32"/>
        </w:rPr>
        <w:t>月</w:t>
      </w:r>
      <w:r>
        <w:rPr>
          <w:rFonts w:eastAsia="仿宋_GB2312"/>
          <w:color w:val="000000"/>
          <w:sz w:val="28"/>
          <w:szCs w:val="32"/>
          <w:u w:val="single"/>
        </w:rPr>
        <w:t xml:space="preserve">     </w:t>
      </w:r>
      <w:r>
        <w:rPr>
          <w:rFonts w:eastAsia="仿宋_GB2312"/>
          <w:color w:val="000000"/>
          <w:sz w:val="28"/>
          <w:szCs w:val="32"/>
        </w:rPr>
        <w:t>日</w:t>
      </w:r>
    </w:p>
    <w:p>
      <w:pPr>
        <w:spacing w:line="400" w:lineRule="exact"/>
        <w:ind w:firstLine="3920" w:firstLineChars="1400"/>
        <w:rPr>
          <w:rFonts w:eastAsia="仿宋_GB2312"/>
          <w:color w:val="000000"/>
          <w:sz w:val="28"/>
          <w:szCs w:val="32"/>
        </w:rPr>
      </w:pPr>
    </w:p>
    <w:p>
      <w:pPr>
        <w:spacing w:line="400" w:lineRule="exact"/>
        <w:ind w:firstLine="3920" w:firstLineChars="1400"/>
        <w:rPr>
          <w:rFonts w:eastAsia="仿宋_GB2312"/>
          <w:color w:val="000000"/>
          <w:sz w:val="28"/>
          <w:szCs w:val="32"/>
        </w:rPr>
      </w:pPr>
    </w:p>
    <w:p>
      <w:pPr>
        <w:spacing w:line="400" w:lineRule="exact"/>
        <w:ind w:firstLine="3920" w:firstLineChars="1400"/>
        <w:rPr>
          <w:rFonts w:eastAsia="仿宋_GB2312"/>
          <w:color w:val="000000"/>
          <w:sz w:val="28"/>
          <w:szCs w:val="32"/>
        </w:rPr>
      </w:pPr>
    </w:p>
    <w:p>
      <w:pPr>
        <w:spacing w:line="400" w:lineRule="exact"/>
        <w:ind w:firstLine="3920" w:firstLineChars="1400"/>
        <w:rPr>
          <w:rFonts w:eastAsia="仿宋_GB2312"/>
          <w:color w:val="000000"/>
          <w:sz w:val="28"/>
          <w:szCs w:val="32"/>
        </w:rPr>
      </w:pPr>
    </w:p>
    <w:p>
      <w:pPr>
        <w:spacing w:line="400" w:lineRule="exact"/>
        <w:ind w:firstLine="3920" w:firstLineChars="1400"/>
        <w:rPr>
          <w:rFonts w:eastAsia="仿宋_GB2312"/>
          <w:color w:val="000000"/>
          <w:sz w:val="28"/>
          <w:szCs w:val="32"/>
        </w:rPr>
      </w:pPr>
    </w:p>
    <w:p>
      <w:pPr>
        <w:spacing w:line="400" w:lineRule="exact"/>
        <w:ind w:firstLine="2800" w:firstLineChars="1400"/>
        <w:rPr>
          <w:rFonts w:eastAsia="黑体"/>
          <w:color w:val="000000"/>
          <w:szCs w:val="21"/>
        </w:rPr>
      </w:pPr>
      <w:r>
        <w:rPr>
          <w:color w:val="000000"/>
          <w:sz w:val="20"/>
          <w:szCs w:val="21"/>
        </w:rPr>
        <w:br w:type="page"/>
      </w:r>
    </w:p>
    <w:p>
      <w:pPr>
        <w:adjustRightInd w:val="0"/>
        <w:snapToGrid w:val="0"/>
        <w:spacing w:line="490" w:lineRule="exact"/>
        <w:jc w:val="center"/>
        <w:outlineLvl w:val="0"/>
        <w:rPr>
          <w:rFonts w:hint="eastAsia" w:ascii="方正小标宋简体" w:eastAsia="方正小标宋简体"/>
          <w:bCs/>
          <w:color w:val="000000"/>
          <w:sz w:val="30"/>
          <w:szCs w:val="30"/>
        </w:rPr>
      </w:pPr>
      <w:bookmarkStart w:id="2006" w:name="_Toc857"/>
      <w:bookmarkStart w:id="2007" w:name="_Toc51091944"/>
      <w:bookmarkStart w:id="2008" w:name="_Toc21046"/>
      <w:r>
        <w:rPr>
          <w:rFonts w:hint="eastAsia" w:ascii="方正小标宋简体" w:eastAsia="方正小标宋简体"/>
          <w:bCs/>
          <w:color w:val="000000"/>
          <w:sz w:val="30"/>
          <w:szCs w:val="30"/>
        </w:rPr>
        <w:t>五.投标担保</w:t>
      </w:r>
      <w:bookmarkEnd w:id="2006"/>
      <w:bookmarkEnd w:id="2007"/>
      <w:bookmarkEnd w:id="2008"/>
    </w:p>
    <w:p>
      <w:pPr>
        <w:spacing w:line="490" w:lineRule="exact"/>
        <w:ind w:firstLine="420" w:firstLineChars="200"/>
        <w:rPr>
          <w:rFonts w:hint="eastAsia" w:ascii="仿宋_GB2312" w:eastAsia="仿宋_GB2312"/>
          <w:color w:val="000000"/>
        </w:rPr>
      </w:pPr>
    </w:p>
    <w:p>
      <w:pPr>
        <w:spacing w:line="360" w:lineRule="auto"/>
        <w:ind w:firstLine="560" w:firstLineChars="200"/>
        <w:jc w:val="left"/>
        <w:rPr>
          <w:rFonts w:hint="eastAsia" w:ascii="仿宋_GB2312" w:eastAsia="仿宋_GB2312"/>
          <w:color w:val="000000"/>
          <w:sz w:val="28"/>
          <w:szCs w:val="28"/>
        </w:rPr>
      </w:pPr>
      <w:r>
        <w:rPr>
          <w:rFonts w:hint="eastAsia" w:ascii="仿宋_GB2312" w:eastAsia="仿宋_GB2312"/>
          <w:color w:val="000000"/>
          <w:sz w:val="28"/>
          <w:szCs w:val="28"/>
        </w:rPr>
        <w:t>1.采用现金的，请附投标人基本账户开户许可证原件扫描件（或基本账户开户银行打印的账户信息，包含户名、账号、基本存款账户编号等信息）以及投标担保银行进账单原件扫描件</w:t>
      </w:r>
    </w:p>
    <w:p>
      <w:pPr>
        <w:spacing w:line="360" w:lineRule="auto"/>
        <w:ind w:firstLine="560" w:firstLineChars="200"/>
        <w:jc w:val="left"/>
        <w:rPr>
          <w:rFonts w:hint="eastAsia" w:ascii="仿宋_GB2312" w:eastAsia="仿宋_GB2312"/>
          <w:color w:val="000000"/>
          <w:sz w:val="28"/>
          <w:szCs w:val="28"/>
        </w:rPr>
      </w:pPr>
      <w:r>
        <w:rPr>
          <w:rFonts w:hint="eastAsia" w:ascii="仿宋_GB2312" w:eastAsia="仿宋_GB2312"/>
          <w:color w:val="000000"/>
          <w:sz w:val="28"/>
          <w:szCs w:val="28"/>
        </w:rPr>
        <w:t>2.采用保函的，附投标保函原件扫描件（格式附后）</w:t>
      </w:r>
    </w:p>
    <w:p>
      <w:pPr>
        <w:spacing w:line="360" w:lineRule="auto"/>
        <w:ind w:firstLine="560" w:firstLineChars="200"/>
        <w:jc w:val="left"/>
        <w:rPr>
          <w:rFonts w:hint="eastAsia" w:ascii="仿宋_GB2312" w:eastAsia="仿宋_GB2312"/>
          <w:color w:val="000000"/>
          <w:sz w:val="28"/>
          <w:szCs w:val="28"/>
        </w:rPr>
      </w:pPr>
      <w:r>
        <w:rPr>
          <w:rFonts w:hint="eastAsia" w:ascii="仿宋_GB2312" w:eastAsia="仿宋_GB2312"/>
          <w:color w:val="000000"/>
          <w:sz w:val="28"/>
          <w:szCs w:val="28"/>
        </w:rPr>
        <w:t>3.采用保证保险，请附投标保证保险原件扫描件（格式附后）</w:t>
      </w:r>
    </w:p>
    <w:p>
      <w:pPr>
        <w:spacing w:line="360" w:lineRule="auto"/>
        <w:ind w:firstLine="560" w:firstLineChars="200"/>
        <w:jc w:val="left"/>
        <w:rPr>
          <w:rFonts w:hint="eastAsia" w:ascii="仿宋_GB2312" w:eastAsia="仿宋_GB2312"/>
          <w:color w:val="000000"/>
          <w:sz w:val="28"/>
          <w:szCs w:val="28"/>
        </w:rPr>
      </w:pPr>
      <w:r>
        <w:rPr>
          <w:rFonts w:hint="eastAsia" w:ascii="仿宋_GB2312" w:eastAsia="仿宋_GB2312"/>
          <w:color w:val="000000"/>
          <w:sz w:val="28"/>
          <w:szCs w:val="28"/>
        </w:rPr>
        <w:t>4.采用承诺的，附投标承诺原件扫描件（格式附后）</w:t>
      </w:r>
    </w:p>
    <w:p>
      <w:pPr>
        <w:jc w:val="center"/>
        <w:rPr>
          <w:rFonts w:eastAsia="黑体"/>
          <w:color w:val="000000"/>
          <w:sz w:val="30"/>
          <w:szCs w:val="30"/>
        </w:rPr>
      </w:pPr>
    </w:p>
    <w:p>
      <w:pPr>
        <w:jc w:val="center"/>
        <w:rPr>
          <w:rFonts w:eastAsia="黑体"/>
          <w:color w:val="000000"/>
          <w:sz w:val="30"/>
          <w:szCs w:val="30"/>
        </w:rPr>
      </w:pPr>
    </w:p>
    <w:p>
      <w:pPr>
        <w:jc w:val="center"/>
        <w:rPr>
          <w:rFonts w:eastAsia="黑体"/>
          <w:color w:val="000000"/>
          <w:sz w:val="30"/>
          <w:szCs w:val="30"/>
        </w:rPr>
      </w:pPr>
    </w:p>
    <w:p>
      <w:pPr>
        <w:jc w:val="center"/>
        <w:rPr>
          <w:rFonts w:eastAsia="黑体"/>
          <w:color w:val="000000"/>
          <w:sz w:val="30"/>
          <w:szCs w:val="30"/>
        </w:rPr>
      </w:pPr>
    </w:p>
    <w:p>
      <w:pPr>
        <w:jc w:val="center"/>
        <w:rPr>
          <w:rFonts w:eastAsia="黑体"/>
          <w:color w:val="000000"/>
          <w:sz w:val="30"/>
          <w:szCs w:val="30"/>
        </w:rPr>
      </w:pPr>
    </w:p>
    <w:p>
      <w:pPr>
        <w:adjustRightInd w:val="0"/>
        <w:snapToGrid w:val="0"/>
        <w:spacing w:line="490" w:lineRule="exact"/>
        <w:jc w:val="center"/>
        <w:rPr>
          <w:rFonts w:hint="eastAsia" w:eastAsia="黑体"/>
          <w:bCs/>
          <w:color w:val="000000"/>
          <w:sz w:val="30"/>
          <w:szCs w:val="30"/>
        </w:rPr>
      </w:pPr>
      <w:r>
        <w:rPr>
          <w:rFonts w:hint="eastAsia" w:eastAsia="黑体"/>
          <w:bCs/>
          <w:color w:val="000000"/>
          <w:sz w:val="30"/>
          <w:szCs w:val="30"/>
        </w:rPr>
        <w:t>投标担保</w:t>
      </w:r>
    </w:p>
    <w:p>
      <w:pPr>
        <w:spacing w:line="490" w:lineRule="exact"/>
        <w:rPr>
          <w:rFonts w:eastAsia="黑体"/>
          <w:color w:val="000000"/>
        </w:rPr>
      </w:pPr>
    </w:p>
    <w:p>
      <w:pPr>
        <w:pStyle w:val="123"/>
        <w:autoSpaceDE/>
        <w:autoSpaceDN/>
        <w:spacing w:after="0" w:line="420" w:lineRule="exact"/>
        <w:rPr>
          <w:rFonts w:ascii="Times New Roman" w:eastAsia="仿宋_GB2312" w:cs="Times New Roman"/>
          <w:color w:val="000000"/>
        </w:rPr>
      </w:pPr>
      <w:r>
        <w:rPr>
          <w:rFonts w:ascii="Times New Roman" w:eastAsia="仿宋_GB2312" w:cs="Times New Roman"/>
          <w:color w:val="000000"/>
          <w:u w:val="single"/>
        </w:rPr>
        <w:t xml:space="preserve">          </w:t>
      </w:r>
      <w:r>
        <w:rPr>
          <w:rFonts w:ascii="Times New Roman" w:eastAsia="仿宋_GB2312" w:cs="Times New Roman"/>
          <w:color w:val="000000"/>
        </w:rPr>
        <w:t>（招标人名称）：</w:t>
      </w:r>
    </w:p>
    <w:p>
      <w:pPr>
        <w:spacing w:line="420" w:lineRule="exact"/>
        <w:ind w:firstLine="720" w:firstLineChars="300"/>
        <w:rPr>
          <w:rFonts w:eastAsia="仿宋_GB2312"/>
          <w:color w:val="000000"/>
          <w:sz w:val="24"/>
        </w:rPr>
      </w:pPr>
      <w:r>
        <w:rPr>
          <w:rFonts w:eastAsia="仿宋_GB2312"/>
          <w:color w:val="000000"/>
          <w:sz w:val="24"/>
        </w:rPr>
        <w:t>我公司在递交投标文件的同时已用 □单位基本账户电汇  □企业网银转账方式提交</w:t>
      </w:r>
      <w:r>
        <w:rPr>
          <w:rFonts w:hint="eastAsia" w:eastAsia="仿宋_GB2312"/>
          <w:color w:val="000000"/>
          <w:sz w:val="24"/>
        </w:rPr>
        <w:t>投标担保</w:t>
      </w:r>
      <w:r>
        <w:rPr>
          <w:rFonts w:eastAsia="仿宋_GB2312"/>
          <w:color w:val="000000"/>
          <w:sz w:val="24"/>
        </w:rPr>
        <w:t>，其金额为人民币</w:t>
      </w:r>
      <w:r>
        <w:rPr>
          <w:rFonts w:eastAsia="仿宋_GB2312"/>
          <w:color w:val="000000"/>
          <w:sz w:val="24"/>
          <w:u w:val="single"/>
        </w:rPr>
        <w:t xml:space="preserve">         </w:t>
      </w:r>
      <w:r>
        <w:rPr>
          <w:rFonts w:eastAsia="仿宋_GB2312"/>
          <w:color w:val="000000"/>
          <w:sz w:val="24"/>
        </w:rPr>
        <w:t>元（</w:t>
      </w:r>
      <w:r>
        <w:rPr>
          <w:color w:val="000000"/>
          <w:sz w:val="24"/>
        </w:rPr>
        <w:t>¥</w:t>
      </w:r>
      <w:r>
        <w:rPr>
          <w:rFonts w:eastAsia="仿宋_GB2312"/>
          <w:color w:val="000000"/>
          <w:sz w:val="24"/>
          <w:u w:val="single"/>
        </w:rPr>
        <w:t xml:space="preserve">         </w:t>
      </w:r>
      <w:r>
        <w:rPr>
          <w:rFonts w:eastAsia="仿宋_GB2312"/>
          <w:color w:val="000000"/>
          <w:sz w:val="24"/>
        </w:rPr>
        <w:t>）。</w:t>
      </w:r>
    </w:p>
    <w:p>
      <w:pPr>
        <w:spacing w:line="420" w:lineRule="exact"/>
        <w:ind w:firstLine="420"/>
        <w:rPr>
          <w:rFonts w:eastAsia="仿宋_GB2312"/>
          <w:color w:val="000000"/>
          <w:sz w:val="24"/>
        </w:rPr>
      </w:pPr>
    </w:p>
    <w:p>
      <w:pPr>
        <w:spacing w:line="420" w:lineRule="exact"/>
        <w:ind w:firstLine="420"/>
        <w:rPr>
          <w:rFonts w:eastAsia="仿宋_GB2312"/>
          <w:color w:val="000000"/>
          <w:sz w:val="24"/>
        </w:rPr>
      </w:pPr>
    </w:p>
    <w:p>
      <w:pPr>
        <w:pStyle w:val="23"/>
        <w:spacing w:line="420" w:lineRule="exact"/>
        <w:ind w:firstLine="2455" w:firstLineChars="1023"/>
        <w:jc w:val="left"/>
        <w:rPr>
          <w:rFonts w:ascii="Times New Roman" w:hAnsi="Times New Roman" w:eastAsia="仿宋_GB2312"/>
          <w:color w:val="000000"/>
          <w:sz w:val="24"/>
          <w:szCs w:val="24"/>
        </w:rPr>
      </w:pPr>
      <w:r>
        <w:rPr>
          <w:rFonts w:ascii="Times New Roman" w:hAnsi="Times New Roman" w:eastAsia="仿宋_GB2312"/>
          <w:color w:val="000000"/>
          <w:sz w:val="24"/>
          <w:szCs w:val="24"/>
        </w:rPr>
        <w:t>投  标  人：</w:t>
      </w:r>
      <w:r>
        <w:rPr>
          <w:rFonts w:ascii="Times New Roman" w:hAnsi="Times New Roman" w:eastAsia="仿宋_GB2312"/>
          <w:color w:val="000000"/>
          <w:sz w:val="24"/>
          <w:szCs w:val="24"/>
          <w:u w:val="single"/>
        </w:rPr>
        <w:t xml:space="preserve">       （名称）        </w:t>
      </w:r>
    </w:p>
    <w:p>
      <w:pPr>
        <w:spacing w:line="420" w:lineRule="exact"/>
        <w:ind w:firstLine="4015" w:firstLineChars="1673"/>
        <w:rPr>
          <w:rFonts w:eastAsia="仿宋_GB2312"/>
          <w:color w:val="000000"/>
          <w:sz w:val="24"/>
        </w:rPr>
      </w:pPr>
      <w:r>
        <w:rPr>
          <w:rFonts w:eastAsia="仿宋_GB2312"/>
          <w:color w:val="000000"/>
          <w:sz w:val="24"/>
        </w:rPr>
        <w:t xml:space="preserve">  （盖单位电子公章）</w:t>
      </w:r>
    </w:p>
    <w:p>
      <w:pPr>
        <w:pStyle w:val="23"/>
        <w:spacing w:line="420" w:lineRule="exact"/>
        <w:ind w:firstLine="2455" w:firstLineChars="1023"/>
        <w:jc w:val="left"/>
        <w:rPr>
          <w:rFonts w:ascii="Times New Roman" w:hAnsi="Times New Roman" w:eastAsia="仿宋_GB2312"/>
          <w:color w:val="000000"/>
          <w:sz w:val="24"/>
          <w:szCs w:val="24"/>
        </w:rPr>
      </w:pPr>
      <w:r>
        <w:rPr>
          <w:rFonts w:ascii="Times New Roman" w:hAnsi="Times New Roman" w:eastAsia="仿宋_GB2312"/>
          <w:bCs/>
          <w:color w:val="000000"/>
          <w:sz w:val="24"/>
          <w:szCs w:val="24"/>
        </w:rPr>
        <w:t>法定代表人</w:t>
      </w:r>
      <w:r>
        <w:rPr>
          <w:rFonts w:ascii="Times New Roman" w:hAnsi="Times New Roman" w:eastAsia="仿宋_GB2312"/>
          <w:color w:val="000000"/>
          <w:sz w:val="24"/>
          <w:szCs w:val="24"/>
        </w:rPr>
        <w:t>：</w:t>
      </w:r>
      <w:r>
        <w:rPr>
          <w:rFonts w:ascii="Times New Roman" w:hAnsi="Times New Roman" w:eastAsia="仿宋_GB2312"/>
          <w:color w:val="000000"/>
          <w:sz w:val="24"/>
          <w:szCs w:val="24"/>
          <w:u w:val="single"/>
        </w:rPr>
        <w:t xml:space="preserve">        （姓名）        </w:t>
      </w:r>
    </w:p>
    <w:p>
      <w:pPr>
        <w:spacing w:line="420" w:lineRule="exact"/>
        <w:ind w:firstLine="4615" w:firstLineChars="1923"/>
        <w:rPr>
          <w:rFonts w:eastAsia="仿宋_GB2312"/>
          <w:color w:val="000000"/>
          <w:sz w:val="24"/>
        </w:rPr>
      </w:pPr>
      <w:r>
        <w:rPr>
          <w:rFonts w:eastAsia="仿宋_GB2312"/>
          <w:color w:val="000000"/>
          <w:sz w:val="24"/>
        </w:rPr>
        <w:t xml:space="preserve">（电子签名） </w:t>
      </w:r>
    </w:p>
    <w:p>
      <w:pPr>
        <w:spacing w:line="420" w:lineRule="exact"/>
        <w:ind w:firstLine="2455" w:firstLineChars="1023"/>
        <w:rPr>
          <w:rFonts w:hint="eastAsia" w:eastAsia="仿宋_GB2312"/>
          <w:color w:val="000000"/>
          <w:sz w:val="24"/>
          <w:u w:val="single"/>
        </w:rPr>
      </w:pPr>
      <w:r>
        <w:rPr>
          <w:rFonts w:eastAsia="仿宋_GB2312"/>
          <w:color w:val="000000"/>
          <w:sz w:val="24"/>
        </w:rPr>
        <w:t>日      期：</w:t>
      </w:r>
      <w:r>
        <w:rPr>
          <w:rFonts w:eastAsia="仿宋_GB2312"/>
          <w:color w:val="000000"/>
          <w:sz w:val="24"/>
          <w:u w:val="single"/>
        </w:rPr>
        <w:t xml:space="preserve">                       </w:t>
      </w:r>
    </w:p>
    <w:p>
      <w:pPr>
        <w:spacing w:line="420" w:lineRule="exact"/>
        <w:ind w:firstLine="3069" w:firstLineChars="1023"/>
        <w:rPr>
          <w:rFonts w:eastAsia="黑体"/>
          <w:color w:val="000000"/>
          <w:sz w:val="30"/>
          <w:szCs w:val="30"/>
        </w:rPr>
      </w:pPr>
      <w:r>
        <w:rPr>
          <w:rFonts w:eastAsia="黑体"/>
          <w:color w:val="000000"/>
          <w:sz w:val="30"/>
          <w:szCs w:val="30"/>
        </w:rPr>
        <w:br w:type="page"/>
      </w:r>
    </w:p>
    <w:p>
      <w:pPr>
        <w:spacing w:line="420" w:lineRule="exact"/>
        <w:ind w:firstLine="3682" w:firstLineChars="1023"/>
        <w:rPr>
          <w:rFonts w:hint="eastAsia" w:ascii="方正小标宋简体" w:eastAsia="方正小标宋简体"/>
          <w:color w:val="000000"/>
          <w:sz w:val="36"/>
          <w:szCs w:val="36"/>
        </w:rPr>
      </w:pPr>
      <w:r>
        <w:rPr>
          <w:rFonts w:hint="eastAsia" w:ascii="方正小标宋简体" w:eastAsia="方正小标宋简体"/>
          <w:color w:val="000000"/>
          <w:sz w:val="36"/>
          <w:szCs w:val="36"/>
        </w:rPr>
        <w:t>投标保函</w:t>
      </w:r>
    </w:p>
    <w:p>
      <w:pPr>
        <w:snapToGrid w:val="0"/>
        <w:spacing w:line="580" w:lineRule="atLeast"/>
        <w:rPr>
          <w:rFonts w:eastAsia="仿宋"/>
          <w:color w:val="000000"/>
          <w:sz w:val="24"/>
          <w:u w:val="single"/>
        </w:rPr>
      </w:pPr>
    </w:p>
    <w:p>
      <w:pPr>
        <w:snapToGrid w:val="0"/>
        <w:spacing w:line="580" w:lineRule="atLeast"/>
        <w:rPr>
          <w:rFonts w:eastAsia="仿宋_GB2312"/>
          <w:color w:val="000000"/>
          <w:sz w:val="24"/>
        </w:rPr>
      </w:pPr>
      <w:r>
        <w:rPr>
          <w:rFonts w:eastAsia="仿宋_GB2312"/>
          <w:color w:val="000000"/>
          <w:sz w:val="24"/>
          <w:u w:val="single"/>
        </w:rPr>
        <w:t xml:space="preserve">      （受益人名称）     </w:t>
      </w:r>
      <w:r>
        <w:rPr>
          <w:rFonts w:eastAsia="仿宋_GB2312"/>
          <w:color w:val="000000"/>
          <w:sz w:val="24"/>
        </w:rPr>
        <w:t>：</w:t>
      </w:r>
    </w:p>
    <w:p>
      <w:pPr>
        <w:snapToGrid w:val="0"/>
        <w:spacing w:line="580" w:lineRule="atLeast"/>
        <w:ind w:firstLine="480" w:firstLineChars="200"/>
        <w:rPr>
          <w:rFonts w:eastAsia="仿宋_GB2312"/>
          <w:color w:val="000000"/>
          <w:sz w:val="24"/>
        </w:rPr>
      </w:pPr>
      <w:r>
        <w:rPr>
          <w:rFonts w:eastAsia="仿宋_GB2312"/>
          <w:color w:val="000000"/>
          <w:sz w:val="24"/>
        </w:rPr>
        <w:t>鉴于</w:t>
      </w:r>
      <w:r>
        <w:rPr>
          <w:rFonts w:eastAsia="仿宋_GB2312"/>
          <w:color w:val="000000"/>
          <w:sz w:val="24"/>
          <w:u w:val="single"/>
        </w:rPr>
        <w:t xml:space="preserve">       投标人名称，以下称“投标人”）  </w:t>
      </w:r>
      <w:r>
        <w:rPr>
          <w:rFonts w:eastAsia="仿宋_GB2312"/>
          <w:color w:val="000000"/>
          <w:sz w:val="24"/>
        </w:rPr>
        <w:t>于_____年___月___日参加你方作为招标人组织的</w:t>
      </w:r>
      <w:r>
        <w:rPr>
          <w:rFonts w:eastAsia="仿宋_GB2312"/>
          <w:color w:val="000000"/>
          <w:sz w:val="24"/>
          <w:u w:val="single"/>
        </w:rPr>
        <w:t xml:space="preserve">        </w:t>
      </w:r>
      <w:r>
        <w:rPr>
          <w:rFonts w:eastAsia="仿宋_GB2312"/>
          <w:color w:val="000000"/>
          <w:sz w:val="24"/>
        </w:rPr>
        <w:t>（项目名称）</w:t>
      </w:r>
      <w:r>
        <w:rPr>
          <w:rFonts w:eastAsia="仿宋_GB2312"/>
          <w:color w:val="000000"/>
          <w:sz w:val="24"/>
          <w:u w:val="single"/>
        </w:rPr>
        <w:t xml:space="preserve">       </w:t>
      </w:r>
      <w:r>
        <w:rPr>
          <w:rFonts w:eastAsia="仿宋_GB2312"/>
          <w:color w:val="000000"/>
          <w:sz w:val="24"/>
        </w:rPr>
        <w:t>（标段名称）施工招标投标，我方愿意无条件地、不可撤销就投标人履行</w:t>
      </w:r>
      <w:r>
        <w:rPr>
          <w:rFonts w:eastAsia="仿宋_GB2312"/>
          <w:color w:val="000000"/>
          <w:sz w:val="24"/>
          <w:u w:val="single"/>
        </w:rPr>
        <w:t xml:space="preserve">        </w:t>
      </w:r>
      <w:r>
        <w:rPr>
          <w:rFonts w:eastAsia="仿宋_GB2312"/>
          <w:color w:val="000000"/>
          <w:sz w:val="24"/>
        </w:rPr>
        <w:t>（项目名称）</w:t>
      </w:r>
      <w:r>
        <w:rPr>
          <w:rFonts w:eastAsia="仿宋_GB2312"/>
          <w:color w:val="000000"/>
          <w:sz w:val="24"/>
          <w:u w:val="single"/>
        </w:rPr>
        <w:t xml:space="preserve">       </w:t>
      </w:r>
      <w:r>
        <w:rPr>
          <w:rFonts w:eastAsia="仿宋_GB2312"/>
          <w:color w:val="000000"/>
          <w:sz w:val="24"/>
        </w:rPr>
        <w:t>（标段名称）招标文件规定的投标义务，向你方出具见索即付独立保函：</w:t>
      </w:r>
    </w:p>
    <w:p>
      <w:pPr>
        <w:snapToGrid w:val="0"/>
        <w:spacing w:line="580" w:lineRule="atLeast"/>
        <w:ind w:firstLine="480" w:firstLineChars="200"/>
        <w:rPr>
          <w:rFonts w:eastAsia="仿宋_GB2312"/>
          <w:color w:val="000000"/>
          <w:sz w:val="24"/>
        </w:rPr>
      </w:pPr>
      <w:r>
        <w:rPr>
          <w:rFonts w:eastAsia="仿宋_GB2312"/>
          <w:color w:val="000000"/>
          <w:sz w:val="24"/>
        </w:rPr>
        <w:t>1．本保函最高担保金额人民币（大写）</w:t>
      </w:r>
      <w:r>
        <w:rPr>
          <w:rFonts w:eastAsia="仿宋_GB2312"/>
          <w:color w:val="000000"/>
          <w:sz w:val="24"/>
          <w:u w:val="single"/>
        </w:rPr>
        <w:t xml:space="preserve">        </w:t>
      </w:r>
      <w:r>
        <w:rPr>
          <w:rFonts w:eastAsia="仿宋_GB2312"/>
          <w:color w:val="000000"/>
          <w:sz w:val="24"/>
        </w:rPr>
        <w:t>元（¥</w:t>
      </w:r>
      <w:r>
        <w:rPr>
          <w:rFonts w:eastAsia="仿宋_GB2312"/>
          <w:color w:val="000000"/>
          <w:sz w:val="24"/>
          <w:u w:val="single"/>
        </w:rPr>
        <w:t xml:space="preserve">         </w:t>
      </w:r>
      <w:r>
        <w:rPr>
          <w:rFonts w:eastAsia="仿宋_GB2312"/>
          <w:color w:val="000000"/>
          <w:sz w:val="24"/>
        </w:rPr>
        <w:t>）。</w:t>
      </w:r>
    </w:p>
    <w:p>
      <w:pPr>
        <w:snapToGrid w:val="0"/>
        <w:spacing w:line="580" w:lineRule="atLeast"/>
        <w:ind w:firstLine="480" w:firstLineChars="200"/>
        <w:rPr>
          <w:rFonts w:eastAsia="仿宋_GB2312"/>
          <w:color w:val="000000"/>
          <w:sz w:val="24"/>
        </w:rPr>
      </w:pPr>
      <w:r>
        <w:rPr>
          <w:rFonts w:eastAsia="仿宋_GB2312"/>
          <w:color w:val="000000"/>
          <w:sz w:val="24"/>
        </w:rPr>
        <w:t>2．保函有效期自______年____月_____日至______年____月_____日止。</w:t>
      </w:r>
    </w:p>
    <w:p>
      <w:pPr>
        <w:snapToGrid w:val="0"/>
        <w:spacing w:line="580" w:lineRule="atLeast"/>
        <w:ind w:firstLine="480" w:firstLineChars="200"/>
        <w:rPr>
          <w:rFonts w:eastAsia="仿宋_GB2312"/>
          <w:color w:val="000000"/>
          <w:sz w:val="24"/>
          <w:shd w:val="clear" w:color="auto" w:fill="FFFFFF"/>
        </w:rPr>
      </w:pPr>
      <w:r>
        <w:rPr>
          <w:rFonts w:eastAsia="仿宋_GB2312"/>
          <w:color w:val="000000"/>
          <w:sz w:val="24"/>
        </w:rPr>
        <w:t>3．在本保函有效期内，</w:t>
      </w:r>
      <w:r>
        <w:rPr>
          <w:rFonts w:eastAsia="仿宋_GB2312"/>
          <w:color w:val="000000"/>
          <w:sz w:val="24"/>
          <w:shd w:val="clear" w:color="auto" w:fill="FFFFFF"/>
        </w:rPr>
        <w:t>投标人存在下列未履行相关投标义务情形之一的，</w:t>
      </w:r>
      <w:r>
        <w:rPr>
          <w:rFonts w:eastAsia="仿宋_GB2312"/>
          <w:color w:val="000000"/>
          <w:sz w:val="24"/>
        </w:rPr>
        <w:t>我方在收到你方提出的书面</w:t>
      </w:r>
      <w:r>
        <w:rPr>
          <w:rFonts w:eastAsia="仿宋_GB2312"/>
          <w:color w:val="000000"/>
          <w:sz w:val="24"/>
          <w:shd w:val="clear" w:color="auto" w:fill="FFFFFF"/>
        </w:rPr>
        <w:t>索赔通知以及本保函原件后，在10个工作日内支付累计总额不超过本保函第1款约定的赔偿金额。</w:t>
      </w:r>
    </w:p>
    <w:p>
      <w:pPr>
        <w:snapToGrid w:val="0"/>
        <w:spacing w:line="580" w:lineRule="atLeast"/>
        <w:ind w:firstLine="480" w:firstLineChars="200"/>
        <w:rPr>
          <w:rFonts w:eastAsia="仿宋_GB2312"/>
          <w:color w:val="000000"/>
          <w:sz w:val="24"/>
          <w:shd w:val="clear" w:color="auto" w:fill="FFFFFF"/>
        </w:rPr>
      </w:pPr>
      <w:r>
        <w:rPr>
          <w:rFonts w:eastAsia="仿宋_GB2312"/>
          <w:color w:val="000000"/>
          <w:sz w:val="24"/>
          <w:shd w:val="clear" w:color="auto" w:fill="FFFFFF"/>
        </w:rPr>
        <w:t>（1）投标人拒绝按照招标文件、投标文件或中标通知书要求与你方签订合同；</w:t>
      </w:r>
    </w:p>
    <w:p>
      <w:pPr>
        <w:snapToGrid w:val="0"/>
        <w:spacing w:line="580" w:lineRule="atLeast"/>
        <w:ind w:firstLine="480" w:firstLineChars="200"/>
        <w:rPr>
          <w:rFonts w:eastAsia="仿宋_GB2312"/>
          <w:color w:val="000000"/>
          <w:sz w:val="24"/>
          <w:shd w:val="clear" w:color="auto" w:fill="FFFFFF"/>
        </w:rPr>
      </w:pPr>
      <w:r>
        <w:rPr>
          <w:rFonts w:eastAsia="仿宋_GB2312"/>
          <w:color w:val="000000"/>
          <w:sz w:val="24"/>
          <w:shd w:val="clear" w:color="auto" w:fill="FFFFFF"/>
        </w:rPr>
        <w:t>（2）投标截止后，投标人要求修改、补充或撤销投标文件的实质性内容或者要求更改招标文件和中标通知书的实质性内容；</w:t>
      </w:r>
    </w:p>
    <w:p>
      <w:pPr>
        <w:snapToGrid w:val="0"/>
        <w:spacing w:line="580" w:lineRule="atLeast"/>
        <w:ind w:firstLine="480" w:firstLineChars="200"/>
        <w:rPr>
          <w:rFonts w:eastAsia="仿宋_GB2312"/>
          <w:color w:val="000000"/>
          <w:sz w:val="24"/>
          <w:shd w:val="clear" w:color="auto" w:fill="FFFFFF"/>
        </w:rPr>
      </w:pPr>
      <w:r>
        <w:rPr>
          <w:rFonts w:eastAsia="仿宋_GB2312"/>
          <w:color w:val="000000"/>
          <w:sz w:val="24"/>
          <w:shd w:val="clear" w:color="auto" w:fill="FFFFFF"/>
        </w:rPr>
        <w:t>（3）投标人拒绝按招标文件规定的时间、金额、形式提交履约担保</w:t>
      </w:r>
      <w:r>
        <w:rPr>
          <w:rFonts w:hint="eastAsia" w:eastAsia="仿宋_GB2312"/>
          <w:color w:val="000000"/>
          <w:sz w:val="24"/>
          <w:shd w:val="clear" w:color="auto" w:fill="FFFFFF"/>
        </w:rPr>
        <w:t>；</w:t>
      </w:r>
      <w:r>
        <w:rPr>
          <w:rFonts w:eastAsia="仿宋_GB2312"/>
          <w:color w:val="000000"/>
          <w:sz w:val="24"/>
          <w:shd w:val="clear" w:color="auto" w:fill="FFFFFF"/>
        </w:rPr>
        <w:tab/>
      </w:r>
    </w:p>
    <w:p>
      <w:pPr>
        <w:snapToGrid w:val="0"/>
        <w:spacing w:line="580" w:lineRule="atLeast"/>
        <w:ind w:firstLine="480" w:firstLineChars="200"/>
        <w:rPr>
          <w:rFonts w:eastAsia="仿宋_GB2312"/>
          <w:color w:val="000000"/>
          <w:sz w:val="24"/>
          <w:shd w:val="clear" w:color="auto" w:fill="FFFFFF"/>
        </w:rPr>
      </w:pPr>
      <w:r>
        <w:rPr>
          <w:rFonts w:eastAsia="仿宋_GB2312"/>
          <w:color w:val="000000"/>
          <w:sz w:val="24"/>
          <w:shd w:val="clear" w:color="auto" w:fill="FFFFFF"/>
        </w:rPr>
        <w:t>（4）投标人在投标截止后撤销投标文件，但招标文件未载明投标人在投标截止后撤销投标文件，应当由保函开立人支付赔偿金额的除外。</w:t>
      </w:r>
    </w:p>
    <w:p>
      <w:pPr>
        <w:snapToGrid w:val="0"/>
        <w:spacing w:line="580" w:lineRule="atLeast"/>
        <w:ind w:firstLine="480" w:firstLineChars="200"/>
        <w:jc w:val="left"/>
        <w:rPr>
          <w:rFonts w:eastAsia="仿宋_GB2312"/>
          <w:color w:val="000000"/>
          <w:sz w:val="24"/>
        </w:rPr>
      </w:pPr>
      <w:r>
        <w:rPr>
          <w:rFonts w:eastAsia="仿宋_GB2312"/>
          <w:color w:val="000000"/>
          <w:sz w:val="24"/>
          <w:shd w:val="clear" w:color="auto" w:fill="FFFFFF"/>
        </w:rPr>
        <w:t>4．你方的索赔通知，应当符合下列要求：</w:t>
      </w:r>
    </w:p>
    <w:p>
      <w:pPr>
        <w:snapToGrid w:val="0"/>
        <w:spacing w:line="580" w:lineRule="atLeast"/>
        <w:ind w:firstLine="480" w:firstLineChars="200"/>
        <w:rPr>
          <w:rFonts w:eastAsia="仿宋_GB2312"/>
          <w:color w:val="000000"/>
          <w:sz w:val="24"/>
        </w:rPr>
      </w:pPr>
      <w:r>
        <w:rPr>
          <w:rFonts w:eastAsia="仿宋_GB2312"/>
          <w:color w:val="000000"/>
          <w:sz w:val="24"/>
        </w:rPr>
        <w:t>（1）索赔通知应当列明索赔金额，由你方加盖单位公章和法定代表人印章；</w:t>
      </w:r>
    </w:p>
    <w:p>
      <w:pPr>
        <w:snapToGrid w:val="0"/>
        <w:spacing w:line="580" w:lineRule="atLeast"/>
        <w:ind w:firstLine="480" w:firstLineChars="200"/>
        <w:rPr>
          <w:rFonts w:eastAsia="仿宋_GB2312"/>
          <w:color w:val="000000"/>
          <w:sz w:val="24"/>
        </w:rPr>
      </w:pPr>
      <w:r>
        <w:rPr>
          <w:rFonts w:eastAsia="仿宋_GB2312"/>
          <w:color w:val="000000"/>
          <w:sz w:val="24"/>
        </w:rPr>
        <w:t>（2）提交索赔通知的同时出具一份书面申明，申明索赔款项并未由中标人或其委托代理人直接或间接地支付给你方；</w:t>
      </w:r>
    </w:p>
    <w:p>
      <w:pPr>
        <w:snapToGrid w:val="0"/>
        <w:spacing w:line="580" w:lineRule="atLeast"/>
        <w:ind w:firstLine="480" w:firstLineChars="200"/>
        <w:rPr>
          <w:rFonts w:eastAsia="仿宋_GB2312"/>
          <w:color w:val="000000"/>
          <w:sz w:val="24"/>
          <w:shd w:val="clear" w:color="auto" w:fill="FFFFFF"/>
        </w:rPr>
      </w:pPr>
      <w:r>
        <w:rPr>
          <w:rFonts w:eastAsia="仿宋_GB2312"/>
          <w:color w:val="000000"/>
          <w:sz w:val="24"/>
        </w:rPr>
        <w:t>（3）索赔通知书必须在本保函有效期内邮寄或送达以下地址：</w:t>
      </w:r>
      <w:r>
        <w:rPr>
          <w:rFonts w:eastAsia="仿宋_GB2312"/>
          <w:color w:val="000000"/>
          <w:sz w:val="24"/>
          <w:u w:val="single"/>
        </w:rPr>
        <w:t xml:space="preserve">             </w:t>
      </w:r>
      <w:r>
        <w:rPr>
          <w:rFonts w:eastAsia="仿宋_GB2312"/>
          <w:color w:val="000000"/>
          <w:sz w:val="24"/>
        </w:rPr>
        <w:t>。</w:t>
      </w:r>
    </w:p>
    <w:p>
      <w:pPr>
        <w:snapToGrid w:val="0"/>
        <w:spacing w:line="580" w:lineRule="atLeast"/>
        <w:ind w:firstLine="480" w:firstLineChars="200"/>
        <w:rPr>
          <w:rFonts w:hint="eastAsia" w:eastAsia="仿宋_GB2312"/>
          <w:color w:val="000000"/>
          <w:sz w:val="24"/>
        </w:rPr>
      </w:pPr>
      <w:r>
        <w:rPr>
          <w:rFonts w:eastAsia="仿宋_GB2312"/>
          <w:color w:val="000000"/>
          <w:sz w:val="24"/>
        </w:rPr>
        <w:t>5．本保函有效期届满，无论是否将保函原件退回我方，本保函自行失效。我方在本保函项下的保证责任解除，此后提出的要求我方履行担保责任的主张无效。</w:t>
      </w:r>
    </w:p>
    <w:p>
      <w:pPr>
        <w:pStyle w:val="2"/>
        <w:rPr>
          <w:rFonts w:hint="eastAsia"/>
          <w:lang w:val="en-US" w:eastAsia="zh-CN"/>
        </w:rPr>
      </w:pPr>
    </w:p>
    <w:p>
      <w:pPr>
        <w:pStyle w:val="2"/>
        <w:rPr>
          <w:lang w:val="en-US" w:eastAsia="zh-CN"/>
        </w:rPr>
      </w:pPr>
    </w:p>
    <w:p>
      <w:pPr>
        <w:spacing w:line="480" w:lineRule="exact"/>
        <w:ind w:firstLine="2397" w:firstLineChars="999"/>
        <w:rPr>
          <w:rFonts w:eastAsia="仿宋_GB2312"/>
          <w:color w:val="000000"/>
          <w:sz w:val="24"/>
        </w:rPr>
      </w:pPr>
      <w:r>
        <w:rPr>
          <w:rFonts w:eastAsia="仿宋_GB2312"/>
          <w:color w:val="000000"/>
          <w:sz w:val="24"/>
        </w:rPr>
        <w:t>开立人：</w:t>
      </w:r>
      <w:r>
        <w:rPr>
          <w:rFonts w:eastAsia="仿宋_GB2312"/>
          <w:color w:val="000000"/>
          <w:sz w:val="24"/>
          <w:u w:val="single"/>
        </w:rPr>
        <w:t xml:space="preserve">                          </w:t>
      </w:r>
      <w:r>
        <w:rPr>
          <w:rFonts w:eastAsia="仿宋_GB2312"/>
          <w:color w:val="000000"/>
          <w:sz w:val="24"/>
        </w:rPr>
        <w:t xml:space="preserve">（盖章） </w:t>
      </w:r>
    </w:p>
    <w:p>
      <w:pPr>
        <w:spacing w:line="480" w:lineRule="exact"/>
        <w:ind w:firstLine="2392" w:firstLineChars="997"/>
        <w:rPr>
          <w:rFonts w:eastAsia="仿宋_GB2312"/>
          <w:color w:val="000000"/>
          <w:sz w:val="24"/>
        </w:rPr>
      </w:pPr>
      <w:r>
        <w:rPr>
          <w:rFonts w:eastAsia="仿宋_GB2312"/>
          <w:color w:val="000000"/>
          <w:sz w:val="24"/>
        </w:rPr>
        <w:t>法定代表人（负责人）：</w:t>
      </w:r>
      <w:r>
        <w:rPr>
          <w:rFonts w:eastAsia="仿宋_GB2312"/>
          <w:color w:val="000000"/>
          <w:sz w:val="24"/>
          <w:u w:val="single"/>
        </w:rPr>
        <w:t xml:space="preserve">             </w:t>
      </w:r>
      <w:r>
        <w:rPr>
          <w:rFonts w:eastAsia="仿宋_GB2312"/>
          <w:color w:val="000000"/>
          <w:sz w:val="24"/>
        </w:rPr>
        <w:t>（签字或盖章）</w:t>
      </w:r>
    </w:p>
    <w:p>
      <w:pPr>
        <w:spacing w:line="480" w:lineRule="exact"/>
        <w:ind w:firstLine="2397" w:firstLineChars="999"/>
        <w:rPr>
          <w:rFonts w:eastAsia="仿宋_GB2312"/>
          <w:color w:val="000000"/>
          <w:sz w:val="24"/>
          <w:u w:val="single"/>
        </w:rPr>
      </w:pPr>
      <w:r>
        <w:rPr>
          <w:rFonts w:eastAsia="仿宋_GB2312"/>
          <w:color w:val="000000"/>
          <w:sz w:val="24"/>
        </w:rPr>
        <w:t>地址：</w:t>
      </w:r>
      <w:r>
        <w:rPr>
          <w:rFonts w:eastAsia="仿宋_GB2312"/>
          <w:color w:val="000000"/>
          <w:sz w:val="24"/>
          <w:u w:val="single"/>
        </w:rPr>
        <w:t xml:space="preserve">                              </w:t>
      </w:r>
    </w:p>
    <w:p>
      <w:pPr>
        <w:spacing w:line="480" w:lineRule="exact"/>
        <w:ind w:firstLine="2397" w:firstLineChars="999"/>
        <w:rPr>
          <w:rFonts w:eastAsia="仿宋_GB2312"/>
          <w:color w:val="000000"/>
          <w:sz w:val="24"/>
          <w:u w:val="single"/>
        </w:rPr>
      </w:pPr>
      <w:r>
        <w:rPr>
          <w:rFonts w:eastAsia="仿宋_GB2312"/>
          <w:color w:val="000000"/>
          <w:sz w:val="24"/>
        </w:rPr>
        <w:t>电话：</w:t>
      </w:r>
      <w:r>
        <w:rPr>
          <w:rFonts w:eastAsia="仿宋_GB2312"/>
          <w:color w:val="000000"/>
          <w:sz w:val="24"/>
          <w:u w:val="single"/>
        </w:rPr>
        <w:t xml:space="preserve">                              </w:t>
      </w:r>
    </w:p>
    <w:p>
      <w:pPr>
        <w:spacing w:line="480" w:lineRule="exact"/>
        <w:ind w:firstLine="2397" w:firstLineChars="999"/>
        <w:rPr>
          <w:rFonts w:eastAsia="仿宋_GB2312"/>
          <w:color w:val="000000"/>
          <w:sz w:val="24"/>
          <w:u w:val="single"/>
        </w:rPr>
      </w:pPr>
      <w:r>
        <w:rPr>
          <w:rFonts w:eastAsia="仿宋_GB2312"/>
          <w:color w:val="000000"/>
          <w:sz w:val="24"/>
        </w:rPr>
        <w:t>传真：</w:t>
      </w:r>
      <w:r>
        <w:rPr>
          <w:rFonts w:eastAsia="仿宋_GB2312"/>
          <w:color w:val="000000"/>
          <w:sz w:val="24"/>
          <w:u w:val="single"/>
        </w:rPr>
        <w:t xml:space="preserve">                              </w:t>
      </w:r>
    </w:p>
    <w:p>
      <w:pPr>
        <w:spacing w:line="480" w:lineRule="exact"/>
        <w:ind w:firstLine="4080" w:firstLineChars="1700"/>
        <w:rPr>
          <w:rFonts w:eastAsia="仿宋_GB2312"/>
          <w:color w:val="000000"/>
          <w:sz w:val="24"/>
        </w:rPr>
      </w:pPr>
      <w:r>
        <w:rPr>
          <w:rFonts w:eastAsia="仿宋_GB2312"/>
          <w:color w:val="000000"/>
          <w:sz w:val="24"/>
        </w:rPr>
        <w:t xml:space="preserve"> </w:t>
      </w:r>
      <w:r>
        <w:rPr>
          <w:rFonts w:eastAsia="仿宋_GB2312"/>
          <w:color w:val="000000"/>
          <w:sz w:val="24"/>
          <w:u w:val="single"/>
        </w:rPr>
        <w:t xml:space="preserve">       </w:t>
      </w:r>
      <w:r>
        <w:rPr>
          <w:rFonts w:eastAsia="仿宋_GB2312"/>
          <w:color w:val="000000"/>
          <w:sz w:val="24"/>
        </w:rPr>
        <w:t>年</w:t>
      </w:r>
      <w:r>
        <w:rPr>
          <w:rFonts w:eastAsia="仿宋_GB2312"/>
          <w:color w:val="000000"/>
          <w:sz w:val="24"/>
          <w:u w:val="single"/>
        </w:rPr>
        <w:t xml:space="preserve">    </w:t>
      </w:r>
      <w:r>
        <w:rPr>
          <w:rFonts w:eastAsia="仿宋_GB2312"/>
          <w:color w:val="000000"/>
          <w:sz w:val="24"/>
        </w:rPr>
        <w:t>月</w:t>
      </w:r>
      <w:r>
        <w:rPr>
          <w:rFonts w:eastAsia="仿宋_GB2312"/>
          <w:color w:val="000000"/>
          <w:sz w:val="24"/>
          <w:u w:val="single"/>
        </w:rPr>
        <w:t xml:space="preserve">    </w:t>
      </w:r>
      <w:r>
        <w:rPr>
          <w:rFonts w:eastAsia="仿宋_GB2312"/>
          <w:color w:val="000000"/>
          <w:sz w:val="24"/>
        </w:rPr>
        <w:t>日</w:t>
      </w:r>
    </w:p>
    <w:p>
      <w:pPr>
        <w:spacing w:line="480" w:lineRule="exact"/>
        <w:ind w:firstLine="3430"/>
        <w:rPr>
          <w:rFonts w:eastAsia="仿宋"/>
          <w:color w:val="000000"/>
          <w:sz w:val="24"/>
        </w:rPr>
      </w:pPr>
    </w:p>
    <w:p>
      <w:pPr>
        <w:spacing w:line="480" w:lineRule="exact"/>
        <w:ind w:firstLine="3430"/>
        <w:rPr>
          <w:rFonts w:hint="eastAsia" w:ascii="仿宋_GB2312" w:eastAsia="仿宋_GB2312"/>
          <w:color w:val="000000"/>
          <w:sz w:val="24"/>
        </w:rPr>
      </w:pPr>
    </w:p>
    <w:p>
      <w:pPr>
        <w:spacing w:line="480" w:lineRule="exact"/>
        <w:ind w:firstLine="480" w:firstLineChars="200"/>
        <w:jc w:val="left"/>
        <w:rPr>
          <w:rFonts w:hint="eastAsia" w:ascii="仿宋_GB2312" w:eastAsia="仿宋_GB2312"/>
          <w:color w:val="000000"/>
          <w:sz w:val="24"/>
        </w:rPr>
      </w:pPr>
      <w:r>
        <w:rPr>
          <w:rFonts w:hint="eastAsia" w:ascii="仿宋_GB2312" w:eastAsia="仿宋_GB2312"/>
          <w:color w:val="000000"/>
          <w:sz w:val="24"/>
        </w:rPr>
        <w:t>说明：1.保函开立人可以根据项目具体情况增加相关条款，但不得违背招标文件</w:t>
      </w:r>
    </w:p>
    <w:p>
      <w:pPr>
        <w:spacing w:line="480" w:lineRule="exact"/>
        <w:ind w:firstLine="1560" w:firstLineChars="650"/>
        <w:rPr>
          <w:rFonts w:hint="eastAsia" w:ascii="仿宋_GB2312" w:eastAsia="仿宋_GB2312"/>
          <w:color w:val="000000"/>
          <w:sz w:val="24"/>
        </w:rPr>
      </w:pPr>
      <w:r>
        <w:rPr>
          <w:rFonts w:hint="eastAsia" w:ascii="仿宋_GB2312" w:eastAsia="仿宋_GB2312"/>
          <w:color w:val="000000"/>
          <w:sz w:val="24"/>
        </w:rPr>
        <w:t>的实质性内容，以及相关法律法规的规定。</w:t>
      </w:r>
    </w:p>
    <w:p>
      <w:pPr>
        <w:spacing w:line="480" w:lineRule="exact"/>
        <w:ind w:left="1437" w:leftChars="570" w:hanging="240" w:hangingChars="100"/>
        <w:rPr>
          <w:rFonts w:hint="eastAsia" w:ascii="仿宋_GB2312" w:eastAsia="仿宋_GB2312"/>
          <w:color w:val="000000"/>
          <w:sz w:val="24"/>
        </w:rPr>
      </w:pPr>
      <w:r>
        <w:rPr>
          <w:rFonts w:hint="eastAsia" w:ascii="仿宋_GB2312" w:eastAsia="仿宋_GB2312"/>
          <w:color w:val="000000"/>
          <w:sz w:val="24"/>
        </w:rPr>
        <w:t>2.投标文件附投标保函原件扫描件，如公共资源交易中心对原件提交有规定的，原件按其要求提交。</w:t>
      </w:r>
    </w:p>
    <w:p>
      <w:pPr>
        <w:jc w:val="center"/>
        <w:rPr>
          <w:rFonts w:hint="eastAsia" w:ascii="仿宋_GB2312" w:eastAsia="仿宋_GB2312"/>
          <w:color w:val="000000"/>
          <w:sz w:val="24"/>
        </w:rPr>
      </w:pPr>
    </w:p>
    <w:p>
      <w:pPr>
        <w:jc w:val="center"/>
        <w:rPr>
          <w:rFonts w:hint="eastAsia" w:ascii="仿宋_GB2312" w:eastAsia="仿宋_GB2312"/>
          <w:color w:val="000000"/>
          <w:sz w:val="24"/>
        </w:rPr>
      </w:pPr>
      <w:r>
        <w:rPr>
          <w:rFonts w:ascii="仿宋_GB2312" w:eastAsia="仿宋_GB2312"/>
          <w:color w:val="000000"/>
          <w:sz w:val="24"/>
        </w:rPr>
        <w:br w:type="page"/>
      </w:r>
    </w:p>
    <w:p>
      <w:pPr>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工程投标保证保险</w:t>
      </w:r>
    </w:p>
    <w:p>
      <w:pPr>
        <w:pStyle w:val="123"/>
        <w:snapToGrid w:val="0"/>
        <w:spacing w:after="0" w:line="520" w:lineRule="exact"/>
        <w:rPr>
          <w:rFonts w:ascii="Times New Roman" w:eastAsia="仿宋" w:cs="Times New Roman"/>
          <w:color w:val="000000"/>
          <w:u w:val="single"/>
        </w:rPr>
      </w:pPr>
    </w:p>
    <w:p>
      <w:pPr>
        <w:pStyle w:val="123"/>
        <w:snapToGrid w:val="0"/>
        <w:spacing w:after="0" w:line="520" w:lineRule="exact"/>
        <w:rPr>
          <w:rFonts w:hint="eastAsia" w:ascii="仿宋_GB2312" w:eastAsia="仿宋_GB2312" w:cs="Times New Roman"/>
          <w:color w:val="000000"/>
        </w:rPr>
      </w:pPr>
      <w:r>
        <w:rPr>
          <w:rFonts w:hint="eastAsia" w:ascii="仿宋_GB2312" w:eastAsia="仿宋_GB2312" w:cs="Times New Roman"/>
          <w:color w:val="000000"/>
          <w:u w:val="single"/>
        </w:rPr>
        <w:t xml:space="preserve">      （招标人名称）      </w:t>
      </w:r>
      <w:r>
        <w:rPr>
          <w:rFonts w:hint="eastAsia" w:ascii="仿宋_GB2312" w:eastAsia="仿宋_GB2312" w:cs="Times New Roman"/>
          <w:color w:val="000000"/>
        </w:rPr>
        <w:t xml:space="preserve">： </w:t>
      </w:r>
    </w:p>
    <w:p>
      <w:pPr>
        <w:pStyle w:val="123"/>
        <w:snapToGrid w:val="0"/>
        <w:spacing w:after="0" w:line="520" w:lineRule="exact"/>
        <w:ind w:firstLine="480" w:firstLineChars="200"/>
        <w:rPr>
          <w:rFonts w:hint="eastAsia" w:ascii="仿宋_GB2312" w:eastAsia="仿宋_GB2312" w:cs="Times New Roman"/>
          <w:color w:val="000000"/>
        </w:rPr>
      </w:pPr>
      <w:r>
        <w:rPr>
          <w:rFonts w:hint="eastAsia" w:ascii="仿宋_GB2312" w:eastAsia="仿宋_GB2312" w:cs="Times New Roman"/>
          <w:color w:val="000000"/>
        </w:rPr>
        <w:t>鉴于</w:t>
      </w:r>
      <w:r>
        <w:rPr>
          <w:rFonts w:hint="eastAsia" w:ascii="仿宋_GB2312" w:eastAsia="仿宋_GB2312" w:cs="Times New Roman"/>
          <w:color w:val="000000"/>
          <w:u w:val="single" w:color="000000"/>
        </w:rPr>
        <w:t xml:space="preserve">     （投标人名称）    </w:t>
      </w:r>
      <w:r>
        <w:rPr>
          <w:rFonts w:hint="eastAsia" w:ascii="仿宋_GB2312" w:eastAsia="仿宋_GB2312" w:cs="Times New Roman"/>
          <w:color w:val="000000"/>
          <w:u w:val="single"/>
        </w:rPr>
        <w:t xml:space="preserve">  </w:t>
      </w:r>
      <w:r>
        <w:rPr>
          <w:rFonts w:hint="eastAsia" w:ascii="仿宋_GB2312" w:eastAsia="仿宋_GB2312" w:cs="Times New Roman"/>
          <w:color w:val="000000"/>
        </w:rPr>
        <w:t>（以下简称“投标人”）于</w:t>
      </w:r>
      <w:r>
        <w:rPr>
          <w:rFonts w:hint="eastAsia" w:ascii="仿宋_GB2312" w:eastAsia="仿宋_GB2312" w:cs="Times New Roman"/>
          <w:color w:val="000000"/>
          <w:u w:val="single"/>
        </w:rPr>
        <w:t xml:space="preserve">     </w:t>
      </w:r>
      <w:r>
        <w:rPr>
          <w:rFonts w:hint="eastAsia" w:ascii="仿宋_GB2312" w:eastAsia="仿宋_GB2312" w:cs="Times New Roman"/>
          <w:color w:val="000000"/>
        </w:rPr>
        <w:t>年</w:t>
      </w:r>
      <w:r>
        <w:rPr>
          <w:rFonts w:hint="eastAsia" w:ascii="仿宋_GB2312" w:eastAsia="仿宋_GB2312" w:cs="Times New Roman"/>
          <w:color w:val="000000"/>
          <w:u w:val="single"/>
        </w:rPr>
        <w:t xml:space="preserve">   </w:t>
      </w:r>
      <w:r>
        <w:rPr>
          <w:rFonts w:hint="eastAsia" w:ascii="仿宋_GB2312" w:eastAsia="仿宋_GB2312" w:cs="Times New Roman"/>
          <w:color w:val="000000"/>
        </w:rPr>
        <w:t xml:space="preserve">月 </w:t>
      </w:r>
      <w:r>
        <w:rPr>
          <w:rFonts w:hint="eastAsia" w:ascii="仿宋_GB2312" w:eastAsia="仿宋_GB2312" w:cs="Times New Roman"/>
          <w:color w:val="000000"/>
          <w:u w:val="single"/>
        </w:rPr>
        <w:t xml:space="preserve">   </w:t>
      </w:r>
      <w:r>
        <w:rPr>
          <w:rFonts w:hint="eastAsia" w:ascii="仿宋_GB2312" w:eastAsia="仿宋_GB2312" w:cs="Times New Roman"/>
          <w:color w:val="000000"/>
        </w:rPr>
        <w:t>日参加你方组织的</w:t>
      </w:r>
      <w:r>
        <w:rPr>
          <w:rFonts w:hint="eastAsia" w:ascii="仿宋_GB2312" w:eastAsia="仿宋_GB2312" w:cs="Times New Roman"/>
          <w:color w:val="000000"/>
          <w:u w:val="single"/>
        </w:rPr>
        <w:t xml:space="preserve">        </w:t>
      </w:r>
      <w:r>
        <w:rPr>
          <w:rFonts w:hint="eastAsia" w:ascii="仿宋_GB2312" w:eastAsia="仿宋_GB2312" w:cs="Times New Roman"/>
          <w:color w:val="000000"/>
        </w:rPr>
        <w:t>（项目名称）</w:t>
      </w:r>
      <w:r>
        <w:rPr>
          <w:rFonts w:hint="eastAsia" w:ascii="仿宋_GB2312" w:eastAsia="仿宋_GB2312" w:cs="Times New Roman"/>
          <w:color w:val="000000"/>
          <w:u w:val="single"/>
        </w:rPr>
        <w:t xml:space="preserve">       </w:t>
      </w:r>
      <w:r>
        <w:rPr>
          <w:rFonts w:hint="eastAsia" w:ascii="仿宋_GB2312" w:eastAsia="仿宋_GB2312" w:cs="Times New Roman"/>
          <w:color w:val="000000"/>
        </w:rPr>
        <w:t>（标段名称）施工招标投标，并向我方投保工程投标保证保险（保险单号：</w:t>
      </w:r>
      <w:r>
        <w:rPr>
          <w:rFonts w:hint="eastAsia" w:ascii="仿宋_GB2312" w:eastAsia="仿宋_GB2312" w:cs="Times New Roman"/>
          <w:color w:val="000000"/>
          <w:u w:val="single"/>
        </w:rPr>
        <w:t xml:space="preserve">              </w:t>
      </w:r>
      <w:r>
        <w:rPr>
          <w:rFonts w:hint="eastAsia" w:ascii="仿宋_GB2312" w:eastAsia="仿宋_GB2312" w:cs="Times New Roman"/>
          <w:color w:val="000000"/>
        </w:rPr>
        <w:t>）。我方愿就投标人履行招标文件规定的投标义务，向贵方提供如下保证保险：</w:t>
      </w:r>
    </w:p>
    <w:p>
      <w:pPr>
        <w:snapToGrid w:val="0"/>
        <w:spacing w:line="520" w:lineRule="exact"/>
        <w:ind w:firstLine="480" w:firstLineChars="200"/>
        <w:rPr>
          <w:rFonts w:hint="eastAsia" w:ascii="仿宋_GB2312" w:eastAsia="仿宋_GB2312"/>
          <w:color w:val="000000"/>
          <w:sz w:val="24"/>
        </w:rPr>
      </w:pPr>
      <w:r>
        <w:rPr>
          <w:rFonts w:hint="eastAsia" w:ascii="仿宋_GB2312" w:eastAsia="仿宋_GB2312"/>
          <w:color w:val="000000"/>
          <w:sz w:val="24"/>
        </w:rPr>
        <w:t>一、保证保险金额</w:t>
      </w:r>
    </w:p>
    <w:p>
      <w:pPr>
        <w:snapToGrid w:val="0"/>
        <w:spacing w:line="520" w:lineRule="exact"/>
        <w:ind w:firstLine="480" w:firstLineChars="200"/>
        <w:rPr>
          <w:rFonts w:hint="eastAsia" w:ascii="仿宋_GB2312" w:eastAsia="仿宋_GB2312"/>
          <w:color w:val="000000"/>
          <w:sz w:val="24"/>
        </w:rPr>
      </w:pPr>
      <w:r>
        <w:rPr>
          <w:rFonts w:hint="eastAsia" w:ascii="仿宋_GB2312" w:eastAsia="仿宋_GB2312"/>
          <w:color w:val="000000"/>
          <w:sz w:val="24"/>
        </w:rPr>
        <w:t>我方保证保险的保险金额（最高限额）为人民币</w:t>
      </w:r>
      <w:r>
        <w:rPr>
          <w:rFonts w:hint="eastAsia" w:ascii="仿宋_GB2312" w:eastAsia="仿宋_GB2312"/>
          <w:color w:val="000000"/>
          <w:sz w:val="24"/>
          <w:u w:val="single"/>
        </w:rPr>
        <w:t xml:space="preserve">      </w:t>
      </w:r>
      <w:r>
        <w:rPr>
          <w:rFonts w:hint="eastAsia" w:ascii="仿宋_GB2312" w:eastAsia="仿宋_GB2312"/>
          <w:color w:val="000000"/>
          <w:sz w:val="24"/>
        </w:rPr>
        <w:t>元</w:t>
      </w:r>
      <w:r>
        <w:rPr>
          <w:rFonts w:hint="eastAsia" w:ascii="仿宋_GB2312" w:eastAsia="仿宋_GB2312"/>
          <w:bCs/>
          <w:color w:val="000000"/>
          <w:sz w:val="24"/>
        </w:rPr>
        <w:t>（大写）</w:t>
      </w:r>
      <w:r>
        <w:rPr>
          <w:rFonts w:hint="eastAsia" w:ascii="仿宋_GB2312" w:eastAsia="仿宋_GB2312"/>
          <w:color w:val="000000"/>
          <w:sz w:val="24"/>
        </w:rPr>
        <w:t>（¥</w:t>
      </w:r>
      <w:r>
        <w:rPr>
          <w:rFonts w:hint="eastAsia" w:ascii="仿宋_GB2312" w:eastAsia="仿宋_GB2312"/>
          <w:color w:val="000000"/>
          <w:sz w:val="24"/>
          <w:u w:val="single"/>
        </w:rPr>
        <w:t xml:space="preserve">       </w:t>
      </w:r>
      <w:r>
        <w:rPr>
          <w:rFonts w:hint="eastAsia" w:ascii="仿宋_GB2312" w:eastAsia="仿宋_GB2312"/>
          <w:color w:val="000000"/>
          <w:sz w:val="24"/>
        </w:rPr>
        <w:t>）。</w:t>
      </w:r>
    </w:p>
    <w:p>
      <w:pPr>
        <w:snapToGrid w:val="0"/>
        <w:spacing w:line="520" w:lineRule="exact"/>
        <w:ind w:firstLine="480" w:firstLineChars="200"/>
        <w:rPr>
          <w:rFonts w:hint="eastAsia" w:ascii="仿宋_GB2312" w:eastAsia="仿宋_GB2312"/>
          <w:color w:val="000000"/>
          <w:sz w:val="24"/>
        </w:rPr>
      </w:pPr>
      <w:r>
        <w:rPr>
          <w:rFonts w:hint="eastAsia" w:ascii="仿宋_GB2312" w:eastAsia="仿宋_GB2312"/>
          <w:color w:val="000000"/>
          <w:sz w:val="24"/>
        </w:rPr>
        <w:t>二、保证保险的责任范围</w:t>
      </w:r>
    </w:p>
    <w:p>
      <w:pPr>
        <w:snapToGrid w:val="0"/>
        <w:spacing w:line="520" w:lineRule="exact"/>
        <w:ind w:firstLine="480" w:firstLineChars="200"/>
        <w:rPr>
          <w:rFonts w:hint="eastAsia" w:ascii="仿宋_GB2312" w:eastAsia="仿宋_GB2312"/>
          <w:color w:val="000000"/>
          <w:sz w:val="24"/>
        </w:rPr>
      </w:pPr>
      <w:r>
        <w:rPr>
          <w:rFonts w:hint="eastAsia" w:ascii="仿宋_GB2312" w:eastAsia="仿宋_GB2312"/>
          <w:color w:val="000000"/>
          <w:sz w:val="24"/>
        </w:rPr>
        <w:t>我方在投标人发生以下情形之一时，承担保险责任：</w:t>
      </w:r>
    </w:p>
    <w:p>
      <w:pPr>
        <w:pStyle w:val="123"/>
        <w:snapToGrid w:val="0"/>
        <w:spacing w:after="0" w:line="520" w:lineRule="exact"/>
        <w:ind w:firstLine="480" w:firstLineChars="200"/>
        <w:rPr>
          <w:rFonts w:hint="eastAsia" w:ascii="仿宋_GB2312" w:eastAsia="仿宋_GB2312" w:cs="Times New Roman"/>
          <w:color w:val="000000"/>
        </w:rPr>
      </w:pPr>
      <w:r>
        <w:rPr>
          <w:rFonts w:hint="eastAsia" w:ascii="仿宋_GB2312" w:eastAsia="仿宋_GB2312" w:cs="Times New Roman"/>
          <w:color w:val="000000"/>
        </w:rPr>
        <w:t>1.投标截止后投标人违反招标文件的规定修改、补充或撤销投标文件的实质性内容或者要求更改招标文件和中标通知书的实质性内容；</w:t>
      </w:r>
    </w:p>
    <w:p>
      <w:pPr>
        <w:pStyle w:val="123"/>
        <w:snapToGrid w:val="0"/>
        <w:spacing w:after="0" w:line="520" w:lineRule="exact"/>
        <w:ind w:firstLine="480" w:firstLineChars="200"/>
        <w:rPr>
          <w:rFonts w:hint="eastAsia" w:ascii="仿宋_GB2312" w:eastAsia="仿宋_GB2312" w:cs="Times New Roman"/>
          <w:color w:val="000000"/>
        </w:rPr>
      </w:pPr>
      <w:r>
        <w:rPr>
          <w:rFonts w:hint="eastAsia" w:ascii="仿宋_GB2312" w:eastAsia="仿宋_GB2312" w:cs="Times New Roman"/>
          <w:color w:val="000000"/>
        </w:rPr>
        <w:t>2.投标人中标后未按招标文件或中标通知书的要求签署合同；</w:t>
      </w:r>
    </w:p>
    <w:p>
      <w:pPr>
        <w:pStyle w:val="123"/>
        <w:snapToGrid w:val="0"/>
        <w:spacing w:after="0" w:line="520" w:lineRule="exact"/>
        <w:ind w:firstLine="480" w:firstLineChars="200"/>
        <w:rPr>
          <w:rFonts w:hint="eastAsia" w:ascii="仿宋_GB2312" w:eastAsia="仿宋_GB2312" w:cs="Times New Roman"/>
          <w:color w:val="000000"/>
        </w:rPr>
      </w:pPr>
      <w:r>
        <w:rPr>
          <w:rFonts w:hint="eastAsia" w:ascii="仿宋_GB2312" w:eastAsia="仿宋_GB2312" w:cs="Times New Roman"/>
          <w:color w:val="000000"/>
        </w:rPr>
        <w:t>3.招标文件规定的其他有关投标实质性违约情形。</w:t>
      </w:r>
    </w:p>
    <w:p>
      <w:pPr>
        <w:snapToGrid w:val="0"/>
        <w:spacing w:line="520" w:lineRule="exact"/>
        <w:ind w:firstLine="480" w:firstLineChars="200"/>
        <w:jc w:val="left"/>
        <w:rPr>
          <w:rFonts w:hint="eastAsia" w:ascii="仿宋_GB2312" w:eastAsia="仿宋_GB2312"/>
          <w:color w:val="000000"/>
          <w:sz w:val="24"/>
        </w:rPr>
      </w:pPr>
      <w:r>
        <w:rPr>
          <w:rFonts w:hint="eastAsia" w:ascii="仿宋_GB2312" w:eastAsia="仿宋_GB2312"/>
          <w:color w:val="000000"/>
          <w:sz w:val="24"/>
        </w:rPr>
        <w:t>三、代偿的安排</w:t>
      </w:r>
    </w:p>
    <w:p>
      <w:pPr>
        <w:snapToGrid w:val="0"/>
        <w:spacing w:line="520" w:lineRule="exact"/>
        <w:ind w:firstLine="480" w:firstLineChars="200"/>
        <w:jc w:val="left"/>
        <w:rPr>
          <w:rFonts w:hint="eastAsia" w:ascii="仿宋_GB2312" w:eastAsia="仿宋_GB2312"/>
          <w:color w:val="000000"/>
          <w:sz w:val="24"/>
        </w:rPr>
      </w:pPr>
      <w:r>
        <w:rPr>
          <w:rFonts w:hint="eastAsia" w:ascii="仿宋_GB2312" w:eastAsia="仿宋_GB2312"/>
          <w:color w:val="000000"/>
          <w:sz w:val="24"/>
        </w:rPr>
        <w:t>贵方要求我方承担保证保险责任的，应向我方发出书面索赔通知。索赔通知应写明要求索赔的金额，支付款项应到达的账号，并附有说明投标人违约造成贵方损失情况的证明材料。</w:t>
      </w:r>
    </w:p>
    <w:p>
      <w:pPr>
        <w:snapToGrid w:val="0"/>
        <w:spacing w:line="520" w:lineRule="exact"/>
        <w:ind w:firstLine="480" w:firstLineChars="200"/>
        <w:jc w:val="left"/>
        <w:rPr>
          <w:rFonts w:hint="eastAsia" w:ascii="仿宋_GB2312" w:eastAsia="仿宋_GB2312"/>
          <w:color w:val="000000"/>
          <w:sz w:val="24"/>
        </w:rPr>
      </w:pPr>
      <w:r>
        <w:rPr>
          <w:rFonts w:hint="eastAsia" w:ascii="仿宋_GB2312" w:eastAsia="仿宋_GB2312"/>
          <w:color w:val="000000"/>
          <w:sz w:val="24"/>
        </w:rPr>
        <w:t>我方收到贵方的书面索赔通知及相应证明材料后，在10个工作日内进行核定后，按照保险合同的约定承担保证保险责任。</w:t>
      </w:r>
    </w:p>
    <w:p>
      <w:pPr>
        <w:snapToGrid w:val="0"/>
        <w:spacing w:line="520" w:lineRule="exact"/>
        <w:ind w:firstLine="480" w:firstLineChars="200"/>
        <w:jc w:val="left"/>
        <w:rPr>
          <w:rFonts w:hint="eastAsia" w:ascii="仿宋_GB2312" w:eastAsia="仿宋_GB2312"/>
          <w:color w:val="000000"/>
          <w:sz w:val="24"/>
        </w:rPr>
      </w:pPr>
      <w:r>
        <w:rPr>
          <w:rFonts w:hint="eastAsia" w:ascii="仿宋_GB2312" w:eastAsia="仿宋_GB2312"/>
          <w:color w:val="000000"/>
          <w:sz w:val="24"/>
        </w:rPr>
        <w:t>四、保单凭证的生效</w:t>
      </w:r>
    </w:p>
    <w:p>
      <w:pPr>
        <w:snapToGrid w:val="0"/>
        <w:spacing w:line="520" w:lineRule="exact"/>
        <w:ind w:firstLine="480" w:firstLineChars="200"/>
        <w:jc w:val="left"/>
        <w:rPr>
          <w:rFonts w:hint="eastAsia" w:ascii="仿宋_GB2312" w:eastAsia="仿宋_GB2312"/>
          <w:color w:val="000000"/>
          <w:sz w:val="24"/>
        </w:rPr>
      </w:pPr>
      <w:r>
        <w:rPr>
          <w:rFonts w:hint="eastAsia" w:ascii="仿宋_GB2312" w:eastAsia="仿宋_GB2312"/>
          <w:color w:val="000000"/>
          <w:sz w:val="24"/>
        </w:rPr>
        <w:t>本保单凭证自我方加盖保单专用章并交付贵方之日起生效。</w:t>
      </w:r>
    </w:p>
    <w:p>
      <w:pPr>
        <w:snapToGrid w:val="0"/>
        <w:spacing w:line="520" w:lineRule="exact"/>
        <w:ind w:firstLine="480" w:firstLineChars="200"/>
        <w:jc w:val="left"/>
        <w:rPr>
          <w:rFonts w:hint="eastAsia" w:ascii="仿宋_GB2312" w:eastAsia="仿宋_GB2312"/>
          <w:color w:val="000000"/>
          <w:sz w:val="24"/>
        </w:rPr>
      </w:pPr>
      <w:r>
        <w:rPr>
          <w:rFonts w:hint="eastAsia" w:ascii="仿宋_GB2312" w:eastAsia="仿宋_GB2312"/>
          <w:color w:val="000000"/>
          <w:sz w:val="24"/>
        </w:rPr>
        <w:t xml:space="preserve">本保险在投标有效期到期后30日（含）内或被保险人延长投标有效期后的到期日后30日（含）内保持有效，延长投标有效期无须通知本保险人，但任何索款要求应在投标有效期到期后30日（含）内送达我方。 </w:t>
      </w:r>
    </w:p>
    <w:p>
      <w:pPr>
        <w:snapToGrid w:val="0"/>
        <w:spacing w:line="520" w:lineRule="exact"/>
        <w:ind w:firstLine="480" w:firstLineChars="200"/>
        <w:jc w:val="left"/>
        <w:rPr>
          <w:rFonts w:hint="eastAsia" w:ascii="仿宋_GB2312" w:eastAsia="仿宋_GB2312"/>
          <w:color w:val="000000"/>
          <w:sz w:val="24"/>
        </w:rPr>
      </w:pPr>
      <w:r>
        <w:rPr>
          <w:rFonts w:hint="eastAsia" w:ascii="仿宋_GB2312" w:eastAsia="仿宋_GB2312"/>
          <w:color w:val="000000"/>
          <w:sz w:val="24"/>
        </w:rPr>
        <w:t>具体保险期限以保险合同载明为准。</w:t>
      </w:r>
    </w:p>
    <w:p>
      <w:pPr>
        <w:snapToGrid w:val="0"/>
        <w:spacing w:line="520" w:lineRule="exact"/>
        <w:ind w:firstLine="480" w:firstLineChars="200"/>
        <w:jc w:val="left"/>
        <w:rPr>
          <w:rFonts w:hint="eastAsia" w:ascii="仿宋_GB2312" w:eastAsia="仿宋_GB2312"/>
          <w:color w:val="000000"/>
          <w:sz w:val="24"/>
        </w:rPr>
      </w:pPr>
      <w:r>
        <w:rPr>
          <w:rFonts w:hint="eastAsia" w:ascii="仿宋_GB2312" w:eastAsia="仿宋_GB2312"/>
          <w:color w:val="000000"/>
          <w:sz w:val="24"/>
        </w:rPr>
        <w:t>五、</w:t>
      </w:r>
      <w:r>
        <w:rPr>
          <w:rFonts w:hint="eastAsia" w:ascii="仿宋_GB2312" w:eastAsia="仿宋_GB2312"/>
          <w:bCs/>
          <w:color w:val="000000"/>
          <w:sz w:val="24"/>
        </w:rPr>
        <w:t>本保险保单凭证/保函载明事宜以保险合同约定为准。</w:t>
      </w:r>
    </w:p>
    <w:p>
      <w:pPr>
        <w:snapToGrid w:val="0"/>
        <w:spacing w:line="520" w:lineRule="exact"/>
        <w:ind w:firstLine="480" w:firstLineChars="200"/>
        <w:jc w:val="left"/>
        <w:rPr>
          <w:rFonts w:hint="eastAsia" w:ascii="仿宋_GB2312" w:eastAsia="仿宋_GB2312"/>
          <w:bCs/>
          <w:color w:val="000000"/>
          <w:sz w:val="24"/>
        </w:rPr>
      </w:pPr>
      <w:r>
        <w:rPr>
          <w:rFonts w:hint="eastAsia" w:ascii="仿宋_GB2312" w:eastAsia="仿宋_GB2312"/>
          <w:bCs/>
          <w:color w:val="000000"/>
          <w:sz w:val="24"/>
        </w:rPr>
        <w:t>六、本保单凭证/保函自保险人或授权代理人签字并加盖公章之日起生效。</w:t>
      </w:r>
    </w:p>
    <w:p>
      <w:pPr>
        <w:snapToGrid w:val="0"/>
        <w:spacing w:line="480" w:lineRule="exact"/>
        <w:ind w:firstLine="480" w:firstLineChars="200"/>
        <w:jc w:val="left"/>
        <w:rPr>
          <w:rFonts w:hint="eastAsia" w:ascii="仿宋_GB2312" w:eastAsia="仿宋_GB2312"/>
          <w:bCs/>
          <w:color w:val="000000"/>
          <w:sz w:val="24"/>
        </w:rPr>
      </w:pPr>
    </w:p>
    <w:p>
      <w:pPr>
        <w:snapToGrid w:val="0"/>
        <w:spacing w:line="480" w:lineRule="exact"/>
        <w:ind w:firstLine="480" w:firstLineChars="200"/>
        <w:jc w:val="left"/>
        <w:rPr>
          <w:rFonts w:hint="eastAsia" w:ascii="仿宋_GB2312" w:eastAsia="仿宋_GB2312"/>
          <w:color w:val="000000"/>
          <w:sz w:val="24"/>
        </w:rPr>
      </w:pPr>
    </w:p>
    <w:p>
      <w:pPr>
        <w:pStyle w:val="187"/>
        <w:spacing w:after="0" w:line="480" w:lineRule="exact"/>
        <w:ind w:firstLine="3000" w:firstLineChars="1250"/>
        <w:rPr>
          <w:rFonts w:hint="eastAsia" w:ascii="仿宋_GB2312" w:eastAsia="仿宋_GB2312" w:cs="Times New Roman"/>
          <w:color w:val="000000"/>
          <w:u w:val="single"/>
        </w:rPr>
      </w:pPr>
      <w:r>
        <w:rPr>
          <w:rFonts w:hint="eastAsia" w:ascii="仿宋_GB2312" w:eastAsia="仿宋_GB2312" w:cs="Times New Roman"/>
          <w:color w:val="000000"/>
        </w:rPr>
        <w:t xml:space="preserve">保险人名称： </w:t>
      </w:r>
      <w:r>
        <w:rPr>
          <w:rFonts w:hint="eastAsia" w:ascii="仿宋_GB2312" w:eastAsia="仿宋_GB2312" w:cs="Times New Roman"/>
          <w:color w:val="000000"/>
          <w:u w:val="single"/>
        </w:rPr>
        <w:t xml:space="preserve">                          </w:t>
      </w:r>
    </w:p>
    <w:p>
      <w:pPr>
        <w:pStyle w:val="187"/>
        <w:spacing w:after="0" w:line="480" w:lineRule="exact"/>
        <w:ind w:firstLine="3000" w:firstLineChars="1250"/>
        <w:rPr>
          <w:rFonts w:hint="eastAsia" w:ascii="仿宋_GB2312" w:eastAsia="仿宋_GB2312" w:cs="Times New Roman"/>
          <w:color w:val="000000"/>
        </w:rPr>
      </w:pPr>
      <w:r>
        <w:rPr>
          <w:rFonts w:hint="eastAsia" w:ascii="仿宋_GB2312" w:eastAsia="仿宋_GB2312" w:cs="Times New Roman"/>
          <w:color w:val="000000"/>
        </w:rPr>
        <w:t>地    址：</w:t>
      </w:r>
      <w:r>
        <w:rPr>
          <w:rFonts w:hint="eastAsia" w:ascii="仿宋_GB2312" w:eastAsia="仿宋_GB2312" w:cs="Times New Roman"/>
          <w:color w:val="000000"/>
        </w:rPr>
        <w:tab/>
      </w:r>
      <w:r>
        <w:rPr>
          <w:rFonts w:hint="eastAsia" w:ascii="仿宋_GB2312" w:eastAsia="仿宋_GB2312" w:cs="Times New Roman"/>
          <w:color w:val="000000"/>
        </w:rPr>
        <w:t xml:space="preserve"> </w:t>
      </w:r>
      <w:r>
        <w:rPr>
          <w:rFonts w:hint="eastAsia" w:ascii="仿宋_GB2312" w:eastAsia="仿宋_GB2312" w:cs="Times New Roman"/>
          <w:color w:val="000000"/>
          <w:u w:val="single"/>
        </w:rPr>
        <w:t xml:space="preserve">                           </w:t>
      </w:r>
    </w:p>
    <w:p>
      <w:pPr>
        <w:pStyle w:val="187"/>
        <w:spacing w:after="0" w:line="480" w:lineRule="exact"/>
        <w:ind w:firstLine="3000" w:firstLineChars="1250"/>
        <w:rPr>
          <w:rFonts w:hint="eastAsia" w:ascii="仿宋_GB2312" w:eastAsia="仿宋_GB2312" w:cs="Times New Roman"/>
          <w:color w:val="000000"/>
          <w:u w:val="single"/>
        </w:rPr>
      </w:pPr>
      <w:r>
        <w:rPr>
          <w:rFonts w:hint="eastAsia" w:ascii="仿宋_GB2312" w:eastAsia="仿宋_GB2312" w:cs="Times New Roman"/>
          <w:color w:val="000000"/>
        </w:rPr>
        <w:t>邮政编码：</w:t>
      </w:r>
      <w:r>
        <w:rPr>
          <w:rFonts w:hint="eastAsia" w:ascii="仿宋_GB2312" w:eastAsia="仿宋_GB2312" w:cs="Times New Roman"/>
          <w:color w:val="000000"/>
          <w:u w:val="single"/>
        </w:rPr>
        <w:tab/>
      </w:r>
      <w:r>
        <w:rPr>
          <w:rFonts w:hint="eastAsia" w:ascii="仿宋_GB2312" w:eastAsia="仿宋_GB2312" w:cs="Times New Roman"/>
          <w:color w:val="000000"/>
          <w:u w:val="single"/>
        </w:rPr>
        <w:t xml:space="preserve">                            </w:t>
      </w:r>
    </w:p>
    <w:p>
      <w:pPr>
        <w:pStyle w:val="187"/>
        <w:spacing w:after="0" w:line="480" w:lineRule="exact"/>
        <w:ind w:firstLine="3000" w:firstLineChars="1250"/>
        <w:rPr>
          <w:rFonts w:hint="eastAsia" w:ascii="仿宋_GB2312" w:eastAsia="仿宋_GB2312" w:cs="Times New Roman"/>
          <w:color w:val="000000"/>
        </w:rPr>
      </w:pPr>
      <w:r>
        <w:rPr>
          <w:rFonts w:hint="eastAsia" w:ascii="仿宋_GB2312" w:eastAsia="仿宋_GB2312" w:cs="Times New Roman"/>
          <w:color w:val="000000"/>
        </w:rPr>
        <w:t>电    话：</w:t>
      </w:r>
      <w:r>
        <w:rPr>
          <w:rFonts w:hint="eastAsia" w:ascii="仿宋_GB2312" w:eastAsia="仿宋_GB2312" w:cs="Times New Roman"/>
          <w:color w:val="000000"/>
        </w:rPr>
        <w:tab/>
      </w:r>
      <w:r>
        <w:rPr>
          <w:rFonts w:hint="eastAsia" w:ascii="仿宋_GB2312" w:eastAsia="仿宋_GB2312" w:cs="Times New Roman"/>
          <w:color w:val="000000"/>
        </w:rPr>
        <w:t xml:space="preserve"> </w:t>
      </w:r>
      <w:r>
        <w:rPr>
          <w:rFonts w:hint="eastAsia" w:ascii="仿宋_GB2312" w:eastAsia="仿宋_GB2312" w:cs="Times New Roman"/>
          <w:color w:val="000000"/>
          <w:u w:val="single"/>
        </w:rPr>
        <w:t xml:space="preserve">                           </w:t>
      </w:r>
    </w:p>
    <w:p>
      <w:pPr>
        <w:pStyle w:val="187"/>
        <w:spacing w:after="0" w:line="480" w:lineRule="exact"/>
        <w:ind w:firstLine="3000" w:firstLineChars="1250"/>
        <w:rPr>
          <w:rFonts w:hint="eastAsia" w:ascii="仿宋_GB2312" w:eastAsia="仿宋_GB2312" w:cs="Times New Roman"/>
          <w:color w:val="000000"/>
        </w:rPr>
      </w:pPr>
      <w:r>
        <w:rPr>
          <w:rFonts w:hint="eastAsia" w:ascii="仿宋_GB2312" w:eastAsia="仿宋_GB2312" w:cs="Times New Roman"/>
          <w:color w:val="000000"/>
        </w:rPr>
        <w:t>日    期：</w:t>
      </w:r>
      <w:r>
        <w:rPr>
          <w:rFonts w:hint="eastAsia" w:ascii="仿宋_GB2312" w:eastAsia="仿宋_GB2312" w:cs="Times New Roman"/>
          <w:color w:val="000000"/>
        </w:rPr>
        <w:tab/>
      </w:r>
      <w:r>
        <w:rPr>
          <w:rFonts w:hint="eastAsia" w:ascii="仿宋_GB2312" w:eastAsia="仿宋_GB2312" w:cs="Times New Roman"/>
          <w:color w:val="000000"/>
        </w:rPr>
        <w:t xml:space="preserve"> </w:t>
      </w:r>
      <w:r>
        <w:rPr>
          <w:rFonts w:hint="eastAsia" w:ascii="仿宋_GB2312" w:eastAsia="仿宋_GB2312" w:cs="Times New Roman"/>
          <w:color w:val="000000"/>
          <w:u w:val="single"/>
        </w:rPr>
        <w:t xml:space="preserve">       </w:t>
      </w:r>
      <w:r>
        <w:rPr>
          <w:rFonts w:hint="eastAsia" w:ascii="仿宋_GB2312" w:eastAsia="仿宋_GB2312" w:cs="Times New Roman"/>
          <w:color w:val="000000"/>
        </w:rPr>
        <w:t>年</w:t>
      </w:r>
      <w:r>
        <w:rPr>
          <w:rFonts w:hint="eastAsia" w:ascii="仿宋_GB2312" w:eastAsia="仿宋_GB2312" w:cs="Times New Roman"/>
          <w:color w:val="000000"/>
          <w:u w:val="single"/>
        </w:rPr>
        <w:t xml:space="preserve">     </w:t>
      </w:r>
      <w:r>
        <w:rPr>
          <w:rFonts w:hint="eastAsia" w:ascii="仿宋_GB2312" w:eastAsia="仿宋_GB2312" w:cs="Times New Roman"/>
          <w:color w:val="000000"/>
        </w:rPr>
        <w:t>月</w:t>
      </w:r>
      <w:r>
        <w:rPr>
          <w:rFonts w:hint="eastAsia" w:ascii="仿宋_GB2312" w:eastAsia="仿宋_GB2312" w:cs="Times New Roman"/>
          <w:color w:val="000000"/>
          <w:u w:val="single"/>
        </w:rPr>
        <w:t xml:space="preserve">    </w:t>
      </w:r>
      <w:r>
        <w:rPr>
          <w:rFonts w:hint="eastAsia" w:ascii="仿宋_GB2312" w:eastAsia="仿宋_GB2312" w:cs="Times New Roman"/>
          <w:color w:val="000000"/>
        </w:rPr>
        <w:t xml:space="preserve">日 </w:t>
      </w:r>
    </w:p>
    <w:p>
      <w:pPr>
        <w:jc w:val="left"/>
        <w:rPr>
          <w:rFonts w:hint="eastAsia" w:ascii="仿宋_GB2312" w:eastAsia="仿宋_GB2312"/>
          <w:color w:val="000000"/>
          <w:sz w:val="24"/>
        </w:rPr>
      </w:pPr>
    </w:p>
    <w:p>
      <w:pPr>
        <w:jc w:val="left"/>
        <w:rPr>
          <w:rFonts w:hint="eastAsia" w:ascii="仿宋_GB2312" w:eastAsia="仿宋_GB2312"/>
          <w:color w:val="000000"/>
          <w:sz w:val="24"/>
        </w:rPr>
      </w:pPr>
    </w:p>
    <w:p>
      <w:pPr>
        <w:jc w:val="left"/>
        <w:rPr>
          <w:rFonts w:hint="eastAsia" w:ascii="仿宋_GB2312" w:eastAsia="仿宋_GB2312"/>
          <w:color w:val="000000"/>
          <w:sz w:val="24"/>
        </w:rPr>
      </w:pPr>
    </w:p>
    <w:p>
      <w:pPr>
        <w:jc w:val="left"/>
        <w:rPr>
          <w:rFonts w:hint="eastAsia" w:ascii="仿宋_GB2312" w:eastAsia="仿宋_GB2312"/>
          <w:color w:val="000000"/>
          <w:sz w:val="24"/>
        </w:rPr>
      </w:pPr>
      <w:r>
        <w:rPr>
          <w:rFonts w:hint="eastAsia" w:ascii="仿宋_GB2312" w:eastAsia="仿宋_GB2312"/>
          <w:color w:val="000000"/>
          <w:sz w:val="24"/>
        </w:rPr>
        <w:t>说明：投标文件附工程投标保证保险原件扫描件，如公共资源交易中心对原件提交有规定的，原件按其要求提交。</w:t>
      </w:r>
    </w:p>
    <w:p>
      <w:pPr>
        <w:jc w:val="left"/>
        <w:rPr>
          <w:rFonts w:hint="eastAsia" w:ascii="仿宋_GB2312" w:eastAsia="仿宋_GB2312"/>
          <w:color w:val="000000"/>
          <w:sz w:val="24"/>
        </w:rPr>
      </w:pPr>
    </w:p>
    <w:p>
      <w:pPr>
        <w:jc w:val="left"/>
        <w:rPr>
          <w:rFonts w:hint="eastAsia" w:ascii="仿宋_GB2312" w:eastAsia="仿宋_GB2312"/>
          <w:color w:val="000000"/>
          <w:sz w:val="24"/>
        </w:rPr>
      </w:pPr>
    </w:p>
    <w:p>
      <w:pPr>
        <w:jc w:val="left"/>
        <w:rPr>
          <w:rFonts w:eastAsia="仿宋"/>
          <w:color w:val="000000"/>
          <w:sz w:val="24"/>
        </w:rPr>
      </w:pPr>
      <w:r>
        <w:rPr>
          <w:rFonts w:eastAsia="仿宋"/>
          <w:color w:val="000000"/>
          <w:sz w:val="24"/>
        </w:rPr>
        <w:br w:type="page"/>
      </w:r>
    </w:p>
    <w:p>
      <w:pPr>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投标承诺</w:t>
      </w:r>
    </w:p>
    <w:p>
      <w:pPr>
        <w:adjustRightInd w:val="0"/>
        <w:snapToGrid w:val="0"/>
        <w:spacing w:line="480" w:lineRule="exact"/>
        <w:jc w:val="left"/>
        <w:rPr>
          <w:rFonts w:eastAsia="仿宋_GB2312"/>
          <w:color w:val="000000"/>
          <w:sz w:val="24"/>
        </w:rPr>
      </w:pPr>
    </w:p>
    <w:p>
      <w:pPr>
        <w:spacing w:line="520" w:lineRule="exact"/>
        <w:rPr>
          <w:rFonts w:eastAsia="仿宋_GB2312"/>
          <w:color w:val="000000"/>
          <w:sz w:val="24"/>
        </w:rPr>
      </w:pPr>
      <w:r>
        <w:rPr>
          <w:rFonts w:eastAsia="仿宋_GB2312"/>
          <w:color w:val="000000"/>
          <w:sz w:val="24"/>
          <w:u w:val="single"/>
        </w:rPr>
        <w:t xml:space="preserve">        （招标人名称）     </w:t>
      </w:r>
      <w:r>
        <w:rPr>
          <w:rFonts w:eastAsia="仿宋_GB2312"/>
          <w:color w:val="000000"/>
          <w:sz w:val="24"/>
        </w:rPr>
        <w:t xml:space="preserve"> ：</w:t>
      </w:r>
    </w:p>
    <w:p>
      <w:pPr>
        <w:spacing w:line="520" w:lineRule="exact"/>
        <w:ind w:left="598" w:leftChars="285" w:firstLine="36" w:firstLineChars="15"/>
        <w:rPr>
          <w:rFonts w:hint="eastAsia" w:eastAsia="仿宋_GB2312"/>
          <w:color w:val="000000"/>
          <w:sz w:val="24"/>
        </w:rPr>
      </w:pPr>
      <w:r>
        <w:rPr>
          <w:rFonts w:eastAsia="仿宋_GB2312"/>
          <w:color w:val="000000"/>
          <w:sz w:val="24"/>
        </w:rPr>
        <w:t>经慎重研究，我公司</w:t>
      </w:r>
      <w:r>
        <w:rPr>
          <w:rFonts w:eastAsia="仿宋_GB2312"/>
          <w:color w:val="000000"/>
          <w:sz w:val="24"/>
          <w:u w:val="single"/>
        </w:rPr>
        <w:t xml:space="preserve">        （投标人名称）      </w:t>
      </w:r>
      <w:r>
        <w:rPr>
          <w:rFonts w:eastAsia="仿宋_GB2312"/>
          <w:color w:val="000000"/>
          <w:sz w:val="24"/>
        </w:rPr>
        <w:t>（以下称“投标人”）决定于</w:t>
      </w:r>
    </w:p>
    <w:p>
      <w:pPr>
        <w:spacing w:line="520" w:lineRule="exact"/>
        <w:rPr>
          <w:rFonts w:eastAsia="仿宋_GB2312"/>
          <w:color w:val="000000"/>
          <w:sz w:val="24"/>
          <w:u w:val="single"/>
        </w:rPr>
      </w:pPr>
      <w:r>
        <w:rPr>
          <w:rFonts w:hint="eastAsia" w:eastAsia="仿宋_GB2312"/>
          <w:color w:val="000000"/>
          <w:sz w:val="24"/>
          <w:u w:val="single"/>
        </w:rPr>
        <w:t xml:space="preserve">       </w:t>
      </w:r>
      <w:r>
        <w:rPr>
          <w:rFonts w:eastAsia="仿宋_GB2312"/>
          <w:color w:val="000000"/>
          <w:sz w:val="24"/>
        </w:rPr>
        <w:t>年____月____日参与你方组织的</w:t>
      </w:r>
      <w:r>
        <w:rPr>
          <w:rFonts w:eastAsia="仿宋_GB2312"/>
          <w:color w:val="000000"/>
          <w:sz w:val="24"/>
          <w:u w:val="single"/>
        </w:rPr>
        <w:t xml:space="preserve">        </w:t>
      </w:r>
      <w:r>
        <w:rPr>
          <w:rFonts w:eastAsia="仿宋_GB2312"/>
          <w:color w:val="000000"/>
          <w:sz w:val="24"/>
        </w:rPr>
        <w:t>（项目名称）</w:t>
      </w:r>
      <w:r>
        <w:rPr>
          <w:rFonts w:eastAsia="仿宋_GB2312"/>
          <w:color w:val="000000"/>
          <w:sz w:val="24"/>
          <w:u w:val="single"/>
        </w:rPr>
        <w:t xml:space="preserve">       </w:t>
      </w:r>
      <w:r>
        <w:rPr>
          <w:rFonts w:eastAsia="仿宋_GB2312"/>
          <w:color w:val="000000"/>
          <w:sz w:val="24"/>
        </w:rPr>
        <w:t>（标段名称）施工招标投标，我方承诺严格按照《招标投标法》及其实施条例等法律法规和政策文件的要求，履行投标义务。</w:t>
      </w:r>
    </w:p>
    <w:p>
      <w:pPr>
        <w:spacing w:line="520" w:lineRule="exact"/>
        <w:ind w:firstLine="640"/>
        <w:rPr>
          <w:rFonts w:eastAsia="仿宋_GB2312"/>
          <w:color w:val="000000"/>
          <w:sz w:val="24"/>
        </w:rPr>
      </w:pPr>
      <w:r>
        <w:rPr>
          <w:rFonts w:eastAsia="仿宋_GB2312"/>
          <w:color w:val="000000"/>
          <w:sz w:val="24"/>
        </w:rPr>
        <w:t>如果发生不履行相关投标义务的行为，自愿接受按法律法规和招标文件作出的处理。</w:t>
      </w:r>
    </w:p>
    <w:p>
      <w:pPr>
        <w:adjustRightInd w:val="0"/>
        <w:snapToGrid w:val="0"/>
        <w:spacing w:line="480" w:lineRule="exact"/>
        <w:jc w:val="left"/>
        <w:rPr>
          <w:rFonts w:eastAsia="仿宋_GB2312"/>
          <w:color w:val="000000"/>
          <w:sz w:val="24"/>
        </w:rPr>
      </w:pPr>
    </w:p>
    <w:p>
      <w:pPr>
        <w:adjustRightInd w:val="0"/>
        <w:snapToGrid w:val="0"/>
        <w:spacing w:line="480" w:lineRule="exact"/>
        <w:jc w:val="left"/>
        <w:rPr>
          <w:rFonts w:eastAsia="仿宋_GB2312"/>
          <w:color w:val="000000"/>
          <w:sz w:val="24"/>
        </w:rPr>
      </w:pPr>
    </w:p>
    <w:p>
      <w:pPr>
        <w:spacing w:line="480" w:lineRule="exact"/>
        <w:ind w:right="404" w:firstLine="3120" w:firstLineChars="1300"/>
        <w:rPr>
          <w:rFonts w:eastAsia="仿宋_GB2312"/>
          <w:color w:val="000000"/>
          <w:sz w:val="24"/>
        </w:rPr>
      </w:pPr>
      <w:r>
        <w:rPr>
          <w:rFonts w:eastAsia="仿宋_GB2312"/>
          <w:color w:val="000000"/>
          <w:sz w:val="24"/>
        </w:rPr>
        <w:t>投标人：</w:t>
      </w:r>
      <w:r>
        <w:rPr>
          <w:rFonts w:eastAsia="仿宋_GB2312"/>
          <w:color w:val="000000"/>
          <w:sz w:val="24"/>
          <w:u w:val="single"/>
        </w:rPr>
        <w:t xml:space="preserve">                 </w:t>
      </w:r>
      <w:r>
        <w:rPr>
          <w:rFonts w:eastAsia="仿宋_GB2312"/>
          <w:color w:val="000000"/>
          <w:sz w:val="24"/>
        </w:rPr>
        <w:t>（盖单位电子公章）</w:t>
      </w:r>
    </w:p>
    <w:p>
      <w:pPr>
        <w:spacing w:line="480" w:lineRule="exact"/>
        <w:ind w:firstLine="2400" w:firstLineChars="1000"/>
        <w:rPr>
          <w:rFonts w:eastAsia="仿宋_GB2312"/>
          <w:color w:val="000000"/>
          <w:sz w:val="24"/>
        </w:rPr>
      </w:pPr>
      <w:r>
        <w:rPr>
          <w:rFonts w:eastAsia="仿宋_GB2312"/>
          <w:color w:val="000000"/>
          <w:sz w:val="24"/>
        </w:rPr>
        <w:t xml:space="preserve">      法定代表人：</w:t>
      </w:r>
      <w:r>
        <w:rPr>
          <w:rFonts w:eastAsia="仿宋_GB2312"/>
          <w:color w:val="000000"/>
          <w:sz w:val="24"/>
          <w:u w:val="single"/>
        </w:rPr>
        <w:t xml:space="preserve">                   </w:t>
      </w:r>
      <w:r>
        <w:rPr>
          <w:rFonts w:eastAsia="仿宋_GB2312"/>
          <w:color w:val="000000"/>
          <w:sz w:val="24"/>
        </w:rPr>
        <w:t>（电子签名）</w:t>
      </w:r>
    </w:p>
    <w:p>
      <w:pPr>
        <w:spacing w:line="480" w:lineRule="exact"/>
        <w:ind w:firstLine="3120" w:firstLineChars="1300"/>
        <w:rPr>
          <w:rFonts w:eastAsia="仿宋_GB2312"/>
          <w:color w:val="000000"/>
          <w:sz w:val="24"/>
          <w:u w:val="single"/>
        </w:rPr>
      </w:pPr>
      <w:r>
        <w:rPr>
          <w:rFonts w:eastAsia="仿宋_GB2312"/>
          <w:color w:val="000000"/>
          <w:sz w:val="24"/>
        </w:rPr>
        <w:t>地址：</w:t>
      </w:r>
      <w:r>
        <w:rPr>
          <w:rFonts w:eastAsia="仿宋_GB2312"/>
          <w:color w:val="000000"/>
          <w:sz w:val="24"/>
          <w:u w:val="single"/>
        </w:rPr>
        <w:t xml:space="preserve">                                  </w:t>
      </w:r>
    </w:p>
    <w:p>
      <w:pPr>
        <w:spacing w:line="480" w:lineRule="exact"/>
        <w:ind w:firstLine="3120" w:firstLineChars="1300"/>
        <w:rPr>
          <w:rFonts w:eastAsia="仿宋_GB2312"/>
          <w:color w:val="000000"/>
          <w:sz w:val="24"/>
          <w:u w:val="single"/>
        </w:rPr>
      </w:pPr>
      <w:r>
        <w:rPr>
          <w:rFonts w:eastAsia="仿宋_GB2312"/>
          <w:color w:val="000000"/>
          <w:sz w:val="24"/>
        </w:rPr>
        <w:t>电话：</w:t>
      </w:r>
      <w:r>
        <w:rPr>
          <w:rFonts w:eastAsia="仿宋_GB2312"/>
          <w:color w:val="000000"/>
          <w:sz w:val="24"/>
          <w:u w:val="single"/>
        </w:rPr>
        <w:t xml:space="preserve">                                  </w:t>
      </w:r>
    </w:p>
    <w:p>
      <w:pPr>
        <w:spacing w:line="480" w:lineRule="exact"/>
        <w:ind w:firstLine="3120" w:firstLineChars="1300"/>
        <w:rPr>
          <w:rFonts w:eastAsia="仿宋_GB2312"/>
          <w:color w:val="000000"/>
          <w:sz w:val="24"/>
          <w:u w:val="single"/>
        </w:rPr>
      </w:pPr>
      <w:r>
        <w:rPr>
          <w:rFonts w:eastAsia="仿宋_GB2312"/>
          <w:color w:val="000000"/>
          <w:sz w:val="24"/>
        </w:rPr>
        <w:t>传真：</w:t>
      </w:r>
      <w:r>
        <w:rPr>
          <w:rFonts w:eastAsia="仿宋_GB2312"/>
          <w:color w:val="000000"/>
          <w:sz w:val="24"/>
          <w:u w:val="single"/>
        </w:rPr>
        <w:t xml:space="preserve">                                  </w:t>
      </w:r>
    </w:p>
    <w:p>
      <w:pPr>
        <w:spacing w:line="480" w:lineRule="exact"/>
        <w:ind w:firstLine="3480" w:firstLineChars="1450"/>
        <w:rPr>
          <w:rFonts w:eastAsia="仿宋_GB2312"/>
          <w:color w:val="000000"/>
          <w:sz w:val="24"/>
        </w:rPr>
      </w:pPr>
      <w:r>
        <w:rPr>
          <w:rFonts w:eastAsia="仿宋_GB2312"/>
          <w:color w:val="000000"/>
          <w:sz w:val="24"/>
        </w:rPr>
        <w:t xml:space="preserve">           </w:t>
      </w:r>
    </w:p>
    <w:p>
      <w:pPr>
        <w:spacing w:line="480" w:lineRule="exact"/>
        <w:ind w:firstLine="5280" w:firstLineChars="2200"/>
        <w:rPr>
          <w:rFonts w:eastAsia="仿宋_GB2312"/>
          <w:color w:val="000000"/>
          <w:sz w:val="24"/>
        </w:rPr>
      </w:pPr>
      <w:r>
        <w:rPr>
          <w:rFonts w:eastAsia="仿宋_GB2312"/>
          <w:color w:val="000000"/>
          <w:sz w:val="24"/>
          <w:u w:val="single"/>
        </w:rPr>
        <w:t xml:space="preserve">       </w:t>
      </w:r>
      <w:r>
        <w:rPr>
          <w:rFonts w:eastAsia="仿宋_GB2312"/>
          <w:color w:val="000000"/>
          <w:sz w:val="24"/>
        </w:rPr>
        <w:t>年</w:t>
      </w:r>
      <w:r>
        <w:rPr>
          <w:rFonts w:eastAsia="仿宋_GB2312"/>
          <w:color w:val="000000"/>
          <w:sz w:val="24"/>
          <w:u w:val="single"/>
        </w:rPr>
        <w:t xml:space="preserve">    </w:t>
      </w:r>
      <w:r>
        <w:rPr>
          <w:rFonts w:eastAsia="仿宋_GB2312"/>
          <w:color w:val="000000"/>
          <w:sz w:val="24"/>
        </w:rPr>
        <w:t>月</w:t>
      </w:r>
      <w:r>
        <w:rPr>
          <w:rFonts w:eastAsia="仿宋_GB2312"/>
          <w:color w:val="000000"/>
          <w:sz w:val="24"/>
          <w:u w:val="single"/>
        </w:rPr>
        <w:t xml:space="preserve">    </w:t>
      </w:r>
      <w:r>
        <w:rPr>
          <w:rFonts w:eastAsia="仿宋_GB2312"/>
          <w:color w:val="000000"/>
          <w:sz w:val="24"/>
        </w:rPr>
        <w:t>日</w:t>
      </w:r>
    </w:p>
    <w:p>
      <w:pPr>
        <w:spacing w:line="480" w:lineRule="exact"/>
        <w:ind w:firstLine="5280" w:firstLineChars="2200"/>
        <w:rPr>
          <w:rFonts w:eastAsia="仿宋_GB2312"/>
          <w:color w:val="000000"/>
          <w:sz w:val="24"/>
        </w:rPr>
      </w:pPr>
    </w:p>
    <w:p>
      <w:pPr>
        <w:spacing w:line="480" w:lineRule="exact"/>
        <w:ind w:firstLine="5280" w:firstLineChars="2200"/>
        <w:rPr>
          <w:rFonts w:eastAsia="仿宋_GB2312"/>
          <w:color w:val="000000"/>
          <w:sz w:val="24"/>
        </w:rPr>
      </w:pPr>
    </w:p>
    <w:p>
      <w:pPr>
        <w:spacing w:line="480" w:lineRule="exact"/>
        <w:ind w:firstLine="5280" w:firstLineChars="2200"/>
        <w:rPr>
          <w:rFonts w:eastAsia="仿宋"/>
          <w:color w:val="000000"/>
          <w:sz w:val="24"/>
        </w:rPr>
      </w:pPr>
    </w:p>
    <w:p>
      <w:pPr>
        <w:spacing w:line="480" w:lineRule="exact"/>
        <w:ind w:firstLine="5280" w:firstLineChars="2200"/>
        <w:rPr>
          <w:rFonts w:eastAsia="仿宋"/>
          <w:color w:val="000000"/>
          <w:sz w:val="24"/>
        </w:rPr>
      </w:pPr>
    </w:p>
    <w:p>
      <w:pPr>
        <w:spacing w:line="490" w:lineRule="exact"/>
        <w:ind w:firstLine="420"/>
        <w:rPr>
          <w:color w:val="000000"/>
          <w:sz w:val="20"/>
        </w:rPr>
      </w:pPr>
    </w:p>
    <w:p>
      <w:pPr>
        <w:spacing w:line="490" w:lineRule="exact"/>
        <w:jc w:val="left"/>
        <w:rPr>
          <w:rFonts w:hint="eastAsia" w:ascii="方正小标宋简体" w:eastAsia="方正小标宋简体"/>
          <w:color w:val="000000"/>
          <w:kern w:val="0"/>
          <w:sz w:val="24"/>
          <w:szCs w:val="28"/>
        </w:rPr>
      </w:pPr>
      <w:r>
        <w:rPr>
          <w:color w:val="000000"/>
          <w:kern w:val="0"/>
          <w:sz w:val="22"/>
          <w:szCs w:val="28"/>
        </w:rPr>
        <w:br w:type="page"/>
      </w:r>
    </w:p>
    <w:p>
      <w:pPr>
        <w:adjustRightInd w:val="0"/>
        <w:snapToGrid w:val="0"/>
        <w:spacing w:line="490" w:lineRule="exact"/>
        <w:jc w:val="center"/>
        <w:outlineLvl w:val="0"/>
        <w:rPr>
          <w:rFonts w:hint="eastAsia" w:ascii="方正小标宋简体" w:eastAsia="方正小标宋简体"/>
          <w:bCs/>
          <w:color w:val="000000"/>
          <w:sz w:val="30"/>
          <w:szCs w:val="30"/>
        </w:rPr>
      </w:pPr>
      <w:bookmarkStart w:id="2009" w:name="_Toc51091945"/>
      <w:bookmarkStart w:id="2010" w:name="_Toc25363"/>
      <w:bookmarkStart w:id="2011" w:name="_Toc5683"/>
      <w:r>
        <w:rPr>
          <w:rFonts w:hint="eastAsia" w:ascii="方正小标宋简体" w:eastAsia="方正小标宋简体"/>
          <w:bCs/>
          <w:color w:val="000000"/>
          <w:sz w:val="30"/>
          <w:szCs w:val="30"/>
        </w:rPr>
        <w:t>六.工程结算款支付账户</w:t>
      </w:r>
      <w:bookmarkEnd w:id="2009"/>
      <w:bookmarkEnd w:id="2010"/>
      <w:bookmarkEnd w:id="2011"/>
    </w:p>
    <w:p>
      <w:pPr>
        <w:spacing w:line="490" w:lineRule="exact"/>
        <w:jc w:val="center"/>
        <w:rPr>
          <w:rFonts w:eastAsia="黑体"/>
          <w:b/>
          <w:color w:val="000000"/>
        </w:rPr>
      </w:pPr>
    </w:p>
    <w:p>
      <w:pPr>
        <w:pStyle w:val="45"/>
        <w:spacing w:after="0" w:line="490" w:lineRule="exact"/>
        <w:ind w:firstLine="0" w:firstLineChars="0"/>
        <w:rPr>
          <w:rFonts w:eastAsia="仿宋_GB2312"/>
          <w:color w:val="000000"/>
          <w:sz w:val="28"/>
          <w:szCs w:val="28"/>
        </w:rPr>
      </w:pPr>
      <w:r>
        <w:rPr>
          <w:rFonts w:eastAsia="仿宋_GB2312"/>
          <w:color w:val="000000"/>
          <w:sz w:val="28"/>
          <w:szCs w:val="28"/>
          <w:u w:val="single"/>
        </w:rPr>
        <w:t xml:space="preserve">             </w:t>
      </w:r>
      <w:r>
        <w:rPr>
          <w:rFonts w:eastAsia="仿宋_GB2312"/>
          <w:color w:val="000000"/>
          <w:sz w:val="28"/>
          <w:szCs w:val="28"/>
        </w:rPr>
        <w:t>（招标人名称）：</w:t>
      </w:r>
    </w:p>
    <w:p>
      <w:pPr>
        <w:pStyle w:val="15"/>
        <w:spacing w:line="490" w:lineRule="exact"/>
        <w:ind w:firstLine="560"/>
        <w:rPr>
          <w:rFonts w:eastAsia="仿宋_GB2312"/>
          <w:color w:val="000000"/>
          <w:sz w:val="28"/>
          <w:szCs w:val="28"/>
        </w:rPr>
      </w:pPr>
      <w:r>
        <w:rPr>
          <w:rFonts w:eastAsia="仿宋_GB2312"/>
          <w:color w:val="000000"/>
          <w:sz w:val="28"/>
          <w:szCs w:val="28"/>
        </w:rPr>
        <w:t>我公司在递交投标文件的同时，提交我单位工程结算款支付账户</w:t>
      </w:r>
      <w:r>
        <w:rPr>
          <w:rFonts w:hint="eastAsia" w:eastAsia="仿宋_GB2312"/>
          <w:color w:val="000000"/>
          <w:sz w:val="28"/>
          <w:szCs w:val="28"/>
        </w:rPr>
        <w:t>，</w:t>
      </w:r>
      <w:r>
        <w:rPr>
          <w:rFonts w:eastAsia="仿宋_GB2312"/>
          <w:color w:val="000000"/>
          <w:sz w:val="28"/>
          <w:szCs w:val="28"/>
        </w:rPr>
        <w:t>该账户是我单位的基本账户，账户如下：</w:t>
      </w:r>
    </w:p>
    <w:p>
      <w:pPr>
        <w:spacing w:line="490" w:lineRule="exact"/>
        <w:ind w:firstLine="560" w:firstLineChars="200"/>
        <w:rPr>
          <w:rFonts w:eastAsia="仿宋_GB2312"/>
          <w:bCs/>
          <w:color w:val="000000"/>
          <w:sz w:val="28"/>
          <w:szCs w:val="28"/>
        </w:rPr>
      </w:pPr>
      <w:r>
        <w:rPr>
          <w:rFonts w:eastAsia="仿宋_GB2312"/>
          <w:bCs/>
          <w:color w:val="000000"/>
          <w:sz w:val="28"/>
          <w:szCs w:val="28"/>
        </w:rPr>
        <w:t>开户银行：</w:t>
      </w:r>
      <w:r>
        <w:rPr>
          <w:rFonts w:eastAsia="仿宋_GB2312"/>
          <w:bCs/>
          <w:color w:val="000000"/>
          <w:sz w:val="28"/>
          <w:szCs w:val="28"/>
          <w:u w:val="single"/>
        </w:rPr>
        <w:t xml:space="preserve">                          </w:t>
      </w:r>
    </w:p>
    <w:p>
      <w:pPr>
        <w:spacing w:line="490" w:lineRule="exact"/>
        <w:ind w:firstLine="560" w:firstLineChars="200"/>
        <w:rPr>
          <w:rFonts w:eastAsia="仿宋_GB2312"/>
          <w:bCs/>
          <w:color w:val="000000"/>
          <w:sz w:val="28"/>
          <w:szCs w:val="28"/>
        </w:rPr>
      </w:pPr>
      <w:r>
        <w:rPr>
          <w:rFonts w:eastAsia="仿宋_GB2312"/>
          <w:bCs/>
          <w:color w:val="000000"/>
          <w:sz w:val="28"/>
          <w:szCs w:val="28"/>
        </w:rPr>
        <w:t>账户名称：</w:t>
      </w:r>
      <w:r>
        <w:rPr>
          <w:rFonts w:eastAsia="仿宋_GB2312"/>
          <w:bCs/>
          <w:color w:val="000000"/>
          <w:sz w:val="28"/>
          <w:szCs w:val="28"/>
          <w:u w:val="single"/>
        </w:rPr>
        <w:t xml:space="preserve">                          </w:t>
      </w:r>
    </w:p>
    <w:p>
      <w:pPr>
        <w:spacing w:line="490" w:lineRule="exact"/>
        <w:ind w:firstLine="560" w:firstLineChars="200"/>
        <w:rPr>
          <w:rFonts w:eastAsia="仿宋_GB2312"/>
          <w:bCs/>
          <w:color w:val="000000"/>
          <w:sz w:val="28"/>
          <w:szCs w:val="28"/>
        </w:rPr>
      </w:pPr>
      <w:r>
        <w:rPr>
          <w:rFonts w:eastAsia="仿宋_GB2312"/>
          <w:bCs/>
          <w:color w:val="000000"/>
          <w:sz w:val="28"/>
          <w:szCs w:val="28"/>
        </w:rPr>
        <w:t>账    号：</w:t>
      </w:r>
      <w:r>
        <w:rPr>
          <w:rFonts w:eastAsia="仿宋_GB2312"/>
          <w:bCs/>
          <w:color w:val="000000"/>
          <w:sz w:val="28"/>
          <w:szCs w:val="28"/>
          <w:u w:val="single"/>
          <w:bdr w:val="single" w:color="auto" w:sz="4" w:space="0"/>
        </w:rPr>
        <w:t xml:space="preserve">                          </w:t>
      </w:r>
    </w:p>
    <w:p>
      <w:pPr>
        <w:spacing w:line="490" w:lineRule="exact"/>
        <w:ind w:firstLine="560" w:firstLineChars="200"/>
        <w:rPr>
          <w:rFonts w:eastAsia="仿宋_GB2312"/>
          <w:color w:val="000000"/>
          <w:sz w:val="28"/>
          <w:szCs w:val="28"/>
        </w:rPr>
      </w:pPr>
    </w:p>
    <w:p>
      <w:pPr>
        <w:spacing w:line="490" w:lineRule="exact"/>
        <w:ind w:firstLine="560" w:firstLineChars="200"/>
        <w:rPr>
          <w:rFonts w:eastAsia="仿宋_GB2312"/>
          <w:color w:val="000000"/>
          <w:sz w:val="28"/>
          <w:szCs w:val="28"/>
        </w:rPr>
      </w:pPr>
    </w:p>
    <w:p>
      <w:pPr>
        <w:spacing w:line="490" w:lineRule="exact"/>
        <w:ind w:firstLine="560" w:firstLineChars="200"/>
        <w:rPr>
          <w:rFonts w:eastAsia="仿宋_GB2312"/>
          <w:color w:val="000000"/>
          <w:sz w:val="28"/>
          <w:szCs w:val="28"/>
        </w:rPr>
      </w:pPr>
    </w:p>
    <w:p>
      <w:pPr>
        <w:pStyle w:val="23"/>
        <w:spacing w:line="490" w:lineRule="exact"/>
        <w:ind w:firstLine="3472" w:firstLineChars="1240"/>
        <w:rPr>
          <w:rFonts w:ascii="Times New Roman" w:hAnsi="Times New Roman" w:eastAsia="仿宋_GB2312"/>
          <w:color w:val="000000"/>
          <w:sz w:val="28"/>
          <w:szCs w:val="28"/>
        </w:rPr>
      </w:pPr>
      <w:r>
        <w:rPr>
          <w:rFonts w:ascii="Times New Roman" w:hAnsi="Times New Roman" w:eastAsia="仿宋_GB2312"/>
          <w:color w:val="000000"/>
          <w:sz w:val="28"/>
          <w:szCs w:val="28"/>
        </w:rPr>
        <w:t>投  标  人：</w:t>
      </w:r>
      <w:r>
        <w:rPr>
          <w:rFonts w:ascii="Times New Roman" w:hAnsi="Times New Roman" w:eastAsia="仿宋_GB2312"/>
          <w:color w:val="000000"/>
          <w:sz w:val="28"/>
          <w:szCs w:val="28"/>
          <w:u w:val="single"/>
        </w:rPr>
        <w:t xml:space="preserve">         （名称）          </w:t>
      </w:r>
    </w:p>
    <w:p>
      <w:pPr>
        <w:spacing w:line="490" w:lineRule="exact"/>
        <w:ind w:firstLine="3472" w:firstLineChars="1240"/>
        <w:rPr>
          <w:rFonts w:eastAsia="仿宋_GB2312"/>
          <w:color w:val="000000"/>
          <w:sz w:val="28"/>
          <w:szCs w:val="28"/>
        </w:rPr>
      </w:pPr>
      <w:r>
        <w:rPr>
          <w:rFonts w:eastAsia="仿宋_GB2312"/>
          <w:color w:val="000000"/>
          <w:sz w:val="28"/>
          <w:szCs w:val="28"/>
        </w:rPr>
        <w:t xml:space="preserve">                 （盖单位电子公章）</w:t>
      </w:r>
    </w:p>
    <w:p>
      <w:pPr>
        <w:pStyle w:val="23"/>
        <w:spacing w:line="490" w:lineRule="exact"/>
        <w:ind w:firstLine="3472" w:firstLineChars="1240"/>
        <w:rPr>
          <w:rFonts w:ascii="Times New Roman" w:hAnsi="Times New Roman" w:eastAsia="仿宋_GB2312"/>
          <w:color w:val="000000"/>
          <w:sz w:val="28"/>
          <w:szCs w:val="28"/>
        </w:rPr>
      </w:pPr>
      <w:r>
        <w:rPr>
          <w:rFonts w:ascii="Times New Roman" w:hAnsi="Times New Roman" w:eastAsia="仿宋_GB2312"/>
          <w:bCs/>
          <w:color w:val="000000"/>
          <w:sz w:val="28"/>
          <w:szCs w:val="28"/>
        </w:rPr>
        <w:t>法定代表人</w:t>
      </w:r>
      <w:r>
        <w:rPr>
          <w:rFonts w:ascii="Times New Roman" w:hAnsi="Times New Roman" w:eastAsia="仿宋_GB2312"/>
          <w:color w:val="000000"/>
          <w:sz w:val="28"/>
          <w:szCs w:val="28"/>
        </w:rPr>
        <w:t>：</w:t>
      </w:r>
      <w:r>
        <w:rPr>
          <w:rFonts w:ascii="Times New Roman" w:hAnsi="Times New Roman" w:eastAsia="仿宋_GB2312"/>
          <w:color w:val="000000"/>
          <w:sz w:val="28"/>
          <w:szCs w:val="28"/>
          <w:u w:val="single"/>
        </w:rPr>
        <w:t xml:space="preserve">          （姓名）         </w:t>
      </w:r>
    </w:p>
    <w:p>
      <w:pPr>
        <w:spacing w:line="490" w:lineRule="exact"/>
        <w:ind w:firstLine="3472" w:firstLineChars="1240"/>
        <w:rPr>
          <w:rFonts w:eastAsia="仿宋_GB2312"/>
          <w:color w:val="000000"/>
          <w:sz w:val="28"/>
          <w:szCs w:val="28"/>
        </w:rPr>
      </w:pPr>
      <w:r>
        <w:rPr>
          <w:rFonts w:eastAsia="仿宋_GB2312"/>
          <w:color w:val="000000"/>
          <w:sz w:val="28"/>
          <w:szCs w:val="28"/>
        </w:rPr>
        <w:t xml:space="preserve">                    （电子签名）</w:t>
      </w:r>
    </w:p>
    <w:p>
      <w:pPr>
        <w:spacing w:line="490" w:lineRule="exact"/>
        <w:ind w:firstLine="3472" w:firstLineChars="1240"/>
        <w:rPr>
          <w:rFonts w:eastAsia="仿宋_GB2312"/>
          <w:color w:val="000000"/>
          <w:sz w:val="28"/>
          <w:szCs w:val="28"/>
          <w:u w:val="single"/>
        </w:rPr>
      </w:pPr>
      <w:r>
        <w:rPr>
          <w:rFonts w:eastAsia="仿宋_GB2312"/>
          <w:color w:val="000000"/>
          <w:sz w:val="28"/>
          <w:szCs w:val="28"/>
        </w:rPr>
        <w:t>日      期：</w:t>
      </w:r>
      <w:r>
        <w:rPr>
          <w:rFonts w:eastAsia="仿宋_GB2312"/>
          <w:color w:val="000000"/>
          <w:sz w:val="28"/>
          <w:szCs w:val="28"/>
          <w:u w:val="single"/>
        </w:rPr>
        <w:t xml:space="preserve">                           </w:t>
      </w:r>
    </w:p>
    <w:p>
      <w:pPr>
        <w:pStyle w:val="106"/>
        <w:spacing w:line="360" w:lineRule="auto"/>
        <w:ind w:firstLine="3840" w:firstLineChars="1600"/>
        <w:rPr>
          <w:rFonts w:ascii="Times New Roman" w:cs="Times New Roman"/>
        </w:rPr>
      </w:pPr>
    </w:p>
    <w:p>
      <w:pPr>
        <w:pStyle w:val="106"/>
        <w:spacing w:line="360" w:lineRule="auto"/>
        <w:ind w:firstLine="3840" w:firstLineChars="1600"/>
        <w:rPr>
          <w:rFonts w:ascii="Times New Roman" w:cs="Times New Roman"/>
        </w:rPr>
      </w:pPr>
    </w:p>
    <w:p>
      <w:pPr>
        <w:pStyle w:val="106"/>
        <w:spacing w:line="360" w:lineRule="auto"/>
        <w:ind w:firstLine="3840" w:firstLineChars="1600"/>
        <w:rPr>
          <w:rFonts w:ascii="Times New Roman" w:cs="Times New Roman"/>
        </w:rPr>
      </w:pPr>
    </w:p>
    <w:p>
      <w:pPr>
        <w:pStyle w:val="106"/>
        <w:spacing w:line="360" w:lineRule="auto"/>
        <w:ind w:firstLine="3840" w:firstLineChars="1600"/>
        <w:rPr>
          <w:rFonts w:ascii="Times New Roman" w:cs="Times New Roman"/>
        </w:rPr>
      </w:pPr>
    </w:p>
    <w:p>
      <w:pPr>
        <w:pStyle w:val="106"/>
        <w:spacing w:line="360" w:lineRule="auto"/>
        <w:rPr>
          <w:rFonts w:ascii="Times New Roman" w:eastAsia="仿宋" w:cs="Times New Roman"/>
          <w:b/>
        </w:rPr>
      </w:pPr>
      <w:r>
        <w:rPr>
          <w:rFonts w:ascii="Times New Roman" w:eastAsia="仿宋" w:cs="Times New Roman"/>
          <w:b/>
        </w:rPr>
        <w:t>注：1</w:t>
      </w:r>
      <w:r>
        <w:rPr>
          <w:rFonts w:hint="eastAsia" w:ascii="Times New Roman" w:eastAsia="仿宋" w:cs="Times New Roman"/>
          <w:b/>
        </w:rPr>
        <w:t>.</w:t>
      </w:r>
      <w:r>
        <w:rPr>
          <w:rFonts w:ascii="Times New Roman" w:eastAsia="仿宋" w:cs="Times New Roman"/>
          <w:b/>
        </w:rPr>
        <w:t>联合体投标的应提交联合体成员所有接收工程结算款支付的账户。</w:t>
      </w:r>
    </w:p>
    <w:p>
      <w:pPr>
        <w:pStyle w:val="106"/>
        <w:spacing w:line="360" w:lineRule="auto"/>
        <w:ind w:firstLine="482" w:firstLineChars="200"/>
        <w:rPr>
          <w:rFonts w:ascii="Times New Roman" w:eastAsia="仿宋" w:cs="Times New Roman"/>
          <w:b/>
        </w:rPr>
      </w:pPr>
      <w:r>
        <w:rPr>
          <w:rFonts w:ascii="Times New Roman" w:eastAsia="仿宋" w:cs="Times New Roman"/>
          <w:b/>
        </w:rPr>
        <w:t>2</w:t>
      </w:r>
      <w:r>
        <w:rPr>
          <w:rFonts w:hint="eastAsia" w:ascii="Times New Roman" w:eastAsia="仿宋" w:cs="Times New Roman"/>
          <w:b/>
        </w:rPr>
        <w:t>.</w:t>
      </w:r>
      <w:r>
        <w:rPr>
          <w:rFonts w:ascii="Times New Roman" w:eastAsia="仿宋" w:cs="Times New Roman"/>
          <w:b/>
        </w:rPr>
        <w:t>附人民银行核发的“开户许可证”</w:t>
      </w:r>
      <w:r>
        <w:rPr>
          <w:rFonts w:hint="eastAsia" w:ascii="Times New Roman" w:eastAsia="仿宋" w:cs="Times New Roman"/>
          <w:b/>
        </w:rPr>
        <w:t>原件扫描件</w:t>
      </w:r>
      <w:r>
        <w:rPr>
          <w:rFonts w:ascii="Times New Roman" w:eastAsia="仿宋" w:cs="Times New Roman"/>
          <w:b/>
        </w:rPr>
        <w:t>或打印企业“基本存款账户信息”。</w:t>
      </w:r>
    </w:p>
    <w:p>
      <w:pPr>
        <w:pStyle w:val="106"/>
        <w:spacing w:line="360" w:lineRule="auto"/>
        <w:ind w:firstLine="3840" w:firstLineChars="1600"/>
        <w:rPr>
          <w:rFonts w:ascii="Times New Roman" w:cs="Times New Roman"/>
        </w:rPr>
      </w:pPr>
    </w:p>
    <w:p>
      <w:pPr>
        <w:pStyle w:val="106"/>
        <w:spacing w:line="360" w:lineRule="auto"/>
        <w:ind w:firstLine="3840" w:firstLineChars="1600"/>
        <w:rPr>
          <w:rFonts w:ascii="Times New Roman" w:cs="Times New Roman"/>
        </w:rPr>
      </w:pPr>
    </w:p>
    <w:p>
      <w:pPr>
        <w:pStyle w:val="106"/>
        <w:spacing w:line="490" w:lineRule="exact"/>
        <w:rPr>
          <w:rFonts w:ascii="Times New Roman" w:eastAsia="仿宋_GB2312" w:cs="Times New Roman"/>
          <w:b/>
          <w:sz w:val="44"/>
          <w:szCs w:val="28"/>
        </w:rPr>
      </w:pPr>
      <w:r>
        <w:rPr>
          <w:rFonts w:ascii="Times New Roman" w:eastAsia="仿宋_GB2312" w:cs="Times New Roman"/>
          <w:b/>
          <w:sz w:val="36"/>
        </w:rPr>
        <w:br w:type="page"/>
      </w:r>
    </w:p>
    <w:p>
      <w:pPr>
        <w:adjustRightInd w:val="0"/>
        <w:snapToGrid w:val="0"/>
        <w:spacing w:line="490" w:lineRule="exact"/>
        <w:jc w:val="center"/>
        <w:outlineLvl w:val="0"/>
        <w:rPr>
          <w:rFonts w:hint="eastAsia" w:ascii="方正小标宋简体" w:eastAsia="方正小标宋简体"/>
          <w:bCs/>
          <w:color w:val="000000"/>
          <w:sz w:val="30"/>
          <w:szCs w:val="30"/>
        </w:rPr>
      </w:pPr>
      <w:bookmarkStart w:id="2012" w:name="_Toc19475"/>
      <w:bookmarkStart w:id="2013" w:name="_Toc51091946"/>
      <w:bookmarkStart w:id="2014" w:name="_Toc7090"/>
      <w:r>
        <w:rPr>
          <w:rFonts w:hint="eastAsia" w:ascii="方正小标宋简体" w:eastAsia="方正小标宋简体"/>
          <w:bCs/>
          <w:color w:val="000000"/>
          <w:sz w:val="30"/>
          <w:szCs w:val="30"/>
        </w:rPr>
        <w:t>七.已标价工程量清单</w:t>
      </w:r>
      <w:bookmarkEnd w:id="2012"/>
      <w:bookmarkEnd w:id="2013"/>
      <w:bookmarkEnd w:id="2014"/>
    </w:p>
    <w:p>
      <w:pPr>
        <w:spacing w:line="600" w:lineRule="exact"/>
        <w:jc w:val="center"/>
        <w:rPr>
          <w:rFonts w:eastAsia="黑体"/>
          <w:b/>
          <w:color w:val="000000"/>
          <w:kern w:val="0"/>
          <w:sz w:val="32"/>
          <w:szCs w:val="28"/>
        </w:rPr>
      </w:pPr>
    </w:p>
    <w:p>
      <w:pPr>
        <w:spacing w:line="600" w:lineRule="exact"/>
        <w:jc w:val="center"/>
        <w:rPr>
          <w:rFonts w:eastAsia="仿宋_GB2312"/>
          <w:color w:val="000000"/>
          <w:sz w:val="28"/>
        </w:rPr>
      </w:pPr>
      <w:r>
        <w:rPr>
          <w:rFonts w:eastAsia="仿宋_GB2312"/>
          <w:color w:val="000000"/>
          <w:sz w:val="28"/>
        </w:rPr>
        <w:t>（含投标报价编制说明、格式按第五章工程量清单中给出的格式编制）</w:t>
      </w:r>
    </w:p>
    <w:p>
      <w:pPr>
        <w:jc w:val="center"/>
        <w:rPr>
          <w:color w:val="000000"/>
        </w:rPr>
      </w:pPr>
    </w:p>
    <w:p>
      <w:pPr>
        <w:jc w:val="center"/>
        <w:rPr>
          <w:color w:val="000000"/>
        </w:rPr>
      </w:pPr>
    </w:p>
    <w:p>
      <w:pPr>
        <w:jc w:val="center"/>
        <w:rPr>
          <w:color w:val="000000"/>
        </w:rPr>
      </w:pPr>
    </w:p>
    <w:p>
      <w:pPr>
        <w:spacing w:line="490" w:lineRule="exact"/>
        <w:rPr>
          <w:rFonts w:eastAsia="方正小标宋_GBK"/>
          <w:color w:val="000000"/>
          <w:sz w:val="28"/>
        </w:rPr>
      </w:pPr>
      <w:r>
        <w:rPr>
          <w:color w:val="000000"/>
        </w:rPr>
        <w:br w:type="page"/>
      </w:r>
    </w:p>
    <w:p>
      <w:pPr>
        <w:adjustRightInd w:val="0"/>
        <w:snapToGrid w:val="0"/>
        <w:spacing w:line="490" w:lineRule="exact"/>
        <w:jc w:val="center"/>
        <w:outlineLvl w:val="0"/>
        <w:rPr>
          <w:rFonts w:hint="eastAsia" w:ascii="方正小标宋简体" w:eastAsia="方正小标宋简体"/>
          <w:bCs/>
          <w:color w:val="000000"/>
          <w:sz w:val="30"/>
          <w:szCs w:val="30"/>
        </w:rPr>
      </w:pPr>
      <w:bookmarkStart w:id="2015" w:name="_Toc8098"/>
      <w:bookmarkStart w:id="2016" w:name="_Toc51091947"/>
      <w:bookmarkStart w:id="2017" w:name="_Toc13976"/>
      <w:r>
        <w:rPr>
          <w:rFonts w:hint="eastAsia" w:ascii="方正小标宋简体" w:eastAsia="方正小标宋简体"/>
          <w:bCs/>
          <w:color w:val="000000"/>
          <w:sz w:val="30"/>
          <w:szCs w:val="30"/>
        </w:rPr>
        <w:t>八.项目管理机构</w:t>
      </w:r>
      <w:bookmarkEnd w:id="2015"/>
      <w:bookmarkEnd w:id="2016"/>
      <w:bookmarkEnd w:id="2017"/>
    </w:p>
    <w:p>
      <w:pPr>
        <w:pStyle w:val="41"/>
        <w:spacing w:after="0" w:line="490" w:lineRule="exact"/>
        <w:ind w:left="0" w:leftChars="0"/>
        <w:rPr>
          <w:rFonts w:eastAsia="方正小标宋_GBK"/>
          <w:b/>
          <w:color w:val="000000"/>
          <w:sz w:val="44"/>
          <w:szCs w:val="32"/>
        </w:rPr>
      </w:pPr>
    </w:p>
    <w:p>
      <w:pPr>
        <w:pStyle w:val="41"/>
        <w:spacing w:after="0" w:line="490" w:lineRule="exact"/>
        <w:ind w:left="0" w:leftChars="0" w:firstLine="560" w:firstLineChars="200"/>
        <w:rPr>
          <w:rFonts w:hint="eastAsia" w:ascii="仿宋_GB2312" w:eastAsia="仿宋_GB2312"/>
          <w:color w:val="000000"/>
          <w:sz w:val="28"/>
          <w:szCs w:val="32"/>
        </w:rPr>
      </w:pPr>
      <w:r>
        <w:rPr>
          <w:rFonts w:hint="eastAsia" w:ascii="仿宋_GB2312" w:eastAsia="仿宋_GB2312"/>
          <w:color w:val="000000"/>
          <w:sz w:val="28"/>
          <w:szCs w:val="32"/>
        </w:rPr>
        <w:t>1.项目管理机构框架图（投标人可自拟格式）</w:t>
      </w:r>
    </w:p>
    <w:p>
      <w:pPr>
        <w:pStyle w:val="41"/>
        <w:spacing w:after="0" w:line="490" w:lineRule="exact"/>
        <w:ind w:left="0" w:leftChars="0" w:firstLine="560" w:firstLineChars="200"/>
        <w:rPr>
          <w:rFonts w:hint="eastAsia" w:ascii="仿宋_GB2312" w:eastAsia="仿宋_GB2312"/>
          <w:color w:val="000000"/>
          <w:sz w:val="28"/>
          <w:szCs w:val="32"/>
        </w:rPr>
      </w:pPr>
      <w:r>
        <w:rPr>
          <w:rFonts w:hint="eastAsia" w:ascii="仿宋_GB2312" w:eastAsia="仿宋_GB2312"/>
          <w:color w:val="000000"/>
          <w:sz w:val="28"/>
          <w:szCs w:val="32"/>
        </w:rPr>
        <w:t>2.项目管理机构组成表</w:t>
      </w:r>
    </w:p>
    <w:p>
      <w:pPr>
        <w:pStyle w:val="41"/>
        <w:spacing w:after="0" w:line="490" w:lineRule="exact"/>
        <w:ind w:left="0" w:leftChars="0"/>
        <w:jc w:val="center"/>
        <w:rPr>
          <w:rFonts w:eastAsia="方正小标宋_GBK"/>
          <w:b/>
          <w:color w:val="000000"/>
          <w:sz w:val="40"/>
          <w:szCs w:val="44"/>
        </w:rPr>
      </w:pPr>
    </w:p>
    <w:p>
      <w:pPr>
        <w:pStyle w:val="41"/>
        <w:spacing w:before="120" w:beforeLines="50" w:afterLines="50" w:line="490" w:lineRule="exact"/>
        <w:ind w:left="0" w:leftChars="0"/>
        <w:jc w:val="center"/>
        <w:rPr>
          <w:rFonts w:ascii="黑体" w:hAnsi="黑体" w:eastAsia="黑体"/>
          <w:color w:val="000000"/>
          <w:sz w:val="28"/>
          <w:szCs w:val="44"/>
        </w:rPr>
      </w:pPr>
      <w:r>
        <w:rPr>
          <w:rFonts w:ascii="黑体" w:hAnsi="黑体" w:eastAsia="黑体"/>
          <w:color w:val="000000"/>
          <w:sz w:val="28"/>
          <w:szCs w:val="44"/>
        </w:rPr>
        <w:t>项目管理机构组成表</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904"/>
        <w:gridCol w:w="904"/>
        <w:gridCol w:w="1173"/>
        <w:gridCol w:w="905"/>
        <w:gridCol w:w="905"/>
        <w:gridCol w:w="905"/>
        <w:gridCol w:w="1173"/>
        <w:gridCol w:w="1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4" w:type="dxa"/>
            <w:vMerge w:val="restart"/>
            <w:noWrap w:val="0"/>
            <w:vAlign w:val="center"/>
          </w:tcPr>
          <w:p>
            <w:pPr>
              <w:jc w:val="center"/>
              <w:rPr>
                <w:rFonts w:eastAsia="黑体"/>
                <w:color w:val="000000"/>
              </w:rPr>
            </w:pPr>
            <w:r>
              <w:rPr>
                <w:rFonts w:eastAsia="黑体"/>
                <w:color w:val="000000"/>
              </w:rPr>
              <w:t>职务</w:t>
            </w:r>
          </w:p>
        </w:tc>
        <w:tc>
          <w:tcPr>
            <w:tcW w:w="904" w:type="dxa"/>
            <w:vMerge w:val="restart"/>
            <w:noWrap w:val="0"/>
            <w:vAlign w:val="center"/>
          </w:tcPr>
          <w:p>
            <w:pPr>
              <w:jc w:val="center"/>
              <w:rPr>
                <w:rFonts w:eastAsia="黑体"/>
                <w:color w:val="000000"/>
              </w:rPr>
            </w:pPr>
            <w:r>
              <w:rPr>
                <w:rFonts w:eastAsia="黑体"/>
                <w:color w:val="000000"/>
              </w:rPr>
              <w:t>姓名</w:t>
            </w:r>
          </w:p>
        </w:tc>
        <w:tc>
          <w:tcPr>
            <w:tcW w:w="904" w:type="dxa"/>
            <w:vMerge w:val="restart"/>
            <w:noWrap w:val="0"/>
            <w:vAlign w:val="center"/>
          </w:tcPr>
          <w:p>
            <w:pPr>
              <w:jc w:val="center"/>
              <w:rPr>
                <w:rFonts w:eastAsia="黑体"/>
                <w:color w:val="000000"/>
              </w:rPr>
            </w:pPr>
            <w:r>
              <w:rPr>
                <w:rFonts w:eastAsia="黑体"/>
                <w:color w:val="000000"/>
              </w:rPr>
              <w:t>职称</w:t>
            </w:r>
          </w:p>
        </w:tc>
        <w:tc>
          <w:tcPr>
            <w:tcW w:w="5061" w:type="dxa"/>
            <w:gridSpan w:val="5"/>
            <w:noWrap w:val="0"/>
            <w:vAlign w:val="center"/>
          </w:tcPr>
          <w:p>
            <w:pPr>
              <w:jc w:val="center"/>
              <w:rPr>
                <w:rFonts w:eastAsia="黑体"/>
                <w:color w:val="000000"/>
              </w:rPr>
            </w:pPr>
            <w:r>
              <w:rPr>
                <w:rFonts w:eastAsia="黑体"/>
                <w:color w:val="000000"/>
              </w:rPr>
              <w:t>执业或职业资格证明</w:t>
            </w:r>
          </w:p>
        </w:tc>
        <w:tc>
          <w:tcPr>
            <w:tcW w:w="1231" w:type="dxa"/>
            <w:vMerge w:val="restart"/>
            <w:noWrap w:val="0"/>
            <w:vAlign w:val="center"/>
          </w:tcPr>
          <w:p>
            <w:pPr>
              <w:jc w:val="center"/>
              <w:rPr>
                <w:rFonts w:eastAsia="黑体"/>
                <w:color w:val="000000"/>
              </w:rPr>
            </w:pPr>
            <w:r>
              <w:rPr>
                <w:rFonts w:eastAsia="黑体"/>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4" w:type="dxa"/>
            <w:vMerge w:val="continue"/>
            <w:noWrap w:val="0"/>
            <w:vAlign w:val="center"/>
          </w:tcPr>
          <w:p>
            <w:pPr>
              <w:jc w:val="center"/>
              <w:rPr>
                <w:rFonts w:eastAsia="黑体"/>
                <w:color w:val="000000"/>
                <w:szCs w:val="21"/>
              </w:rPr>
            </w:pPr>
          </w:p>
        </w:tc>
        <w:tc>
          <w:tcPr>
            <w:tcW w:w="904" w:type="dxa"/>
            <w:vMerge w:val="continue"/>
            <w:noWrap w:val="0"/>
            <w:vAlign w:val="center"/>
          </w:tcPr>
          <w:p>
            <w:pPr>
              <w:jc w:val="center"/>
              <w:rPr>
                <w:rFonts w:eastAsia="黑体"/>
                <w:color w:val="000000"/>
                <w:szCs w:val="21"/>
              </w:rPr>
            </w:pPr>
          </w:p>
        </w:tc>
        <w:tc>
          <w:tcPr>
            <w:tcW w:w="904" w:type="dxa"/>
            <w:vMerge w:val="continue"/>
            <w:noWrap w:val="0"/>
            <w:vAlign w:val="center"/>
          </w:tcPr>
          <w:p>
            <w:pPr>
              <w:jc w:val="center"/>
              <w:rPr>
                <w:rFonts w:eastAsia="黑体"/>
                <w:color w:val="000000"/>
                <w:szCs w:val="21"/>
              </w:rPr>
            </w:pPr>
          </w:p>
        </w:tc>
        <w:tc>
          <w:tcPr>
            <w:tcW w:w="1173" w:type="dxa"/>
            <w:noWrap w:val="0"/>
            <w:vAlign w:val="center"/>
          </w:tcPr>
          <w:p>
            <w:pPr>
              <w:jc w:val="center"/>
              <w:rPr>
                <w:rFonts w:eastAsia="黑体"/>
                <w:color w:val="000000"/>
              </w:rPr>
            </w:pPr>
            <w:r>
              <w:rPr>
                <w:rFonts w:eastAsia="黑体"/>
                <w:color w:val="000000"/>
              </w:rPr>
              <w:t>证书名称</w:t>
            </w:r>
          </w:p>
        </w:tc>
        <w:tc>
          <w:tcPr>
            <w:tcW w:w="905" w:type="dxa"/>
            <w:noWrap w:val="0"/>
            <w:vAlign w:val="center"/>
          </w:tcPr>
          <w:p>
            <w:pPr>
              <w:jc w:val="center"/>
              <w:rPr>
                <w:rFonts w:eastAsia="黑体"/>
                <w:color w:val="000000"/>
              </w:rPr>
            </w:pPr>
            <w:r>
              <w:rPr>
                <w:rFonts w:eastAsia="黑体"/>
                <w:color w:val="000000"/>
              </w:rPr>
              <w:t>级别</w:t>
            </w:r>
          </w:p>
        </w:tc>
        <w:tc>
          <w:tcPr>
            <w:tcW w:w="905" w:type="dxa"/>
            <w:noWrap w:val="0"/>
            <w:vAlign w:val="center"/>
          </w:tcPr>
          <w:p>
            <w:pPr>
              <w:jc w:val="center"/>
              <w:rPr>
                <w:rFonts w:eastAsia="黑体"/>
                <w:color w:val="000000"/>
              </w:rPr>
            </w:pPr>
            <w:r>
              <w:rPr>
                <w:rFonts w:eastAsia="黑体"/>
                <w:color w:val="000000"/>
              </w:rPr>
              <w:t>证号</w:t>
            </w:r>
          </w:p>
        </w:tc>
        <w:tc>
          <w:tcPr>
            <w:tcW w:w="905" w:type="dxa"/>
            <w:noWrap w:val="0"/>
            <w:vAlign w:val="center"/>
          </w:tcPr>
          <w:p>
            <w:pPr>
              <w:jc w:val="center"/>
              <w:rPr>
                <w:rFonts w:eastAsia="黑体"/>
                <w:color w:val="000000"/>
              </w:rPr>
            </w:pPr>
            <w:r>
              <w:rPr>
                <w:rFonts w:eastAsia="黑体"/>
                <w:color w:val="000000"/>
              </w:rPr>
              <w:t>专业</w:t>
            </w:r>
          </w:p>
        </w:tc>
        <w:tc>
          <w:tcPr>
            <w:tcW w:w="1173" w:type="dxa"/>
            <w:noWrap w:val="0"/>
            <w:vAlign w:val="center"/>
          </w:tcPr>
          <w:p>
            <w:pPr>
              <w:jc w:val="center"/>
              <w:rPr>
                <w:rFonts w:eastAsia="黑体"/>
                <w:color w:val="000000"/>
              </w:rPr>
            </w:pPr>
            <w:r>
              <w:rPr>
                <w:rFonts w:eastAsia="黑体"/>
                <w:color w:val="000000"/>
              </w:rPr>
              <w:t>社会保险</w:t>
            </w:r>
          </w:p>
        </w:tc>
        <w:tc>
          <w:tcPr>
            <w:tcW w:w="1231" w:type="dxa"/>
            <w:vMerge w:val="continue"/>
            <w:noWrap w:val="0"/>
            <w:vAlign w:val="center"/>
          </w:tcPr>
          <w:p>
            <w:pPr>
              <w:jc w:val="center"/>
              <w:rPr>
                <w:rFonts w:eastAsia="黑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4" w:type="dxa"/>
            <w:noWrap w:val="0"/>
            <w:vAlign w:val="center"/>
          </w:tcPr>
          <w:p>
            <w:pPr>
              <w:jc w:val="center"/>
              <w:rPr>
                <w:color w:val="000000"/>
                <w:szCs w:val="21"/>
              </w:rPr>
            </w:pPr>
          </w:p>
        </w:tc>
        <w:tc>
          <w:tcPr>
            <w:tcW w:w="904" w:type="dxa"/>
            <w:noWrap w:val="0"/>
            <w:vAlign w:val="center"/>
          </w:tcPr>
          <w:p>
            <w:pPr>
              <w:jc w:val="center"/>
              <w:rPr>
                <w:color w:val="000000"/>
                <w:szCs w:val="21"/>
              </w:rPr>
            </w:pPr>
          </w:p>
        </w:tc>
        <w:tc>
          <w:tcPr>
            <w:tcW w:w="904" w:type="dxa"/>
            <w:noWrap w:val="0"/>
            <w:vAlign w:val="center"/>
          </w:tcPr>
          <w:p>
            <w:pPr>
              <w:jc w:val="center"/>
              <w:rPr>
                <w:color w:val="000000"/>
                <w:szCs w:val="21"/>
              </w:rPr>
            </w:pPr>
          </w:p>
        </w:tc>
        <w:tc>
          <w:tcPr>
            <w:tcW w:w="1173" w:type="dxa"/>
            <w:noWrap w:val="0"/>
            <w:vAlign w:val="center"/>
          </w:tcPr>
          <w:p>
            <w:pPr>
              <w:jc w:val="center"/>
              <w:rPr>
                <w:color w:val="000000"/>
                <w:szCs w:val="21"/>
              </w:rPr>
            </w:pPr>
          </w:p>
        </w:tc>
        <w:tc>
          <w:tcPr>
            <w:tcW w:w="905" w:type="dxa"/>
            <w:noWrap w:val="0"/>
            <w:vAlign w:val="center"/>
          </w:tcPr>
          <w:p>
            <w:pPr>
              <w:jc w:val="center"/>
              <w:rPr>
                <w:color w:val="000000"/>
                <w:szCs w:val="21"/>
              </w:rPr>
            </w:pPr>
          </w:p>
        </w:tc>
        <w:tc>
          <w:tcPr>
            <w:tcW w:w="905" w:type="dxa"/>
            <w:noWrap w:val="0"/>
            <w:vAlign w:val="center"/>
          </w:tcPr>
          <w:p>
            <w:pPr>
              <w:jc w:val="center"/>
              <w:rPr>
                <w:color w:val="000000"/>
                <w:szCs w:val="21"/>
              </w:rPr>
            </w:pPr>
          </w:p>
        </w:tc>
        <w:tc>
          <w:tcPr>
            <w:tcW w:w="905" w:type="dxa"/>
            <w:noWrap w:val="0"/>
            <w:vAlign w:val="center"/>
          </w:tcPr>
          <w:p>
            <w:pPr>
              <w:jc w:val="center"/>
              <w:rPr>
                <w:color w:val="000000"/>
                <w:szCs w:val="21"/>
              </w:rPr>
            </w:pPr>
          </w:p>
        </w:tc>
        <w:tc>
          <w:tcPr>
            <w:tcW w:w="1173" w:type="dxa"/>
            <w:noWrap w:val="0"/>
            <w:vAlign w:val="center"/>
          </w:tcPr>
          <w:p>
            <w:pPr>
              <w:jc w:val="center"/>
              <w:rPr>
                <w:color w:val="000000"/>
                <w:szCs w:val="21"/>
              </w:rPr>
            </w:pPr>
          </w:p>
        </w:tc>
        <w:tc>
          <w:tcPr>
            <w:tcW w:w="1231" w:type="dxa"/>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4" w:type="dxa"/>
            <w:noWrap w:val="0"/>
            <w:vAlign w:val="center"/>
          </w:tcPr>
          <w:p>
            <w:pPr>
              <w:rPr>
                <w:color w:val="000000"/>
                <w:szCs w:val="21"/>
              </w:rPr>
            </w:pPr>
          </w:p>
        </w:tc>
        <w:tc>
          <w:tcPr>
            <w:tcW w:w="904" w:type="dxa"/>
            <w:noWrap w:val="0"/>
            <w:vAlign w:val="center"/>
          </w:tcPr>
          <w:p>
            <w:pPr>
              <w:rPr>
                <w:color w:val="000000"/>
                <w:szCs w:val="21"/>
              </w:rPr>
            </w:pPr>
          </w:p>
        </w:tc>
        <w:tc>
          <w:tcPr>
            <w:tcW w:w="904" w:type="dxa"/>
            <w:noWrap w:val="0"/>
            <w:vAlign w:val="center"/>
          </w:tcPr>
          <w:p>
            <w:pPr>
              <w:rPr>
                <w:color w:val="000000"/>
                <w:szCs w:val="21"/>
              </w:rPr>
            </w:pPr>
          </w:p>
        </w:tc>
        <w:tc>
          <w:tcPr>
            <w:tcW w:w="1173" w:type="dxa"/>
            <w:noWrap w:val="0"/>
            <w:vAlign w:val="center"/>
          </w:tcPr>
          <w:p>
            <w:pPr>
              <w:rPr>
                <w:color w:val="000000"/>
                <w:szCs w:val="21"/>
              </w:rPr>
            </w:pPr>
          </w:p>
        </w:tc>
        <w:tc>
          <w:tcPr>
            <w:tcW w:w="905" w:type="dxa"/>
            <w:noWrap w:val="0"/>
            <w:vAlign w:val="center"/>
          </w:tcPr>
          <w:p>
            <w:pPr>
              <w:rPr>
                <w:color w:val="000000"/>
                <w:szCs w:val="21"/>
              </w:rPr>
            </w:pPr>
          </w:p>
        </w:tc>
        <w:tc>
          <w:tcPr>
            <w:tcW w:w="905" w:type="dxa"/>
            <w:noWrap w:val="0"/>
            <w:vAlign w:val="center"/>
          </w:tcPr>
          <w:p>
            <w:pPr>
              <w:rPr>
                <w:color w:val="000000"/>
                <w:szCs w:val="21"/>
              </w:rPr>
            </w:pPr>
          </w:p>
        </w:tc>
        <w:tc>
          <w:tcPr>
            <w:tcW w:w="905" w:type="dxa"/>
            <w:noWrap w:val="0"/>
            <w:vAlign w:val="center"/>
          </w:tcPr>
          <w:p>
            <w:pPr>
              <w:rPr>
                <w:color w:val="000000"/>
                <w:szCs w:val="21"/>
              </w:rPr>
            </w:pPr>
          </w:p>
        </w:tc>
        <w:tc>
          <w:tcPr>
            <w:tcW w:w="1173" w:type="dxa"/>
            <w:noWrap w:val="0"/>
            <w:vAlign w:val="center"/>
          </w:tcPr>
          <w:p>
            <w:pPr>
              <w:rPr>
                <w:color w:val="000000"/>
                <w:szCs w:val="21"/>
              </w:rPr>
            </w:pPr>
          </w:p>
        </w:tc>
        <w:tc>
          <w:tcPr>
            <w:tcW w:w="1231" w:type="dxa"/>
            <w:noWrap w:val="0"/>
            <w:vAlign w:val="center"/>
          </w:tcPr>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4" w:type="dxa"/>
            <w:noWrap w:val="0"/>
            <w:vAlign w:val="center"/>
          </w:tcPr>
          <w:p>
            <w:pPr>
              <w:rPr>
                <w:color w:val="000000"/>
                <w:szCs w:val="21"/>
              </w:rPr>
            </w:pPr>
          </w:p>
        </w:tc>
        <w:tc>
          <w:tcPr>
            <w:tcW w:w="904" w:type="dxa"/>
            <w:noWrap w:val="0"/>
            <w:vAlign w:val="center"/>
          </w:tcPr>
          <w:p>
            <w:pPr>
              <w:rPr>
                <w:color w:val="000000"/>
                <w:szCs w:val="21"/>
              </w:rPr>
            </w:pPr>
          </w:p>
        </w:tc>
        <w:tc>
          <w:tcPr>
            <w:tcW w:w="904" w:type="dxa"/>
            <w:noWrap w:val="0"/>
            <w:vAlign w:val="center"/>
          </w:tcPr>
          <w:p>
            <w:pPr>
              <w:rPr>
                <w:color w:val="000000"/>
                <w:szCs w:val="21"/>
              </w:rPr>
            </w:pPr>
          </w:p>
        </w:tc>
        <w:tc>
          <w:tcPr>
            <w:tcW w:w="1173" w:type="dxa"/>
            <w:noWrap w:val="0"/>
            <w:vAlign w:val="center"/>
          </w:tcPr>
          <w:p>
            <w:pPr>
              <w:rPr>
                <w:color w:val="000000"/>
                <w:szCs w:val="21"/>
              </w:rPr>
            </w:pPr>
          </w:p>
        </w:tc>
        <w:tc>
          <w:tcPr>
            <w:tcW w:w="905" w:type="dxa"/>
            <w:noWrap w:val="0"/>
            <w:vAlign w:val="center"/>
          </w:tcPr>
          <w:p>
            <w:pPr>
              <w:rPr>
                <w:color w:val="000000"/>
                <w:szCs w:val="21"/>
              </w:rPr>
            </w:pPr>
          </w:p>
        </w:tc>
        <w:tc>
          <w:tcPr>
            <w:tcW w:w="905" w:type="dxa"/>
            <w:noWrap w:val="0"/>
            <w:vAlign w:val="center"/>
          </w:tcPr>
          <w:p>
            <w:pPr>
              <w:rPr>
                <w:color w:val="000000"/>
                <w:szCs w:val="21"/>
              </w:rPr>
            </w:pPr>
          </w:p>
        </w:tc>
        <w:tc>
          <w:tcPr>
            <w:tcW w:w="905" w:type="dxa"/>
            <w:noWrap w:val="0"/>
            <w:vAlign w:val="center"/>
          </w:tcPr>
          <w:p>
            <w:pPr>
              <w:rPr>
                <w:color w:val="000000"/>
                <w:szCs w:val="21"/>
              </w:rPr>
            </w:pPr>
          </w:p>
        </w:tc>
        <w:tc>
          <w:tcPr>
            <w:tcW w:w="1173" w:type="dxa"/>
            <w:noWrap w:val="0"/>
            <w:vAlign w:val="center"/>
          </w:tcPr>
          <w:p>
            <w:pPr>
              <w:rPr>
                <w:color w:val="000000"/>
                <w:szCs w:val="21"/>
              </w:rPr>
            </w:pPr>
          </w:p>
        </w:tc>
        <w:tc>
          <w:tcPr>
            <w:tcW w:w="1231" w:type="dxa"/>
            <w:noWrap w:val="0"/>
            <w:vAlign w:val="center"/>
          </w:tcPr>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4" w:type="dxa"/>
            <w:noWrap w:val="0"/>
            <w:vAlign w:val="center"/>
          </w:tcPr>
          <w:p>
            <w:pPr>
              <w:rPr>
                <w:color w:val="000000"/>
                <w:szCs w:val="21"/>
              </w:rPr>
            </w:pPr>
          </w:p>
        </w:tc>
        <w:tc>
          <w:tcPr>
            <w:tcW w:w="904" w:type="dxa"/>
            <w:noWrap w:val="0"/>
            <w:vAlign w:val="center"/>
          </w:tcPr>
          <w:p>
            <w:pPr>
              <w:rPr>
                <w:color w:val="000000"/>
                <w:szCs w:val="21"/>
              </w:rPr>
            </w:pPr>
          </w:p>
        </w:tc>
        <w:tc>
          <w:tcPr>
            <w:tcW w:w="904" w:type="dxa"/>
            <w:noWrap w:val="0"/>
            <w:vAlign w:val="center"/>
          </w:tcPr>
          <w:p>
            <w:pPr>
              <w:rPr>
                <w:color w:val="000000"/>
                <w:szCs w:val="21"/>
              </w:rPr>
            </w:pPr>
          </w:p>
        </w:tc>
        <w:tc>
          <w:tcPr>
            <w:tcW w:w="1173" w:type="dxa"/>
            <w:noWrap w:val="0"/>
            <w:vAlign w:val="center"/>
          </w:tcPr>
          <w:p>
            <w:pPr>
              <w:rPr>
                <w:color w:val="000000"/>
                <w:szCs w:val="21"/>
              </w:rPr>
            </w:pPr>
          </w:p>
        </w:tc>
        <w:tc>
          <w:tcPr>
            <w:tcW w:w="905" w:type="dxa"/>
            <w:noWrap w:val="0"/>
            <w:vAlign w:val="center"/>
          </w:tcPr>
          <w:p>
            <w:pPr>
              <w:rPr>
                <w:color w:val="000000"/>
                <w:szCs w:val="21"/>
              </w:rPr>
            </w:pPr>
          </w:p>
        </w:tc>
        <w:tc>
          <w:tcPr>
            <w:tcW w:w="905" w:type="dxa"/>
            <w:noWrap w:val="0"/>
            <w:vAlign w:val="center"/>
          </w:tcPr>
          <w:p>
            <w:pPr>
              <w:rPr>
                <w:color w:val="000000"/>
                <w:szCs w:val="21"/>
              </w:rPr>
            </w:pPr>
          </w:p>
        </w:tc>
        <w:tc>
          <w:tcPr>
            <w:tcW w:w="905" w:type="dxa"/>
            <w:noWrap w:val="0"/>
            <w:vAlign w:val="center"/>
          </w:tcPr>
          <w:p>
            <w:pPr>
              <w:rPr>
                <w:color w:val="000000"/>
                <w:szCs w:val="21"/>
              </w:rPr>
            </w:pPr>
          </w:p>
        </w:tc>
        <w:tc>
          <w:tcPr>
            <w:tcW w:w="1173" w:type="dxa"/>
            <w:noWrap w:val="0"/>
            <w:vAlign w:val="center"/>
          </w:tcPr>
          <w:p>
            <w:pPr>
              <w:rPr>
                <w:color w:val="000000"/>
                <w:szCs w:val="21"/>
              </w:rPr>
            </w:pPr>
          </w:p>
        </w:tc>
        <w:tc>
          <w:tcPr>
            <w:tcW w:w="1231" w:type="dxa"/>
            <w:noWrap w:val="0"/>
            <w:vAlign w:val="center"/>
          </w:tcPr>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4" w:type="dxa"/>
            <w:noWrap w:val="0"/>
            <w:vAlign w:val="center"/>
          </w:tcPr>
          <w:p>
            <w:pPr>
              <w:rPr>
                <w:color w:val="000000"/>
                <w:szCs w:val="21"/>
              </w:rPr>
            </w:pPr>
          </w:p>
        </w:tc>
        <w:tc>
          <w:tcPr>
            <w:tcW w:w="904" w:type="dxa"/>
            <w:noWrap w:val="0"/>
            <w:vAlign w:val="center"/>
          </w:tcPr>
          <w:p>
            <w:pPr>
              <w:rPr>
                <w:color w:val="000000"/>
                <w:szCs w:val="21"/>
              </w:rPr>
            </w:pPr>
          </w:p>
        </w:tc>
        <w:tc>
          <w:tcPr>
            <w:tcW w:w="904" w:type="dxa"/>
            <w:noWrap w:val="0"/>
            <w:vAlign w:val="center"/>
          </w:tcPr>
          <w:p>
            <w:pPr>
              <w:rPr>
                <w:color w:val="000000"/>
                <w:szCs w:val="21"/>
              </w:rPr>
            </w:pPr>
          </w:p>
        </w:tc>
        <w:tc>
          <w:tcPr>
            <w:tcW w:w="1173" w:type="dxa"/>
            <w:noWrap w:val="0"/>
            <w:vAlign w:val="center"/>
          </w:tcPr>
          <w:p>
            <w:pPr>
              <w:rPr>
                <w:color w:val="000000"/>
                <w:szCs w:val="21"/>
              </w:rPr>
            </w:pPr>
          </w:p>
        </w:tc>
        <w:tc>
          <w:tcPr>
            <w:tcW w:w="905" w:type="dxa"/>
            <w:noWrap w:val="0"/>
            <w:vAlign w:val="center"/>
          </w:tcPr>
          <w:p>
            <w:pPr>
              <w:rPr>
                <w:color w:val="000000"/>
                <w:szCs w:val="21"/>
              </w:rPr>
            </w:pPr>
          </w:p>
        </w:tc>
        <w:tc>
          <w:tcPr>
            <w:tcW w:w="905" w:type="dxa"/>
            <w:noWrap w:val="0"/>
            <w:vAlign w:val="center"/>
          </w:tcPr>
          <w:p>
            <w:pPr>
              <w:rPr>
                <w:color w:val="000000"/>
                <w:szCs w:val="21"/>
              </w:rPr>
            </w:pPr>
          </w:p>
        </w:tc>
        <w:tc>
          <w:tcPr>
            <w:tcW w:w="905" w:type="dxa"/>
            <w:noWrap w:val="0"/>
            <w:vAlign w:val="center"/>
          </w:tcPr>
          <w:p>
            <w:pPr>
              <w:rPr>
                <w:color w:val="000000"/>
                <w:szCs w:val="21"/>
              </w:rPr>
            </w:pPr>
          </w:p>
        </w:tc>
        <w:tc>
          <w:tcPr>
            <w:tcW w:w="1173" w:type="dxa"/>
            <w:noWrap w:val="0"/>
            <w:vAlign w:val="center"/>
          </w:tcPr>
          <w:p>
            <w:pPr>
              <w:rPr>
                <w:color w:val="000000"/>
                <w:szCs w:val="21"/>
              </w:rPr>
            </w:pPr>
          </w:p>
        </w:tc>
        <w:tc>
          <w:tcPr>
            <w:tcW w:w="1231" w:type="dxa"/>
            <w:noWrap w:val="0"/>
            <w:vAlign w:val="center"/>
          </w:tcPr>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4" w:type="dxa"/>
            <w:noWrap w:val="0"/>
            <w:vAlign w:val="center"/>
          </w:tcPr>
          <w:p>
            <w:pPr>
              <w:rPr>
                <w:color w:val="000000"/>
                <w:szCs w:val="21"/>
              </w:rPr>
            </w:pPr>
          </w:p>
        </w:tc>
        <w:tc>
          <w:tcPr>
            <w:tcW w:w="904" w:type="dxa"/>
            <w:noWrap w:val="0"/>
            <w:vAlign w:val="center"/>
          </w:tcPr>
          <w:p>
            <w:pPr>
              <w:rPr>
                <w:color w:val="000000"/>
                <w:szCs w:val="21"/>
              </w:rPr>
            </w:pPr>
          </w:p>
        </w:tc>
        <w:tc>
          <w:tcPr>
            <w:tcW w:w="904" w:type="dxa"/>
            <w:noWrap w:val="0"/>
            <w:vAlign w:val="center"/>
          </w:tcPr>
          <w:p>
            <w:pPr>
              <w:rPr>
                <w:color w:val="000000"/>
                <w:szCs w:val="21"/>
              </w:rPr>
            </w:pPr>
          </w:p>
        </w:tc>
        <w:tc>
          <w:tcPr>
            <w:tcW w:w="1173" w:type="dxa"/>
            <w:noWrap w:val="0"/>
            <w:vAlign w:val="center"/>
          </w:tcPr>
          <w:p>
            <w:pPr>
              <w:rPr>
                <w:color w:val="000000"/>
                <w:szCs w:val="21"/>
              </w:rPr>
            </w:pPr>
          </w:p>
        </w:tc>
        <w:tc>
          <w:tcPr>
            <w:tcW w:w="905" w:type="dxa"/>
            <w:noWrap w:val="0"/>
            <w:vAlign w:val="center"/>
          </w:tcPr>
          <w:p>
            <w:pPr>
              <w:rPr>
                <w:color w:val="000000"/>
                <w:szCs w:val="21"/>
              </w:rPr>
            </w:pPr>
          </w:p>
        </w:tc>
        <w:tc>
          <w:tcPr>
            <w:tcW w:w="905" w:type="dxa"/>
            <w:noWrap w:val="0"/>
            <w:vAlign w:val="center"/>
          </w:tcPr>
          <w:p>
            <w:pPr>
              <w:rPr>
                <w:color w:val="000000"/>
                <w:szCs w:val="21"/>
              </w:rPr>
            </w:pPr>
          </w:p>
        </w:tc>
        <w:tc>
          <w:tcPr>
            <w:tcW w:w="905" w:type="dxa"/>
            <w:noWrap w:val="0"/>
            <w:vAlign w:val="center"/>
          </w:tcPr>
          <w:p>
            <w:pPr>
              <w:rPr>
                <w:color w:val="000000"/>
                <w:szCs w:val="21"/>
              </w:rPr>
            </w:pPr>
          </w:p>
        </w:tc>
        <w:tc>
          <w:tcPr>
            <w:tcW w:w="1173" w:type="dxa"/>
            <w:noWrap w:val="0"/>
            <w:vAlign w:val="center"/>
          </w:tcPr>
          <w:p>
            <w:pPr>
              <w:rPr>
                <w:color w:val="000000"/>
                <w:szCs w:val="21"/>
              </w:rPr>
            </w:pPr>
          </w:p>
        </w:tc>
        <w:tc>
          <w:tcPr>
            <w:tcW w:w="1231" w:type="dxa"/>
            <w:noWrap w:val="0"/>
            <w:vAlign w:val="center"/>
          </w:tcPr>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4" w:type="dxa"/>
            <w:noWrap w:val="0"/>
            <w:vAlign w:val="center"/>
          </w:tcPr>
          <w:p>
            <w:pPr>
              <w:rPr>
                <w:color w:val="000000"/>
                <w:szCs w:val="21"/>
              </w:rPr>
            </w:pPr>
          </w:p>
        </w:tc>
        <w:tc>
          <w:tcPr>
            <w:tcW w:w="904" w:type="dxa"/>
            <w:noWrap w:val="0"/>
            <w:vAlign w:val="center"/>
          </w:tcPr>
          <w:p>
            <w:pPr>
              <w:rPr>
                <w:color w:val="000000"/>
                <w:szCs w:val="21"/>
              </w:rPr>
            </w:pPr>
          </w:p>
        </w:tc>
        <w:tc>
          <w:tcPr>
            <w:tcW w:w="904" w:type="dxa"/>
            <w:noWrap w:val="0"/>
            <w:vAlign w:val="center"/>
          </w:tcPr>
          <w:p>
            <w:pPr>
              <w:rPr>
                <w:color w:val="000000"/>
                <w:szCs w:val="21"/>
              </w:rPr>
            </w:pPr>
          </w:p>
        </w:tc>
        <w:tc>
          <w:tcPr>
            <w:tcW w:w="1173" w:type="dxa"/>
            <w:noWrap w:val="0"/>
            <w:vAlign w:val="center"/>
          </w:tcPr>
          <w:p>
            <w:pPr>
              <w:rPr>
                <w:color w:val="000000"/>
                <w:szCs w:val="21"/>
              </w:rPr>
            </w:pPr>
          </w:p>
        </w:tc>
        <w:tc>
          <w:tcPr>
            <w:tcW w:w="905" w:type="dxa"/>
            <w:noWrap w:val="0"/>
            <w:vAlign w:val="center"/>
          </w:tcPr>
          <w:p>
            <w:pPr>
              <w:rPr>
                <w:color w:val="000000"/>
                <w:szCs w:val="21"/>
              </w:rPr>
            </w:pPr>
          </w:p>
        </w:tc>
        <w:tc>
          <w:tcPr>
            <w:tcW w:w="905" w:type="dxa"/>
            <w:noWrap w:val="0"/>
            <w:vAlign w:val="center"/>
          </w:tcPr>
          <w:p>
            <w:pPr>
              <w:rPr>
                <w:color w:val="000000"/>
                <w:szCs w:val="21"/>
              </w:rPr>
            </w:pPr>
          </w:p>
        </w:tc>
        <w:tc>
          <w:tcPr>
            <w:tcW w:w="905" w:type="dxa"/>
            <w:noWrap w:val="0"/>
            <w:vAlign w:val="center"/>
          </w:tcPr>
          <w:p>
            <w:pPr>
              <w:rPr>
                <w:color w:val="000000"/>
                <w:szCs w:val="21"/>
              </w:rPr>
            </w:pPr>
          </w:p>
        </w:tc>
        <w:tc>
          <w:tcPr>
            <w:tcW w:w="1173" w:type="dxa"/>
            <w:noWrap w:val="0"/>
            <w:vAlign w:val="center"/>
          </w:tcPr>
          <w:p>
            <w:pPr>
              <w:rPr>
                <w:color w:val="000000"/>
                <w:szCs w:val="21"/>
              </w:rPr>
            </w:pPr>
          </w:p>
        </w:tc>
        <w:tc>
          <w:tcPr>
            <w:tcW w:w="1231" w:type="dxa"/>
            <w:noWrap w:val="0"/>
            <w:vAlign w:val="center"/>
          </w:tcPr>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4" w:type="dxa"/>
            <w:noWrap w:val="0"/>
            <w:vAlign w:val="center"/>
          </w:tcPr>
          <w:p>
            <w:pPr>
              <w:rPr>
                <w:color w:val="000000"/>
                <w:szCs w:val="21"/>
              </w:rPr>
            </w:pPr>
          </w:p>
        </w:tc>
        <w:tc>
          <w:tcPr>
            <w:tcW w:w="904" w:type="dxa"/>
            <w:noWrap w:val="0"/>
            <w:vAlign w:val="center"/>
          </w:tcPr>
          <w:p>
            <w:pPr>
              <w:rPr>
                <w:color w:val="000000"/>
                <w:szCs w:val="21"/>
              </w:rPr>
            </w:pPr>
          </w:p>
        </w:tc>
        <w:tc>
          <w:tcPr>
            <w:tcW w:w="904" w:type="dxa"/>
            <w:noWrap w:val="0"/>
            <w:vAlign w:val="center"/>
          </w:tcPr>
          <w:p>
            <w:pPr>
              <w:rPr>
                <w:color w:val="000000"/>
                <w:szCs w:val="21"/>
              </w:rPr>
            </w:pPr>
          </w:p>
        </w:tc>
        <w:tc>
          <w:tcPr>
            <w:tcW w:w="1173" w:type="dxa"/>
            <w:noWrap w:val="0"/>
            <w:vAlign w:val="center"/>
          </w:tcPr>
          <w:p>
            <w:pPr>
              <w:rPr>
                <w:color w:val="000000"/>
                <w:szCs w:val="21"/>
              </w:rPr>
            </w:pPr>
          </w:p>
        </w:tc>
        <w:tc>
          <w:tcPr>
            <w:tcW w:w="905" w:type="dxa"/>
            <w:noWrap w:val="0"/>
            <w:vAlign w:val="center"/>
          </w:tcPr>
          <w:p>
            <w:pPr>
              <w:rPr>
                <w:color w:val="000000"/>
                <w:szCs w:val="21"/>
              </w:rPr>
            </w:pPr>
          </w:p>
        </w:tc>
        <w:tc>
          <w:tcPr>
            <w:tcW w:w="905" w:type="dxa"/>
            <w:noWrap w:val="0"/>
            <w:vAlign w:val="center"/>
          </w:tcPr>
          <w:p>
            <w:pPr>
              <w:rPr>
                <w:color w:val="000000"/>
                <w:szCs w:val="21"/>
              </w:rPr>
            </w:pPr>
          </w:p>
        </w:tc>
        <w:tc>
          <w:tcPr>
            <w:tcW w:w="905" w:type="dxa"/>
            <w:noWrap w:val="0"/>
            <w:vAlign w:val="center"/>
          </w:tcPr>
          <w:p>
            <w:pPr>
              <w:rPr>
                <w:color w:val="000000"/>
                <w:szCs w:val="21"/>
              </w:rPr>
            </w:pPr>
          </w:p>
        </w:tc>
        <w:tc>
          <w:tcPr>
            <w:tcW w:w="1173" w:type="dxa"/>
            <w:noWrap w:val="0"/>
            <w:vAlign w:val="center"/>
          </w:tcPr>
          <w:p>
            <w:pPr>
              <w:rPr>
                <w:color w:val="000000"/>
                <w:szCs w:val="21"/>
              </w:rPr>
            </w:pPr>
          </w:p>
        </w:tc>
        <w:tc>
          <w:tcPr>
            <w:tcW w:w="1231" w:type="dxa"/>
            <w:noWrap w:val="0"/>
            <w:vAlign w:val="center"/>
          </w:tcPr>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4" w:type="dxa"/>
            <w:noWrap w:val="0"/>
            <w:vAlign w:val="center"/>
          </w:tcPr>
          <w:p>
            <w:pPr>
              <w:rPr>
                <w:color w:val="000000"/>
                <w:szCs w:val="21"/>
              </w:rPr>
            </w:pPr>
          </w:p>
        </w:tc>
        <w:tc>
          <w:tcPr>
            <w:tcW w:w="904" w:type="dxa"/>
            <w:noWrap w:val="0"/>
            <w:vAlign w:val="center"/>
          </w:tcPr>
          <w:p>
            <w:pPr>
              <w:rPr>
                <w:color w:val="000000"/>
                <w:szCs w:val="21"/>
              </w:rPr>
            </w:pPr>
          </w:p>
        </w:tc>
        <w:tc>
          <w:tcPr>
            <w:tcW w:w="904" w:type="dxa"/>
            <w:noWrap w:val="0"/>
            <w:vAlign w:val="center"/>
          </w:tcPr>
          <w:p>
            <w:pPr>
              <w:rPr>
                <w:color w:val="000000"/>
                <w:szCs w:val="21"/>
              </w:rPr>
            </w:pPr>
          </w:p>
        </w:tc>
        <w:tc>
          <w:tcPr>
            <w:tcW w:w="1173" w:type="dxa"/>
            <w:noWrap w:val="0"/>
            <w:vAlign w:val="center"/>
          </w:tcPr>
          <w:p>
            <w:pPr>
              <w:rPr>
                <w:color w:val="000000"/>
                <w:szCs w:val="21"/>
              </w:rPr>
            </w:pPr>
          </w:p>
        </w:tc>
        <w:tc>
          <w:tcPr>
            <w:tcW w:w="905" w:type="dxa"/>
            <w:noWrap w:val="0"/>
            <w:vAlign w:val="center"/>
          </w:tcPr>
          <w:p>
            <w:pPr>
              <w:rPr>
                <w:color w:val="000000"/>
                <w:szCs w:val="21"/>
              </w:rPr>
            </w:pPr>
          </w:p>
        </w:tc>
        <w:tc>
          <w:tcPr>
            <w:tcW w:w="905" w:type="dxa"/>
            <w:noWrap w:val="0"/>
            <w:vAlign w:val="center"/>
          </w:tcPr>
          <w:p>
            <w:pPr>
              <w:rPr>
                <w:color w:val="000000"/>
                <w:szCs w:val="21"/>
              </w:rPr>
            </w:pPr>
          </w:p>
        </w:tc>
        <w:tc>
          <w:tcPr>
            <w:tcW w:w="905" w:type="dxa"/>
            <w:noWrap w:val="0"/>
            <w:vAlign w:val="center"/>
          </w:tcPr>
          <w:p>
            <w:pPr>
              <w:rPr>
                <w:color w:val="000000"/>
                <w:szCs w:val="21"/>
              </w:rPr>
            </w:pPr>
          </w:p>
        </w:tc>
        <w:tc>
          <w:tcPr>
            <w:tcW w:w="1173" w:type="dxa"/>
            <w:noWrap w:val="0"/>
            <w:vAlign w:val="center"/>
          </w:tcPr>
          <w:p>
            <w:pPr>
              <w:rPr>
                <w:color w:val="000000"/>
                <w:szCs w:val="21"/>
              </w:rPr>
            </w:pPr>
          </w:p>
        </w:tc>
        <w:tc>
          <w:tcPr>
            <w:tcW w:w="1231" w:type="dxa"/>
            <w:noWrap w:val="0"/>
            <w:vAlign w:val="center"/>
          </w:tcPr>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4" w:type="dxa"/>
            <w:noWrap w:val="0"/>
            <w:vAlign w:val="center"/>
          </w:tcPr>
          <w:p>
            <w:pPr>
              <w:rPr>
                <w:color w:val="000000"/>
                <w:szCs w:val="21"/>
              </w:rPr>
            </w:pPr>
          </w:p>
        </w:tc>
        <w:tc>
          <w:tcPr>
            <w:tcW w:w="904" w:type="dxa"/>
            <w:noWrap w:val="0"/>
            <w:vAlign w:val="center"/>
          </w:tcPr>
          <w:p>
            <w:pPr>
              <w:rPr>
                <w:color w:val="000000"/>
                <w:szCs w:val="21"/>
              </w:rPr>
            </w:pPr>
          </w:p>
        </w:tc>
        <w:tc>
          <w:tcPr>
            <w:tcW w:w="904" w:type="dxa"/>
            <w:noWrap w:val="0"/>
            <w:vAlign w:val="center"/>
          </w:tcPr>
          <w:p>
            <w:pPr>
              <w:rPr>
                <w:color w:val="000000"/>
                <w:szCs w:val="21"/>
              </w:rPr>
            </w:pPr>
          </w:p>
        </w:tc>
        <w:tc>
          <w:tcPr>
            <w:tcW w:w="1173" w:type="dxa"/>
            <w:noWrap w:val="0"/>
            <w:vAlign w:val="center"/>
          </w:tcPr>
          <w:p>
            <w:pPr>
              <w:rPr>
                <w:color w:val="000000"/>
                <w:szCs w:val="21"/>
              </w:rPr>
            </w:pPr>
          </w:p>
        </w:tc>
        <w:tc>
          <w:tcPr>
            <w:tcW w:w="905" w:type="dxa"/>
            <w:noWrap w:val="0"/>
            <w:vAlign w:val="center"/>
          </w:tcPr>
          <w:p>
            <w:pPr>
              <w:rPr>
                <w:color w:val="000000"/>
                <w:szCs w:val="21"/>
              </w:rPr>
            </w:pPr>
          </w:p>
        </w:tc>
        <w:tc>
          <w:tcPr>
            <w:tcW w:w="905" w:type="dxa"/>
            <w:noWrap w:val="0"/>
            <w:vAlign w:val="center"/>
          </w:tcPr>
          <w:p>
            <w:pPr>
              <w:rPr>
                <w:color w:val="000000"/>
                <w:szCs w:val="21"/>
              </w:rPr>
            </w:pPr>
          </w:p>
        </w:tc>
        <w:tc>
          <w:tcPr>
            <w:tcW w:w="905" w:type="dxa"/>
            <w:noWrap w:val="0"/>
            <w:vAlign w:val="center"/>
          </w:tcPr>
          <w:p>
            <w:pPr>
              <w:rPr>
                <w:color w:val="000000"/>
                <w:szCs w:val="21"/>
              </w:rPr>
            </w:pPr>
          </w:p>
        </w:tc>
        <w:tc>
          <w:tcPr>
            <w:tcW w:w="1173" w:type="dxa"/>
            <w:noWrap w:val="0"/>
            <w:vAlign w:val="center"/>
          </w:tcPr>
          <w:p>
            <w:pPr>
              <w:rPr>
                <w:color w:val="000000"/>
                <w:szCs w:val="21"/>
              </w:rPr>
            </w:pPr>
          </w:p>
        </w:tc>
        <w:tc>
          <w:tcPr>
            <w:tcW w:w="1231" w:type="dxa"/>
            <w:noWrap w:val="0"/>
            <w:vAlign w:val="center"/>
          </w:tcPr>
          <w:p>
            <w:pPr>
              <w:rPr>
                <w:color w:val="000000"/>
                <w:szCs w:val="21"/>
              </w:rPr>
            </w:pPr>
          </w:p>
        </w:tc>
      </w:tr>
    </w:tbl>
    <w:p>
      <w:pPr>
        <w:rPr>
          <w:color w:val="000000"/>
        </w:rPr>
      </w:pPr>
    </w:p>
    <w:p>
      <w:pPr>
        <w:pStyle w:val="41"/>
        <w:spacing w:before="120" w:beforeLines="50" w:afterLines="50" w:line="600" w:lineRule="exact"/>
        <w:ind w:left="0" w:leftChars="0"/>
        <w:jc w:val="center"/>
        <w:rPr>
          <w:rFonts w:hint="eastAsia" w:ascii="方正小标宋简体" w:eastAsia="方正小标宋简体"/>
          <w:color w:val="000000"/>
          <w:sz w:val="36"/>
          <w:szCs w:val="44"/>
        </w:rPr>
      </w:pPr>
      <w:r>
        <w:rPr>
          <w:color w:val="000000"/>
        </w:rPr>
        <w:br w:type="page"/>
      </w:r>
      <w:r>
        <w:rPr>
          <w:rFonts w:hint="eastAsia" w:ascii="方正小标宋简体" w:eastAsia="方正小标宋简体"/>
          <w:color w:val="000000"/>
          <w:sz w:val="36"/>
          <w:szCs w:val="44"/>
        </w:rPr>
        <w:t>拟任项目负责人简历表</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1421"/>
        <w:gridCol w:w="1421"/>
        <w:gridCol w:w="1421"/>
        <w:gridCol w:w="1422"/>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noWrap w:val="0"/>
            <w:vAlign w:val="center"/>
          </w:tcPr>
          <w:p>
            <w:pPr>
              <w:jc w:val="center"/>
              <w:rPr>
                <w:rFonts w:hint="eastAsia" w:ascii="仿宋_GB2312" w:eastAsia="仿宋_GB2312"/>
                <w:color w:val="000000"/>
              </w:rPr>
            </w:pPr>
            <w:r>
              <w:rPr>
                <w:rFonts w:hint="eastAsia" w:ascii="仿宋_GB2312" w:eastAsia="仿宋_GB2312"/>
                <w:color w:val="000000"/>
              </w:rPr>
              <w:t>姓    名</w:t>
            </w:r>
          </w:p>
        </w:tc>
        <w:tc>
          <w:tcPr>
            <w:tcW w:w="1421" w:type="dxa"/>
            <w:noWrap w:val="0"/>
            <w:vAlign w:val="center"/>
          </w:tcPr>
          <w:p>
            <w:pPr>
              <w:jc w:val="center"/>
              <w:rPr>
                <w:rFonts w:hint="eastAsia" w:ascii="仿宋_GB2312" w:eastAsia="仿宋_GB2312"/>
                <w:color w:val="000000"/>
                <w:szCs w:val="21"/>
              </w:rPr>
            </w:pPr>
          </w:p>
        </w:tc>
        <w:tc>
          <w:tcPr>
            <w:tcW w:w="1421" w:type="dxa"/>
            <w:noWrap w:val="0"/>
            <w:vAlign w:val="center"/>
          </w:tcPr>
          <w:p>
            <w:pPr>
              <w:jc w:val="center"/>
              <w:rPr>
                <w:rFonts w:hint="eastAsia" w:ascii="仿宋_GB2312" w:eastAsia="仿宋_GB2312"/>
                <w:color w:val="000000"/>
              </w:rPr>
            </w:pPr>
            <w:r>
              <w:rPr>
                <w:rFonts w:hint="eastAsia" w:ascii="仿宋_GB2312" w:eastAsia="仿宋_GB2312"/>
                <w:color w:val="000000"/>
              </w:rPr>
              <w:t>年龄</w:t>
            </w:r>
          </w:p>
        </w:tc>
        <w:tc>
          <w:tcPr>
            <w:tcW w:w="1421" w:type="dxa"/>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rPr>
            </w:pPr>
            <w:r>
              <w:rPr>
                <w:rFonts w:hint="eastAsia" w:ascii="仿宋_GB2312" w:eastAsia="仿宋_GB2312"/>
                <w:color w:val="000000"/>
              </w:rPr>
              <w:t>学    历</w:t>
            </w:r>
          </w:p>
        </w:tc>
        <w:tc>
          <w:tcPr>
            <w:tcW w:w="1708"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noWrap w:val="0"/>
            <w:vAlign w:val="center"/>
          </w:tcPr>
          <w:p>
            <w:pPr>
              <w:jc w:val="center"/>
              <w:rPr>
                <w:rFonts w:hint="eastAsia" w:ascii="仿宋_GB2312" w:eastAsia="仿宋_GB2312"/>
                <w:color w:val="000000"/>
              </w:rPr>
            </w:pPr>
            <w:r>
              <w:rPr>
                <w:rFonts w:hint="eastAsia" w:ascii="仿宋_GB2312" w:eastAsia="仿宋_GB2312"/>
                <w:color w:val="000000"/>
              </w:rPr>
              <w:t>执业资格</w:t>
            </w:r>
          </w:p>
        </w:tc>
        <w:tc>
          <w:tcPr>
            <w:tcW w:w="4263" w:type="dxa"/>
            <w:gridSpan w:val="3"/>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rPr>
            </w:pPr>
            <w:r>
              <w:rPr>
                <w:rFonts w:hint="eastAsia" w:ascii="仿宋_GB2312" w:eastAsia="仿宋_GB2312"/>
                <w:color w:val="000000"/>
              </w:rPr>
              <w:t>安全生产考核合格证书</w:t>
            </w:r>
          </w:p>
        </w:tc>
        <w:tc>
          <w:tcPr>
            <w:tcW w:w="1708"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noWrap w:val="0"/>
            <w:vAlign w:val="center"/>
          </w:tcPr>
          <w:p>
            <w:pPr>
              <w:jc w:val="center"/>
              <w:rPr>
                <w:rFonts w:hint="eastAsia" w:ascii="仿宋_GB2312" w:eastAsia="仿宋_GB2312"/>
                <w:color w:val="000000"/>
              </w:rPr>
            </w:pPr>
            <w:r>
              <w:rPr>
                <w:rFonts w:hint="eastAsia" w:ascii="仿宋_GB2312" w:eastAsia="仿宋_GB2312"/>
                <w:color w:val="000000"/>
              </w:rPr>
              <w:t>职    称</w:t>
            </w:r>
          </w:p>
        </w:tc>
        <w:tc>
          <w:tcPr>
            <w:tcW w:w="1421" w:type="dxa"/>
            <w:noWrap w:val="0"/>
            <w:vAlign w:val="center"/>
          </w:tcPr>
          <w:p>
            <w:pPr>
              <w:jc w:val="center"/>
              <w:rPr>
                <w:rFonts w:hint="eastAsia" w:ascii="仿宋_GB2312" w:eastAsia="仿宋_GB2312"/>
                <w:color w:val="000000"/>
                <w:szCs w:val="21"/>
              </w:rPr>
            </w:pPr>
          </w:p>
        </w:tc>
        <w:tc>
          <w:tcPr>
            <w:tcW w:w="1421" w:type="dxa"/>
            <w:noWrap w:val="0"/>
            <w:vAlign w:val="center"/>
          </w:tcPr>
          <w:p>
            <w:pPr>
              <w:jc w:val="center"/>
              <w:rPr>
                <w:rFonts w:hint="eastAsia" w:ascii="仿宋_GB2312" w:eastAsia="仿宋_GB2312"/>
                <w:color w:val="000000"/>
              </w:rPr>
            </w:pPr>
            <w:r>
              <w:rPr>
                <w:rFonts w:hint="eastAsia" w:ascii="仿宋_GB2312" w:eastAsia="仿宋_GB2312"/>
                <w:color w:val="000000"/>
              </w:rPr>
              <w:t>职务</w:t>
            </w:r>
          </w:p>
        </w:tc>
        <w:tc>
          <w:tcPr>
            <w:tcW w:w="1421" w:type="dxa"/>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rPr>
            </w:pPr>
            <w:r>
              <w:rPr>
                <w:rFonts w:hint="eastAsia" w:ascii="仿宋_GB2312" w:eastAsia="仿宋_GB2312"/>
                <w:color w:val="000000"/>
              </w:rPr>
              <w:t>拟在本合同任职</w:t>
            </w:r>
          </w:p>
        </w:tc>
        <w:tc>
          <w:tcPr>
            <w:tcW w:w="1708"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noWrap w:val="0"/>
            <w:vAlign w:val="center"/>
          </w:tcPr>
          <w:p>
            <w:pPr>
              <w:jc w:val="center"/>
              <w:rPr>
                <w:rFonts w:hint="eastAsia" w:ascii="仿宋_GB2312" w:eastAsia="仿宋_GB2312"/>
                <w:color w:val="000000"/>
              </w:rPr>
            </w:pPr>
            <w:r>
              <w:rPr>
                <w:rFonts w:hint="eastAsia" w:ascii="仿宋_GB2312" w:eastAsia="仿宋_GB2312"/>
                <w:color w:val="000000"/>
              </w:rPr>
              <w:t>毕业学校</w:t>
            </w:r>
          </w:p>
        </w:tc>
        <w:tc>
          <w:tcPr>
            <w:tcW w:w="7393" w:type="dxa"/>
            <w:gridSpan w:val="5"/>
            <w:noWrap w:val="0"/>
            <w:vAlign w:val="center"/>
          </w:tcPr>
          <w:p>
            <w:pPr>
              <w:jc w:val="center"/>
              <w:rPr>
                <w:rFonts w:hint="eastAsia" w:ascii="仿宋_GB2312" w:eastAsia="仿宋_GB2312"/>
                <w:color w:val="000000"/>
              </w:rPr>
            </w:pPr>
            <w:r>
              <w:rPr>
                <w:rFonts w:hint="eastAsia" w:ascii="仿宋_GB2312" w:eastAsia="仿宋_GB2312"/>
                <w:color w:val="000000"/>
                <w:u w:val="single"/>
              </w:rPr>
              <w:t>（       年）</w:t>
            </w:r>
            <w:r>
              <w:rPr>
                <w:rFonts w:hint="eastAsia" w:ascii="仿宋_GB2312" w:eastAsia="仿宋_GB2312"/>
                <w:color w:val="000000"/>
              </w:rPr>
              <w:t>毕业于（</w:t>
            </w:r>
            <w:r>
              <w:rPr>
                <w:rFonts w:hint="eastAsia" w:ascii="仿宋_GB2312" w:eastAsia="仿宋_GB2312"/>
                <w:color w:val="000000"/>
                <w:u w:val="single"/>
              </w:rPr>
              <w:t xml:space="preserve">         </w:t>
            </w:r>
            <w:r>
              <w:rPr>
                <w:rFonts w:hint="eastAsia" w:ascii="仿宋_GB2312" w:eastAsia="仿宋_GB2312"/>
                <w:color w:val="000000"/>
              </w:rPr>
              <w:t>）学校（</w:t>
            </w:r>
            <w:r>
              <w:rPr>
                <w:rFonts w:hint="eastAsia" w:ascii="仿宋_GB2312" w:eastAsia="仿宋_GB2312"/>
                <w:color w:val="000000"/>
                <w:u w:val="single"/>
              </w:rPr>
              <w:t xml:space="preserve">      </w:t>
            </w:r>
            <w:r>
              <w:rPr>
                <w:rFonts w:hint="eastAsia" w:ascii="仿宋_GB2312" w:eastAsia="仿宋_GB2312"/>
                <w:color w:val="000000"/>
              </w:rPr>
              <w:t>）专业（</w:t>
            </w:r>
            <w:r>
              <w:rPr>
                <w:rFonts w:hint="eastAsia" w:ascii="仿宋_GB2312" w:eastAsia="仿宋_GB2312"/>
                <w:b/>
                <w:color w:val="000000"/>
                <w:sz w:val="16"/>
              </w:rPr>
              <w:t>毕业证上列信息</w:t>
            </w:r>
            <w:r>
              <w:rPr>
                <w:rFonts w:hint="eastAsia" w:ascii="仿宋_GB2312" w:eastAsia="仿宋_GB2312"/>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14" w:type="dxa"/>
            <w:gridSpan w:val="6"/>
            <w:noWrap w:val="0"/>
            <w:vAlign w:val="center"/>
          </w:tcPr>
          <w:p>
            <w:pPr>
              <w:jc w:val="center"/>
              <w:rPr>
                <w:rFonts w:hint="eastAsia" w:ascii="仿宋_GB2312" w:eastAsia="仿宋_GB2312"/>
                <w:color w:val="000000"/>
              </w:rPr>
            </w:pPr>
            <w:r>
              <w:rPr>
                <w:rFonts w:hint="eastAsia" w:ascii="仿宋_GB2312" w:eastAsia="仿宋_GB2312"/>
                <w:color w:val="000000"/>
              </w:rPr>
              <w:t>主要施工管理经历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noWrap w:val="0"/>
            <w:vAlign w:val="center"/>
          </w:tcPr>
          <w:p>
            <w:pPr>
              <w:jc w:val="center"/>
              <w:rPr>
                <w:rFonts w:hint="eastAsia" w:ascii="仿宋_GB2312" w:eastAsia="仿宋_GB2312"/>
                <w:color w:val="000000"/>
              </w:rPr>
            </w:pPr>
            <w:r>
              <w:rPr>
                <w:rFonts w:hint="eastAsia" w:ascii="仿宋_GB2312" w:eastAsia="仿宋_GB2312"/>
                <w:color w:val="000000"/>
              </w:rPr>
              <w:t>时    间</w:t>
            </w:r>
          </w:p>
        </w:tc>
        <w:tc>
          <w:tcPr>
            <w:tcW w:w="4263" w:type="dxa"/>
            <w:gridSpan w:val="3"/>
            <w:noWrap w:val="0"/>
            <w:vAlign w:val="center"/>
          </w:tcPr>
          <w:p>
            <w:pPr>
              <w:jc w:val="center"/>
              <w:rPr>
                <w:rFonts w:hint="eastAsia" w:ascii="仿宋_GB2312" w:eastAsia="仿宋_GB2312"/>
                <w:color w:val="000000"/>
              </w:rPr>
            </w:pPr>
            <w:r>
              <w:rPr>
                <w:rFonts w:hint="eastAsia" w:ascii="仿宋_GB2312" w:eastAsia="仿宋_GB2312"/>
                <w:color w:val="000000"/>
              </w:rPr>
              <w:t>参加过的类似项目</w:t>
            </w:r>
          </w:p>
        </w:tc>
        <w:tc>
          <w:tcPr>
            <w:tcW w:w="1422" w:type="dxa"/>
            <w:noWrap w:val="0"/>
            <w:vAlign w:val="center"/>
          </w:tcPr>
          <w:p>
            <w:pPr>
              <w:jc w:val="center"/>
              <w:rPr>
                <w:rFonts w:hint="eastAsia" w:ascii="仿宋_GB2312" w:eastAsia="仿宋_GB2312"/>
                <w:color w:val="000000"/>
              </w:rPr>
            </w:pPr>
            <w:r>
              <w:rPr>
                <w:rFonts w:hint="eastAsia" w:ascii="仿宋_GB2312" w:eastAsia="仿宋_GB2312"/>
                <w:color w:val="000000"/>
              </w:rPr>
              <w:t>担任职务</w:t>
            </w:r>
          </w:p>
        </w:tc>
        <w:tc>
          <w:tcPr>
            <w:tcW w:w="1708" w:type="dxa"/>
            <w:noWrap w:val="0"/>
            <w:vAlign w:val="center"/>
          </w:tcPr>
          <w:p>
            <w:pPr>
              <w:jc w:val="center"/>
              <w:rPr>
                <w:rFonts w:hint="eastAsia" w:ascii="仿宋_GB2312" w:eastAsia="仿宋_GB2312"/>
                <w:color w:val="000000"/>
              </w:rPr>
            </w:pPr>
            <w:r>
              <w:rPr>
                <w:rFonts w:hint="eastAsia" w:ascii="仿宋_GB2312" w:eastAsia="仿宋_GB2312"/>
                <w:color w:val="000000"/>
              </w:rPr>
              <w:t>发包人及</w:t>
            </w:r>
          </w:p>
          <w:p>
            <w:pPr>
              <w:jc w:val="center"/>
              <w:rPr>
                <w:rFonts w:hint="eastAsia" w:ascii="仿宋_GB2312" w:eastAsia="仿宋_GB2312"/>
                <w:color w:val="000000"/>
              </w:rPr>
            </w:pPr>
            <w:r>
              <w:rPr>
                <w:rFonts w:hint="eastAsia" w:ascii="仿宋_GB2312" w:eastAsia="仿宋_GB2312"/>
                <w:color w:val="000000"/>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noWrap w:val="0"/>
            <w:vAlign w:val="center"/>
          </w:tcPr>
          <w:p>
            <w:pPr>
              <w:jc w:val="center"/>
              <w:rPr>
                <w:rFonts w:hint="eastAsia" w:ascii="仿宋_GB2312" w:eastAsia="仿宋_GB2312"/>
                <w:color w:val="000000"/>
                <w:szCs w:val="21"/>
              </w:rPr>
            </w:pPr>
          </w:p>
        </w:tc>
        <w:tc>
          <w:tcPr>
            <w:tcW w:w="4263" w:type="dxa"/>
            <w:gridSpan w:val="3"/>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szCs w:val="21"/>
              </w:rPr>
            </w:pPr>
          </w:p>
        </w:tc>
        <w:tc>
          <w:tcPr>
            <w:tcW w:w="1708"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noWrap w:val="0"/>
            <w:vAlign w:val="center"/>
          </w:tcPr>
          <w:p>
            <w:pPr>
              <w:jc w:val="center"/>
              <w:rPr>
                <w:rFonts w:hint="eastAsia" w:ascii="仿宋_GB2312" w:eastAsia="仿宋_GB2312"/>
                <w:color w:val="000000"/>
                <w:szCs w:val="21"/>
              </w:rPr>
            </w:pPr>
          </w:p>
        </w:tc>
        <w:tc>
          <w:tcPr>
            <w:tcW w:w="4263" w:type="dxa"/>
            <w:gridSpan w:val="3"/>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szCs w:val="21"/>
              </w:rPr>
            </w:pPr>
          </w:p>
        </w:tc>
        <w:tc>
          <w:tcPr>
            <w:tcW w:w="1708"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noWrap w:val="0"/>
            <w:vAlign w:val="center"/>
          </w:tcPr>
          <w:p>
            <w:pPr>
              <w:jc w:val="center"/>
              <w:rPr>
                <w:rFonts w:hint="eastAsia" w:ascii="仿宋_GB2312" w:eastAsia="仿宋_GB2312"/>
                <w:color w:val="000000"/>
                <w:szCs w:val="21"/>
              </w:rPr>
            </w:pPr>
          </w:p>
        </w:tc>
        <w:tc>
          <w:tcPr>
            <w:tcW w:w="4263" w:type="dxa"/>
            <w:gridSpan w:val="3"/>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szCs w:val="21"/>
              </w:rPr>
            </w:pPr>
          </w:p>
        </w:tc>
        <w:tc>
          <w:tcPr>
            <w:tcW w:w="1708"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noWrap w:val="0"/>
            <w:vAlign w:val="center"/>
          </w:tcPr>
          <w:p>
            <w:pPr>
              <w:jc w:val="center"/>
              <w:rPr>
                <w:rFonts w:hint="eastAsia" w:ascii="仿宋_GB2312" w:eastAsia="仿宋_GB2312"/>
                <w:color w:val="000000"/>
                <w:szCs w:val="21"/>
              </w:rPr>
            </w:pPr>
          </w:p>
        </w:tc>
        <w:tc>
          <w:tcPr>
            <w:tcW w:w="4263" w:type="dxa"/>
            <w:gridSpan w:val="3"/>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szCs w:val="21"/>
              </w:rPr>
            </w:pPr>
          </w:p>
        </w:tc>
        <w:tc>
          <w:tcPr>
            <w:tcW w:w="1708"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noWrap w:val="0"/>
            <w:vAlign w:val="center"/>
          </w:tcPr>
          <w:p>
            <w:pPr>
              <w:jc w:val="center"/>
              <w:rPr>
                <w:rFonts w:hint="eastAsia" w:ascii="仿宋_GB2312" w:eastAsia="仿宋_GB2312"/>
                <w:color w:val="000000"/>
                <w:szCs w:val="21"/>
              </w:rPr>
            </w:pPr>
          </w:p>
        </w:tc>
        <w:tc>
          <w:tcPr>
            <w:tcW w:w="4263" w:type="dxa"/>
            <w:gridSpan w:val="3"/>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szCs w:val="21"/>
              </w:rPr>
            </w:pPr>
          </w:p>
        </w:tc>
        <w:tc>
          <w:tcPr>
            <w:tcW w:w="1708"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noWrap w:val="0"/>
            <w:vAlign w:val="center"/>
          </w:tcPr>
          <w:p>
            <w:pPr>
              <w:jc w:val="center"/>
              <w:rPr>
                <w:rFonts w:hint="eastAsia" w:ascii="仿宋_GB2312" w:eastAsia="仿宋_GB2312"/>
                <w:color w:val="000000"/>
                <w:szCs w:val="21"/>
              </w:rPr>
            </w:pPr>
          </w:p>
        </w:tc>
        <w:tc>
          <w:tcPr>
            <w:tcW w:w="4263" w:type="dxa"/>
            <w:gridSpan w:val="3"/>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szCs w:val="21"/>
              </w:rPr>
            </w:pPr>
          </w:p>
        </w:tc>
        <w:tc>
          <w:tcPr>
            <w:tcW w:w="1708"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noWrap w:val="0"/>
            <w:vAlign w:val="center"/>
          </w:tcPr>
          <w:p>
            <w:pPr>
              <w:jc w:val="center"/>
              <w:rPr>
                <w:rFonts w:hint="eastAsia" w:ascii="仿宋_GB2312" w:eastAsia="仿宋_GB2312"/>
                <w:color w:val="000000"/>
                <w:szCs w:val="21"/>
              </w:rPr>
            </w:pPr>
          </w:p>
        </w:tc>
        <w:tc>
          <w:tcPr>
            <w:tcW w:w="4263" w:type="dxa"/>
            <w:gridSpan w:val="3"/>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szCs w:val="21"/>
              </w:rPr>
            </w:pPr>
          </w:p>
        </w:tc>
        <w:tc>
          <w:tcPr>
            <w:tcW w:w="1708"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noWrap w:val="0"/>
            <w:vAlign w:val="center"/>
          </w:tcPr>
          <w:p>
            <w:pPr>
              <w:jc w:val="center"/>
              <w:rPr>
                <w:rFonts w:hint="eastAsia" w:ascii="仿宋_GB2312" w:eastAsia="仿宋_GB2312"/>
                <w:color w:val="000000"/>
                <w:szCs w:val="21"/>
              </w:rPr>
            </w:pPr>
          </w:p>
        </w:tc>
        <w:tc>
          <w:tcPr>
            <w:tcW w:w="4263" w:type="dxa"/>
            <w:gridSpan w:val="3"/>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szCs w:val="21"/>
              </w:rPr>
            </w:pPr>
          </w:p>
        </w:tc>
        <w:tc>
          <w:tcPr>
            <w:tcW w:w="1708"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noWrap w:val="0"/>
            <w:vAlign w:val="center"/>
          </w:tcPr>
          <w:p>
            <w:pPr>
              <w:jc w:val="center"/>
              <w:rPr>
                <w:rFonts w:hint="eastAsia" w:ascii="仿宋_GB2312" w:eastAsia="仿宋_GB2312"/>
                <w:color w:val="000000"/>
                <w:szCs w:val="21"/>
              </w:rPr>
            </w:pPr>
          </w:p>
        </w:tc>
        <w:tc>
          <w:tcPr>
            <w:tcW w:w="4263" w:type="dxa"/>
            <w:gridSpan w:val="3"/>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szCs w:val="21"/>
              </w:rPr>
            </w:pPr>
          </w:p>
        </w:tc>
        <w:tc>
          <w:tcPr>
            <w:tcW w:w="1708"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noWrap w:val="0"/>
            <w:vAlign w:val="center"/>
          </w:tcPr>
          <w:p>
            <w:pPr>
              <w:jc w:val="center"/>
              <w:rPr>
                <w:rFonts w:hint="eastAsia" w:ascii="仿宋_GB2312" w:eastAsia="仿宋_GB2312"/>
                <w:color w:val="000000"/>
                <w:szCs w:val="21"/>
              </w:rPr>
            </w:pPr>
          </w:p>
        </w:tc>
        <w:tc>
          <w:tcPr>
            <w:tcW w:w="4263" w:type="dxa"/>
            <w:gridSpan w:val="3"/>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szCs w:val="21"/>
              </w:rPr>
            </w:pPr>
          </w:p>
        </w:tc>
        <w:tc>
          <w:tcPr>
            <w:tcW w:w="1708" w:type="dxa"/>
            <w:noWrap w:val="0"/>
            <w:vAlign w:val="center"/>
          </w:tcPr>
          <w:p>
            <w:pPr>
              <w:jc w:val="center"/>
              <w:rPr>
                <w:rFonts w:hint="eastAsia" w:ascii="仿宋_GB2312" w:eastAsia="仿宋_GB2312"/>
                <w:color w:val="000000"/>
                <w:szCs w:val="21"/>
              </w:rPr>
            </w:pPr>
          </w:p>
        </w:tc>
      </w:tr>
    </w:tbl>
    <w:p>
      <w:pPr>
        <w:ind w:firstLine="310" w:firstLineChars="147"/>
        <w:rPr>
          <w:rFonts w:eastAsia="仿宋"/>
          <w:b/>
          <w:color w:val="000000"/>
        </w:rPr>
      </w:pPr>
      <w:r>
        <w:rPr>
          <w:rFonts w:eastAsia="仿宋"/>
          <w:b/>
          <w:color w:val="000000"/>
          <w:szCs w:val="21"/>
        </w:rPr>
        <w:t>注：1</w:t>
      </w:r>
      <w:r>
        <w:rPr>
          <w:rFonts w:hint="eastAsia" w:eastAsia="仿宋"/>
          <w:b/>
          <w:color w:val="000000"/>
          <w:szCs w:val="21"/>
        </w:rPr>
        <w:t>.</w:t>
      </w:r>
      <w:r>
        <w:rPr>
          <w:rFonts w:eastAsia="仿宋"/>
          <w:b/>
          <w:color w:val="000000"/>
        </w:rPr>
        <w:t>项目负责人应附注册建造师</w:t>
      </w:r>
      <w:r>
        <w:rPr>
          <w:rFonts w:eastAsia="仿宋"/>
          <w:b/>
          <w:color w:val="000000"/>
          <w:szCs w:val="21"/>
        </w:rPr>
        <w:t>执业证书</w:t>
      </w:r>
      <w:r>
        <w:rPr>
          <w:rFonts w:eastAsia="仿宋"/>
          <w:b/>
          <w:color w:val="000000"/>
        </w:rPr>
        <w:t>、第二代身份证、职称证、毕业证、业绩证明材料（如有）、社会保险证明、</w:t>
      </w:r>
      <w:r>
        <w:rPr>
          <w:rFonts w:eastAsia="仿宋"/>
          <w:b/>
          <w:color w:val="000000"/>
          <w:szCs w:val="21"/>
        </w:rPr>
        <w:t>B类</w:t>
      </w:r>
      <w:r>
        <w:rPr>
          <w:rFonts w:eastAsia="仿宋"/>
          <w:b/>
          <w:color w:val="000000"/>
        </w:rPr>
        <w:t>安全生产考核合格证书</w:t>
      </w:r>
      <w:r>
        <w:rPr>
          <w:rFonts w:eastAsia="仿宋"/>
          <w:b/>
          <w:color w:val="000000"/>
          <w:szCs w:val="21"/>
        </w:rPr>
        <w:t>等的</w:t>
      </w:r>
      <w:r>
        <w:rPr>
          <w:rFonts w:hint="eastAsia" w:eastAsia="仿宋"/>
          <w:b/>
          <w:color w:val="000000"/>
        </w:rPr>
        <w:t>原件扫描件</w:t>
      </w:r>
      <w:r>
        <w:rPr>
          <w:rFonts w:eastAsia="仿宋"/>
          <w:b/>
          <w:color w:val="000000"/>
        </w:rPr>
        <w:t>。</w:t>
      </w:r>
    </w:p>
    <w:p>
      <w:pPr>
        <w:ind w:firstLine="723" w:firstLineChars="343"/>
        <w:rPr>
          <w:rFonts w:eastAsia="仿宋"/>
          <w:color w:val="000000"/>
        </w:rPr>
      </w:pPr>
      <w:r>
        <w:rPr>
          <w:rFonts w:eastAsia="仿宋"/>
          <w:b/>
          <w:color w:val="000000"/>
        </w:rPr>
        <w:t>2</w:t>
      </w:r>
      <w:r>
        <w:rPr>
          <w:rFonts w:hint="eastAsia" w:eastAsia="仿宋"/>
          <w:b/>
          <w:color w:val="000000"/>
        </w:rPr>
        <w:t>.</w:t>
      </w:r>
      <w:r>
        <w:rPr>
          <w:rFonts w:eastAsia="仿宋"/>
          <w:b/>
          <w:color w:val="000000"/>
        </w:rPr>
        <w:t>上述相关材料</w:t>
      </w:r>
      <w:r>
        <w:rPr>
          <w:rFonts w:hint="eastAsia" w:eastAsia="仿宋"/>
          <w:b/>
          <w:color w:val="000000"/>
        </w:rPr>
        <w:t>原件扫描件</w:t>
      </w:r>
      <w:r>
        <w:rPr>
          <w:rFonts w:eastAsia="仿宋"/>
          <w:b/>
          <w:color w:val="000000"/>
        </w:rPr>
        <w:t>附本表后。</w:t>
      </w:r>
    </w:p>
    <w:p>
      <w:pPr>
        <w:pStyle w:val="41"/>
        <w:spacing w:before="120" w:beforeLines="50" w:afterLines="50" w:line="600" w:lineRule="exact"/>
        <w:ind w:left="0" w:leftChars="0"/>
        <w:jc w:val="center"/>
        <w:rPr>
          <w:rFonts w:hint="eastAsia" w:ascii="方正小标宋简体" w:eastAsia="方正小标宋简体"/>
          <w:color w:val="000000"/>
          <w:sz w:val="36"/>
          <w:szCs w:val="44"/>
        </w:rPr>
      </w:pPr>
      <w:r>
        <w:rPr>
          <w:color w:val="000000"/>
        </w:rPr>
        <w:br w:type="page"/>
      </w:r>
      <w:r>
        <w:rPr>
          <w:rFonts w:hint="eastAsia" w:ascii="方正小标宋简体" w:eastAsia="方正小标宋简体"/>
          <w:color w:val="000000"/>
          <w:sz w:val="36"/>
          <w:szCs w:val="44"/>
        </w:rPr>
        <w:t>拟任技术负责人简历表</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1421"/>
        <w:gridCol w:w="1421"/>
        <w:gridCol w:w="1421"/>
        <w:gridCol w:w="1422"/>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noWrap w:val="0"/>
            <w:vAlign w:val="center"/>
          </w:tcPr>
          <w:p>
            <w:pPr>
              <w:jc w:val="center"/>
              <w:rPr>
                <w:rFonts w:hint="eastAsia" w:ascii="仿宋_GB2312" w:eastAsia="仿宋_GB2312"/>
                <w:color w:val="000000"/>
              </w:rPr>
            </w:pPr>
            <w:r>
              <w:rPr>
                <w:rFonts w:hint="eastAsia" w:ascii="仿宋_GB2312" w:eastAsia="仿宋_GB2312"/>
                <w:color w:val="000000"/>
              </w:rPr>
              <w:t>姓    名</w:t>
            </w:r>
          </w:p>
        </w:tc>
        <w:tc>
          <w:tcPr>
            <w:tcW w:w="1421" w:type="dxa"/>
            <w:noWrap w:val="0"/>
            <w:vAlign w:val="center"/>
          </w:tcPr>
          <w:p>
            <w:pPr>
              <w:jc w:val="center"/>
              <w:rPr>
                <w:rFonts w:hint="eastAsia" w:ascii="仿宋_GB2312" w:eastAsia="仿宋_GB2312"/>
                <w:color w:val="000000"/>
                <w:szCs w:val="21"/>
              </w:rPr>
            </w:pPr>
          </w:p>
        </w:tc>
        <w:tc>
          <w:tcPr>
            <w:tcW w:w="1421" w:type="dxa"/>
            <w:noWrap w:val="0"/>
            <w:vAlign w:val="center"/>
          </w:tcPr>
          <w:p>
            <w:pPr>
              <w:jc w:val="center"/>
              <w:rPr>
                <w:rFonts w:hint="eastAsia" w:ascii="仿宋_GB2312" w:eastAsia="仿宋_GB2312"/>
                <w:color w:val="000000"/>
              </w:rPr>
            </w:pPr>
            <w:r>
              <w:rPr>
                <w:rFonts w:hint="eastAsia" w:ascii="仿宋_GB2312" w:eastAsia="仿宋_GB2312"/>
                <w:color w:val="000000"/>
              </w:rPr>
              <w:t>年龄</w:t>
            </w:r>
          </w:p>
        </w:tc>
        <w:tc>
          <w:tcPr>
            <w:tcW w:w="1421" w:type="dxa"/>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rPr>
            </w:pPr>
            <w:r>
              <w:rPr>
                <w:rFonts w:hint="eastAsia" w:ascii="仿宋_GB2312" w:eastAsia="仿宋_GB2312"/>
                <w:color w:val="000000"/>
              </w:rPr>
              <w:t>学    历</w:t>
            </w:r>
          </w:p>
        </w:tc>
        <w:tc>
          <w:tcPr>
            <w:tcW w:w="1980"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noWrap w:val="0"/>
            <w:vAlign w:val="center"/>
          </w:tcPr>
          <w:p>
            <w:pPr>
              <w:jc w:val="center"/>
              <w:rPr>
                <w:rFonts w:hint="eastAsia" w:ascii="仿宋_GB2312" w:eastAsia="仿宋_GB2312"/>
                <w:color w:val="000000"/>
              </w:rPr>
            </w:pPr>
            <w:r>
              <w:rPr>
                <w:rFonts w:hint="eastAsia" w:ascii="仿宋_GB2312" w:eastAsia="仿宋_GB2312"/>
                <w:color w:val="000000"/>
              </w:rPr>
              <w:t>职    称</w:t>
            </w:r>
          </w:p>
        </w:tc>
        <w:tc>
          <w:tcPr>
            <w:tcW w:w="1421" w:type="dxa"/>
            <w:noWrap w:val="0"/>
            <w:vAlign w:val="center"/>
          </w:tcPr>
          <w:p>
            <w:pPr>
              <w:jc w:val="center"/>
              <w:rPr>
                <w:rFonts w:hint="eastAsia" w:ascii="仿宋_GB2312" w:eastAsia="仿宋_GB2312"/>
                <w:color w:val="000000"/>
                <w:szCs w:val="21"/>
              </w:rPr>
            </w:pPr>
          </w:p>
        </w:tc>
        <w:tc>
          <w:tcPr>
            <w:tcW w:w="1421" w:type="dxa"/>
            <w:noWrap w:val="0"/>
            <w:vAlign w:val="center"/>
          </w:tcPr>
          <w:p>
            <w:pPr>
              <w:jc w:val="center"/>
              <w:rPr>
                <w:rFonts w:hint="eastAsia" w:ascii="仿宋_GB2312" w:eastAsia="仿宋_GB2312"/>
                <w:color w:val="000000"/>
              </w:rPr>
            </w:pPr>
            <w:r>
              <w:rPr>
                <w:rFonts w:hint="eastAsia" w:ascii="仿宋_GB2312" w:eastAsia="仿宋_GB2312"/>
                <w:color w:val="000000"/>
              </w:rPr>
              <w:t>职务</w:t>
            </w:r>
          </w:p>
        </w:tc>
        <w:tc>
          <w:tcPr>
            <w:tcW w:w="1421" w:type="dxa"/>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rPr>
            </w:pPr>
            <w:r>
              <w:rPr>
                <w:rFonts w:hint="eastAsia" w:ascii="仿宋_GB2312" w:eastAsia="仿宋_GB2312"/>
                <w:color w:val="000000"/>
              </w:rPr>
              <w:t>拟在本合同任职</w:t>
            </w:r>
          </w:p>
        </w:tc>
        <w:tc>
          <w:tcPr>
            <w:tcW w:w="1980"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noWrap w:val="0"/>
            <w:vAlign w:val="center"/>
          </w:tcPr>
          <w:p>
            <w:pPr>
              <w:jc w:val="center"/>
              <w:rPr>
                <w:rFonts w:hint="eastAsia" w:ascii="仿宋_GB2312" w:eastAsia="仿宋_GB2312"/>
                <w:color w:val="000000"/>
              </w:rPr>
            </w:pPr>
            <w:r>
              <w:rPr>
                <w:rFonts w:hint="eastAsia" w:ascii="仿宋_GB2312" w:eastAsia="仿宋_GB2312"/>
                <w:color w:val="000000"/>
              </w:rPr>
              <w:t>毕业学校</w:t>
            </w:r>
          </w:p>
        </w:tc>
        <w:tc>
          <w:tcPr>
            <w:tcW w:w="7665" w:type="dxa"/>
            <w:gridSpan w:val="5"/>
            <w:noWrap w:val="0"/>
            <w:vAlign w:val="center"/>
          </w:tcPr>
          <w:p>
            <w:pPr>
              <w:jc w:val="center"/>
              <w:rPr>
                <w:rFonts w:hint="eastAsia" w:ascii="仿宋_GB2312" w:eastAsia="仿宋_GB2312"/>
                <w:color w:val="000000"/>
              </w:rPr>
            </w:pPr>
            <w:r>
              <w:rPr>
                <w:rFonts w:hint="eastAsia" w:ascii="仿宋_GB2312" w:eastAsia="仿宋_GB2312"/>
                <w:color w:val="000000"/>
                <w:u w:val="single"/>
              </w:rPr>
              <w:t>（       年）</w:t>
            </w:r>
            <w:r>
              <w:rPr>
                <w:rFonts w:hint="eastAsia" w:ascii="仿宋_GB2312" w:eastAsia="仿宋_GB2312"/>
                <w:color w:val="000000"/>
              </w:rPr>
              <w:t>毕业于（</w:t>
            </w:r>
            <w:r>
              <w:rPr>
                <w:rFonts w:hint="eastAsia" w:ascii="仿宋_GB2312" w:eastAsia="仿宋_GB2312"/>
                <w:color w:val="000000"/>
                <w:u w:val="single"/>
              </w:rPr>
              <w:t xml:space="preserve">         </w:t>
            </w:r>
            <w:r>
              <w:rPr>
                <w:rFonts w:hint="eastAsia" w:ascii="仿宋_GB2312" w:eastAsia="仿宋_GB2312"/>
                <w:color w:val="000000"/>
              </w:rPr>
              <w:t>）学校（</w:t>
            </w:r>
            <w:r>
              <w:rPr>
                <w:rFonts w:hint="eastAsia" w:ascii="仿宋_GB2312" w:eastAsia="仿宋_GB2312"/>
                <w:color w:val="000000"/>
                <w:u w:val="single"/>
              </w:rPr>
              <w:t xml:space="preserve">      </w:t>
            </w:r>
            <w:r>
              <w:rPr>
                <w:rFonts w:hint="eastAsia" w:ascii="仿宋_GB2312" w:eastAsia="仿宋_GB2312"/>
                <w:color w:val="000000"/>
              </w:rPr>
              <w:t>）专业（</w:t>
            </w:r>
            <w:r>
              <w:rPr>
                <w:rFonts w:hint="eastAsia" w:ascii="仿宋_GB2312" w:eastAsia="仿宋_GB2312"/>
                <w:b/>
                <w:color w:val="000000"/>
                <w:sz w:val="16"/>
              </w:rPr>
              <w:t>毕业证上列信息</w:t>
            </w:r>
            <w:r>
              <w:rPr>
                <w:rFonts w:hint="eastAsia" w:ascii="仿宋_GB2312" w:eastAsia="仿宋_GB2312"/>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86" w:type="dxa"/>
            <w:gridSpan w:val="6"/>
            <w:noWrap w:val="0"/>
            <w:vAlign w:val="center"/>
          </w:tcPr>
          <w:p>
            <w:pPr>
              <w:jc w:val="center"/>
              <w:rPr>
                <w:rFonts w:hint="eastAsia" w:ascii="仿宋_GB2312" w:eastAsia="仿宋_GB2312"/>
                <w:color w:val="000000"/>
              </w:rPr>
            </w:pPr>
            <w:r>
              <w:rPr>
                <w:rFonts w:hint="eastAsia" w:ascii="仿宋_GB2312" w:eastAsia="仿宋_GB2312"/>
                <w:color w:val="000000"/>
              </w:rPr>
              <w:t>主要施工管理经历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noWrap w:val="0"/>
            <w:vAlign w:val="center"/>
          </w:tcPr>
          <w:p>
            <w:pPr>
              <w:jc w:val="center"/>
              <w:rPr>
                <w:rFonts w:hint="eastAsia" w:ascii="仿宋_GB2312" w:eastAsia="仿宋_GB2312"/>
                <w:color w:val="000000"/>
              </w:rPr>
            </w:pPr>
            <w:r>
              <w:rPr>
                <w:rFonts w:hint="eastAsia" w:ascii="仿宋_GB2312" w:eastAsia="仿宋_GB2312"/>
                <w:color w:val="000000"/>
              </w:rPr>
              <w:t>时    间</w:t>
            </w:r>
          </w:p>
        </w:tc>
        <w:tc>
          <w:tcPr>
            <w:tcW w:w="4263" w:type="dxa"/>
            <w:gridSpan w:val="3"/>
            <w:noWrap w:val="0"/>
            <w:vAlign w:val="center"/>
          </w:tcPr>
          <w:p>
            <w:pPr>
              <w:jc w:val="center"/>
              <w:rPr>
                <w:rFonts w:hint="eastAsia" w:ascii="仿宋_GB2312" w:eastAsia="仿宋_GB2312"/>
                <w:color w:val="000000"/>
              </w:rPr>
            </w:pPr>
            <w:r>
              <w:rPr>
                <w:rFonts w:hint="eastAsia" w:ascii="仿宋_GB2312" w:eastAsia="仿宋_GB2312"/>
                <w:color w:val="000000"/>
              </w:rPr>
              <w:t>参加过的类似项目</w:t>
            </w:r>
          </w:p>
        </w:tc>
        <w:tc>
          <w:tcPr>
            <w:tcW w:w="1422" w:type="dxa"/>
            <w:noWrap w:val="0"/>
            <w:vAlign w:val="center"/>
          </w:tcPr>
          <w:p>
            <w:pPr>
              <w:jc w:val="center"/>
              <w:rPr>
                <w:rFonts w:hint="eastAsia" w:ascii="仿宋_GB2312" w:eastAsia="仿宋_GB2312"/>
                <w:color w:val="000000"/>
              </w:rPr>
            </w:pPr>
            <w:r>
              <w:rPr>
                <w:rFonts w:hint="eastAsia" w:ascii="仿宋_GB2312" w:eastAsia="仿宋_GB2312"/>
                <w:color w:val="000000"/>
              </w:rPr>
              <w:t>担任职务</w:t>
            </w:r>
          </w:p>
        </w:tc>
        <w:tc>
          <w:tcPr>
            <w:tcW w:w="1980" w:type="dxa"/>
            <w:noWrap w:val="0"/>
            <w:vAlign w:val="center"/>
          </w:tcPr>
          <w:p>
            <w:pPr>
              <w:jc w:val="center"/>
              <w:rPr>
                <w:rFonts w:hint="eastAsia" w:ascii="仿宋_GB2312" w:eastAsia="仿宋_GB2312"/>
                <w:color w:val="000000"/>
              </w:rPr>
            </w:pPr>
            <w:r>
              <w:rPr>
                <w:rFonts w:hint="eastAsia" w:ascii="仿宋_GB2312" w:eastAsia="仿宋_GB2312"/>
                <w:color w:val="000000"/>
              </w:rPr>
              <w:t>发包人及</w:t>
            </w:r>
          </w:p>
          <w:p>
            <w:pPr>
              <w:jc w:val="center"/>
              <w:rPr>
                <w:rFonts w:hint="eastAsia" w:ascii="仿宋_GB2312" w:eastAsia="仿宋_GB2312"/>
                <w:color w:val="000000"/>
              </w:rPr>
            </w:pPr>
            <w:r>
              <w:rPr>
                <w:rFonts w:hint="eastAsia" w:ascii="仿宋_GB2312" w:eastAsia="仿宋_GB2312"/>
                <w:color w:val="000000"/>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noWrap w:val="0"/>
            <w:vAlign w:val="center"/>
          </w:tcPr>
          <w:p>
            <w:pPr>
              <w:jc w:val="center"/>
              <w:rPr>
                <w:rFonts w:hint="eastAsia" w:ascii="仿宋_GB2312" w:eastAsia="仿宋_GB2312"/>
                <w:color w:val="000000"/>
                <w:szCs w:val="21"/>
              </w:rPr>
            </w:pPr>
          </w:p>
        </w:tc>
        <w:tc>
          <w:tcPr>
            <w:tcW w:w="4263" w:type="dxa"/>
            <w:gridSpan w:val="3"/>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szCs w:val="21"/>
              </w:rPr>
            </w:pPr>
          </w:p>
        </w:tc>
        <w:tc>
          <w:tcPr>
            <w:tcW w:w="1980"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noWrap w:val="0"/>
            <w:vAlign w:val="center"/>
          </w:tcPr>
          <w:p>
            <w:pPr>
              <w:jc w:val="center"/>
              <w:rPr>
                <w:rFonts w:hint="eastAsia" w:ascii="仿宋_GB2312" w:eastAsia="仿宋_GB2312"/>
                <w:color w:val="000000"/>
                <w:szCs w:val="21"/>
              </w:rPr>
            </w:pPr>
          </w:p>
        </w:tc>
        <w:tc>
          <w:tcPr>
            <w:tcW w:w="4263" w:type="dxa"/>
            <w:gridSpan w:val="3"/>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szCs w:val="21"/>
              </w:rPr>
            </w:pPr>
          </w:p>
        </w:tc>
        <w:tc>
          <w:tcPr>
            <w:tcW w:w="1980"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noWrap w:val="0"/>
            <w:vAlign w:val="center"/>
          </w:tcPr>
          <w:p>
            <w:pPr>
              <w:jc w:val="center"/>
              <w:rPr>
                <w:rFonts w:hint="eastAsia" w:ascii="仿宋_GB2312" w:eastAsia="仿宋_GB2312"/>
                <w:color w:val="000000"/>
                <w:szCs w:val="21"/>
              </w:rPr>
            </w:pPr>
          </w:p>
        </w:tc>
        <w:tc>
          <w:tcPr>
            <w:tcW w:w="4263" w:type="dxa"/>
            <w:gridSpan w:val="3"/>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szCs w:val="21"/>
              </w:rPr>
            </w:pPr>
          </w:p>
        </w:tc>
        <w:tc>
          <w:tcPr>
            <w:tcW w:w="1980"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noWrap w:val="0"/>
            <w:vAlign w:val="center"/>
          </w:tcPr>
          <w:p>
            <w:pPr>
              <w:jc w:val="center"/>
              <w:rPr>
                <w:rFonts w:hint="eastAsia" w:ascii="仿宋_GB2312" w:eastAsia="仿宋_GB2312"/>
                <w:color w:val="000000"/>
                <w:szCs w:val="21"/>
              </w:rPr>
            </w:pPr>
          </w:p>
        </w:tc>
        <w:tc>
          <w:tcPr>
            <w:tcW w:w="4263" w:type="dxa"/>
            <w:gridSpan w:val="3"/>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szCs w:val="21"/>
              </w:rPr>
            </w:pPr>
          </w:p>
        </w:tc>
        <w:tc>
          <w:tcPr>
            <w:tcW w:w="1980"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noWrap w:val="0"/>
            <w:vAlign w:val="center"/>
          </w:tcPr>
          <w:p>
            <w:pPr>
              <w:jc w:val="center"/>
              <w:rPr>
                <w:rFonts w:hint="eastAsia" w:ascii="仿宋_GB2312" w:eastAsia="仿宋_GB2312"/>
                <w:color w:val="000000"/>
                <w:szCs w:val="21"/>
              </w:rPr>
            </w:pPr>
          </w:p>
        </w:tc>
        <w:tc>
          <w:tcPr>
            <w:tcW w:w="4263" w:type="dxa"/>
            <w:gridSpan w:val="3"/>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szCs w:val="21"/>
              </w:rPr>
            </w:pPr>
          </w:p>
        </w:tc>
        <w:tc>
          <w:tcPr>
            <w:tcW w:w="1980"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noWrap w:val="0"/>
            <w:vAlign w:val="center"/>
          </w:tcPr>
          <w:p>
            <w:pPr>
              <w:jc w:val="center"/>
              <w:rPr>
                <w:rFonts w:hint="eastAsia" w:ascii="仿宋_GB2312" w:eastAsia="仿宋_GB2312"/>
                <w:color w:val="000000"/>
                <w:szCs w:val="21"/>
              </w:rPr>
            </w:pPr>
          </w:p>
        </w:tc>
        <w:tc>
          <w:tcPr>
            <w:tcW w:w="4263" w:type="dxa"/>
            <w:gridSpan w:val="3"/>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szCs w:val="21"/>
              </w:rPr>
            </w:pPr>
          </w:p>
        </w:tc>
        <w:tc>
          <w:tcPr>
            <w:tcW w:w="1980"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noWrap w:val="0"/>
            <w:vAlign w:val="center"/>
          </w:tcPr>
          <w:p>
            <w:pPr>
              <w:jc w:val="center"/>
              <w:rPr>
                <w:rFonts w:hint="eastAsia" w:ascii="仿宋_GB2312" w:eastAsia="仿宋_GB2312"/>
                <w:color w:val="000000"/>
                <w:szCs w:val="21"/>
              </w:rPr>
            </w:pPr>
          </w:p>
        </w:tc>
        <w:tc>
          <w:tcPr>
            <w:tcW w:w="4263" w:type="dxa"/>
            <w:gridSpan w:val="3"/>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szCs w:val="21"/>
              </w:rPr>
            </w:pPr>
          </w:p>
        </w:tc>
        <w:tc>
          <w:tcPr>
            <w:tcW w:w="1980"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noWrap w:val="0"/>
            <w:vAlign w:val="center"/>
          </w:tcPr>
          <w:p>
            <w:pPr>
              <w:jc w:val="center"/>
              <w:rPr>
                <w:rFonts w:hint="eastAsia" w:ascii="仿宋_GB2312" w:eastAsia="仿宋_GB2312"/>
                <w:color w:val="000000"/>
                <w:szCs w:val="21"/>
              </w:rPr>
            </w:pPr>
          </w:p>
        </w:tc>
        <w:tc>
          <w:tcPr>
            <w:tcW w:w="4263" w:type="dxa"/>
            <w:gridSpan w:val="3"/>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szCs w:val="21"/>
              </w:rPr>
            </w:pPr>
          </w:p>
        </w:tc>
        <w:tc>
          <w:tcPr>
            <w:tcW w:w="1980"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noWrap w:val="0"/>
            <w:vAlign w:val="center"/>
          </w:tcPr>
          <w:p>
            <w:pPr>
              <w:jc w:val="center"/>
              <w:rPr>
                <w:rFonts w:hint="eastAsia" w:ascii="仿宋_GB2312" w:eastAsia="仿宋_GB2312"/>
                <w:color w:val="000000"/>
                <w:szCs w:val="21"/>
              </w:rPr>
            </w:pPr>
          </w:p>
        </w:tc>
        <w:tc>
          <w:tcPr>
            <w:tcW w:w="4263" w:type="dxa"/>
            <w:gridSpan w:val="3"/>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szCs w:val="21"/>
              </w:rPr>
            </w:pPr>
          </w:p>
        </w:tc>
        <w:tc>
          <w:tcPr>
            <w:tcW w:w="1980"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noWrap w:val="0"/>
            <w:vAlign w:val="center"/>
          </w:tcPr>
          <w:p>
            <w:pPr>
              <w:jc w:val="center"/>
              <w:rPr>
                <w:rFonts w:hint="eastAsia" w:ascii="仿宋_GB2312" w:eastAsia="仿宋_GB2312"/>
                <w:color w:val="000000"/>
                <w:szCs w:val="21"/>
              </w:rPr>
            </w:pPr>
          </w:p>
        </w:tc>
        <w:tc>
          <w:tcPr>
            <w:tcW w:w="4263" w:type="dxa"/>
            <w:gridSpan w:val="3"/>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szCs w:val="21"/>
              </w:rPr>
            </w:pPr>
          </w:p>
        </w:tc>
        <w:tc>
          <w:tcPr>
            <w:tcW w:w="1980" w:type="dxa"/>
            <w:noWrap w:val="0"/>
            <w:vAlign w:val="center"/>
          </w:tcPr>
          <w:p>
            <w:pPr>
              <w:jc w:val="center"/>
              <w:rPr>
                <w:rFonts w:hint="eastAsia" w:ascii="仿宋_GB2312" w:eastAsia="仿宋_GB2312"/>
                <w:color w:val="000000"/>
                <w:szCs w:val="21"/>
              </w:rPr>
            </w:pPr>
          </w:p>
        </w:tc>
      </w:tr>
    </w:tbl>
    <w:p>
      <w:pPr>
        <w:ind w:firstLine="310" w:firstLineChars="147"/>
        <w:rPr>
          <w:rFonts w:eastAsia="仿宋"/>
          <w:b/>
          <w:color w:val="000000"/>
        </w:rPr>
      </w:pPr>
      <w:r>
        <w:rPr>
          <w:rFonts w:eastAsia="仿宋"/>
          <w:b/>
          <w:color w:val="000000"/>
          <w:szCs w:val="21"/>
        </w:rPr>
        <w:t>注：1</w:t>
      </w:r>
      <w:r>
        <w:rPr>
          <w:rFonts w:hint="eastAsia" w:eastAsia="仿宋"/>
          <w:b/>
          <w:color w:val="000000"/>
          <w:szCs w:val="21"/>
        </w:rPr>
        <w:t>.</w:t>
      </w:r>
      <w:r>
        <w:rPr>
          <w:rFonts w:eastAsia="仿宋"/>
          <w:b/>
          <w:color w:val="000000"/>
        </w:rPr>
        <w:t>技术负责人应附第二代身份证、职称证、毕业证、业绩证明材料（如有）、社会保险证明</w:t>
      </w:r>
      <w:r>
        <w:rPr>
          <w:rFonts w:eastAsia="仿宋"/>
          <w:b/>
          <w:color w:val="000000"/>
          <w:szCs w:val="21"/>
        </w:rPr>
        <w:t>等的</w:t>
      </w:r>
      <w:r>
        <w:rPr>
          <w:rFonts w:hint="eastAsia" w:eastAsia="仿宋"/>
          <w:b/>
          <w:color w:val="000000"/>
        </w:rPr>
        <w:t>原件扫描件</w:t>
      </w:r>
      <w:r>
        <w:rPr>
          <w:rFonts w:eastAsia="仿宋"/>
          <w:b/>
          <w:color w:val="000000"/>
        </w:rPr>
        <w:t>。</w:t>
      </w:r>
    </w:p>
    <w:p>
      <w:pPr>
        <w:ind w:firstLine="723" w:firstLineChars="343"/>
        <w:rPr>
          <w:rFonts w:eastAsia="仿宋"/>
          <w:color w:val="000000"/>
        </w:rPr>
      </w:pPr>
      <w:r>
        <w:rPr>
          <w:rFonts w:eastAsia="仿宋"/>
          <w:b/>
          <w:color w:val="000000"/>
        </w:rPr>
        <w:t>2</w:t>
      </w:r>
      <w:r>
        <w:rPr>
          <w:rFonts w:hint="eastAsia" w:eastAsia="仿宋"/>
          <w:b/>
          <w:color w:val="000000"/>
        </w:rPr>
        <w:t>.</w:t>
      </w:r>
      <w:r>
        <w:rPr>
          <w:rFonts w:eastAsia="仿宋"/>
          <w:b/>
          <w:color w:val="000000"/>
        </w:rPr>
        <w:t>上述相关材料</w:t>
      </w:r>
      <w:r>
        <w:rPr>
          <w:rFonts w:hint="eastAsia" w:eastAsia="仿宋"/>
          <w:b/>
          <w:color w:val="000000"/>
        </w:rPr>
        <w:t>原件扫描件</w:t>
      </w:r>
      <w:r>
        <w:rPr>
          <w:rFonts w:eastAsia="仿宋"/>
          <w:b/>
          <w:color w:val="000000"/>
        </w:rPr>
        <w:t>附本表后。</w:t>
      </w:r>
    </w:p>
    <w:p>
      <w:pPr>
        <w:spacing w:after="120"/>
        <w:jc w:val="center"/>
        <w:rPr>
          <w:b/>
          <w:color w:val="000000"/>
          <w:sz w:val="30"/>
          <w:szCs w:val="30"/>
        </w:rPr>
      </w:pPr>
    </w:p>
    <w:p>
      <w:pPr>
        <w:rPr>
          <w:color w:val="000000"/>
          <w:szCs w:val="22"/>
        </w:rPr>
      </w:pPr>
    </w:p>
    <w:p>
      <w:pPr>
        <w:pStyle w:val="41"/>
        <w:spacing w:after="0" w:line="600" w:lineRule="exact"/>
        <w:ind w:left="0" w:leftChars="0"/>
        <w:jc w:val="center"/>
        <w:rPr>
          <w:rFonts w:hint="eastAsia"/>
          <w:color w:val="000000"/>
        </w:rPr>
      </w:pPr>
      <w:r>
        <w:rPr>
          <w:color w:val="000000"/>
        </w:rPr>
        <w:br w:type="page"/>
      </w:r>
    </w:p>
    <w:p>
      <w:pPr>
        <w:pStyle w:val="41"/>
        <w:spacing w:after="0" w:line="600" w:lineRule="exact"/>
        <w:ind w:left="0" w:leftChars="0"/>
        <w:jc w:val="center"/>
        <w:rPr>
          <w:rFonts w:hint="eastAsia" w:ascii="方正小标宋简体" w:eastAsia="方正小标宋简体"/>
          <w:color w:val="000000"/>
          <w:sz w:val="36"/>
          <w:szCs w:val="44"/>
        </w:rPr>
      </w:pPr>
      <w:r>
        <w:rPr>
          <w:rFonts w:hint="eastAsia" w:ascii="方正小标宋简体" w:eastAsia="方正小标宋简体"/>
          <w:color w:val="000000"/>
          <w:sz w:val="36"/>
          <w:szCs w:val="44"/>
        </w:rPr>
        <w:t>拟任其他主要人员简历表</w:t>
      </w:r>
    </w:p>
    <w:p>
      <w:pPr>
        <w:pStyle w:val="41"/>
        <w:spacing w:after="0" w:line="600" w:lineRule="exact"/>
        <w:ind w:left="0" w:leftChars="0"/>
        <w:jc w:val="center"/>
        <w:rPr>
          <w:rFonts w:eastAsia="方正小标宋_GBK"/>
          <w:b/>
          <w:color w:val="000000"/>
          <w:sz w:val="36"/>
          <w:szCs w:val="44"/>
        </w:rPr>
      </w:pP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1421"/>
        <w:gridCol w:w="1421"/>
        <w:gridCol w:w="1421"/>
        <w:gridCol w:w="1422"/>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noWrap w:val="0"/>
            <w:vAlign w:val="center"/>
          </w:tcPr>
          <w:p>
            <w:pPr>
              <w:jc w:val="center"/>
              <w:rPr>
                <w:rFonts w:hint="eastAsia" w:ascii="仿宋_GB2312" w:eastAsia="仿宋_GB2312"/>
                <w:color w:val="000000"/>
              </w:rPr>
            </w:pPr>
            <w:r>
              <w:rPr>
                <w:rFonts w:hint="eastAsia" w:ascii="仿宋_GB2312" w:eastAsia="仿宋_GB2312"/>
                <w:color w:val="000000"/>
              </w:rPr>
              <w:t>姓名</w:t>
            </w:r>
          </w:p>
        </w:tc>
        <w:tc>
          <w:tcPr>
            <w:tcW w:w="1421" w:type="dxa"/>
            <w:noWrap w:val="0"/>
            <w:vAlign w:val="center"/>
          </w:tcPr>
          <w:p>
            <w:pPr>
              <w:jc w:val="center"/>
              <w:rPr>
                <w:rFonts w:hint="eastAsia" w:ascii="仿宋_GB2312" w:eastAsia="仿宋_GB2312"/>
                <w:color w:val="000000"/>
                <w:szCs w:val="21"/>
              </w:rPr>
            </w:pPr>
          </w:p>
        </w:tc>
        <w:tc>
          <w:tcPr>
            <w:tcW w:w="1421" w:type="dxa"/>
            <w:noWrap w:val="0"/>
            <w:vAlign w:val="center"/>
          </w:tcPr>
          <w:p>
            <w:pPr>
              <w:jc w:val="center"/>
              <w:rPr>
                <w:rFonts w:hint="eastAsia" w:ascii="仿宋_GB2312" w:eastAsia="仿宋_GB2312"/>
                <w:color w:val="000000"/>
              </w:rPr>
            </w:pPr>
            <w:r>
              <w:rPr>
                <w:rFonts w:hint="eastAsia" w:ascii="仿宋_GB2312" w:eastAsia="仿宋_GB2312"/>
                <w:color w:val="000000"/>
              </w:rPr>
              <w:t>年龄</w:t>
            </w:r>
          </w:p>
        </w:tc>
        <w:tc>
          <w:tcPr>
            <w:tcW w:w="1421" w:type="dxa"/>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rPr>
            </w:pPr>
            <w:r>
              <w:rPr>
                <w:rFonts w:hint="eastAsia" w:ascii="仿宋_GB2312" w:eastAsia="仿宋_GB2312"/>
                <w:color w:val="000000"/>
              </w:rPr>
              <w:t>学历</w:t>
            </w:r>
          </w:p>
        </w:tc>
        <w:tc>
          <w:tcPr>
            <w:tcW w:w="1708"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noWrap w:val="0"/>
            <w:vAlign w:val="center"/>
          </w:tcPr>
          <w:p>
            <w:pPr>
              <w:jc w:val="center"/>
              <w:rPr>
                <w:rFonts w:hint="eastAsia" w:ascii="仿宋_GB2312" w:eastAsia="仿宋_GB2312"/>
                <w:color w:val="000000"/>
              </w:rPr>
            </w:pPr>
            <w:r>
              <w:rPr>
                <w:rFonts w:hint="eastAsia" w:ascii="仿宋_GB2312" w:eastAsia="仿宋_GB2312"/>
                <w:color w:val="000000"/>
              </w:rPr>
              <w:t>执业资格</w:t>
            </w:r>
          </w:p>
        </w:tc>
        <w:tc>
          <w:tcPr>
            <w:tcW w:w="4263" w:type="dxa"/>
            <w:gridSpan w:val="3"/>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rPr>
            </w:pPr>
            <w:r>
              <w:rPr>
                <w:rFonts w:hint="eastAsia" w:ascii="仿宋_GB2312" w:eastAsia="仿宋_GB2312"/>
                <w:color w:val="000000"/>
              </w:rPr>
              <w:t>安全生产考核合格证书</w:t>
            </w:r>
          </w:p>
        </w:tc>
        <w:tc>
          <w:tcPr>
            <w:tcW w:w="1708"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noWrap w:val="0"/>
            <w:vAlign w:val="center"/>
          </w:tcPr>
          <w:p>
            <w:pPr>
              <w:jc w:val="center"/>
              <w:rPr>
                <w:rFonts w:hint="eastAsia" w:ascii="仿宋_GB2312" w:eastAsia="仿宋_GB2312"/>
                <w:color w:val="000000"/>
              </w:rPr>
            </w:pPr>
            <w:r>
              <w:rPr>
                <w:rFonts w:hint="eastAsia" w:ascii="仿宋_GB2312" w:eastAsia="仿宋_GB2312"/>
                <w:color w:val="000000"/>
              </w:rPr>
              <w:t>职称</w:t>
            </w:r>
          </w:p>
        </w:tc>
        <w:tc>
          <w:tcPr>
            <w:tcW w:w="1421" w:type="dxa"/>
            <w:noWrap w:val="0"/>
            <w:vAlign w:val="center"/>
          </w:tcPr>
          <w:p>
            <w:pPr>
              <w:jc w:val="center"/>
              <w:rPr>
                <w:rFonts w:hint="eastAsia" w:ascii="仿宋_GB2312" w:eastAsia="仿宋_GB2312"/>
                <w:color w:val="000000"/>
                <w:szCs w:val="21"/>
              </w:rPr>
            </w:pPr>
          </w:p>
        </w:tc>
        <w:tc>
          <w:tcPr>
            <w:tcW w:w="1421" w:type="dxa"/>
            <w:noWrap w:val="0"/>
            <w:vAlign w:val="center"/>
          </w:tcPr>
          <w:p>
            <w:pPr>
              <w:jc w:val="center"/>
              <w:rPr>
                <w:rFonts w:hint="eastAsia" w:ascii="仿宋_GB2312" w:eastAsia="仿宋_GB2312"/>
                <w:color w:val="000000"/>
              </w:rPr>
            </w:pPr>
            <w:r>
              <w:rPr>
                <w:rFonts w:hint="eastAsia" w:ascii="仿宋_GB2312" w:eastAsia="仿宋_GB2312"/>
                <w:color w:val="000000"/>
              </w:rPr>
              <w:t>职务</w:t>
            </w:r>
          </w:p>
        </w:tc>
        <w:tc>
          <w:tcPr>
            <w:tcW w:w="1421" w:type="dxa"/>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rPr>
            </w:pPr>
            <w:r>
              <w:rPr>
                <w:rFonts w:hint="eastAsia" w:ascii="仿宋_GB2312" w:eastAsia="仿宋_GB2312"/>
                <w:color w:val="000000"/>
              </w:rPr>
              <w:t>拟在本合同任职</w:t>
            </w:r>
          </w:p>
        </w:tc>
        <w:tc>
          <w:tcPr>
            <w:tcW w:w="1708"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noWrap w:val="0"/>
            <w:vAlign w:val="center"/>
          </w:tcPr>
          <w:p>
            <w:pPr>
              <w:jc w:val="center"/>
              <w:rPr>
                <w:rFonts w:hint="eastAsia" w:ascii="仿宋_GB2312" w:eastAsia="仿宋_GB2312"/>
                <w:color w:val="000000"/>
              </w:rPr>
            </w:pPr>
            <w:r>
              <w:rPr>
                <w:rFonts w:hint="eastAsia" w:ascii="仿宋_GB2312" w:eastAsia="仿宋_GB2312"/>
                <w:color w:val="000000"/>
              </w:rPr>
              <w:t>毕业学校</w:t>
            </w:r>
          </w:p>
        </w:tc>
        <w:tc>
          <w:tcPr>
            <w:tcW w:w="7393" w:type="dxa"/>
            <w:gridSpan w:val="5"/>
            <w:noWrap w:val="0"/>
            <w:vAlign w:val="center"/>
          </w:tcPr>
          <w:p>
            <w:pPr>
              <w:jc w:val="center"/>
              <w:rPr>
                <w:rFonts w:hint="eastAsia" w:ascii="仿宋_GB2312" w:eastAsia="仿宋_GB2312"/>
                <w:color w:val="000000"/>
              </w:rPr>
            </w:pPr>
            <w:r>
              <w:rPr>
                <w:rFonts w:hint="eastAsia" w:ascii="仿宋_GB2312" w:eastAsia="仿宋_GB2312"/>
                <w:color w:val="000000"/>
                <w:u w:val="single"/>
              </w:rPr>
              <w:t>（       年）</w:t>
            </w:r>
            <w:r>
              <w:rPr>
                <w:rFonts w:hint="eastAsia" w:ascii="仿宋_GB2312" w:eastAsia="仿宋_GB2312"/>
                <w:color w:val="000000"/>
              </w:rPr>
              <w:t>毕业于（</w:t>
            </w:r>
            <w:r>
              <w:rPr>
                <w:rFonts w:hint="eastAsia" w:ascii="仿宋_GB2312" w:eastAsia="仿宋_GB2312"/>
                <w:color w:val="000000"/>
                <w:u w:val="single"/>
              </w:rPr>
              <w:t xml:space="preserve">         </w:t>
            </w:r>
            <w:r>
              <w:rPr>
                <w:rFonts w:hint="eastAsia" w:ascii="仿宋_GB2312" w:eastAsia="仿宋_GB2312"/>
                <w:color w:val="000000"/>
              </w:rPr>
              <w:t>）学校（</w:t>
            </w:r>
            <w:r>
              <w:rPr>
                <w:rFonts w:hint="eastAsia" w:ascii="仿宋_GB2312" w:eastAsia="仿宋_GB2312"/>
                <w:color w:val="000000"/>
                <w:u w:val="single"/>
              </w:rPr>
              <w:t xml:space="preserve">      </w:t>
            </w:r>
            <w:r>
              <w:rPr>
                <w:rFonts w:hint="eastAsia" w:ascii="仿宋_GB2312" w:eastAsia="仿宋_GB2312"/>
                <w:color w:val="000000"/>
              </w:rPr>
              <w:t>）专业（</w:t>
            </w:r>
            <w:r>
              <w:rPr>
                <w:rFonts w:hint="eastAsia" w:ascii="仿宋_GB2312" w:eastAsia="仿宋_GB2312"/>
                <w:b/>
                <w:color w:val="000000"/>
                <w:sz w:val="16"/>
              </w:rPr>
              <w:t>毕业证上列信息</w:t>
            </w:r>
            <w:r>
              <w:rPr>
                <w:rFonts w:hint="eastAsia" w:ascii="仿宋_GB2312" w:eastAsia="仿宋_GB2312"/>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14" w:type="dxa"/>
            <w:gridSpan w:val="6"/>
            <w:noWrap w:val="0"/>
            <w:vAlign w:val="center"/>
          </w:tcPr>
          <w:p>
            <w:pPr>
              <w:jc w:val="center"/>
              <w:rPr>
                <w:rFonts w:hint="eastAsia" w:ascii="仿宋_GB2312" w:eastAsia="仿宋_GB2312"/>
                <w:color w:val="000000"/>
              </w:rPr>
            </w:pPr>
            <w:r>
              <w:rPr>
                <w:rFonts w:hint="eastAsia" w:ascii="仿宋_GB2312" w:eastAsia="仿宋_GB2312"/>
                <w:color w:val="000000"/>
              </w:rPr>
              <w:t>主要施工管理经历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noWrap w:val="0"/>
            <w:vAlign w:val="center"/>
          </w:tcPr>
          <w:p>
            <w:pPr>
              <w:jc w:val="center"/>
              <w:rPr>
                <w:rFonts w:hint="eastAsia" w:ascii="仿宋_GB2312" w:eastAsia="仿宋_GB2312"/>
                <w:color w:val="000000"/>
              </w:rPr>
            </w:pPr>
            <w:r>
              <w:rPr>
                <w:rFonts w:hint="eastAsia" w:ascii="仿宋_GB2312" w:eastAsia="仿宋_GB2312"/>
                <w:color w:val="000000"/>
              </w:rPr>
              <w:t>时间</w:t>
            </w:r>
          </w:p>
        </w:tc>
        <w:tc>
          <w:tcPr>
            <w:tcW w:w="4263" w:type="dxa"/>
            <w:gridSpan w:val="3"/>
            <w:noWrap w:val="0"/>
            <w:vAlign w:val="center"/>
          </w:tcPr>
          <w:p>
            <w:pPr>
              <w:jc w:val="center"/>
              <w:rPr>
                <w:rFonts w:hint="eastAsia" w:ascii="仿宋_GB2312" w:eastAsia="仿宋_GB2312"/>
                <w:color w:val="000000"/>
              </w:rPr>
            </w:pPr>
            <w:r>
              <w:rPr>
                <w:rFonts w:hint="eastAsia" w:ascii="仿宋_GB2312" w:eastAsia="仿宋_GB2312"/>
                <w:color w:val="000000"/>
              </w:rPr>
              <w:t>参加过的类似项目</w:t>
            </w:r>
          </w:p>
        </w:tc>
        <w:tc>
          <w:tcPr>
            <w:tcW w:w="1422" w:type="dxa"/>
            <w:noWrap w:val="0"/>
            <w:vAlign w:val="center"/>
          </w:tcPr>
          <w:p>
            <w:pPr>
              <w:jc w:val="center"/>
              <w:rPr>
                <w:rFonts w:hint="eastAsia" w:ascii="仿宋_GB2312" w:eastAsia="仿宋_GB2312"/>
                <w:color w:val="000000"/>
              </w:rPr>
            </w:pPr>
            <w:r>
              <w:rPr>
                <w:rFonts w:hint="eastAsia" w:ascii="仿宋_GB2312" w:eastAsia="仿宋_GB2312"/>
                <w:color w:val="000000"/>
              </w:rPr>
              <w:t>担任职务</w:t>
            </w:r>
          </w:p>
        </w:tc>
        <w:tc>
          <w:tcPr>
            <w:tcW w:w="1708" w:type="dxa"/>
            <w:noWrap w:val="0"/>
            <w:vAlign w:val="center"/>
          </w:tcPr>
          <w:p>
            <w:pPr>
              <w:jc w:val="center"/>
              <w:rPr>
                <w:rFonts w:hint="eastAsia" w:ascii="仿宋_GB2312" w:eastAsia="仿宋_GB2312"/>
                <w:color w:val="000000"/>
              </w:rPr>
            </w:pPr>
            <w:r>
              <w:rPr>
                <w:rFonts w:hint="eastAsia" w:ascii="仿宋_GB2312" w:eastAsia="仿宋_GB2312"/>
                <w:color w:val="000000"/>
              </w:rPr>
              <w:t>发包人及</w:t>
            </w:r>
          </w:p>
          <w:p>
            <w:pPr>
              <w:jc w:val="center"/>
              <w:rPr>
                <w:rFonts w:hint="eastAsia" w:ascii="仿宋_GB2312" w:eastAsia="仿宋_GB2312"/>
                <w:color w:val="000000"/>
              </w:rPr>
            </w:pPr>
            <w:r>
              <w:rPr>
                <w:rFonts w:hint="eastAsia" w:ascii="仿宋_GB2312" w:eastAsia="仿宋_GB2312"/>
                <w:color w:val="000000"/>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noWrap w:val="0"/>
            <w:vAlign w:val="center"/>
          </w:tcPr>
          <w:p>
            <w:pPr>
              <w:jc w:val="center"/>
              <w:rPr>
                <w:rFonts w:hint="eastAsia" w:ascii="仿宋_GB2312" w:eastAsia="仿宋_GB2312"/>
                <w:color w:val="000000"/>
                <w:szCs w:val="21"/>
              </w:rPr>
            </w:pPr>
          </w:p>
        </w:tc>
        <w:tc>
          <w:tcPr>
            <w:tcW w:w="4263" w:type="dxa"/>
            <w:gridSpan w:val="3"/>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szCs w:val="21"/>
              </w:rPr>
            </w:pPr>
          </w:p>
        </w:tc>
        <w:tc>
          <w:tcPr>
            <w:tcW w:w="1708"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noWrap w:val="0"/>
            <w:vAlign w:val="center"/>
          </w:tcPr>
          <w:p>
            <w:pPr>
              <w:jc w:val="center"/>
              <w:rPr>
                <w:rFonts w:hint="eastAsia" w:ascii="仿宋_GB2312" w:eastAsia="仿宋_GB2312"/>
                <w:color w:val="000000"/>
                <w:szCs w:val="21"/>
              </w:rPr>
            </w:pPr>
          </w:p>
        </w:tc>
        <w:tc>
          <w:tcPr>
            <w:tcW w:w="4263" w:type="dxa"/>
            <w:gridSpan w:val="3"/>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szCs w:val="21"/>
              </w:rPr>
            </w:pPr>
          </w:p>
        </w:tc>
        <w:tc>
          <w:tcPr>
            <w:tcW w:w="1708"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noWrap w:val="0"/>
            <w:vAlign w:val="center"/>
          </w:tcPr>
          <w:p>
            <w:pPr>
              <w:jc w:val="center"/>
              <w:rPr>
                <w:rFonts w:hint="eastAsia" w:ascii="仿宋_GB2312" w:eastAsia="仿宋_GB2312"/>
                <w:color w:val="000000"/>
                <w:szCs w:val="21"/>
              </w:rPr>
            </w:pPr>
          </w:p>
        </w:tc>
        <w:tc>
          <w:tcPr>
            <w:tcW w:w="4263" w:type="dxa"/>
            <w:gridSpan w:val="3"/>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szCs w:val="21"/>
              </w:rPr>
            </w:pPr>
          </w:p>
        </w:tc>
        <w:tc>
          <w:tcPr>
            <w:tcW w:w="1708"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noWrap w:val="0"/>
            <w:vAlign w:val="center"/>
          </w:tcPr>
          <w:p>
            <w:pPr>
              <w:jc w:val="center"/>
              <w:rPr>
                <w:rFonts w:hint="eastAsia" w:ascii="仿宋_GB2312" w:eastAsia="仿宋_GB2312"/>
                <w:color w:val="000000"/>
                <w:szCs w:val="21"/>
              </w:rPr>
            </w:pPr>
          </w:p>
        </w:tc>
        <w:tc>
          <w:tcPr>
            <w:tcW w:w="4263" w:type="dxa"/>
            <w:gridSpan w:val="3"/>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szCs w:val="21"/>
              </w:rPr>
            </w:pPr>
          </w:p>
        </w:tc>
        <w:tc>
          <w:tcPr>
            <w:tcW w:w="1708"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noWrap w:val="0"/>
            <w:vAlign w:val="center"/>
          </w:tcPr>
          <w:p>
            <w:pPr>
              <w:jc w:val="center"/>
              <w:rPr>
                <w:rFonts w:hint="eastAsia" w:ascii="仿宋_GB2312" w:eastAsia="仿宋_GB2312"/>
                <w:color w:val="000000"/>
                <w:szCs w:val="21"/>
              </w:rPr>
            </w:pPr>
          </w:p>
        </w:tc>
        <w:tc>
          <w:tcPr>
            <w:tcW w:w="4263" w:type="dxa"/>
            <w:gridSpan w:val="3"/>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szCs w:val="21"/>
              </w:rPr>
            </w:pPr>
          </w:p>
        </w:tc>
        <w:tc>
          <w:tcPr>
            <w:tcW w:w="1708"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noWrap w:val="0"/>
            <w:vAlign w:val="center"/>
          </w:tcPr>
          <w:p>
            <w:pPr>
              <w:jc w:val="center"/>
              <w:rPr>
                <w:rFonts w:hint="eastAsia" w:ascii="仿宋_GB2312" w:eastAsia="仿宋_GB2312"/>
                <w:color w:val="000000"/>
                <w:szCs w:val="21"/>
              </w:rPr>
            </w:pPr>
          </w:p>
        </w:tc>
        <w:tc>
          <w:tcPr>
            <w:tcW w:w="4263" w:type="dxa"/>
            <w:gridSpan w:val="3"/>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szCs w:val="21"/>
              </w:rPr>
            </w:pPr>
          </w:p>
        </w:tc>
        <w:tc>
          <w:tcPr>
            <w:tcW w:w="1708"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noWrap w:val="0"/>
            <w:vAlign w:val="center"/>
          </w:tcPr>
          <w:p>
            <w:pPr>
              <w:jc w:val="center"/>
              <w:rPr>
                <w:rFonts w:hint="eastAsia" w:ascii="仿宋_GB2312" w:eastAsia="仿宋_GB2312"/>
                <w:color w:val="000000"/>
                <w:szCs w:val="21"/>
              </w:rPr>
            </w:pPr>
          </w:p>
        </w:tc>
        <w:tc>
          <w:tcPr>
            <w:tcW w:w="4263" w:type="dxa"/>
            <w:gridSpan w:val="3"/>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szCs w:val="21"/>
              </w:rPr>
            </w:pPr>
          </w:p>
        </w:tc>
        <w:tc>
          <w:tcPr>
            <w:tcW w:w="1708"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noWrap w:val="0"/>
            <w:vAlign w:val="center"/>
          </w:tcPr>
          <w:p>
            <w:pPr>
              <w:jc w:val="center"/>
              <w:rPr>
                <w:rFonts w:hint="eastAsia" w:ascii="仿宋_GB2312" w:eastAsia="仿宋_GB2312"/>
                <w:color w:val="000000"/>
                <w:szCs w:val="21"/>
              </w:rPr>
            </w:pPr>
          </w:p>
        </w:tc>
        <w:tc>
          <w:tcPr>
            <w:tcW w:w="4263" w:type="dxa"/>
            <w:gridSpan w:val="3"/>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szCs w:val="21"/>
              </w:rPr>
            </w:pPr>
          </w:p>
        </w:tc>
        <w:tc>
          <w:tcPr>
            <w:tcW w:w="1708"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1" w:type="dxa"/>
            <w:noWrap w:val="0"/>
            <w:vAlign w:val="center"/>
          </w:tcPr>
          <w:p>
            <w:pPr>
              <w:jc w:val="center"/>
              <w:rPr>
                <w:rFonts w:hint="eastAsia" w:ascii="仿宋_GB2312" w:eastAsia="仿宋_GB2312"/>
                <w:color w:val="000000"/>
                <w:szCs w:val="21"/>
              </w:rPr>
            </w:pPr>
          </w:p>
        </w:tc>
        <w:tc>
          <w:tcPr>
            <w:tcW w:w="4263" w:type="dxa"/>
            <w:gridSpan w:val="3"/>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szCs w:val="21"/>
              </w:rPr>
            </w:pPr>
          </w:p>
        </w:tc>
        <w:tc>
          <w:tcPr>
            <w:tcW w:w="1708" w:type="dxa"/>
            <w:noWrap w:val="0"/>
            <w:vAlign w:val="center"/>
          </w:tcPr>
          <w:p>
            <w:pPr>
              <w:jc w:val="center"/>
              <w:rPr>
                <w:rFonts w:hint="eastAsia" w:ascii="仿宋_GB2312" w:eastAsia="仿宋_GB2312"/>
                <w:color w:val="000000"/>
                <w:szCs w:val="21"/>
              </w:rPr>
            </w:pPr>
          </w:p>
        </w:tc>
      </w:tr>
    </w:tbl>
    <w:p>
      <w:pPr>
        <w:ind w:firstLine="316" w:firstLineChars="150"/>
        <w:rPr>
          <w:rFonts w:eastAsia="仿宋"/>
          <w:b/>
          <w:color w:val="000000"/>
        </w:rPr>
      </w:pPr>
      <w:r>
        <w:rPr>
          <w:rFonts w:eastAsia="仿宋"/>
          <w:b/>
          <w:color w:val="000000"/>
        </w:rPr>
        <w:t>注：1</w:t>
      </w:r>
      <w:r>
        <w:rPr>
          <w:rFonts w:hint="eastAsia" w:eastAsia="仿宋"/>
          <w:b/>
          <w:color w:val="000000"/>
        </w:rPr>
        <w:t>.</w:t>
      </w:r>
      <w:r>
        <w:rPr>
          <w:rFonts w:eastAsia="仿宋"/>
          <w:b/>
          <w:color w:val="000000"/>
        </w:rPr>
        <w:t>其他主要人员指安全员（专职安全生产管理人员）、质量员、材料员、施工员、预算员或资料员、财务负责人、</w:t>
      </w:r>
      <w:r>
        <w:rPr>
          <w:rFonts w:hint="eastAsia" w:eastAsia="仿宋"/>
          <w:b/>
          <w:color w:val="000000"/>
        </w:rPr>
        <w:t>劳资专管员（单位出具任命书）</w:t>
      </w:r>
      <w:r>
        <w:rPr>
          <w:rFonts w:eastAsia="仿宋"/>
          <w:b/>
          <w:color w:val="000000"/>
        </w:rPr>
        <w:t>等，</w:t>
      </w:r>
      <w:r>
        <w:rPr>
          <w:rFonts w:eastAsia="仿宋"/>
          <w:b/>
          <w:color w:val="000000"/>
          <w:szCs w:val="21"/>
        </w:rPr>
        <w:t>每个人员列一张表</w:t>
      </w:r>
      <w:r>
        <w:rPr>
          <w:rFonts w:eastAsia="仿宋"/>
          <w:b/>
          <w:color w:val="000000"/>
        </w:rPr>
        <w:t>。</w:t>
      </w:r>
    </w:p>
    <w:p>
      <w:pPr>
        <w:ind w:firstLine="738" w:firstLineChars="350"/>
        <w:rPr>
          <w:rFonts w:eastAsia="仿宋"/>
          <w:b/>
          <w:color w:val="000000"/>
          <w:szCs w:val="21"/>
        </w:rPr>
      </w:pPr>
      <w:r>
        <w:rPr>
          <w:rFonts w:eastAsia="仿宋"/>
          <w:b/>
          <w:color w:val="000000"/>
        </w:rPr>
        <w:t>2</w:t>
      </w:r>
      <w:r>
        <w:rPr>
          <w:rFonts w:hint="eastAsia" w:eastAsia="仿宋"/>
          <w:b/>
          <w:color w:val="000000"/>
        </w:rPr>
        <w:t>.</w:t>
      </w:r>
      <w:r>
        <w:rPr>
          <w:rFonts w:eastAsia="仿宋"/>
          <w:b/>
          <w:color w:val="000000"/>
          <w:szCs w:val="21"/>
        </w:rPr>
        <w:t>其他主要人员应附第二代</w:t>
      </w:r>
      <w:r>
        <w:rPr>
          <w:rFonts w:eastAsia="仿宋"/>
          <w:b/>
          <w:color w:val="000000"/>
        </w:rPr>
        <w:t>身份证、职称证（如有要求）、毕业证、岗位证、社会保险证明</w:t>
      </w:r>
      <w:r>
        <w:rPr>
          <w:rFonts w:eastAsia="仿宋"/>
          <w:b/>
          <w:color w:val="000000"/>
          <w:szCs w:val="21"/>
        </w:rPr>
        <w:t>等相关证明材料</w:t>
      </w:r>
      <w:r>
        <w:rPr>
          <w:rFonts w:hint="eastAsia" w:eastAsia="仿宋"/>
          <w:b/>
          <w:color w:val="000000"/>
          <w:szCs w:val="21"/>
        </w:rPr>
        <w:t>原件扫描件</w:t>
      </w:r>
      <w:r>
        <w:rPr>
          <w:rFonts w:eastAsia="仿宋"/>
          <w:b/>
          <w:color w:val="000000"/>
          <w:szCs w:val="21"/>
        </w:rPr>
        <w:t>。专职安全生产管理人员还应附</w:t>
      </w:r>
      <w:r>
        <w:rPr>
          <w:rFonts w:hint="eastAsia" w:eastAsia="仿宋"/>
          <w:b/>
          <w:color w:val="000000"/>
          <w:szCs w:val="21"/>
        </w:rPr>
        <w:t>建设或水行政</w:t>
      </w:r>
      <w:r>
        <w:rPr>
          <w:rFonts w:eastAsia="仿宋"/>
          <w:b/>
          <w:color w:val="000000"/>
          <w:szCs w:val="21"/>
        </w:rPr>
        <w:t>主管部门颁发或核发的C类安全生产考核合格证书</w:t>
      </w:r>
      <w:r>
        <w:rPr>
          <w:rFonts w:hint="eastAsia" w:eastAsia="仿宋"/>
          <w:b/>
          <w:color w:val="000000"/>
          <w:szCs w:val="21"/>
        </w:rPr>
        <w:t>原件扫描件</w:t>
      </w:r>
      <w:r>
        <w:rPr>
          <w:rFonts w:eastAsia="仿宋"/>
          <w:b/>
          <w:color w:val="000000"/>
          <w:szCs w:val="21"/>
        </w:rPr>
        <w:t>。</w:t>
      </w:r>
    </w:p>
    <w:p>
      <w:pPr>
        <w:ind w:firstLine="738" w:firstLineChars="350"/>
        <w:rPr>
          <w:rFonts w:eastAsia="仿宋"/>
          <w:b/>
          <w:color w:val="000000"/>
        </w:rPr>
      </w:pPr>
      <w:r>
        <w:rPr>
          <w:rFonts w:eastAsia="仿宋"/>
          <w:b/>
          <w:color w:val="000000"/>
        </w:rPr>
        <w:t>3</w:t>
      </w:r>
      <w:r>
        <w:rPr>
          <w:rFonts w:hint="eastAsia" w:eastAsia="仿宋"/>
          <w:b/>
          <w:color w:val="000000"/>
        </w:rPr>
        <w:t>.</w:t>
      </w:r>
      <w:r>
        <w:rPr>
          <w:rFonts w:eastAsia="仿宋"/>
          <w:b/>
          <w:color w:val="000000"/>
        </w:rPr>
        <w:t>上述相关材料</w:t>
      </w:r>
      <w:r>
        <w:rPr>
          <w:rFonts w:hint="eastAsia" w:eastAsia="仿宋"/>
          <w:b/>
          <w:color w:val="000000"/>
        </w:rPr>
        <w:t>原件扫描件</w:t>
      </w:r>
      <w:r>
        <w:rPr>
          <w:rFonts w:eastAsia="仿宋"/>
          <w:b/>
          <w:color w:val="000000"/>
        </w:rPr>
        <w:t>附本表后。</w:t>
      </w:r>
    </w:p>
    <w:p>
      <w:pPr>
        <w:rPr>
          <w:color w:val="000000"/>
        </w:rPr>
      </w:pPr>
    </w:p>
    <w:p>
      <w:pPr>
        <w:rPr>
          <w:color w:val="000000"/>
        </w:rPr>
      </w:pPr>
    </w:p>
    <w:p>
      <w:pPr>
        <w:rPr>
          <w:color w:val="000000"/>
        </w:rPr>
      </w:pPr>
    </w:p>
    <w:p>
      <w:pPr>
        <w:rPr>
          <w:color w:val="000000"/>
        </w:rPr>
      </w:pPr>
    </w:p>
    <w:p>
      <w:pPr>
        <w:rPr>
          <w:color w:val="000000"/>
        </w:rPr>
      </w:pPr>
    </w:p>
    <w:p>
      <w:pPr>
        <w:adjustRightInd w:val="0"/>
        <w:snapToGrid w:val="0"/>
        <w:spacing w:line="490" w:lineRule="exact"/>
        <w:outlineLvl w:val="0"/>
        <w:rPr>
          <w:rFonts w:hint="eastAsia" w:eastAsia="黑体"/>
          <w:b/>
          <w:bCs/>
          <w:color w:val="000000"/>
          <w:sz w:val="30"/>
          <w:szCs w:val="30"/>
        </w:rPr>
      </w:pPr>
      <w:r>
        <w:rPr>
          <w:color w:val="000000"/>
        </w:rPr>
        <w:br w:type="page"/>
      </w:r>
      <w:bookmarkStart w:id="2018" w:name="_Toc51091948"/>
      <w:bookmarkStart w:id="2019" w:name="_Toc23944"/>
      <w:bookmarkStart w:id="2020" w:name="_Toc10969"/>
    </w:p>
    <w:p>
      <w:pPr>
        <w:pStyle w:val="2"/>
        <w:jc w:val="center"/>
        <w:rPr>
          <w:rFonts w:hint="eastAsia" w:ascii="方正小标宋简体" w:eastAsia="方正小标宋简体"/>
          <w:lang w:val="en-US" w:eastAsia="zh-CN"/>
        </w:rPr>
      </w:pPr>
      <w:r>
        <w:rPr>
          <w:rFonts w:hint="eastAsia" w:ascii="方正小标宋简体" w:eastAsia="方正小标宋简体"/>
          <w:bCs/>
          <w:color w:val="000000"/>
          <w:sz w:val="30"/>
          <w:szCs w:val="30"/>
          <w:lang w:val="en-US" w:eastAsia="zh-CN"/>
        </w:rPr>
        <w:t>九．企业资信及履约能力（业绩及信用）自评表</w:t>
      </w:r>
    </w:p>
    <w:p>
      <w:pPr>
        <w:autoSpaceDE w:val="0"/>
        <w:autoSpaceDN w:val="0"/>
        <w:adjustRightInd w:val="0"/>
        <w:jc w:val="center"/>
        <w:rPr>
          <w:rFonts w:hint="eastAsia" w:eastAsia="仿宋"/>
          <w:color w:val="000000"/>
          <w:kern w:val="0"/>
          <w:sz w:val="28"/>
          <w:szCs w:val="28"/>
        </w:rPr>
      </w:pP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1118"/>
        <w:gridCol w:w="696"/>
        <w:gridCol w:w="1087"/>
        <w:gridCol w:w="4437"/>
        <w:gridCol w:w="1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1704" w:type="dxa"/>
            <w:gridSpan w:val="2"/>
            <w:noWrap w:val="0"/>
            <w:vAlign w:val="center"/>
          </w:tcPr>
          <w:p>
            <w:pPr>
              <w:autoSpaceDE w:val="0"/>
              <w:autoSpaceDN w:val="0"/>
              <w:adjustRightInd w:val="0"/>
              <w:jc w:val="center"/>
              <w:rPr>
                <w:rFonts w:eastAsia="仿宋"/>
                <w:color w:val="000000"/>
                <w:kern w:val="0"/>
                <w:szCs w:val="21"/>
              </w:rPr>
            </w:pPr>
            <w:r>
              <w:rPr>
                <w:rFonts w:eastAsia="仿宋"/>
                <w:color w:val="000000"/>
                <w:kern w:val="0"/>
                <w:szCs w:val="21"/>
              </w:rPr>
              <w:t>投标人</w:t>
            </w:r>
          </w:p>
        </w:tc>
        <w:tc>
          <w:tcPr>
            <w:tcW w:w="7582" w:type="dxa"/>
            <w:gridSpan w:val="4"/>
            <w:noWrap w:val="0"/>
            <w:vAlign w:val="center"/>
          </w:tcPr>
          <w:p>
            <w:pPr>
              <w:autoSpaceDE w:val="0"/>
              <w:autoSpaceDN w:val="0"/>
              <w:adjustRightInd w:val="0"/>
              <w:jc w:val="center"/>
              <w:rPr>
                <w:rFonts w:eastAsia="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gridSpan w:val="2"/>
            <w:vMerge w:val="restart"/>
            <w:noWrap w:val="0"/>
            <w:vAlign w:val="center"/>
          </w:tcPr>
          <w:p>
            <w:pPr>
              <w:autoSpaceDE w:val="0"/>
              <w:autoSpaceDN w:val="0"/>
              <w:adjustRightInd w:val="0"/>
              <w:jc w:val="center"/>
              <w:rPr>
                <w:rFonts w:eastAsia="仿宋"/>
                <w:color w:val="000000"/>
                <w:kern w:val="0"/>
                <w:szCs w:val="21"/>
              </w:rPr>
            </w:pPr>
            <w:r>
              <w:rPr>
                <w:rFonts w:eastAsia="仿宋"/>
                <w:color w:val="000000"/>
                <w:kern w:val="0"/>
                <w:szCs w:val="21"/>
              </w:rPr>
              <w:t>类似工程业绩</w:t>
            </w:r>
          </w:p>
        </w:tc>
        <w:tc>
          <w:tcPr>
            <w:tcW w:w="696" w:type="dxa"/>
            <w:noWrap w:val="0"/>
            <w:vAlign w:val="center"/>
          </w:tcPr>
          <w:p>
            <w:pPr>
              <w:autoSpaceDE w:val="0"/>
              <w:autoSpaceDN w:val="0"/>
              <w:adjustRightInd w:val="0"/>
              <w:jc w:val="center"/>
              <w:rPr>
                <w:rFonts w:eastAsia="仿宋"/>
                <w:color w:val="000000"/>
                <w:kern w:val="0"/>
                <w:szCs w:val="21"/>
              </w:rPr>
            </w:pPr>
            <w:r>
              <w:rPr>
                <w:rFonts w:eastAsia="仿宋"/>
                <w:color w:val="000000"/>
                <w:kern w:val="0"/>
                <w:szCs w:val="21"/>
              </w:rPr>
              <w:t>序号</w:t>
            </w:r>
          </w:p>
        </w:tc>
        <w:tc>
          <w:tcPr>
            <w:tcW w:w="1087" w:type="dxa"/>
            <w:noWrap w:val="0"/>
            <w:vAlign w:val="center"/>
          </w:tcPr>
          <w:p>
            <w:pPr>
              <w:autoSpaceDE w:val="0"/>
              <w:autoSpaceDN w:val="0"/>
              <w:adjustRightInd w:val="0"/>
              <w:jc w:val="center"/>
              <w:rPr>
                <w:rFonts w:eastAsia="仿宋"/>
                <w:color w:val="000000"/>
                <w:kern w:val="0"/>
                <w:szCs w:val="21"/>
              </w:rPr>
            </w:pPr>
            <w:r>
              <w:rPr>
                <w:rFonts w:eastAsia="仿宋"/>
                <w:color w:val="000000"/>
                <w:kern w:val="0"/>
                <w:szCs w:val="21"/>
              </w:rPr>
              <w:t>时间</w:t>
            </w:r>
          </w:p>
        </w:tc>
        <w:tc>
          <w:tcPr>
            <w:tcW w:w="4437" w:type="dxa"/>
            <w:noWrap w:val="0"/>
            <w:vAlign w:val="center"/>
          </w:tcPr>
          <w:p>
            <w:pPr>
              <w:autoSpaceDE w:val="0"/>
              <w:autoSpaceDN w:val="0"/>
              <w:adjustRightInd w:val="0"/>
              <w:jc w:val="center"/>
              <w:rPr>
                <w:rFonts w:eastAsia="仿宋"/>
                <w:color w:val="000000"/>
                <w:kern w:val="0"/>
                <w:szCs w:val="21"/>
              </w:rPr>
            </w:pPr>
            <w:r>
              <w:rPr>
                <w:rFonts w:eastAsia="仿宋"/>
                <w:color w:val="000000"/>
                <w:kern w:val="0"/>
                <w:szCs w:val="21"/>
              </w:rPr>
              <w:t>工程名称</w:t>
            </w:r>
          </w:p>
        </w:tc>
        <w:tc>
          <w:tcPr>
            <w:tcW w:w="1362" w:type="dxa"/>
            <w:noWrap w:val="0"/>
            <w:vAlign w:val="center"/>
          </w:tcPr>
          <w:p>
            <w:pPr>
              <w:autoSpaceDE w:val="0"/>
              <w:autoSpaceDN w:val="0"/>
              <w:adjustRightInd w:val="0"/>
              <w:jc w:val="center"/>
              <w:rPr>
                <w:rFonts w:eastAsia="仿宋"/>
                <w:color w:val="000000"/>
                <w:kern w:val="0"/>
                <w:szCs w:val="21"/>
              </w:rPr>
            </w:pPr>
            <w:r>
              <w:rPr>
                <w:rFonts w:eastAsia="仿宋"/>
                <w:color w:val="000000"/>
                <w:kern w:val="0"/>
                <w:szCs w:val="21"/>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gridSpan w:val="2"/>
            <w:vMerge w:val="continue"/>
            <w:noWrap w:val="0"/>
            <w:vAlign w:val="center"/>
          </w:tcPr>
          <w:p>
            <w:pPr>
              <w:autoSpaceDE w:val="0"/>
              <w:autoSpaceDN w:val="0"/>
              <w:adjustRightInd w:val="0"/>
              <w:jc w:val="center"/>
              <w:rPr>
                <w:rFonts w:eastAsia="仿宋"/>
                <w:color w:val="000000"/>
                <w:kern w:val="0"/>
                <w:szCs w:val="21"/>
              </w:rPr>
            </w:pPr>
          </w:p>
        </w:tc>
        <w:tc>
          <w:tcPr>
            <w:tcW w:w="696" w:type="dxa"/>
            <w:noWrap w:val="0"/>
            <w:vAlign w:val="center"/>
          </w:tcPr>
          <w:p>
            <w:pPr>
              <w:autoSpaceDE w:val="0"/>
              <w:autoSpaceDN w:val="0"/>
              <w:adjustRightInd w:val="0"/>
              <w:jc w:val="center"/>
              <w:rPr>
                <w:rFonts w:eastAsia="仿宋"/>
                <w:color w:val="000000"/>
                <w:kern w:val="0"/>
                <w:szCs w:val="21"/>
              </w:rPr>
            </w:pPr>
            <w:r>
              <w:rPr>
                <w:rFonts w:eastAsia="仿宋"/>
                <w:color w:val="000000"/>
                <w:kern w:val="0"/>
                <w:szCs w:val="21"/>
              </w:rPr>
              <w:t>1</w:t>
            </w:r>
          </w:p>
        </w:tc>
        <w:tc>
          <w:tcPr>
            <w:tcW w:w="1087" w:type="dxa"/>
            <w:noWrap w:val="0"/>
            <w:vAlign w:val="center"/>
          </w:tcPr>
          <w:p>
            <w:pPr>
              <w:autoSpaceDE w:val="0"/>
              <w:autoSpaceDN w:val="0"/>
              <w:adjustRightInd w:val="0"/>
              <w:jc w:val="center"/>
              <w:rPr>
                <w:rFonts w:eastAsia="仿宋"/>
                <w:color w:val="000000"/>
                <w:kern w:val="0"/>
                <w:szCs w:val="21"/>
              </w:rPr>
            </w:pPr>
          </w:p>
        </w:tc>
        <w:tc>
          <w:tcPr>
            <w:tcW w:w="4437" w:type="dxa"/>
            <w:noWrap w:val="0"/>
            <w:vAlign w:val="center"/>
          </w:tcPr>
          <w:p>
            <w:pPr>
              <w:autoSpaceDE w:val="0"/>
              <w:autoSpaceDN w:val="0"/>
              <w:adjustRightInd w:val="0"/>
              <w:jc w:val="center"/>
              <w:rPr>
                <w:rFonts w:eastAsia="仿宋"/>
                <w:color w:val="000000"/>
                <w:kern w:val="0"/>
                <w:szCs w:val="21"/>
              </w:rPr>
            </w:pPr>
          </w:p>
        </w:tc>
        <w:tc>
          <w:tcPr>
            <w:tcW w:w="1362" w:type="dxa"/>
            <w:noWrap w:val="0"/>
            <w:vAlign w:val="center"/>
          </w:tcPr>
          <w:p>
            <w:pPr>
              <w:autoSpaceDE w:val="0"/>
              <w:autoSpaceDN w:val="0"/>
              <w:adjustRightInd w:val="0"/>
              <w:jc w:val="center"/>
              <w:rPr>
                <w:rFonts w:eastAsia="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gridSpan w:val="2"/>
            <w:vMerge w:val="continue"/>
            <w:noWrap w:val="0"/>
            <w:vAlign w:val="center"/>
          </w:tcPr>
          <w:p>
            <w:pPr>
              <w:autoSpaceDE w:val="0"/>
              <w:autoSpaceDN w:val="0"/>
              <w:adjustRightInd w:val="0"/>
              <w:jc w:val="center"/>
              <w:rPr>
                <w:rFonts w:eastAsia="仿宋"/>
                <w:color w:val="000000"/>
                <w:kern w:val="0"/>
                <w:szCs w:val="21"/>
              </w:rPr>
            </w:pPr>
          </w:p>
        </w:tc>
        <w:tc>
          <w:tcPr>
            <w:tcW w:w="696" w:type="dxa"/>
            <w:noWrap w:val="0"/>
            <w:vAlign w:val="center"/>
          </w:tcPr>
          <w:p>
            <w:pPr>
              <w:autoSpaceDE w:val="0"/>
              <w:autoSpaceDN w:val="0"/>
              <w:adjustRightInd w:val="0"/>
              <w:jc w:val="center"/>
              <w:rPr>
                <w:rFonts w:eastAsia="仿宋"/>
                <w:color w:val="000000"/>
                <w:kern w:val="0"/>
                <w:szCs w:val="21"/>
              </w:rPr>
            </w:pPr>
            <w:r>
              <w:rPr>
                <w:rFonts w:eastAsia="仿宋"/>
                <w:color w:val="000000"/>
                <w:kern w:val="0"/>
                <w:szCs w:val="21"/>
              </w:rPr>
              <w:t>2</w:t>
            </w:r>
          </w:p>
        </w:tc>
        <w:tc>
          <w:tcPr>
            <w:tcW w:w="1087" w:type="dxa"/>
            <w:noWrap w:val="0"/>
            <w:vAlign w:val="center"/>
          </w:tcPr>
          <w:p>
            <w:pPr>
              <w:autoSpaceDE w:val="0"/>
              <w:autoSpaceDN w:val="0"/>
              <w:adjustRightInd w:val="0"/>
              <w:jc w:val="center"/>
              <w:rPr>
                <w:rFonts w:eastAsia="仿宋"/>
                <w:color w:val="000000"/>
                <w:kern w:val="0"/>
                <w:szCs w:val="21"/>
              </w:rPr>
            </w:pPr>
          </w:p>
        </w:tc>
        <w:tc>
          <w:tcPr>
            <w:tcW w:w="4437" w:type="dxa"/>
            <w:noWrap w:val="0"/>
            <w:vAlign w:val="center"/>
          </w:tcPr>
          <w:p>
            <w:pPr>
              <w:autoSpaceDE w:val="0"/>
              <w:autoSpaceDN w:val="0"/>
              <w:adjustRightInd w:val="0"/>
              <w:jc w:val="center"/>
              <w:rPr>
                <w:rFonts w:eastAsia="仿宋"/>
                <w:color w:val="000000"/>
                <w:kern w:val="0"/>
                <w:szCs w:val="21"/>
              </w:rPr>
            </w:pPr>
          </w:p>
        </w:tc>
        <w:tc>
          <w:tcPr>
            <w:tcW w:w="1362" w:type="dxa"/>
            <w:noWrap w:val="0"/>
            <w:vAlign w:val="center"/>
          </w:tcPr>
          <w:p>
            <w:pPr>
              <w:autoSpaceDE w:val="0"/>
              <w:autoSpaceDN w:val="0"/>
              <w:adjustRightInd w:val="0"/>
              <w:jc w:val="center"/>
              <w:rPr>
                <w:rFonts w:eastAsia="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gridSpan w:val="2"/>
            <w:vMerge w:val="continue"/>
            <w:noWrap w:val="0"/>
            <w:vAlign w:val="center"/>
          </w:tcPr>
          <w:p>
            <w:pPr>
              <w:autoSpaceDE w:val="0"/>
              <w:autoSpaceDN w:val="0"/>
              <w:adjustRightInd w:val="0"/>
              <w:jc w:val="center"/>
              <w:rPr>
                <w:rFonts w:eastAsia="仿宋"/>
                <w:color w:val="000000"/>
                <w:kern w:val="0"/>
                <w:szCs w:val="21"/>
              </w:rPr>
            </w:pPr>
          </w:p>
        </w:tc>
        <w:tc>
          <w:tcPr>
            <w:tcW w:w="696" w:type="dxa"/>
            <w:noWrap w:val="0"/>
            <w:vAlign w:val="center"/>
          </w:tcPr>
          <w:p>
            <w:pPr>
              <w:autoSpaceDE w:val="0"/>
              <w:autoSpaceDN w:val="0"/>
              <w:adjustRightInd w:val="0"/>
              <w:jc w:val="center"/>
              <w:rPr>
                <w:rFonts w:eastAsia="仿宋"/>
                <w:color w:val="000000"/>
                <w:kern w:val="0"/>
                <w:szCs w:val="21"/>
              </w:rPr>
            </w:pPr>
            <w:r>
              <w:rPr>
                <w:rFonts w:hint="eastAsia" w:eastAsia="仿宋"/>
                <w:color w:val="000000"/>
                <w:kern w:val="0"/>
                <w:szCs w:val="21"/>
              </w:rPr>
              <w:t>……</w:t>
            </w:r>
          </w:p>
        </w:tc>
        <w:tc>
          <w:tcPr>
            <w:tcW w:w="1087" w:type="dxa"/>
            <w:noWrap w:val="0"/>
            <w:vAlign w:val="center"/>
          </w:tcPr>
          <w:p>
            <w:pPr>
              <w:autoSpaceDE w:val="0"/>
              <w:autoSpaceDN w:val="0"/>
              <w:adjustRightInd w:val="0"/>
              <w:jc w:val="center"/>
              <w:rPr>
                <w:rFonts w:eastAsia="仿宋"/>
                <w:color w:val="000000"/>
                <w:kern w:val="0"/>
                <w:szCs w:val="21"/>
              </w:rPr>
            </w:pPr>
          </w:p>
        </w:tc>
        <w:tc>
          <w:tcPr>
            <w:tcW w:w="4437" w:type="dxa"/>
            <w:noWrap w:val="0"/>
            <w:vAlign w:val="center"/>
          </w:tcPr>
          <w:p>
            <w:pPr>
              <w:autoSpaceDE w:val="0"/>
              <w:autoSpaceDN w:val="0"/>
              <w:adjustRightInd w:val="0"/>
              <w:jc w:val="center"/>
              <w:rPr>
                <w:rFonts w:eastAsia="仿宋"/>
                <w:color w:val="000000"/>
                <w:kern w:val="0"/>
                <w:szCs w:val="21"/>
              </w:rPr>
            </w:pPr>
          </w:p>
        </w:tc>
        <w:tc>
          <w:tcPr>
            <w:tcW w:w="1362" w:type="dxa"/>
            <w:noWrap w:val="0"/>
            <w:vAlign w:val="center"/>
          </w:tcPr>
          <w:p>
            <w:pPr>
              <w:autoSpaceDE w:val="0"/>
              <w:autoSpaceDN w:val="0"/>
              <w:adjustRightInd w:val="0"/>
              <w:jc w:val="center"/>
              <w:rPr>
                <w:rFonts w:eastAsia="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86" w:type="dxa"/>
            <w:vMerge w:val="restart"/>
            <w:noWrap w:val="0"/>
            <w:vAlign w:val="center"/>
          </w:tcPr>
          <w:p>
            <w:pPr>
              <w:autoSpaceDE w:val="0"/>
              <w:autoSpaceDN w:val="0"/>
              <w:adjustRightInd w:val="0"/>
              <w:jc w:val="center"/>
              <w:rPr>
                <w:rFonts w:hint="eastAsia" w:eastAsia="仿宋"/>
                <w:color w:val="000000"/>
                <w:kern w:val="0"/>
                <w:szCs w:val="21"/>
              </w:rPr>
            </w:pPr>
            <w:r>
              <w:rPr>
                <w:rFonts w:hint="eastAsia" w:eastAsia="仿宋"/>
                <w:color w:val="000000"/>
                <w:kern w:val="0"/>
                <w:szCs w:val="21"/>
              </w:rPr>
              <w:t>项目负责人</w:t>
            </w:r>
          </w:p>
        </w:tc>
        <w:tc>
          <w:tcPr>
            <w:tcW w:w="1118" w:type="dxa"/>
            <w:noWrap w:val="0"/>
            <w:vAlign w:val="center"/>
          </w:tcPr>
          <w:p>
            <w:pPr>
              <w:autoSpaceDE w:val="0"/>
              <w:autoSpaceDN w:val="0"/>
              <w:adjustRightInd w:val="0"/>
              <w:jc w:val="center"/>
              <w:rPr>
                <w:rFonts w:eastAsia="仿宋"/>
                <w:color w:val="000000"/>
                <w:kern w:val="0"/>
                <w:szCs w:val="21"/>
              </w:rPr>
            </w:pPr>
            <w:r>
              <w:rPr>
                <w:rFonts w:eastAsia="仿宋"/>
                <w:color w:val="000000"/>
                <w:kern w:val="0"/>
                <w:szCs w:val="21"/>
              </w:rPr>
              <w:t>姓名</w:t>
            </w:r>
          </w:p>
        </w:tc>
        <w:tc>
          <w:tcPr>
            <w:tcW w:w="7582" w:type="dxa"/>
            <w:gridSpan w:val="4"/>
            <w:noWrap w:val="0"/>
            <w:vAlign w:val="center"/>
          </w:tcPr>
          <w:p>
            <w:pPr>
              <w:autoSpaceDE w:val="0"/>
              <w:autoSpaceDN w:val="0"/>
              <w:adjustRightInd w:val="0"/>
              <w:jc w:val="center"/>
              <w:rPr>
                <w:rFonts w:eastAsia="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586" w:type="dxa"/>
            <w:vMerge w:val="continue"/>
            <w:noWrap w:val="0"/>
            <w:vAlign w:val="center"/>
          </w:tcPr>
          <w:p>
            <w:pPr>
              <w:autoSpaceDE w:val="0"/>
              <w:autoSpaceDN w:val="0"/>
              <w:adjustRightInd w:val="0"/>
              <w:jc w:val="center"/>
              <w:rPr>
                <w:rFonts w:eastAsia="仿宋"/>
                <w:color w:val="000000"/>
                <w:szCs w:val="21"/>
              </w:rPr>
            </w:pPr>
          </w:p>
        </w:tc>
        <w:tc>
          <w:tcPr>
            <w:tcW w:w="1118" w:type="dxa"/>
            <w:noWrap w:val="0"/>
            <w:vAlign w:val="center"/>
          </w:tcPr>
          <w:p>
            <w:pPr>
              <w:autoSpaceDE w:val="0"/>
              <w:autoSpaceDN w:val="0"/>
              <w:adjustRightInd w:val="0"/>
              <w:jc w:val="center"/>
              <w:rPr>
                <w:rFonts w:eastAsia="仿宋"/>
                <w:color w:val="000000"/>
                <w:kern w:val="0"/>
                <w:szCs w:val="21"/>
              </w:rPr>
            </w:pPr>
            <w:r>
              <w:rPr>
                <w:rFonts w:eastAsia="仿宋"/>
                <w:color w:val="000000"/>
                <w:kern w:val="0"/>
                <w:szCs w:val="21"/>
              </w:rPr>
              <w:t>类似工程业绩</w:t>
            </w:r>
            <w:r>
              <w:rPr>
                <w:rFonts w:hint="eastAsia" w:eastAsia="仿宋"/>
                <w:color w:val="000000"/>
                <w:kern w:val="0"/>
                <w:szCs w:val="21"/>
              </w:rPr>
              <w:t>1</w:t>
            </w:r>
          </w:p>
        </w:tc>
        <w:tc>
          <w:tcPr>
            <w:tcW w:w="7582" w:type="dxa"/>
            <w:gridSpan w:val="4"/>
            <w:noWrap w:val="0"/>
            <w:vAlign w:val="center"/>
          </w:tcPr>
          <w:p>
            <w:pPr>
              <w:autoSpaceDE w:val="0"/>
              <w:autoSpaceDN w:val="0"/>
              <w:adjustRightInd w:val="0"/>
              <w:jc w:val="center"/>
              <w:rPr>
                <w:rFonts w:eastAsia="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586" w:type="dxa"/>
            <w:vMerge w:val="continue"/>
            <w:noWrap w:val="0"/>
            <w:vAlign w:val="center"/>
          </w:tcPr>
          <w:p>
            <w:pPr>
              <w:autoSpaceDE w:val="0"/>
              <w:autoSpaceDN w:val="0"/>
              <w:adjustRightInd w:val="0"/>
              <w:jc w:val="center"/>
              <w:rPr>
                <w:color w:val="000000"/>
              </w:rPr>
            </w:pPr>
          </w:p>
        </w:tc>
        <w:tc>
          <w:tcPr>
            <w:tcW w:w="1118" w:type="dxa"/>
            <w:noWrap w:val="0"/>
            <w:vAlign w:val="center"/>
          </w:tcPr>
          <w:p>
            <w:pPr>
              <w:autoSpaceDE w:val="0"/>
              <w:autoSpaceDN w:val="0"/>
              <w:adjustRightInd w:val="0"/>
              <w:jc w:val="center"/>
              <w:rPr>
                <w:rFonts w:eastAsia="仿宋"/>
                <w:color w:val="000000"/>
                <w:kern w:val="0"/>
                <w:szCs w:val="21"/>
              </w:rPr>
            </w:pPr>
            <w:r>
              <w:rPr>
                <w:rFonts w:eastAsia="仿宋"/>
                <w:color w:val="000000"/>
                <w:kern w:val="0"/>
                <w:szCs w:val="21"/>
              </w:rPr>
              <w:t>类似工程业绩</w:t>
            </w:r>
            <w:r>
              <w:rPr>
                <w:rFonts w:hint="eastAsia" w:eastAsia="仿宋"/>
                <w:color w:val="000000"/>
                <w:kern w:val="0"/>
                <w:szCs w:val="21"/>
              </w:rPr>
              <w:t>2</w:t>
            </w:r>
          </w:p>
        </w:tc>
        <w:tc>
          <w:tcPr>
            <w:tcW w:w="7582" w:type="dxa"/>
            <w:gridSpan w:val="4"/>
            <w:noWrap w:val="0"/>
            <w:vAlign w:val="center"/>
          </w:tcPr>
          <w:p>
            <w:pPr>
              <w:autoSpaceDE w:val="0"/>
              <w:autoSpaceDN w:val="0"/>
              <w:adjustRightInd w:val="0"/>
              <w:jc w:val="center"/>
              <w:rPr>
                <w:rFonts w:eastAsia="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586" w:type="dxa"/>
            <w:vMerge w:val="continue"/>
            <w:noWrap w:val="0"/>
            <w:vAlign w:val="center"/>
          </w:tcPr>
          <w:p>
            <w:pPr>
              <w:autoSpaceDE w:val="0"/>
              <w:autoSpaceDN w:val="0"/>
              <w:adjustRightInd w:val="0"/>
              <w:jc w:val="center"/>
              <w:rPr>
                <w:rFonts w:eastAsia="仿宋"/>
                <w:color w:val="000000"/>
                <w:kern w:val="0"/>
                <w:szCs w:val="21"/>
              </w:rPr>
            </w:pPr>
          </w:p>
        </w:tc>
        <w:tc>
          <w:tcPr>
            <w:tcW w:w="1118" w:type="dxa"/>
            <w:noWrap w:val="0"/>
            <w:vAlign w:val="center"/>
          </w:tcPr>
          <w:p>
            <w:pPr>
              <w:autoSpaceDE w:val="0"/>
              <w:autoSpaceDN w:val="0"/>
              <w:adjustRightInd w:val="0"/>
              <w:jc w:val="center"/>
              <w:rPr>
                <w:rFonts w:eastAsia="仿宋"/>
                <w:color w:val="000000"/>
                <w:kern w:val="0"/>
                <w:szCs w:val="21"/>
              </w:rPr>
            </w:pPr>
            <w:r>
              <w:rPr>
                <w:rFonts w:hint="eastAsia" w:eastAsia="仿宋"/>
                <w:color w:val="000000"/>
                <w:kern w:val="0"/>
                <w:szCs w:val="21"/>
              </w:rPr>
              <w:t>…</w:t>
            </w:r>
          </w:p>
        </w:tc>
        <w:tc>
          <w:tcPr>
            <w:tcW w:w="7582" w:type="dxa"/>
            <w:gridSpan w:val="4"/>
            <w:noWrap w:val="0"/>
            <w:vAlign w:val="center"/>
          </w:tcPr>
          <w:p>
            <w:pPr>
              <w:autoSpaceDE w:val="0"/>
              <w:autoSpaceDN w:val="0"/>
              <w:adjustRightInd w:val="0"/>
              <w:jc w:val="center"/>
              <w:rPr>
                <w:rFonts w:eastAsia="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86" w:type="dxa"/>
            <w:vMerge w:val="continue"/>
            <w:noWrap w:val="0"/>
            <w:vAlign w:val="center"/>
          </w:tcPr>
          <w:p>
            <w:pPr>
              <w:autoSpaceDE w:val="0"/>
              <w:autoSpaceDN w:val="0"/>
              <w:adjustRightInd w:val="0"/>
              <w:jc w:val="center"/>
              <w:rPr>
                <w:rFonts w:eastAsia="仿宋"/>
                <w:color w:val="000000"/>
                <w:kern w:val="0"/>
                <w:szCs w:val="21"/>
              </w:rPr>
            </w:pPr>
          </w:p>
        </w:tc>
        <w:tc>
          <w:tcPr>
            <w:tcW w:w="1118" w:type="dxa"/>
            <w:noWrap w:val="0"/>
            <w:vAlign w:val="center"/>
          </w:tcPr>
          <w:p>
            <w:pPr>
              <w:autoSpaceDE w:val="0"/>
              <w:autoSpaceDN w:val="0"/>
              <w:adjustRightInd w:val="0"/>
              <w:jc w:val="center"/>
              <w:rPr>
                <w:rFonts w:eastAsia="仿宋"/>
                <w:color w:val="000000"/>
                <w:kern w:val="0"/>
                <w:szCs w:val="21"/>
              </w:rPr>
            </w:pPr>
            <w:r>
              <w:rPr>
                <w:rFonts w:eastAsia="仿宋"/>
                <w:color w:val="000000"/>
                <w:kern w:val="0"/>
                <w:szCs w:val="21"/>
              </w:rPr>
              <w:t>表彰奖励</w:t>
            </w:r>
          </w:p>
        </w:tc>
        <w:tc>
          <w:tcPr>
            <w:tcW w:w="7582" w:type="dxa"/>
            <w:gridSpan w:val="4"/>
            <w:noWrap w:val="0"/>
            <w:vAlign w:val="center"/>
          </w:tcPr>
          <w:p>
            <w:pPr>
              <w:autoSpaceDE w:val="0"/>
              <w:autoSpaceDN w:val="0"/>
              <w:adjustRightInd w:val="0"/>
              <w:jc w:val="center"/>
              <w:rPr>
                <w:rFonts w:eastAsia="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586" w:type="dxa"/>
            <w:vMerge w:val="restart"/>
            <w:noWrap w:val="0"/>
            <w:vAlign w:val="center"/>
          </w:tcPr>
          <w:p>
            <w:pPr>
              <w:autoSpaceDE w:val="0"/>
              <w:autoSpaceDN w:val="0"/>
              <w:adjustRightInd w:val="0"/>
              <w:jc w:val="center"/>
              <w:rPr>
                <w:rFonts w:eastAsia="仿宋"/>
                <w:color w:val="000000"/>
                <w:kern w:val="0"/>
                <w:szCs w:val="21"/>
              </w:rPr>
            </w:pPr>
            <w:r>
              <w:rPr>
                <w:rFonts w:eastAsia="仿宋"/>
                <w:color w:val="000000"/>
                <w:kern w:val="0"/>
                <w:szCs w:val="21"/>
              </w:rPr>
              <w:t>技术负责人</w:t>
            </w:r>
          </w:p>
        </w:tc>
        <w:tc>
          <w:tcPr>
            <w:tcW w:w="1118" w:type="dxa"/>
            <w:noWrap w:val="0"/>
            <w:vAlign w:val="center"/>
          </w:tcPr>
          <w:p>
            <w:pPr>
              <w:autoSpaceDE w:val="0"/>
              <w:autoSpaceDN w:val="0"/>
              <w:adjustRightInd w:val="0"/>
              <w:jc w:val="center"/>
              <w:rPr>
                <w:rFonts w:eastAsia="仿宋"/>
                <w:color w:val="000000"/>
                <w:kern w:val="0"/>
                <w:szCs w:val="21"/>
              </w:rPr>
            </w:pPr>
            <w:r>
              <w:rPr>
                <w:rFonts w:eastAsia="仿宋"/>
                <w:color w:val="000000"/>
                <w:kern w:val="0"/>
                <w:szCs w:val="21"/>
              </w:rPr>
              <w:t>姓名</w:t>
            </w:r>
          </w:p>
        </w:tc>
        <w:tc>
          <w:tcPr>
            <w:tcW w:w="7582" w:type="dxa"/>
            <w:gridSpan w:val="4"/>
            <w:noWrap w:val="0"/>
            <w:vAlign w:val="center"/>
          </w:tcPr>
          <w:p>
            <w:pPr>
              <w:autoSpaceDE w:val="0"/>
              <w:autoSpaceDN w:val="0"/>
              <w:adjustRightInd w:val="0"/>
              <w:jc w:val="center"/>
              <w:rPr>
                <w:rFonts w:eastAsia="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586" w:type="dxa"/>
            <w:vMerge w:val="continue"/>
            <w:noWrap w:val="0"/>
            <w:vAlign w:val="center"/>
          </w:tcPr>
          <w:p>
            <w:pPr>
              <w:autoSpaceDE w:val="0"/>
              <w:autoSpaceDN w:val="0"/>
              <w:adjustRightInd w:val="0"/>
              <w:jc w:val="center"/>
              <w:rPr>
                <w:rFonts w:eastAsia="仿宋"/>
                <w:color w:val="000000"/>
                <w:szCs w:val="21"/>
              </w:rPr>
            </w:pPr>
          </w:p>
        </w:tc>
        <w:tc>
          <w:tcPr>
            <w:tcW w:w="1118" w:type="dxa"/>
            <w:noWrap w:val="0"/>
            <w:vAlign w:val="center"/>
          </w:tcPr>
          <w:p>
            <w:pPr>
              <w:autoSpaceDE w:val="0"/>
              <w:autoSpaceDN w:val="0"/>
              <w:adjustRightInd w:val="0"/>
              <w:jc w:val="center"/>
              <w:rPr>
                <w:rFonts w:eastAsia="仿宋"/>
                <w:color w:val="000000"/>
                <w:kern w:val="0"/>
                <w:szCs w:val="21"/>
              </w:rPr>
            </w:pPr>
            <w:r>
              <w:rPr>
                <w:rFonts w:eastAsia="仿宋"/>
                <w:color w:val="000000"/>
                <w:kern w:val="0"/>
                <w:szCs w:val="21"/>
              </w:rPr>
              <w:t>类似工程业绩</w:t>
            </w:r>
            <w:r>
              <w:rPr>
                <w:rFonts w:hint="eastAsia" w:eastAsia="仿宋"/>
                <w:color w:val="000000"/>
                <w:kern w:val="0"/>
                <w:szCs w:val="21"/>
              </w:rPr>
              <w:t>1</w:t>
            </w:r>
          </w:p>
        </w:tc>
        <w:tc>
          <w:tcPr>
            <w:tcW w:w="7582" w:type="dxa"/>
            <w:gridSpan w:val="4"/>
            <w:noWrap w:val="0"/>
            <w:vAlign w:val="center"/>
          </w:tcPr>
          <w:p>
            <w:pPr>
              <w:autoSpaceDE w:val="0"/>
              <w:autoSpaceDN w:val="0"/>
              <w:adjustRightInd w:val="0"/>
              <w:jc w:val="center"/>
              <w:rPr>
                <w:rFonts w:eastAsia="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586" w:type="dxa"/>
            <w:vMerge w:val="continue"/>
            <w:noWrap w:val="0"/>
            <w:vAlign w:val="center"/>
          </w:tcPr>
          <w:p>
            <w:pPr>
              <w:autoSpaceDE w:val="0"/>
              <w:autoSpaceDN w:val="0"/>
              <w:adjustRightInd w:val="0"/>
              <w:jc w:val="center"/>
              <w:rPr>
                <w:color w:val="000000"/>
              </w:rPr>
            </w:pPr>
          </w:p>
        </w:tc>
        <w:tc>
          <w:tcPr>
            <w:tcW w:w="1118" w:type="dxa"/>
            <w:noWrap w:val="0"/>
            <w:vAlign w:val="center"/>
          </w:tcPr>
          <w:p>
            <w:pPr>
              <w:autoSpaceDE w:val="0"/>
              <w:autoSpaceDN w:val="0"/>
              <w:adjustRightInd w:val="0"/>
              <w:jc w:val="center"/>
              <w:rPr>
                <w:rFonts w:eastAsia="仿宋"/>
                <w:color w:val="000000"/>
                <w:kern w:val="0"/>
                <w:szCs w:val="21"/>
              </w:rPr>
            </w:pPr>
            <w:r>
              <w:rPr>
                <w:rFonts w:eastAsia="仿宋"/>
                <w:color w:val="000000"/>
                <w:kern w:val="0"/>
                <w:szCs w:val="21"/>
              </w:rPr>
              <w:t>类似工程业绩</w:t>
            </w:r>
            <w:r>
              <w:rPr>
                <w:rFonts w:hint="eastAsia" w:eastAsia="仿宋"/>
                <w:color w:val="000000"/>
                <w:kern w:val="0"/>
                <w:szCs w:val="21"/>
              </w:rPr>
              <w:t>2</w:t>
            </w:r>
          </w:p>
        </w:tc>
        <w:tc>
          <w:tcPr>
            <w:tcW w:w="7582" w:type="dxa"/>
            <w:gridSpan w:val="4"/>
            <w:noWrap w:val="0"/>
            <w:vAlign w:val="center"/>
          </w:tcPr>
          <w:p>
            <w:pPr>
              <w:autoSpaceDE w:val="0"/>
              <w:autoSpaceDN w:val="0"/>
              <w:adjustRightInd w:val="0"/>
              <w:jc w:val="center"/>
              <w:rPr>
                <w:rFonts w:eastAsia="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586" w:type="dxa"/>
            <w:vMerge w:val="continue"/>
            <w:noWrap w:val="0"/>
            <w:vAlign w:val="center"/>
          </w:tcPr>
          <w:p>
            <w:pPr>
              <w:autoSpaceDE w:val="0"/>
              <w:autoSpaceDN w:val="0"/>
              <w:adjustRightInd w:val="0"/>
              <w:jc w:val="center"/>
              <w:rPr>
                <w:rFonts w:eastAsia="仿宋"/>
                <w:color w:val="000000"/>
                <w:kern w:val="0"/>
                <w:szCs w:val="21"/>
              </w:rPr>
            </w:pPr>
          </w:p>
        </w:tc>
        <w:tc>
          <w:tcPr>
            <w:tcW w:w="1118" w:type="dxa"/>
            <w:noWrap w:val="0"/>
            <w:vAlign w:val="center"/>
          </w:tcPr>
          <w:p>
            <w:pPr>
              <w:autoSpaceDE w:val="0"/>
              <w:autoSpaceDN w:val="0"/>
              <w:adjustRightInd w:val="0"/>
              <w:jc w:val="center"/>
              <w:rPr>
                <w:rFonts w:eastAsia="仿宋"/>
                <w:color w:val="000000"/>
                <w:kern w:val="0"/>
                <w:szCs w:val="21"/>
              </w:rPr>
            </w:pPr>
            <w:r>
              <w:rPr>
                <w:rFonts w:hint="eastAsia" w:eastAsia="仿宋"/>
                <w:color w:val="000000"/>
                <w:kern w:val="0"/>
                <w:szCs w:val="21"/>
              </w:rPr>
              <w:t>…</w:t>
            </w:r>
          </w:p>
        </w:tc>
        <w:tc>
          <w:tcPr>
            <w:tcW w:w="7582" w:type="dxa"/>
            <w:gridSpan w:val="4"/>
            <w:noWrap w:val="0"/>
            <w:vAlign w:val="center"/>
          </w:tcPr>
          <w:p>
            <w:pPr>
              <w:autoSpaceDE w:val="0"/>
              <w:autoSpaceDN w:val="0"/>
              <w:adjustRightInd w:val="0"/>
              <w:jc w:val="center"/>
              <w:rPr>
                <w:rFonts w:eastAsia="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586" w:type="dxa"/>
            <w:vMerge w:val="continue"/>
            <w:noWrap w:val="0"/>
            <w:vAlign w:val="center"/>
          </w:tcPr>
          <w:p>
            <w:pPr>
              <w:autoSpaceDE w:val="0"/>
              <w:autoSpaceDN w:val="0"/>
              <w:adjustRightInd w:val="0"/>
              <w:jc w:val="center"/>
              <w:rPr>
                <w:rFonts w:eastAsia="仿宋"/>
                <w:color w:val="000000"/>
                <w:kern w:val="0"/>
                <w:szCs w:val="21"/>
              </w:rPr>
            </w:pPr>
          </w:p>
        </w:tc>
        <w:tc>
          <w:tcPr>
            <w:tcW w:w="1118" w:type="dxa"/>
            <w:noWrap w:val="0"/>
            <w:vAlign w:val="center"/>
          </w:tcPr>
          <w:p>
            <w:pPr>
              <w:autoSpaceDE w:val="0"/>
              <w:autoSpaceDN w:val="0"/>
              <w:adjustRightInd w:val="0"/>
              <w:jc w:val="center"/>
              <w:rPr>
                <w:rFonts w:eastAsia="仿宋"/>
                <w:color w:val="000000"/>
                <w:kern w:val="0"/>
                <w:szCs w:val="21"/>
              </w:rPr>
            </w:pPr>
            <w:r>
              <w:rPr>
                <w:rFonts w:eastAsia="仿宋"/>
                <w:color w:val="000000"/>
                <w:kern w:val="0"/>
                <w:szCs w:val="21"/>
              </w:rPr>
              <w:t>表彰奖励</w:t>
            </w:r>
          </w:p>
        </w:tc>
        <w:tc>
          <w:tcPr>
            <w:tcW w:w="7582" w:type="dxa"/>
            <w:gridSpan w:val="4"/>
            <w:noWrap w:val="0"/>
            <w:vAlign w:val="center"/>
          </w:tcPr>
          <w:p>
            <w:pPr>
              <w:autoSpaceDE w:val="0"/>
              <w:autoSpaceDN w:val="0"/>
              <w:adjustRightInd w:val="0"/>
              <w:jc w:val="center"/>
              <w:rPr>
                <w:rFonts w:eastAsia="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1704" w:type="dxa"/>
            <w:gridSpan w:val="2"/>
            <w:noWrap w:val="0"/>
            <w:vAlign w:val="center"/>
          </w:tcPr>
          <w:p>
            <w:pPr>
              <w:autoSpaceDE w:val="0"/>
              <w:autoSpaceDN w:val="0"/>
              <w:adjustRightInd w:val="0"/>
              <w:jc w:val="center"/>
              <w:rPr>
                <w:rFonts w:eastAsia="仿宋"/>
                <w:color w:val="000000"/>
                <w:kern w:val="0"/>
                <w:szCs w:val="21"/>
              </w:rPr>
            </w:pPr>
            <w:r>
              <w:rPr>
                <w:rFonts w:eastAsia="仿宋"/>
                <w:color w:val="000000"/>
                <w:kern w:val="0"/>
                <w:szCs w:val="21"/>
              </w:rPr>
              <w:t>提交投标文件截止之时最新公告的信用评价结果</w:t>
            </w:r>
          </w:p>
        </w:tc>
        <w:tc>
          <w:tcPr>
            <w:tcW w:w="7582" w:type="dxa"/>
            <w:gridSpan w:val="4"/>
            <w:noWrap w:val="0"/>
            <w:vAlign w:val="center"/>
          </w:tcPr>
          <w:p>
            <w:pPr>
              <w:autoSpaceDE w:val="0"/>
              <w:autoSpaceDN w:val="0"/>
              <w:adjustRightInd w:val="0"/>
              <w:jc w:val="center"/>
              <w:rPr>
                <w:rFonts w:eastAsia="仿宋"/>
                <w:color w:val="000000"/>
                <w:kern w:val="0"/>
                <w:szCs w:val="21"/>
              </w:rPr>
            </w:pPr>
            <w:r>
              <w:rPr>
                <w:rFonts w:eastAsia="仿宋"/>
                <w:color w:val="000000"/>
                <w:kern w:val="0"/>
                <w:szCs w:val="21"/>
              </w:rPr>
              <w:t>请附“全国建筑市场监管公共服务平台”或“湖南省智慧住建云”信用得分或水利建设市场查询的信用评价结果详细信息网页截图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0" w:hRule="atLeast"/>
          <w:jc w:val="center"/>
        </w:trPr>
        <w:tc>
          <w:tcPr>
            <w:tcW w:w="1704" w:type="dxa"/>
            <w:gridSpan w:val="2"/>
            <w:noWrap w:val="0"/>
            <w:vAlign w:val="center"/>
          </w:tcPr>
          <w:p>
            <w:pPr>
              <w:autoSpaceDE w:val="0"/>
              <w:autoSpaceDN w:val="0"/>
              <w:adjustRightInd w:val="0"/>
              <w:jc w:val="center"/>
              <w:rPr>
                <w:rFonts w:eastAsia="仿宋"/>
                <w:color w:val="000000"/>
                <w:kern w:val="0"/>
                <w:szCs w:val="21"/>
              </w:rPr>
            </w:pPr>
            <w:r>
              <w:rPr>
                <w:rFonts w:eastAsia="仿宋"/>
                <w:color w:val="000000"/>
                <w:kern w:val="0"/>
                <w:szCs w:val="21"/>
              </w:rPr>
              <w:t>未参加信用评价的投标人</w:t>
            </w:r>
          </w:p>
        </w:tc>
        <w:tc>
          <w:tcPr>
            <w:tcW w:w="7582" w:type="dxa"/>
            <w:gridSpan w:val="4"/>
            <w:noWrap w:val="0"/>
            <w:vAlign w:val="center"/>
          </w:tcPr>
          <w:p>
            <w:pPr>
              <w:autoSpaceDE w:val="0"/>
              <w:autoSpaceDN w:val="0"/>
              <w:adjustRightInd w:val="0"/>
              <w:rPr>
                <w:rFonts w:eastAsia="仿宋"/>
                <w:color w:val="000000"/>
                <w:szCs w:val="21"/>
              </w:rPr>
            </w:pPr>
          </w:p>
          <w:p>
            <w:pPr>
              <w:autoSpaceDE w:val="0"/>
              <w:autoSpaceDN w:val="0"/>
              <w:adjustRightInd w:val="0"/>
              <w:rPr>
                <w:rFonts w:eastAsia="仿宋"/>
                <w:color w:val="000000"/>
                <w:szCs w:val="21"/>
              </w:rPr>
            </w:pPr>
            <w:r>
              <w:rPr>
                <w:rFonts w:eastAsia="仿宋"/>
                <w:color w:val="000000"/>
                <w:szCs w:val="21"/>
              </w:rPr>
              <w:t xml:space="preserve">                       </w:t>
            </w:r>
          </w:p>
          <w:p>
            <w:pPr>
              <w:pStyle w:val="2"/>
              <w:rPr>
                <w:rFonts w:eastAsia="仿宋"/>
                <w:color w:val="000000"/>
                <w:kern w:val="0"/>
                <w:szCs w:val="21"/>
                <w:u w:val="single"/>
                <w:lang w:val="en-US" w:eastAsia="zh-CN"/>
              </w:rPr>
            </w:pPr>
            <w:r>
              <w:rPr>
                <w:rFonts w:eastAsia="仿宋"/>
                <w:color w:val="000000"/>
                <w:kern w:val="0"/>
                <w:szCs w:val="21"/>
                <w:lang w:val="en-US" w:eastAsia="zh-CN"/>
              </w:rPr>
              <w:t xml:space="preserve"> </w:t>
            </w:r>
            <w:r>
              <w:rPr>
                <w:rFonts w:eastAsia="仿宋"/>
                <w:color w:val="000000"/>
                <w:kern w:val="0"/>
                <w:szCs w:val="21"/>
                <w:u w:val="single"/>
                <w:lang w:val="en-US" w:eastAsia="zh-CN"/>
              </w:rPr>
              <w:t xml:space="preserve">                    </w:t>
            </w:r>
          </w:p>
          <w:p>
            <w:pPr>
              <w:pStyle w:val="2"/>
              <w:rPr>
                <w:rFonts w:eastAsia="仿宋"/>
                <w:color w:val="000000"/>
                <w:kern w:val="0"/>
                <w:szCs w:val="21"/>
                <w:lang w:val="en-US" w:eastAsia="zh-CN"/>
              </w:rPr>
            </w:pPr>
          </w:p>
          <w:p>
            <w:pPr>
              <w:pStyle w:val="2"/>
              <w:rPr>
                <w:rFonts w:eastAsia="仿宋"/>
                <w:color w:val="000000"/>
                <w:kern w:val="0"/>
                <w:szCs w:val="21"/>
                <w:u w:val="single"/>
                <w:lang w:val="en-US" w:eastAsia="zh-CN"/>
              </w:rPr>
            </w:pPr>
            <w:r>
              <w:rPr>
                <w:rFonts w:eastAsia="仿宋"/>
                <w:color w:val="000000"/>
                <w:kern w:val="0"/>
                <w:szCs w:val="21"/>
                <w:lang w:val="en-US" w:eastAsia="zh-CN"/>
              </w:rPr>
              <w:t>注：未参加信用评价的投标人请填写“未参加”，已参加信用评价的投标人请填写“\”</w:t>
            </w:r>
          </w:p>
        </w:tc>
      </w:tr>
    </w:tbl>
    <w:p>
      <w:pPr>
        <w:autoSpaceDE w:val="0"/>
        <w:autoSpaceDN w:val="0"/>
        <w:adjustRightInd w:val="0"/>
        <w:jc w:val="center"/>
        <w:rPr>
          <w:rFonts w:hint="eastAsia" w:eastAsia="仿宋"/>
          <w:color w:val="000000"/>
          <w:kern w:val="0"/>
          <w:sz w:val="28"/>
          <w:szCs w:val="28"/>
        </w:rPr>
      </w:pPr>
    </w:p>
    <w:p>
      <w:pPr>
        <w:adjustRightInd w:val="0"/>
        <w:snapToGrid w:val="0"/>
        <w:spacing w:line="490" w:lineRule="exact"/>
        <w:jc w:val="center"/>
        <w:rPr>
          <w:rFonts w:hint="eastAsia" w:eastAsia="黑体"/>
          <w:b/>
          <w:bCs/>
          <w:color w:val="000000"/>
          <w:sz w:val="30"/>
          <w:szCs w:val="30"/>
        </w:rPr>
      </w:pPr>
    </w:p>
    <w:p>
      <w:pPr>
        <w:adjustRightInd w:val="0"/>
        <w:snapToGrid w:val="0"/>
        <w:spacing w:line="490" w:lineRule="exact"/>
        <w:jc w:val="center"/>
        <w:rPr>
          <w:rFonts w:hint="eastAsia" w:eastAsia="黑体"/>
          <w:b/>
          <w:bCs/>
          <w:color w:val="000000"/>
          <w:sz w:val="30"/>
          <w:szCs w:val="30"/>
        </w:rPr>
      </w:pPr>
    </w:p>
    <w:p>
      <w:pPr>
        <w:adjustRightInd w:val="0"/>
        <w:snapToGrid w:val="0"/>
        <w:spacing w:line="490" w:lineRule="exact"/>
        <w:jc w:val="center"/>
        <w:outlineLvl w:val="0"/>
        <w:rPr>
          <w:rFonts w:hint="eastAsia" w:ascii="方正小标宋简体" w:eastAsia="方正小标宋简体"/>
          <w:bCs/>
          <w:color w:val="000000"/>
          <w:sz w:val="30"/>
          <w:szCs w:val="30"/>
        </w:rPr>
      </w:pPr>
      <w:r>
        <w:rPr>
          <w:rFonts w:hint="eastAsia" w:ascii="方正小标宋简体" w:eastAsia="方正小标宋简体"/>
          <w:bCs/>
          <w:color w:val="000000"/>
          <w:sz w:val="30"/>
          <w:szCs w:val="30"/>
        </w:rPr>
        <w:t>十.拟分包项目情况表</w:t>
      </w:r>
      <w:bookmarkEnd w:id="2018"/>
      <w:bookmarkEnd w:id="2019"/>
      <w:bookmarkEnd w:id="2020"/>
    </w:p>
    <w:p>
      <w:pPr>
        <w:pStyle w:val="2"/>
      </w:pP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7"/>
        <w:gridCol w:w="2327"/>
        <w:gridCol w:w="1768"/>
        <w:gridCol w:w="2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897" w:type="dxa"/>
            <w:noWrap w:val="0"/>
            <w:vAlign w:val="center"/>
          </w:tcPr>
          <w:p>
            <w:pPr>
              <w:autoSpaceDE w:val="0"/>
              <w:autoSpaceDN w:val="0"/>
              <w:adjustRightInd w:val="0"/>
              <w:jc w:val="center"/>
              <w:rPr>
                <w:rFonts w:eastAsia="仿宋"/>
                <w:color w:val="000000"/>
                <w:kern w:val="0"/>
                <w:szCs w:val="21"/>
              </w:rPr>
            </w:pPr>
            <w:r>
              <w:rPr>
                <w:rFonts w:eastAsia="仿宋"/>
                <w:color w:val="000000"/>
                <w:kern w:val="0"/>
                <w:szCs w:val="21"/>
              </w:rPr>
              <w:t>分包人名称</w:t>
            </w:r>
          </w:p>
        </w:tc>
        <w:tc>
          <w:tcPr>
            <w:tcW w:w="2327" w:type="dxa"/>
            <w:noWrap w:val="0"/>
            <w:vAlign w:val="center"/>
          </w:tcPr>
          <w:p>
            <w:pPr>
              <w:autoSpaceDE w:val="0"/>
              <w:autoSpaceDN w:val="0"/>
              <w:adjustRightInd w:val="0"/>
              <w:jc w:val="center"/>
              <w:rPr>
                <w:rFonts w:eastAsia="仿宋"/>
                <w:color w:val="000000"/>
                <w:kern w:val="0"/>
                <w:sz w:val="24"/>
              </w:rPr>
            </w:pPr>
          </w:p>
        </w:tc>
        <w:tc>
          <w:tcPr>
            <w:tcW w:w="1768" w:type="dxa"/>
            <w:noWrap w:val="0"/>
            <w:vAlign w:val="center"/>
          </w:tcPr>
          <w:p>
            <w:pPr>
              <w:autoSpaceDE w:val="0"/>
              <w:autoSpaceDN w:val="0"/>
              <w:adjustRightInd w:val="0"/>
              <w:jc w:val="center"/>
              <w:rPr>
                <w:rFonts w:eastAsia="仿宋"/>
                <w:color w:val="000000"/>
                <w:kern w:val="0"/>
                <w:szCs w:val="21"/>
              </w:rPr>
            </w:pPr>
            <w:r>
              <w:rPr>
                <w:rFonts w:eastAsia="仿宋"/>
                <w:color w:val="000000"/>
                <w:kern w:val="0"/>
                <w:szCs w:val="21"/>
              </w:rPr>
              <w:t>地址</w:t>
            </w:r>
          </w:p>
        </w:tc>
        <w:tc>
          <w:tcPr>
            <w:tcW w:w="2546" w:type="dxa"/>
            <w:noWrap w:val="0"/>
            <w:vAlign w:val="center"/>
          </w:tcPr>
          <w:p>
            <w:pPr>
              <w:autoSpaceDE w:val="0"/>
              <w:autoSpaceDN w:val="0"/>
              <w:adjustRightInd w:val="0"/>
              <w:jc w:val="center"/>
              <w:rPr>
                <w:rFonts w:eastAsia="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897" w:type="dxa"/>
            <w:noWrap w:val="0"/>
            <w:vAlign w:val="center"/>
          </w:tcPr>
          <w:p>
            <w:pPr>
              <w:autoSpaceDE w:val="0"/>
              <w:autoSpaceDN w:val="0"/>
              <w:adjustRightInd w:val="0"/>
              <w:jc w:val="center"/>
              <w:rPr>
                <w:rFonts w:eastAsia="仿宋"/>
                <w:color w:val="000000"/>
                <w:kern w:val="0"/>
                <w:szCs w:val="21"/>
              </w:rPr>
            </w:pPr>
            <w:r>
              <w:rPr>
                <w:rFonts w:eastAsia="仿宋"/>
                <w:color w:val="000000"/>
                <w:kern w:val="0"/>
                <w:szCs w:val="21"/>
              </w:rPr>
              <w:t>法定代表人</w:t>
            </w:r>
          </w:p>
        </w:tc>
        <w:tc>
          <w:tcPr>
            <w:tcW w:w="2327" w:type="dxa"/>
            <w:noWrap w:val="0"/>
            <w:vAlign w:val="center"/>
          </w:tcPr>
          <w:p>
            <w:pPr>
              <w:autoSpaceDE w:val="0"/>
              <w:autoSpaceDN w:val="0"/>
              <w:adjustRightInd w:val="0"/>
              <w:jc w:val="center"/>
              <w:rPr>
                <w:rFonts w:eastAsia="仿宋"/>
                <w:color w:val="000000"/>
                <w:kern w:val="0"/>
                <w:sz w:val="24"/>
              </w:rPr>
            </w:pPr>
          </w:p>
        </w:tc>
        <w:tc>
          <w:tcPr>
            <w:tcW w:w="1768" w:type="dxa"/>
            <w:noWrap w:val="0"/>
            <w:vAlign w:val="center"/>
          </w:tcPr>
          <w:p>
            <w:pPr>
              <w:autoSpaceDE w:val="0"/>
              <w:autoSpaceDN w:val="0"/>
              <w:adjustRightInd w:val="0"/>
              <w:jc w:val="center"/>
              <w:rPr>
                <w:rFonts w:eastAsia="仿宋"/>
                <w:color w:val="000000"/>
                <w:kern w:val="0"/>
                <w:szCs w:val="21"/>
              </w:rPr>
            </w:pPr>
            <w:r>
              <w:rPr>
                <w:rFonts w:eastAsia="仿宋"/>
                <w:color w:val="000000"/>
                <w:kern w:val="0"/>
                <w:szCs w:val="21"/>
              </w:rPr>
              <w:t>电话</w:t>
            </w:r>
          </w:p>
        </w:tc>
        <w:tc>
          <w:tcPr>
            <w:tcW w:w="2546" w:type="dxa"/>
            <w:noWrap w:val="0"/>
            <w:vAlign w:val="center"/>
          </w:tcPr>
          <w:p>
            <w:pPr>
              <w:autoSpaceDE w:val="0"/>
              <w:autoSpaceDN w:val="0"/>
              <w:adjustRightInd w:val="0"/>
              <w:jc w:val="center"/>
              <w:rPr>
                <w:rFonts w:eastAsia="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897" w:type="dxa"/>
            <w:noWrap w:val="0"/>
            <w:vAlign w:val="center"/>
          </w:tcPr>
          <w:p>
            <w:pPr>
              <w:autoSpaceDE w:val="0"/>
              <w:autoSpaceDN w:val="0"/>
              <w:adjustRightInd w:val="0"/>
              <w:jc w:val="center"/>
              <w:rPr>
                <w:rFonts w:eastAsia="仿宋"/>
                <w:color w:val="000000"/>
                <w:kern w:val="0"/>
                <w:szCs w:val="21"/>
              </w:rPr>
            </w:pPr>
            <w:r>
              <w:rPr>
                <w:rFonts w:eastAsia="仿宋"/>
                <w:color w:val="000000"/>
                <w:kern w:val="0"/>
                <w:szCs w:val="21"/>
              </w:rPr>
              <w:t>营业执照号码</w:t>
            </w:r>
          </w:p>
        </w:tc>
        <w:tc>
          <w:tcPr>
            <w:tcW w:w="2327" w:type="dxa"/>
            <w:noWrap w:val="0"/>
            <w:vAlign w:val="center"/>
          </w:tcPr>
          <w:p>
            <w:pPr>
              <w:autoSpaceDE w:val="0"/>
              <w:autoSpaceDN w:val="0"/>
              <w:adjustRightInd w:val="0"/>
              <w:jc w:val="center"/>
              <w:rPr>
                <w:rFonts w:eastAsia="仿宋"/>
                <w:color w:val="000000"/>
                <w:kern w:val="0"/>
                <w:sz w:val="24"/>
              </w:rPr>
            </w:pPr>
          </w:p>
        </w:tc>
        <w:tc>
          <w:tcPr>
            <w:tcW w:w="1768" w:type="dxa"/>
            <w:noWrap w:val="0"/>
            <w:vAlign w:val="center"/>
          </w:tcPr>
          <w:p>
            <w:pPr>
              <w:autoSpaceDE w:val="0"/>
              <w:autoSpaceDN w:val="0"/>
              <w:adjustRightInd w:val="0"/>
              <w:jc w:val="center"/>
              <w:rPr>
                <w:rFonts w:eastAsia="仿宋"/>
                <w:color w:val="000000"/>
                <w:kern w:val="0"/>
                <w:szCs w:val="21"/>
              </w:rPr>
            </w:pPr>
            <w:r>
              <w:rPr>
                <w:rFonts w:eastAsia="仿宋"/>
                <w:color w:val="000000"/>
                <w:kern w:val="0"/>
                <w:szCs w:val="21"/>
              </w:rPr>
              <w:t>资质等级</w:t>
            </w:r>
          </w:p>
        </w:tc>
        <w:tc>
          <w:tcPr>
            <w:tcW w:w="2546" w:type="dxa"/>
            <w:noWrap w:val="0"/>
            <w:vAlign w:val="center"/>
          </w:tcPr>
          <w:p>
            <w:pPr>
              <w:autoSpaceDE w:val="0"/>
              <w:autoSpaceDN w:val="0"/>
              <w:adjustRightInd w:val="0"/>
              <w:jc w:val="center"/>
              <w:rPr>
                <w:rFonts w:eastAsia="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897" w:type="dxa"/>
            <w:noWrap w:val="0"/>
            <w:vAlign w:val="center"/>
          </w:tcPr>
          <w:p>
            <w:pPr>
              <w:autoSpaceDE w:val="0"/>
              <w:autoSpaceDN w:val="0"/>
              <w:adjustRightInd w:val="0"/>
              <w:jc w:val="center"/>
              <w:rPr>
                <w:rFonts w:eastAsia="仿宋"/>
                <w:color w:val="000000"/>
                <w:kern w:val="0"/>
                <w:szCs w:val="21"/>
              </w:rPr>
            </w:pPr>
            <w:r>
              <w:rPr>
                <w:rFonts w:eastAsia="仿宋"/>
                <w:color w:val="000000"/>
                <w:kern w:val="0"/>
                <w:szCs w:val="21"/>
              </w:rPr>
              <w:t>拟分包的工程项目</w:t>
            </w:r>
          </w:p>
        </w:tc>
        <w:tc>
          <w:tcPr>
            <w:tcW w:w="2327" w:type="dxa"/>
            <w:noWrap w:val="0"/>
            <w:vAlign w:val="center"/>
          </w:tcPr>
          <w:p>
            <w:pPr>
              <w:autoSpaceDE w:val="0"/>
              <w:autoSpaceDN w:val="0"/>
              <w:adjustRightInd w:val="0"/>
              <w:jc w:val="center"/>
              <w:rPr>
                <w:rFonts w:eastAsia="仿宋"/>
                <w:color w:val="000000"/>
                <w:kern w:val="0"/>
                <w:szCs w:val="21"/>
              </w:rPr>
            </w:pPr>
            <w:r>
              <w:rPr>
                <w:rFonts w:eastAsia="仿宋"/>
                <w:color w:val="000000"/>
                <w:kern w:val="0"/>
                <w:szCs w:val="21"/>
              </w:rPr>
              <w:t>主要内容</w:t>
            </w:r>
          </w:p>
        </w:tc>
        <w:tc>
          <w:tcPr>
            <w:tcW w:w="1768" w:type="dxa"/>
            <w:noWrap w:val="0"/>
            <w:vAlign w:val="center"/>
          </w:tcPr>
          <w:p>
            <w:pPr>
              <w:autoSpaceDE w:val="0"/>
              <w:autoSpaceDN w:val="0"/>
              <w:adjustRightInd w:val="0"/>
              <w:jc w:val="center"/>
              <w:rPr>
                <w:rFonts w:eastAsia="仿宋"/>
                <w:color w:val="000000"/>
                <w:kern w:val="0"/>
                <w:szCs w:val="21"/>
              </w:rPr>
            </w:pPr>
            <w:r>
              <w:rPr>
                <w:rFonts w:eastAsia="仿宋"/>
                <w:color w:val="000000"/>
                <w:kern w:val="0"/>
                <w:szCs w:val="21"/>
              </w:rPr>
              <w:t>预计造价（万元）</w:t>
            </w:r>
          </w:p>
        </w:tc>
        <w:tc>
          <w:tcPr>
            <w:tcW w:w="2546" w:type="dxa"/>
            <w:noWrap w:val="0"/>
            <w:vAlign w:val="center"/>
          </w:tcPr>
          <w:p>
            <w:pPr>
              <w:autoSpaceDE w:val="0"/>
              <w:autoSpaceDN w:val="0"/>
              <w:adjustRightInd w:val="0"/>
              <w:jc w:val="center"/>
              <w:rPr>
                <w:rFonts w:eastAsia="仿宋"/>
                <w:color w:val="000000"/>
                <w:kern w:val="0"/>
                <w:szCs w:val="21"/>
              </w:rPr>
            </w:pPr>
            <w:r>
              <w:rPr>
                <w:rFonts w:eastAsia="仿宋"/>
                <w:color w:val="000000"/>
                <w:kern w:val="0"/>
                <w:szCs w:val="21"/>
              </w:rPr>
              <w:t>已经做过的类似工程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897" w:type="dxa"/>
            <w:noWrap w:val="0"/>
            <w:vAlign w:val="center"/>
          </w:tcPr>
          <w:p>
            <w:pPr>
              <w:autoSpaceDE w:val="0"/>
              <w:autoSpaceDN w:val="0"/>
              <w:adjustRightInd w:val="0"/>
              <w:jc w:val="center"/>
              <w:rPr>
                <w:rFonts w:eastAsia="仿宋"/>
                <w:color w:val="000000"/>
                <w:kern w:val="0"/>
                <w:sz w:val="24"/>
              </w:rPr>
            </w:pPr>
          </w:p>
        </w:tc>
        <w:tc>
          <w:tcPr>
            <w:tcW w:w="2327" w:type="dxa"/>
            <w:noWrap w:val="0"/>
            <w:vAlign w:val="center"/>
          </w:tcPr>
          <w:p>
            <w:pPr>
              <w:autoSpaceDE w:val="0"/>
              <w:autoSpaceDN w:val="0"/>
              <w:adjustRightInd w:val="0"/>
              <w:jc w:val="center"/>
              <w:rPr>
                <w:rFonts w:eastAsia="仿宋"/>
                <w:color w:val="000000"/>
                <w:kern w:val="0"/>
                <w:sz w:val="24"/>
              </w:rPr>
            </w:pPr>
          </w:p>
        </w:tc>
        <w:tc>
          <w:tcPr>
            <w:tcW w:w="1768" w:type="dxa"/>
            <w:noWrap w:val="0"/>
            <w:vAlign w:val="center"/>
          </w:tcPr>
          <w:p>
            <w:pPr>
              <w:autoSpaceDE w:val="0"/>
              <w:autoSpaceDN w:val="0"/>
              <w:adjustRightInd w:val="0"/>
              <w:jc w:val="center"/>
              <w:rPr>
                <w:rFonts w:eastAsia="仿宋"/>
                <w:color w:val="000000"/>
                <w:kern w:val="0"/>
                <w:sz w:val="24"/>
              </w:rPr>
            </w:pPr>
          </w:p>
        </w:tc>
        <w:tc>
          <w:tcPr>
            <w:tcW w:w="2546" w:type="dxa"/>
            <w:vMerge w:val="restart"/>
            <w:noWrap w:val="0"/>
            <w:vAlign w:val="center"/>
          </w:tcPr>
          <w:p>
            <w:pPr>
              <w:autoSpaceDE w:val="0"/>
              <w:autoSpaceDN w:val="0"/>
              <w:adjustRightInd w:val="0"/>
              <w:jc w:val="center"/>
              <w:rPr>
                <w:rFonts w:eastAsia="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897" w:type="dxa"/>
            <w:noWrap w:val="0"/>
            <w:vAlign w:val="center"/>
          </w:tcPr>
          <w:p>
            <w:pPr>
              <w:autoSpaceDE w:val="0"/>
              <w:autoSpaceDN w:val="0"/>
              <w:adjustRightInd w:val="0"/>
              <w:jc w:val="center"/>
              <w:rPr>
                <w:color w:val="000000"/>
                <w:kern w:val="0"/>
                <w:sz w:val="24"/>
              </w:rPr>
            </w:pPr>
          </w:p>
        </w:tc>
        <w:tc>
          <w:tcPr>
            <w:tcW w:w="2327" w:type="dxa"/>
            <w:noWrap w:val="0"/>
            <w:vAlign w:val="center"/>
          </w:tcPr>
          <w:p>
            <w:pPr>
              <w:autoSpaceDE w:val="0"/>
              <w:autoSpaceDN w:val="0"/>
              <w:adjustRightInd w:val="0"/>
              <w:jc w:val="center"/>
              <w:rPr>
                <w:color w:val="000000"/>
                <w:kern w:val="0"/>
                <w:sz w:val="24"/>
              </w:rPr>
            </w:pPr>
          </w:p>
        </w:tc>
        <w:tc>
          <w:tcPr>
            <w:tcW w:w="1768" w:type="dxa"/>
            <w:noWrap w:val="0"/>
            <w:vAlign w:val="center"/>
          </w:tcPr>
          <w:p>
            <w:pPr>
              <w:autoSpaceDE w:val="0"/>
              <w:autoSpaceDN w:val="0"/>
              <w:adjustRightInd w:val="0"/>
              <w:jc w:val="center"/>
              <w:rPr>
                <w:color w:val="000000"/>
                <w:kern w:val="0"/>
                <w:sz w:val="24"/>
              </w:rPr>
            </w:pPr>
          </w:p>
        </w:tc>
        <w:tc>
          <w:tcPr>
            <w:tcW w:w="2546" w:type="dxa"/>
            <w:vMerge w:val="continue"/>
            <w:noWrap w:val="0"/>
            <w:vAlign w:val="center"/>
          </w:tcPr>
          <w:p>
            <w:pPr>
              <w:autoSpaceDE w:val="0"/>
              <w:autoSpaceDN w:val="0"/>
              <w:adjustRightInd w:val="0"/>
              <w:jc w:val="center"/>
              <w:rPr>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897" w:type="dxa"/>
            <w:noWrap w:val="0"/>
            <w:vAlign w:val="center"/>
          </w:tcPr>
          <w:p>
            <w:pPr>
              <w:autoSpaceDE w:val="0"/>
              <w:autoSpaceDN w:val="0"/>
              <w:adjustRightInd w:val="0"/>
              <w:jc w:val="center"/>
              <w:rPr>
                <w:color w:val="000000"/>
                <w:kern w:val="0"/>
                <w:sz w:val="24"/>
              </w:rPr>
            </w:pPr>
          </w:p>
        </w:tc>
        <w:tc>
          <w:tcPr>
            <w:tcW w:w="2327" w:type="dxa"/>
            <w:noWrap w:val="0"/>
            <w:vAlign w:val="center"/>
          </w:tcPr>
          <w:p>
            <w:pPr>
              <w:autoSpaceDE w:val="0"/>
              <w:autoSpaceDN w:val="0"/>
              <w:adjustRightInd w:val="0"/>
              <w:jc w:val="center"/>
              <w:rPr>
                <w:color w:val="000000"/>
                <w:kern w:val="0"/>
                <w:sz w:val="24"/>
              </w:rPr>
            </w:pPr>
          </w:p>
        </w:tc>
        <w:tc>
          <w:tcPr>
            <w:tcW w:w="1768" w:type="dxa"/>
            <w:noWrap w:val="0"/>
            <w:vAlign w:val="center"/>
          </w:tcPr>
          <w:p>
            <w:pPr>
              <w:autoSpaceDE w:val="0"/>
              <w:autoSpaceDN w:val="0"/>
              <w:adjustRightInd w:val="0"/>
              <w:jc w:val="center"/>
              <w:rPr>
                <w:color w:val="000000"/>
                <w:kern w:val="0"/>
                <w:sz w:val="24"/>
              </w:rPr>
            </w:pPr>
          </w:p>
        </w:tc>
        <w:tc>
          <w:tcPr>
            <w:tcW w:w="2546" w:type="dxa"/>
            <w:vMerge w:val="continue"/>
            <w:noWrap w:val="0"/>
            <w:vAlign w:val="center"/>
          </w:tcPr>
          <w:p>
            <w:pPr>
              <w:autoSpaceDE w:val="0"/>
              <w:autoSpaceDN w:val="0"/>
              <w:adjustRightInd w:val="0"/>
              <w:jc w:val="center"/>
              <w:rPr>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897" w:type="dxa"/>
            <w:noWrap w:val="0"/>
            <w:vAlign w:val="center"/>
          </w:tcPr>
          <w:p>
            <w:pPr>
              <w:autoSpaceDE w:val="0"/>
              <w:autoSpaceDN w:val="0"/>
              <w:adjustRightInd w:val="0"/>
              <w:jc w:val="center"/>
              <w:rPr>
                <w:color w:val="000000"/>
                <w:kern w:val="0"/>
                <w:sz w:val="24"/>
              </w:rPr>
            </w:pPr>
          </w:p>
        </w:tc>
        <w:tc>
          <w:tcPr>
            <w:tcW w:w="2327" w:type="dxa"/>
            <w:noWrap w:val="0"/>
            <w:vAlign w:val="center"/>
          </w:tcPr>
          <w:p>
            <w:pPr>
              <w:autoSpaceDE w:val="0"/>
              <w:autoSpaceDN w:val="0"/>
              <w:adjustRightInd w:val="0"/>
              <w:jc w:val="center"/>
              <w:rPr>
                <w:color w:val="000000"/>
                <w:kern w:val="0"/>
                <w:sz w:val="24"/>
              </w:rPr>
            </w:pPr>
          </w:p>
        </w:tc>
        <w:tc>
          <w:tcPr>
            <w:tcW w:w="1768" w:type="dxa"/>
            <w:noWrap w:val="0"/>
            <w:vAlign w:val="center"/>
          </w:tcPr>
          <w:p>
            <w:pPr>
              <w:autoSpaceDE w:val="0"/>
              <w:autoSpaceDN w:val="0"/>
              <w:adjustRightInd w:val="0"/>
              <w:jc w:val="center"/>
              <w:rPr>
                <w:color w:val="000000"/>
                <w:kern w:val="0"/>
                <w:sz w:val="24"/>
              </w:rPr>
            </w:pPr>
          </w:p>
        </w:tc>
        <w:tc>
          <w:tcPr>
            <w:tcW w:w="2546" w:type="dxa"/>
            <w:vMerge w:val="continue"/>
            <w:noWrap w:val="0"/>
            <w:vAlign w:val="center"/>
          </w:tcPr>
          <w:p>
            <w:pPr>
              <w:autoSpaceDE w:val="0"/>
              <w:autoSpaceDN w:val="0"/>
              <w:adjustRightInd w:val="0"/>
              <w:jc w:val="center"/>
              <w:rPr>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897" w:type="dxa"/>
            <w:noWrap w:val="0"/>
            <w:vAlign w:val="center"/>
          </w:tcPr>
          <w:p>
            <w:pPr>
              <w:autoSpaceDE w:val="0"/>
              <w:autoSpaceDN w:val="0"/>
              <w:adjustRightInd w:val="0"/>
              <w:jc w:val="center"/>
              <w:rPr>
                <w:color w:val="000000"/>
                <w:kern w:val="0"/>
                <w:sz w:val="24"/>
              </w:rPr>
            </w:pPr>
          </w:p>
        </w:tc>
        <w:tc>
          <w:tcPr>
            <w:tcW w:w="2327" w:type="dxa"/>
            <w:noWrap w:val="0"/>
            <w:vAlign w:val="center"/>
          </w:tcPr>
          <w:p>
            <w:pPr>
              <w:autoSpaceDE w:val="0"/>
              <w:autoSpaceDN w:val="0"/>
              <w:adjustRightInd w:val="0"/>
              <w:jc w:val="center"/>
              <w:rPr>
                <w:color w:val="000000"/>
                <w:kern w:val="0"/>
                <w:sz w:val="24"/>
              </w:rPr>
            </w:pPr>
          </w:p>
        </w:tc>
        <w:tc>
          <w:tcPr>
            <w:tcW w:w="1768" w:type="dxa"/>
            <w:noWrap w:val="0"/>
            <w:vAlign w:val="center"/>
          </w:tcPr>
          <w:p>
            <w:pPr>
              <w:autoSpaceDE w:val="0"/>
              <w:autoSpaceDN w:val="0"/>
              <w:adjustRightInd w:val="0"/>
              <w:jc w:val="center"/>
              <w:rPr>
                <w:color w:val="000000"/>
                <w:kern w:val="0"/>
                <w:sz w:val="24"/>
              </w:rPr>
            </w:pPr>
          </w:p>
        </w:tc>
        <w:tc>
          <w:tcPr>
            <w:tcW w:w="2546" w:type="dxa"/>
            <w:vMerge w:val="continue"/>
            <w:noWrap w:val="0"/>
            <w:vAlign w:val="center"/>
          </w:tcPr>
          <w:p>
            <w:pPr>
              <w:autoSpaceDE w:val="0"/>
              <w:autoSpaceDN w:val="0"/>
              <w:adjustRightInd w:val="0"/>
              <w:jc w:val="center"/>
              <w:rPr>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897" w:type="dxa"/>
            <w:noWrap w:val="0"/>
            <w:vAlign w:val="center"/>
          </w:tcPr>
          <w:p>
            <w:pPr>
              <w:autoSpaceDE w:val="0"/>
              <w:autoSpaceDN w:val="0"/>
              <w:adjustRightInd w:val="0"/>
              <w:jc w:val="center"/>
              <w:rPr>
                <w:color w:val="000000"/>
                <w:kern w:val="0"/>
                <w:sz w:val="24"/>
              </w:rPr>
            </w:pPr>
          </w:p>
        </w:tc>
        <w:tc>
          <w:tcPr>
            <w:tcW w:w="2327" w:type="dxa"/>
            <w:noWrap w:val="0"/>
            <w:vAlign w:val="center"/>
          </w:tcPr>
          <w:p>
            <w:pPr>
              <w:autoSpaceDE w:val="0"/>
              <w:autoSpaceDN w:val="0"/>
              <w:adjustRightInd w:val="0"/>
              <w:jc w:val="center"/>
              <w:rPr>
                <w:color w:val="000000"/>
                <w:kern w:val="0"/>
                <w:sz w:val="24"/>
              </w:rPr>
            </w:pPr>
          </w:p>
        </w:tc>
        <w:tc>
          <w:tcPr>
            <w:tcW w:w="1768" w:type="dxa"/>
            <w:noWrap w:val="0"/>
            <w:vAlign w:val="center"/>
          </w:tcPr>
          <w:p>
            <w:pPr>
              <w:autoSpaceDE w:val="0"/>
              <w:autoSpaceDN w:val="0"/>
              <w:adjustRightInd w:val="0"/>
              <w:jc w:val="center"/>
              <w:rPr>
                <w:color w:val="000000"/>
                <w:kern w:val="0"/>
                <w:sz w:val="24"/>
              </w:rPr>
            </w:pPr>
          </w:p>
        </w:tc>
        <w:tc>
          <w:tcPr>
            <w:tcW w:w="2546" w:type="dxa"/>
            <w:vMerge w:val="continue"/>
            <w:noWrap w:val="0"/>
            <w:vAlign w:val="center"/>
          </w:tcPr>
          <w:p>
            <w:pPr>
              <w:autoSpaceDE w:val="0"/>
              <w:autoSpaceDN w:val="0"/>
              <w:adjustRightInd w:val="0"/>
              <w:jc w:val="center"/>
              <w:rPr>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897" w:type="dxa"/>
            <w:noWrap w:val="0"/>
            <w:vAlign w:val="center"/>
          </w:tcPr>
          <w:p>
            <w:pPr>
              <w:autoSpaceDE w:val="0"/>
              <w:autoSpaceDN w:val="0"/>
              <w:adjustRightInd w:val="0"/>
              <w:jc w:val="center"/>
              <w:rPr>
                <w:color w:val="000000"/>
                <w:kern w:val="0"/>
                <w:sz w:val="24"/>
              </w:rPr>
            </w:pPr>
          </w:p>
        </w:tc>
        <w:tc>
          <w:tcPr>
            <w:tcW w:w="2327" w:type="dxa"/>
            <w:noWrap w:val="0"/>
            <w:vAlign w:val="center"/>
          </w:tcPr>
          <w:p>
            <w:pPr>
              <w:autoSpaceDE w:val="0"/>
              <w:autoSpaceDN w:val="0"/>
              <w:adjustRightInd w:val="0"/>
              <w:jc w:val="center"/>
              <w:rPr>
                <w:color w:val="000000"/>
                <w:kern w:val="0"/>
                <w:sz w:val="24"/>
              </w:rPr>
            </w:pPr>
          </w:p>
        </w:tc>
        <w:tc>
          <w:tcPr>
            <w:tcW w:w="1768" w:type="dxa"/>
            <w:noWrap w:val="0"/>
            <w:vAlign w:val="center"/>
          </w:tcPr>
          <w:p>
            <w:pPr>
              <w:autoSpaceDE w:val="0"/>
              <w:autoSpaceDN w:val="0"/>
              <w:adjustRightInd w:val="0"/>
              <w:jc w:val="center"/>
              <w:rPr>
                <w:color w:val="000000"/>
                <w:kern w:val="0"/>
                <w:sz w:val="24"/>
              </w:rPr>
            </w:pPr>
          </w:p>
        </w:tc>
        <w:tc>
          <w:tcPr>
            <w:tcW w:w="2546" w:type="dxa"/>
            <w:vMerge w:val="continue"/>
            <w:noWrap w:val="0"/>
            <w:vAlign w:val="center"/>
          </w:tcPr>
          <w:p>
            <w:pPr>
              <w:autoSpaceDE w:val="0"/>
              <w:autoSpaceDN w:val="0"/>
              <w:adjustRightInd w:val="0"/>
              <w:jc w:val="center"/>
              <w:rPr>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897" w:type="dxa"/>
            <w:noWrap w:val="0"/>
            <w:vAlign w:val="center"/>
          </w:tcPr>
          <w:p>
            <w:pPr>
              <w:autoSpaceDE w:val="0"/>
              <w:autoSpaceDN w:val="0"/>
              <w:adjustRightInd w:val="0"/>
              <w:jc w:val="center"/>
              <w:rPr>
                <w:color w:val="000000"/>
                <w:kern w:val="0"/>
                <w:sz w:val="24"/>
              </w:rPr>
            </w:pPr>
          </w:p>
        </w:tc>
        <w:tc>
          <w:tcPr>
            <w:tcW w:w="2327" w:type="dxa"/>
            <w:noWrap w:val="0"/>
            <w:vAlign w:val="center"/>
          </w:tcPr>
          <w:p>
            <w:pPr>
              <w:autoSpaceDE w:val="0"/>
              <w:autoSpaceDN w:val="0"/>
              <w:adjustRightInd w:val="0"/>
              <w:jc w:val="center"/>
              <w:rPr>
                <w:color w:val="000000"/>
                <w:kern w:val="0"/>
                <w:sz w:val="24"/>
              </w:rPr>
            </w:pPr>
          </w:p>
        </w:tc>
        <w:tc>
          <w:tcPr>
            <w:tcW w:w="1768" w:type="dxa"/>
            <w:noWrap w:val="0"/>
            <w:vAlign w:val="center"/>
          </w:tcPr>
          <w:p>
            <w:pPr>
              <w:autoSpaceDE w:val="0"/>
              <w:autoSpaceDN w:val="0"/>
              <w:adjustRightInd w:val="0"/>
              <w:jc w:val="center"/>
              <w:rPr>
                <w:color w:val="000000"/>
                <w:kern w:val="0"/>
                <w:sz w:val="24"/>
              </w:rPr>
            </w:pPr>
          </w:p>
        </w:tc>
        <w:tc>
          <w:tcPr>
            <w:tcW w:w="2546" w:type="dxa"/>
            <w:vMerge w:val="continue"/>
            <w:noWrap w:val="0"/>
            <w:vAlign w:val="center"/>
          </w:tcPr>
          <w:p>
            <w:pPr>
              <w:autoSpaceDE w:val="0"/>
              <w:autoSpaceDN w:val="0"/>
              <w:adjustRightInd w:val="0"/>
              <w:jc w:val="center"/>
              <w:rPr>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897" w:type="dxa"/>
            <w:noWrap w:val="0"/>
            <w:vAlign w:val="center"/>
          </w:tcPr>
          <w:p>
            <w:pPr>
              <w:autoSpaceDE w:val="0"/>
              <w:autoSpaceDN w:val="0"/>
              <w:adjustRightInd w:val="0"/>
              <w:jc w:val="center"/>
              <w:rPr>
                <w:color w:val="000000"/>
                <w:kern w:val="0"/>
                <w:sz w:val="24"/>
              </w:rPr>
            </w:pPr>
          </w:p>
        </w:tc>
        <w:tc>
          <w:tcPr>
            <w:tcW w:w="2327" w:type="dxa"/>
            <w:noWrap w:val="0"/>
            <w:vAlign w:val="center"/>
          </w:tcPr>
          <w:p>
            <w:pPr>
              <w:autoSpaceDE w:val="0"/>
              <w:autoSpaceDN w:val="0"/>
              <w:adjustRightInd w:val="0"/>
              <w:jc w:val="center"/>
              <w:rPr>
                <w:color w:val="000000"/>
                <w:kern w:val="0"/>
                <w:sz w:val="24"/>
              </w:rPr>
            </w:pPr>
          </w:p>
        </w:tc>
        <w:tc>
          <w:tcPr>
            <w:tcW w:w="1768" w:type="dxa"/>
            <w:noWrap w:val="0"/>
            <w:vAlign w:val="center"/>
          </w:tcPr>
          <w:p>
            <w:pPr>
              <w:autoSpaceDE w:val="0"/>
              <w:autoSpaceDN w:val="0"/>
              <w:adjustRightInd w:val="0"/>
              <w:jc w:val="center"/>
              <w:rPr>
                <w:color w:val="000000"/>
                <w:kern w:val="0"/>
                <w:sz w:val="24"/>
              </w:rPr>
            </w:pPr>
          </w:p>
        </w:tc>
        <w:tc>
          <w:tcPr>
            <w:tcW w:w="2546" w:type="dxa"/>
            <w:vMerge w:val="continue"/>
            <w:noWrap w:val="0"/>
            <w:vAlign w:val="center"/>
          </w:tcPr>
          <w:p>
            <w:pPr>
              <w:autoSpaceDE w:val="0"/>
              <w:autoSpaceDN w:val="0"/>
              <w:adjustRightInd w:val="0"/>
              <w:jc w:val="center"/>
              <w:rPr>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897" w:type="dxa"/>
            <w:noWrap w:val="0"/>
            <w:vAlign w:val="center"/>
          </w:tcPr>
          <w:p>
            <w:pPr>
              <w:autoSpaceDE w:val="0"/>
              <w:autoSpaceDN w:val="0"/>
              <w:adjustRightInd w:val="0"/>
              <w:jc w:val="center"/>
              <w:rPr>
                <w:color w:val="000000"/>
                <w:kern w:val="0"/>
                <w:sz w:val="24"/>
              </w:rPr>
            </w:pPr>
          </w:p>
        </w:tc>
        <w:tc>
          <w:tcPr>
            <w:tcW w:w="2327" w:type="dxa"/>
            <w:noWrap w:val="0"/>
            <w:vAlign w:val="center"/>
          </w:tcPr>
          <w:p>
            <w:pPr>
              <w:autoSpaceDE w:val="0"/>
              <w:autoSpaceDN w:val="0"/>
              <w:adjustRightInd w:val="0"/>
              <w:jc w:val="center"/>
              <w:rPr>
                <w:color w:val="000000"/>
                <w:kern w:val="0"/>
                <w:sz w:val="24"/>
              </w:rPr>
            </w:pPr>
          </w:p>
        </w:tc>
        <w:tc>
          <w:tcPr>
            <w:tcW w:w="1768" w:type="dxa"/>
            <w:noWrap w:val="0"/>
            <w:vAlign w:val="center"/>
          </w:tcPr>
          <w:p>
            <w:pPr>
              <w:autoSpaceDE w:val="0"/>
              <w:autoSpaceDN w:val="0"/>
              <w:adjustRightInd w:val="0"/>
              <w:jc w:val="center"/>
              <w:rPr>
                <w:color w:val="000000"/>
                <w:kern w:val="0"/>
                <w:sz w:val="24"/>
              </w:rPr>
            </w:pPr>
          </w:p>
        </w:tc>
        <w:tc>
          <w:tcPr>
            <w:tcW w:w="2546" w:type="dxa"/>
            <w:vMerge w:val="continue"/>
            <w:noWrap w:val="0"/>
            <w:vAlign w:val="center"/>
          </w:tcPr>
          <w:p>
            <w:pPr>
              <w:autoSpaceDE w:val="0"/>
              <w:autoSpaceDN w:val="0"/>
              <w:adjustRightInd w:val="0"/>
              <w:jc w:val="center"/>
              <w:rPr>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897" w:type="dxa"/>
            <w:noWrap w:val="0"/>
            <w:vAlign w:val="center"/>
          </w:tcPr>
          <w:p>
            <w:pPr>
              <w:autoSpaceDE w:val="0"/>
              <w:autoSpaceDN w:val="0"/>
              <w:adjustRightInd w:val="0"/>
              <w:jc w:val="center"/>
              <w:rPr>
                <w:color w:val="000000"/>
                <w:kern w:val="0"/>
                <w:sz w:val="24"/>
              </w:rPr>
            </w:pPr>
          </w:p>
        </w:tc>
        <w:tc>
          <w:tcPr>
            <w:tcW w:w="2327" w:type="dxa"/>
            <w:noWrap w:val="0"/>
            <w:vAlign w:val="center"/>
          </w:tcPr>
          <w:p>
            <w:pPr>
              <w:autoSpaceDE w:val="0"/>
              <w:autoSpaceDN w:val="0"/>
              <w:adjustRightInd w:val="0"/>
              <w:jc w:val="center"/>
              <w:rPr>
                <w:color w:val="000000"/>
                <w:kern w:val="0"/>
                <w:sz w:val="24"/>
              </w:rPr>
            </w:pPr>
          </w:p>
        </w:tc>
        <w:tc>
          <w:tcPr>
            <w:tcW w:w="1768" w:type="dxa"/>
            <w:noWrap w:val="0"/>
            <w:vAlign w:val="center"/>
          </w:tcPr>
          <w:p>
            <w:pPr>
              <w:autoSpaceDE w:val="0"/>
              <w:autoSpaceDN w:val="0"/>
              <w:adjustRightInd w:val="0"/>
              <w:jc w:val="center"/>
              <w:rPr>
                <w:color w:val="000000"/>
                <w:kern w:val="0"/>
                <w:sz w:val="24"/>
              </w:rPr>
            </w:pPr>
          </w:p>
        </w:tc>
        <w:tc>
          <w:tcPr>
            <w:tcW w:w="2546" w:type="dxa"/>
            <w:vMerge w:val="continue"/>
            <w:noWrap w:val="0"/>
            <w:vAlign w:val="center"/>
          </w:tcPr>
          <w:p>
            <w:pPr>
              <w:autoSpaceDE w:val="0"/>
              <w:autoSpaceDN w:val="0"/>
              <w:adjustRightInd w:val="0"/>
              <w:jc w:val="center"/>
              <w:rPr>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897" w:type="dxa"/>
            <w:noWrap w:val="0"/>
            <w:vAlign w:val="center"/>
          </w:tcPr>
          <w:p>
            <w:pPr>
              <w:autoSpaceDE w:val="0"/>
              <w:autoSpaceDN w:val="0"/>
              <w:adjustRightInd w:val="0"/>
              <w:jc w:val="center"/>
              <w:rPr>
                <w:color w:val="000000"/>
                <w:kern w:val="0"/>
                <w:sz w:val="24"/>
              </w:rPr>
            </w:pPr>
          </w:p>
        </w:tc>
        <w:tc>
          <w:tcPr>
            <w:tcW w:w="2327" w:type="dxa"/>
            <w:noWrap w:val="0"/>
            <w:vAlign w:val="center"/>
          </w:tcPr>
          <w:p>
            <w:pPr>
              <w:autoSpaceDE w:val="0"/>
              <w:autoSpaceDN w:val="0"/>
              <w:adjustRightInd w:val="0"/>
              <w:jc w:val="center"/>
              <w:rPr>
                <w:color w:val="000000"/>
                <w:kern w:val="0"/>
                <w:sz w:val="24"/>
              </w:rPr>
            </w:pPr>
          </w:p>
        </w:tc>
        <w:tc>
          <w:tcPr>
            <w:tcW w:w="1768" w:type="dxa"/>
            <w:noWrap w:val="0"/>
            <w:vAlign w:val="center"/>
          </w:tcPr>
          <w:p>
            <w:pPr>
              <w:autoSpaceDE w:val="0"/>
              <w:autoSpaceDN w:val="0"/>
              <w:adjustRightInd w:val="0"/>
              <w:jc w:val="center"/>
              <w:rPr>
                <w:color w:val="000000"/>
                <w:kern w:val="0"/>
                <w:sz w:val="24"/>
              </w:rPr>
            </w:pPr>
          </w:p>
        </w:tc>
        <w:tc>
          <w:tcPr>
            <w:tcW w:w="2546" w:type="dxa"/>
            <w:vMerge w:val="continue"/>
            <w:noWrap w:val="0"/>
            <w:vAlign w:val="center"/>
          </w:tcPr>
          <w:p>
            <w:pPr>
              <w:autoSpaceDE w:val="0"/>
              <w:autoSpaceDN w:val="0"/>
              <w:adjustRightInd w:val="0"/>
              <w:jc w:val="center"/>
              <w:rPr>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897" w:type="dxa"/>
            <w:noWrap w:val="0"/>
            <w:vAlign w:val="center"/>
          </w:tcPr>
          <w:p>
            <w:pPr>
              <w:autoSpaceDE w:val="0"/>
              <w:autoSpaceDN w:val="0"/>
              <w:adjustRightInd w:val="0"/>
              <w:jc w:val="center"/>
              <w:rPr>
                <w:color w:val="000000"/>
                <w:kern w:val="0"/>
                <w:sz w:val="24"/>
              </w:rPr>
            </w:pPr>
          </w:p>
        </w:tc>
        <w:tc>
          <w:tcPr>
            <w:tcW w:w="2327" w:type="dxa"/>
            <w:noWrap w:val="0"/>
            <w:vAlign w:val="center"/>
          </w:tcPr>
          <w:p>
            <w:pPr>
              <w:autoSpaceDE w:val="0"/>
              <w:autoSpaceDN w:val="0"/>
              <w:adjustRightInd w:val="0"/>
              <w:jc w:val="center"/>
              <w:rPr>
                <w:color w:val="000000"/>
                <w:kern w:val="0"/>
                <w:sz w:val="24"/>
              </w:rPr>
            </w:pPr>
          </w:p>
        </w:tc>
        <w:tc>
          <w:tcPr>
            <w:tcW w:w="1768" w:type="dxa"/>
            <w:noWrap w:val="0"/>
            <w:vAlign w:val="center"/>
          </w:tcPr>
          <w:p>
            <w:pPr>
              <w:autoSpaceDE w:val="0"/>
              <w:autoSpaceDN w:val="0"/>
              <w:adjustRightInd w:val="0"/>
              <w:jc w:val="center"/>
              <w:rPr>
                <w:color w:val="000000"/>
                <w:kern w:val="0"/>
                <w:sz w:val="24"/>
              </w:rPr>
            </w:pPr>
          </w:p>
        </w:tc>
        <w:tc>
          <w:tcPr>
            <w:tcW w:w="2546" w:type="dxa"/>
            <w:vMerge w:val="continue"/>
            <w:noWrap w:val="0"/>
            <w:vAlign w:val="center"/>
          </w:tcPr>
          <w:p>
            <w:pPr>
              <w:autoSpaceDE w:val="0"/>
              <w:autoSpaceDN w:val="0"/>
              <w:adjustRightInd w:val="0"/>
              <w:jc w:val="center"/>
              <w:rPr>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897" w:type="dxa"/>
            <w:noWrap w:val="0"/>
            <w:vAlign w:val="center"/>
          </w:tcPr>
          <w:p>
            <w:pPr>
              <w:autoSpaceDE w:val="0"/>
              <w:autoSpaceDN w:val="0"/>
              <w:adjustRightInd w:val="0"/>
              <w:jc w:val="center"/>
              <w:rPr>
                <w:color w:val="000000"/>
                <w:kern w:val="0"/>
                <w:sz w:val="24"/>
              </w:rPr>
            </w:pPr>
          </w:p>
        </w:tc>
        <w:tc>
          <w:tcPr>
            <w:tcW w:w="2327" w:type="dxa"/>
            <w:noWrap w:val="0"/>
            <w:vAlign w:val="center"/>
          </w:tcPr>
          <w:p>
            <w:pPr>
              <w:autoSpaceDE w:val="0"/>
              <w:autoSpaceDN w:val="0"/>
              <w:adjustRightInd w:val="0"/>
              <w:jc w:val="center"/>
              <w:rPr>
                <w:color w:val="000000"/>
                <w:kern w:val="0"/>
                <w:sz w:val="24"/>
              </w:rPr>
            </w:pPr>
          </w:p>
        </w:tc>
        <w:tc>
          <w:tcPr>
            <w:tcW w:w="1768" w:type="dxa"/>
            <w:noWrap w:val="0"/>
            <w:vAlign w:val="center"/>
          </w:tcPr>
          <w:p>
            <w:pPr>
              <w:autoSpaceDE w:val="0"/>
              <w:autoSpaceDN w:val="0"/>
              <w:adjustRightInd w:val="0"/>
              <w:jc w:val="center"/>
              <w:rPr>
                <w:color w:val="000000"/>
                <w:kern w:val="0"/>
                <w:sz w:val="24"/>
              </w:rPr>
            </w:pPr>
          </w:p>
        </w:tc>
        <w:tc>
          <w:tcPr>
            <w:tcW w:w="2546" w:type="dxa"/>
            <w:vMerge w:val="continue"/>
            <w:noWrap w:val="0"/>
            <w:vAlign w:val="center"/>
          </w:tcPr>
          <w:p>
            <w:pPr>
              <w:autoSpaceDE w:val="0"/>
              <w:autoSpaceDN w:val="0"/>
              <w:adjustRightInd w:val="0"/>
              <w:jc w:val="center"/>
              <w:rPr>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897" w:type="dxa"/>
            <w:noWrap w:val="0"/>
            <w:vAlign w:val="center"/>
          </w:tcPr>
          <w:p>
            <w:pPr>
              <w:autoSpaceDE w:val="0"/>
              <w:autoSpaceDN w:val="0"/>
              <w:adjustRightInd w:val="0"/>
              <w:jc w:val="center"/>
              <w:rPr>
                <w:color w:val="000000"/>
                <w:kern w:val="0"/>
                <w:sz w:val="24"/>
              </w:rPr>
            </w:pPr>
          </w:p>
        </w:tc>
        <w:tc>
          <w:tcPr>
            <w:tcW w:w="2327" w:type="dxa"/>
            <w:noWrap w:val="0"/>
            <w:vAlign w:val="center"/>
          </w:tcPr>
          <w:p>
            <w:pPr>
              <w:autoSpaceDE w:val="0"/>
              <w:autoSpaceDN w:val="0"/>
              <w:adjustRightInd w:val="0"/>
              <w:jc w:val="center"/>
              <w:rPr>
                <w:color w:val="000000"/>
                <w:kern w:val="0"/>
                <w:sz w:val="24"/>
              </w:rPr>
            </w:pPr>
          </w:p>
        </w:tc>
        <w:tc>
          <w:tcPr>
            <w:tcW w:w="1768" w:type="dxa"/>
            <w:noWrap w:val="0"/>
            <w:vAlign w:val="center"/>
          </w:tcPr>
          <w:p>
            <w:pPr>
              <w:autoSpaceDE w:val="0"/>
              <w:autoSpaceDN w:val="0"/>
              <w:adjustRightInd w:val="0"/>
              <w:jc w:val="center"/>
              <w:rPr>
                <w:color w:val="000000"/>
                <w:kern w:val="0"/>
                <w:sz w:val="24"/>
              </w:rPr>
            </w:pPr>
          </w:p>
        </w:tc>
        <w:tc>
          <w:tcPr>
            <w:tcW w:w="2546" w:type="dxa"/>
            <w:vMerge w:val="continue"/>
            <w:noWrap w:val="0"/>
            <w:vAlign w:val="center"/>
          </w:tcPr>
          <w:p>
            <w:pPr>
              <w:autoSpaceDE w:val="0"/>
              <w:autoSpaceDN w:val="0"/>
              <w:adjustRightInd w:val="0"/>
              <w:jc w:val="center"/>
              <w:rPr>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897" w:type="dxa"/>
            <w:noWrap w:val="0"/>
            <w:vAlign w:val="center"/>
          </w:tcPr>
          <w:p>
            <w:pPr>
              <w:autoSpaceDE w:val="0"/>
              <w:autoSpaceDN w:val="0"/>
              <w:adjustRightInd w:val="0"/>
              <w:jc w:val="center"/>
              <w:rPr>
                <w:color w:val="000000"/>
                <w:kern w:val="0"/>
                <w:sz w:val="24"/>
              </w:rPr>
            </w:pPr>
          </w:p>
        </w:tc>
        <w:tc>
          <w:tcPr>
            <w:tcW w:w="2327" w:type="dxa"/>
            <w:noWrap w:val="0"/>
            <w:vAlign w:val="center"/>
          </w:tcPr>
          <w:p>
            <w:pPr>
              <w:autoSpaceDE w:val="0"/>
              <w:autoSpaceDN w:val="0"/>
              <w:adjustRightInd w:val="0"/>
              <w:jc w:val="center"/>
              <w:rPr>
                <w:color w:val="000000"/>
                <w:kern w:val="0"/>
                <w:sz w:val="24"/>
              </w:rPr>
            </w:pPr>
          </w:p>
        </w:tc>
        <w:tc>
          <w:tcPr>
            <w:tcW w:w="1768" w:type="dxa"/>
            <w:noWrap w:val="0"/>
            <w:vAlign w:val="center"/>
          </w:tcPr>
          <w:p>
            <w:pPr>
              <w:autoSpaceDE w:val="0"/>
              <w:autoSpaceDN w:val="0"/>
              <w:adjustRightInd w:val="0"/>
              <w:jc w:val="center"/>
              <w:rPr>
                <w:color w:val="000000"/>
                <w:kern w:val="0"/>
                <w:sz w:val="24"/>
              </w:rPr>
            </w:pPr>
          </w:p>
        </w:tc>
        <w:tc>
          <w:tcPr>
            <w:tcW w:w="2546" w:type="dxa"/>
            <w:vMerge w:val="continue"/>
            <w:noWrap w:val="0"/>
            <w:vAlign w:val="center"/>
          </w:tcPr>
          <w:p>
            <w:pPr>
              <w:autoSpaceDE w:val="0"/>
              <w:autoSpaceDN w:val="0"/>
              <w:adjustRightInd w:val="0"/>
              <w:jc w:val="center"/>
              <w:rPr>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897" w:type="dxa"/>
            <w:noWrap w:val="0"/>
            <w:vAlign w:val="center"/>
          </w:tcPr>
          <w:p>
            <w:pPr>
              <w:autoSpaceDE w:val="0"/>
              <w:autoSpaceDN w:val="0"/>
              <w:adjustRightInd w:val="0"/>
              <w:jc w:val="center"/>
              <w:rPr>
                <w:color w:val="000000"/>
                <w:kern w:val="0"/>
                <w:sz w:val="24"/>
              </w:rPr>
            </w:pPr>
          </w:p>
        </w:tc>
        <w:tc>
          <w:tcPr>
            <w:tcW w:w="2327" w:type="dxa"/>
            <w:noWrap w:val="0"/>
            <w:vAlign w:val="center"/>
          </w:tcPr>
          <w:p>
            <w:pPr>
              <w:autoSpaceDE w:val="0"/>
              <w:autoSpaceDN w:val="0"/>
              <w:adjustRightInd w:val="0"/>
              <w:jc w:val="center"/>
              <w:rPr>
                <w:color w:val="000000"/>
                <w:kern w:val="0"/>
                <w:sz w:val="24"/>
              </w:rPr>
            </w:pPr>
          </w:p>
        </w:tc>
        <w:tc>
          <w:tcPr>
            <w:tcW w:w="1768" w:type="dxa"/>
            <w:noWrap w:val="0"/>
            <w:vAlign w:val="center"/>
          </w:tcPr>
          <w:p>
            <w:pPr>
              <w:autoSpaceDE w:val="0"/>
              <w:autoSpaceDN w:val="0"/>
              <w:adjustRightInd w:val="0"/>
              <w:jc w:val="center"/>
              <w:rPr>
                <w:color w:val="000000"/>
                <w:kern w:val="0"/>
                <w:sz w:val="24"/>
              </w:rPr>
            </w:pPr>
          </w:p>
        </w:tc>
        <w:tc>
          <w:tcPr>
            <w:tcW w:w="2546" w:type="dxa"/>
            <w:vMerge w:val="continue"/>
            <w:noWrap w:val="0"/>
            <w:vAlign w:val="center"/>
          </w:tcPr>
          <w:p>
            <w:pPr>
              <w:autoSpaceDE w:val="0"/>
              <w:autoSpaceDN w:val="0"/>
              <w:adjustRightInd w:val="0"/>
              <w:jc w:val="center"/>
              <w:rPr>
                <w:color w:val="000000"/>
                <w:kern w:val="0"/>
                <w:sz w:val="24"/>
              </w:rPr>
            </w:pPr>
          </w:p>
        </w:tc>
      </w:tr>
    </w:tbl>
    <w:p>
      <w:pPr>
        <w:pStyle w:val="2"/>
        <w:jc w:val="center"/>
        <w:rPr>
          <w:color w:val="000000"/>
        </w:rPr>
      </w:pPr>
    </w:p>
    <w:p>
      <w:pPr>
        <w:adjustRightInd w:val="0"/>
        <w:snapToGrid w:val="0"/>
        <w:spacing w:line="480" w:lineRule="exact"/>
        <w:jc w:val="center"/>
        <w:outlineLvl w:val="0"/>
        <w:rPr>
          <w:rFonts w:hint="eastAsia" w:eastAsia="黑体"/>
          <w:b/>
          <w:bCs/>
          <w:color w:val="000000"/>
          <w:sz w:val="30"/>
          <w:szCs w:val="30"/>
        </w:rPr>
      </w:pPr>
      <w:bookmarkStart w:id="2021" w:name="_Toc51091949"/>
      <w:r>
        <w:rPr>
          <w:rFonts w:eastAsia="黑体"/>
          <w:b/>
          <w:bCs/>
          <w:color w:val="000000"/>
          <w:sz w:val="30"/>
          <w:szCs w:val="30"/>
        </w:rPr>
        <w:br w:type="page"/>
      </w:r>
      <w:bookmarkStart w:id="2022" w:name="_Toc8909"/>
      <w:bookmarkStart w:id="2023" w:name="_Toc21613"/>
    </w:p>
    <w:p>
      <w:pPr>
        <w:pStyle w:val="2"/>
        <w:jc w:val="center"/>
        <w:rPr>
          <w:rFonts w:ascii="方正小标宋简体" w:eastAsia="方正小标宋简体"/>
          <w:bCs/>
          <w:color w:val="000000"/>
          <w:sz w:val="30"/>
          <w:szCs w:val="30"/>
          <w:lang w:val="en-US" w:eastAsia="zh-CN"/>
        </w:rPr>
      </w:pPr>
      <w:r>
        <w:rPr>
          <w:rFonts w:hint="eastAsia" w:ascii="方正小标宋简体" w:eastAsia="方正小标宋简体"/>
          <w:bCs/>
          <w:color w:val="000000"/>
          <w:sz w:val="30"/>
          <w:szCs w:val="30"/>
          <w:lang w:val="en-US" w:eastAsia="zh-CN"/>
        </w:rPr>
        <w:t>十一.</w:t>
      </w:r>
      <w:r>
        <w:rPr>
          <w:rFonts w:ascii="方正小标宋简体" w:eastAsia="方正小标宋简体"/>
          <w:bCs/>
          <w:color w:val="000000"/>
          <w:sz w:val="30"/>
          <w:szCs w:val="30"/>
          <w:lang w:val="en-US" w:eastAsia="zh-CN"/>
        </w:rPr>
        <w:t>资格审查资料</w:t>
      </w:r>
      <w:bookmarkEnd w:id="2021"/>
      <w:bookmarkEnd w:id="2022"/>
      <w:bookmarkEnd w:id="2023"/>
    </w:p>
    <w:p>
      <w:pPr>
        <w:pStyle w:val="13"/>
        <w:spacing w:line="490" w:lineRule="exact"/>
        <w:ind w:left="0" w:leftChars="0" w:firstLine="0" w:firstLineChars="0"/>
        <w:jc w:val="center"/>
        <w:outlineLvl w:val="3"/>
        <w:rPr>
          <w:rFonts w:ascii="楷体_GB2312" w:eastAsia="楷体_GB2312"/>
          <w:b/>
          <w:color w:val="000000"/>
          <w:sz w:val="30"/>
          <w:szCs w:val="30"/>
        </w:rPr>
      </w:pPr>
      <w:bookmarkStart w:id="2024" w:name="_Toc4632"/>
      <w:r>
        <w:rPr>
          <w:rFonts w:ascii="楷体_GB2312" w:eastAsia="楷体_GB2312"/>
          <w:b/>
          <w:color w:val="000000"/>
          <w:sz w:val="30"/>
          <w:szCs w:val="30"/>
        </w:rPr>
        <w:t>（一）投标人基本情况表</w:t>
      </w:r>
      <w:bookmarkEnd w:id="2024"/>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4"/>
        <w:gridCol w:w="870"/>
        <w:gridCol w:w="1178"/>
        <w:gridCol w:w="1186"/>
        <w:gridCol w:w="1611"/>
        <w:gridCol w:w="1187"/>
        <w:gridCol w:w="1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4" w:type="dxa"/>
            <w:noWrap w:val="0"/>
            <w:vAlign w:val="center"/>
          </w:tcPr>
          <w:p>
            <w:pPr>
              <w:jc w:val="center"/>
              <w:rPr>
                <w:rFonts w:hint="eastAsia" w:ascii="仿宋_GB2312" w:eastAsia="仿宋_GB2312"/>
                <w:color w:val="000000"/>
              </w:rPr>
            </w:pPr>
            <w:r>
              <w:rPr>
                <w:rFonts w:hint="eastAsia" w:ascii="仿宋_GB2312" w:eastAsia="仿宋_GB2312"/>
                <w:color w:val="000000"/>
              </w:rPr>
              <w:t>投标人名称</w:t>
            </w:r>
          </w:p>
        </w:tc>
        <w:tc>
          <w:tcPr>
            <w:tcW w:w="7211" w:type="dxa"/>
            <w:gridSpan w:val="6"/>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4" w:type="dxa"/>
            <w:noWrap w:val="0"/>
            <w:vAlign w:val="center"/>
          </w:tcPr>
          <w:p>
            <w:pPr>
              <w:jc w:val="center"/>
              <w:rPr>
                <w:rFonts w:hint="eastAsia" w:ascii="仿宋_GB2312" w:eastAsia="仿宋_GB2312"/>
                <w:color w:val="000000"/>
              </w:rPr>
            </w:pPr>
            <w:r>
              <w:rPr>
                <w:rFonts w:hint="eastAsia" w:ascii="仿宋_GB2312" w:eastAsia="仿宋_GB2312"/>
                <w:color w:val="000000"/>
              </w:rPr>
              <w:t>注册地址</w:t>
            </w:r>
          </w:p>
        </w:tc>
        <w:tc>
          <w:tcPr>
            <w:tcW w:w="3234" w:type="dxa"/>
            <w:gridSpan w:val="3"/>
            <w:noWrap w:val="0"/>
            <w:vAlign w:val="center"/>
          </w:tcPr>
          <w:p>
            <w:pPr>
              <w:jc w:val="center"/>
              <w:rPr>
                <w:rFonts w:hint="eastAsia" w:ascii="仿宋_GB2312" w:eastAsia="仿宋_GB2312"/>
                <w:color w:val="000000"/>
                <w:szCs w:val="21"/>
              </w:rPr>
            </w:pPr>
          </w:p>
        </w:tc>
        <w:tc>
          <w:tcPr>
            <w:tcW w:w="1611" w:type="dxa"/>
            <w:noWrap w:val="0"/>
            <w:vAlign w:val="center"/>
          </w:tcPr>
          <w:p>
            <w:pPr>
              <w:jc w:val="center"/>
              <w:rPr>
                <w:rFonts w:hint="eastAsia" w:ascii="仿宋_GB2312" w:eastAsia="仿宋_GB2312"/>
                <w:color w:val="000000"/>
              </w:rPr>
            </w:pPr>
            <w:r>
              <w:rPr>
                <w:rFonts w:hint="eastAsia" w:ascii="仿宋_GB2312" w:eastAsia="仿宋_GB2312"/>
                <w:color w:val="000000"/>
              </w:rPr>
              <w:t>邮政编码</w:t>
            </w:r>
          </w:p>
        </w:tc>
        <w:tc>
          <w:tcPr>
            <w:tcW w:w="2366" w:type="dxa"/>
            <w:gridSpan w:val="2"/>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4" w:type="dxa"/>
            <w:vMerge w:val="restart"/>
            <w:noWrap w:val="0"/>
            <w:vAlign w:val="center"/>
          </w:tcPr>
          <w:p>
            <w:pPr>
              <w:jc w:val="center"/>
              <w:rPr>
                <w:rFonts w:hint="eastAsia" w:ascii="仿宋_GB2312" w:eastAsia="仿宋_GB2312"/>
                <w:color w:val="000000"/>
              </w:rPr>
            </w:pPr>
            <w:r>
              <w:rPr>
                <w:rFonts w:hint="eastAsia" w:ascii="仿宋_GB2312" w:eastAsia="仿宋_GB2312"/>
                <w:color w:val="000000"/>
              </w:rPr>
              <w:t>联系方式</w:t>
            </w:r>
          </w:p>
        </w:tc>
        <w:tc>
          <w:tcPr>
            <w:tcW w:w="870" w:type="dxa"/>
            <w:noWrap w:val="0"/>
            <w:vAlign w:val="center"/>
          </w:tcPr>
          <w:p>
            <w:pPr>
              <w:jc w:val="center"/>
              <w:rPr>
                <w:rFonts w:hint="eastAsia" w:ascii="仿宋_GB2312" w:eastAsia="仿宋_GB2312"/>
                <w:color w:val="000000"/>
              </w:rPr>
            </w:pPr>
            <w:r>
              <w:rPr>
                <w:rFonts w:hint="eastAsia" w:ascii="仿宋_GB2312" w:eastAsia="仿宋_GB2312"/>
                <w:color w:val="000000"/>
              </w:rPr>
              <w:t>联系人</w:t>
            </w:r>
          </w:p>
        </w:tc>
        <w:tc>
          <w:tcPr>
            <w:tcW w:w="2364" w:type="dxa"/>
            <w:gridSpan w:val="2"/>
            <w:noWrap w:val="0"/>
            <w:vAlign w:val="center"/>
          </w:tcPr>
          <w:p>
            <w:pPr>
              <w:jc w:val="center"/>
              <w:rPr>
                <w:rFonts w:hint="eastAsia" w:ascii="仿宋_GB2312" w:eastAsia="仿宋_GB2312"/>
                <w:color w:val="000000"/>
                <w:szCs w:val="21"/>
              </w:rPr>
            </w:pPr>
          </w:p>
        </w:tc>
        <w:tc>
          <w:tcPr>
            <w:tcW w:w="1611" w:type="dxa"/>
            <w:noWrap w:val="0"/>
            <w:vAlign w:val="center"/>
          </w:tcPr>
          <w:p>
            <w:pPr>
              <w:jc w:val="center"/>
              <w:rPr>
                <w:rFonts w:hint="eastAsia" w:ascii="仿宋_GB2312" w:eastAsia="仿宋_GB2312"/>
                <w:color w:val="000000"/>
              </w:rPr>
            </w:pPr>
            <w:r>
              <w:rPr>
                <w:rFonts w:hint="eastAsia" w:ascii="仿宋_GB2312" w:eastAsia="仿宋_GB2312"/>
                <w:color w:val="000000"/>
              </w:rPr>
              <w:t>电话</w:t>
            </w:r>
          </w:p>
        </w:tc>
        <w:tc>
          <w:tcPr>
            <w:tcW w:w="2366" w:type="dxa"/>
            <w:gridSpan w:val="2"/>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4" w:type="dxa"/>
            <w:vMerge w:val="continue"/>
            <w:noWrap w:val="0"/>
            <w:vAlign w:val="center"/>
          </w:tcPr>
          <w:p>
            <w:pPr>
              <w:jc w:val="center"/>
              <w:rPr>
                <w:rFonts w:hint="eastAsia" w:ascii="仿宋_GB2312" w:eastAsia="仿宋_GB2312"/>
                <w:color w:val="000000"/>
                <w:szCs w:val="21"/>
              </w:rPr>
            </w:pPr>
          </w:p>
        </w:tc>
        <w:tc>
          <w:tcPr>
            <w:tcW w:w="870" w:type="dxa"/>
            <w:noWrap w:val="0"/>
            <w:vAlign w:val="center"/>
          </w:tcPr>
          <w:p>
            <w:pPr>
              <w:jc w:val="center"/>
              <w:rPr>
                <w:rFonts w:hint="eastAsia" w:ascii="仿宋_GB2312" w:eastAsia="仿宋_GB2312"/>
                <w:color w:val="000000"/>
              </w:rPr>
            </w:pPr>
            <w:r>
              <w:rPr>
                <w:rFonts w:hint="eastAsia" w:ascii="仿宋_GB2312" w:eastAsia="仿宋_GB2312"/>
                <w:color w:val="000000"/>
              </w:rPr>
              <w:t>传真</w:t>
            </w:r>
          </w:p>
        </w:tc>
        <w:tc>
          <w:tcPr>
            <w:tcW w:w="2364" w:type="dxa"/>
            <w:gridSpan w:val="2"/>
            <w:noWrap w:val="0"/>
            <w:vAlign w:val="center"/>
          </w:tcPr>
          <w:p>
            <w:pPr>
              <w:jc w:val="center"/>
              <w:rPr>
                <w:rFonts w:hint="eastAsia" w:ascii="仿宋_GB2312" w:eastAsia="仿宋_GB2312"/>
                <w:color w:val="000000"/>
                <w:szCs w:val="21"/>
              </w:rPr>
            </w:pPr>
          </w:p>
        </w:tc>
        <w:tc>
          <w:tcPr>
            <w:tcW w:w="1611" w:type="dxa"/>
            <w:noWrap w:val="0"/>
            <w:vAlign w:val="center"/>
          </w:tcPr>
          <w:p>
            <w:pPr>
              <w:jc w:val="center"/>
              <w:rPr>
                <w:rFonts w:hint="eastAsia" w:ascii="仿宋_GB2312" w:eastAsia="仿宋_GB2312"/>
                <w:color w:val="000000"/>
              </w:rPr>
            </w:pPr>
            <w:r>
              <w:rPr>
                <w:rFonts w:hint="eastAsia" w:ascii="仿宋_GB2312" w:eastAsia="仿宋_GB2312"/>
                <w:color w:val="000000"/>
              </w:rPr>
              <w:t>网址</w:t>
            </w:r>
          </w:p>
        </w:tc>
        <w:tc>
          <w:tcPr>
            <w:tcW w:w="2366" w:type="dxa"/>
            <w:gridSpan w:val="2"/>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4" w:type="dxa"/>
            <w:noWrap w:val="0"/>
            <w:vAlign w:val="center"/>
          </w:tcPr>
          <w:p>
            <w:pPr>
              <w:jc w:val="center"/>
              <w:rPr>
                <w:rFonts w:hint="eastAsia" w:ascii="仿宋_GB2312" w:eastAsia="仿宋_GB2312"/>
                <w:color w:val="000000"/>
              </w:rPr>
            </w:pPr>
            <w:r>
              <w:rPr>
                <w:rFonts w:hint="eastAsia" w:ascii="仿宋_GB2312" w:eastAsia="仿宋_GB2312"/>
                <w:color w:val="000000"/>
              </w:rPr>
              <w:t>组织结构</w:t>
            </w:r>
          </w:p>
        </w:tc>
        <w:tc>
          <w:tcPr>
            <w:tcW w:w="7211" w:type="dxa"/>
            <w:gridSpan w:val="6"/>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4" w:type="dxa"/>
            <w:noWrap w:val="0"/>
            <w:vAlign w:val="center"/>
          </w:tcPr>
          <w:p>
            <w:pPr>
              <w:jc w:val="center"/>
              <w:rPr>
                <w:rFonts w:hint="eastAsia" w:ascii="仿宋_GB2312" w:eastAsia="仿宋_GB2312"/>
                <w:color w:val="000000"/>
              </w:rPr>
            </w:pPr>
            <w:r>
              <w:rPr>
                <w:rFonts w:hint="eastAsia" w:ascii="仿宋_GB2312" w:eastAsia="仿宋_GB2312"/>
                <w:color w:val="000000"/>
              </w:rPr>
              <w:t>法定代表人</w:t>
            </w:r>
          </w:p>
        </w:tc>
        <w:tc>
          <w:tcPr>
            <w:tcW w:w="870" w:type="dxa"/>
            <w:noWrap w:val="0"/>
            <w:vAlign w:val="center"/>
          </w:tcPr>
          <w:p>
            <w:pPr>
              <w:jc w:val="center"/>
              <w:rPr>
                <w:rFonts w:hint="eastAsia" w:ascii="仿宋_GB2312" w:eastAsia="仿宋_GB2312"/>
                <w:color w:val="000000"/>
              </w:rPr>
            </w:pPr>
            <w:r>
              <w:rPr>
                <w:rFonts w:hint="eastAsia" w:ascii="仿宋_GB2312" w:eastAsia="仿宋_GB2312"/>
                <w:color w:val="000000"/>
              </w:rPr>
              <w:t>姓名</w:t>
            </w:r>
          </w:p>
        </w:tc>
        <w:tc>
          <w:tcPr>
            <w:tcW w:w="1178" w:type="dxa"/>
            <w:noWrap w:val="0"/>
            <w:vAlign w:val="center"/>
          </w:tcPr>
          <w:p>
            <w:pPr>
              <w:jc w:val="center"/>
              <w:rPr>
                <w:rFonts w:hint="eastAsia" w:ascii="仿宋_GB2312" w:eastAsia="仿宋_GB2312"/>
                <w:color w:val="000000"/>
                <w:szCs w:val="21"/>
              </w:rPr>
            </w:pPr>
          </w:p>
        </w:tc>
        <w:tc>
          <w:tcPr>
            <w:tcW w:w="1186" w:type="dxa"/>
            <w:noWrap w:val="0"/>
            <w:vAlign w:val="center"/>
          </w:tcPr>
          <w:p>
            <w:pPr>
              <w:jc w:val="center"/>
              <w:rPr>
                <w:rFonts w:hint="eastAsia" w:ascii="仿宋_GB2312" w:eastAsia="仿宋_GB2312"/>
                <w:color w:val="000000"/>
              </w:rPr>
            </w:pPr>
            <w:r>
              <w:rPr>
                <w:rFonts w:hint="eastAsia" w:ascii="仿宋_GB2312" w:eastAsia="仿宋_GB2312"/>
                <w:color w:val="000000"/>
              </w:rPr>
              <w:t>技术职称</w:t>
            </w:r>
          </w:p>
        </w:tc>
        <w:tc>
          <w:tcPr>
            <w:tcW w:w="1611" w:type="dxa"/>
            <w:noWrap w:val="0"/>
            <w:vAlign w:val="center"/>
          </w:tcPr>
          <w:p>
            <w:pPr>
              <w:jc w:val="center"/>
              <w:rPr>
                <w:rFonts w:hint="eastAsia" w:ascii="仿宋_GB2312" w:eastAsia="仿宋_GB2312"/>
                <w:color w:val="000000"/>
                <w:szCs w:val="21"/>
              </w:rPr>
            </w:pPr>
          </w:p>
        </w:tc>
        <w:tc>
          <w:tcPr>
            <w:tcW w:w="1187" w:type="dxa"/>
            <w:noWrap w:val="0"/>
            <w:vAlign w:val="center"/>
          </w:tcPr>
          <w:p>
            <w:pPr>
              <w:jc w:val="center"/>
              <w:rPr>
                <w:rFonts w:hint="eastAsia" w:ascii="仿宋_GB2312" w:eastAsia="仿宋_GB2312"/>
                <w:color w:val="000000"/>
              </w:rPr>
            </w:pPr>
            <w:r>
              <w:rPr>
                <w:rFonts w:hint="eastAsia" w:ascii="仿宋_GB2312" w:eastAsia="仿宋_GB2312"/>
                <w:color w:val="000000"/>
              </w:rPr>
              <w:t>电话</w:t>
            </w:r>
          </w:p>
        </w:tc>
        <w:tc>
          <w:tcPr>
            <w:tcW w:w="1179"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4" w:type="dxa"/>
            <w:noWrap w:val="0"/>
            <w:vAlign w:val="center"/>
          </w:tcPr>
          <w:p>
            <w:pPr>
              <w:jc w:val="center"/>
              <w:rPr>
                <w:rFonts w:hint="eastAsia" w:ascii="仿宋_GB2312" w:eastAsia="仿宋_GB2312"/>
                <w:color w:val="000000"/>
              </w:rPr>
            </w:pPr>
            <w:r>
              <w:rPr>
                <w:rFonts w:hint="eastAsia" w:ascii="仿宋_GB2312" w:eastAsia="仿宋_GB2312"/>
                <w:color w:val="000000"/>
              </w:rPr>
              <w:t>技术负责人</w:t>
            </w:r>
          </w:p>
        </w:tc>
        <w:tc>
          <w:tcPr>
            <w:tcW w:w="870" w:type="dxa"/>
            <w:noWrap w:val="0"/>
            <w:vAlign w:val="center"/>
          </w:tcPr>
          <w:p>
            <w:pPr>
              <w:jc w:val="center"/>
              <w:rPr>
                <w:rFonts w:hint="eastAsia" w:ascii="仿宋_GB2312" w:eastAsia="仿宋_GB2312"/>
                <w:color w:val="000000"/>
              </w:rPr>
            </w:pPr>
            <w:r>
              <w:rPr>
                <w:rFonts w:hint="eastAsia" w:ascii="仿宋_GB2312" w:eastAsia="仿宋_GB2312"/>
                <w:color w:val="000000"/>
              </w:rPr>
              <w:t>姓名</w:t>
            </w:r>
          </w:p>
        </w:tc>
        <w:tc>
          <w:tcPr>
            <w:tcW w:w="1178" w:type="dxa"/>
            <w:noWrap w:val="0"/>
            <w:vAlign w:val="center"/>
          </w:tcPr>
          <w:p>
            <w:pPr>
              <w:jc w:val="center"/>
              <w:rPr>
                <w:rFonts w:hint="eastAsia" w:ascii="仿宋_GB2312" w:eastAsia="仿宋_GB2312"/>
                <w:color w:val="000000"/>
                <w:szCs w:val="21"/>
              </w:rPr>
            </w:pPr>
          </w:p>
        </w:tc>
        <w:tc>
          <w:tcPr>
            <w:tcW w:w="1186" w:type="dxa"/>
            <w:noWrap w:val="0"/>
            <w:vAlign w:val="center"/>
          </w:tcPr>
          <w:p>
            <w:pPr>
              <w:jc w:val="center"/>
              <w:rPr>
                <w:rFonts w:hint="eastAsia" w:ascii="仿宋_GB2312" w:eastAsia="仿宋_GB2312"/>
                <w:color w:val="000000"/>
              </w:rPr>
            </w:pPr>
            <w:r>
              <w:rPr>
                <w:rFonts w:hint="eastAsia" w:ascii="仿宋_GB2312" w:eastAsia="仿宋_GB2312"/>
                <w:color w:val="000000"/>
              </w:rPr>
              <w:t>技术职称</w:t>
            </w:r>
          </w:p>
        </w:tc>
        <w:tc>
          <w:tcPr>
            <w:tcW w:w="1611" w:type="dxa"/>
            <w:noWrap w:val="0"/>
            <w:vAlign w:val="center"/>
          </w:tcPr>
          <w:p>
            <w:pPr>
              <w:jc w:val="center"/>
              <w:rPr>
                <w:rFonts w:hint="eastAsia" w:ascii="仿宋_GB2312" w:eastAsia="仿宋_GB2312"/>
                <w:color w:val="000000"/>
                <w:szCs w:val="21"/>
              </w:rPr>
            </w:pPr>
          </w:p>
        </w:tc>
        <w:tc>
          <w:tcPr>
            <w:tcW w:w="1187" w:type="dxa"/>
            <w:noWrap w:val="0"/>
            <w:vAlign w:val="center"/>
          </w:tcPr>
          <w:p>
            <w:pPr>
              <w:jc w:val="center"/>
              <w:rPr>
                <w:rFonts w:hint="eastAsia" w:ascii="仿宋_GB2312" w:eastAsia="仿宋_GB2312"/>
                <w:color w:val="000000"/>
              </w:rPr>
            </w:pPr>
            <w:r>
              <w:rPr>
                <w:rFonts w:hint="eastAsia" w:ascii="仿宋_GB2312" w:eastAsia="仿宋_GB2312"/>
                <w:color w:val="000000"/>
              </w:rPr>
              <w:t>电话</w:t>
            </w:r>
          </w:p>
        </w:tc>
        <w:tc>
          <w:tcPr>
            <w:tcW w:w="1179"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4" w:type="dxa"/>
            <w:noWrap w:val="0"/>
            <w:vAlign w:val="center"/>
          </w:tcPr>
          <w:p>
            <w:pPr>
              <w:jc w:val="center"/>
              <w:rPr>
                <w:rFonts w:hint="eastAsia" w:ascii="仿宋_GB2312" w:eastAsia="仿宋_GB2312"/>
                <w:color w:val="000000"/>
              </w:rPr>
            </w:pPr>
            <w:r>
              <w:rPr>
                <w:rFonts w:hint="eastAsia" w:ascii="仿宋_GB2312" w:eastAsia="仿宋_GB2312"/>
                <w:color w:val="000000"/>
              </w:rPr>
              <w:t>成立时间</w:t>
            </w:r>
          </w:p>
        </w:tc>
        <w:tc>
          <w:tcPr>
            <w:tcW w:w="2048" w:type="dxa"/>
            <w:gridSpan w:val="2"/>
            <w:noWrap w:val="0"/>
            <w:vAlign w:val="center"/>
          </w:tcPr>
          <w:p>
            <w:pPr>
              <w:jc w:val="center"/>
              <w:rPr>
                <w:rFonts w:hint="eastAsia" w:ascii="仿宋_GB2312" w:eastAsia="仿宋_GB2312"/>
                <w:color w:val="000000"/>
                <w:szCs w:val="21"/>
              </w:rPr>
            </w:pPr>
          </w:p>
        </w:tc>
        <w:tc>
          <w:tcPr>
            <w:tcW w:w="2797" w:type="dxa"/>
            <w:gridSpan w:val="2"/>
            <w:noWrap w:val="0"/>
            <w:vAlign w:val="center"/>
          </w:tcPr>
          <w:p>
            <w:pPr>
              <w:jc w:val="center"/>
              <w:rPr>
                <w:rFonts w:hint="eastAsia" w:ascii="仿宋_GB2312" w:eastAsia="仿宋_GB2312"/>
                <w:color w:val="000000"/>
              </w:rPr>
            </w:pPr>
            <w:r>
              <w:rPr>
                <w:rFonts w:hint="eastAsia" w:ascii="仿宋_GB2312" w:eastAsia="仿宋_GB2312"/>
                <w:color w:val="000000"/>
              </w:rPr>
              <w:t>员工总人数</w:t>
            </w:r>
          </w:p>
        </w:tc>
        <w:tc>
          <w:tcPr>
            <w:tcW w:w="2366" w:type="dxa"/>
            <w:gridSpan w:val="2"/>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4" w:type="dxa"/>
            <w:noWrap w:val="0"/>
            <w:vAlign w:val="center"/>
          </w:tcPr>
          <w:p>
            <w:pPr>
              <w:jc w:val="center"/>
              <w:rPr>
                <w:rFonts w:hint="eastAsia" w:ascii="仿宋_GB2312" w:eastAsia="仿宋_GB2312"/>
                <w:color w:val="000000"/>
              </w:rPr>
            </w:pPr>
            <w:r>
              <w:rPr>
                <w:rFonts w:hint="eastAsia" w:ascii="仿宋_GB2312" w:eastAsia="仿宋_GB2312"/>
                <w:color w:val="000000"/>
              </w:rPr>
              <w:t>企业资质等级</w:t>
            </w:r>
          </w:p>
        </w:tc>
        <w:tc>
          <w:tcPr>
            <w:tcW w:w="2048" w:type="dxa"/>
            <w:gridSpan w:val="2"/>
            <w:noWrap w:val="0"/>
            <w:vAlign w:val="center"/>
          </w:tcPr>
          <w:p>
            <w:pPr>
              <w:jc w:val="center"/>
              <w:rPr>
                <w:rFonts w:hint="eastAsia" w:ascii="仿宋_GB2312" w:eastAsia="仿宋_GB2312"/>
                <w:color w:val="000000"/>
                <w:szCs w:val="21"/>
              </w:rPr>
            </w:pPr>
          </w:p>
        </w:tc>
        <w:tc>
          <w:tcPr>
            <w:tcW w:w="1186" w:type="dxa"/>
            <w:vMerge w:val="restart"/>
            <w:noWrap w:val="0"/>
            <w:vAlign w:val="center"/>
          </w:tcPr>
          <w:p>
            <w:pPr>
              <w:jc w:val="center"/>
              <w:rPr>
                <w:rFonts w:hint="eastAsia" w:ascii="仿宋_GB2312" w:eastAsia="仿宋_GB2312"/>
                <w:color w:val="000000"/>
              </w:rPr>
            </w:pPr>
            <w:r>
              <w:rPr>
                <w:rFonts w:hint="eastAsia" w:ascii="仿宋_GB2312" w:eastAsia="仿宋_GB2312"/>
                <w:color w:val="000000"/>
              </w:rPr>
              <w:t>其中</w:t>
            </w:r>
          </w:p>
          <w:p>
            <w:pPr>
              <w:jc w:val="center"/>
              <w:rPr>
                <w:rFonts w:hint="eastAsia" w:ascii="仿宋_GB2312" w:eastAsia="仿宋_GB2312"/>
                <w:color w:val="000000"/>
                <w:szCs w:val="21"/>
              </w:rPr>
            </w:pPr>
          </w:p>
        </w:tc>
        <w:tc>
          <w:tcPr>
            <w:tcW w:w="1611" w:type="dxa"/>
            <w:noWrap w:val="0"/>
            <w:vAlign w:val="center"/>
          </w:tcPr>
          <w:p>
            <w:pPr>
              <w:jc w:val="center"/>
              <w:rPr>
                <w:rFonts w:hint="eastAsia" w:ascii="仿宋_GB2312" w:eastAsia="仿宋_GB2312"/>
                <w:color w:val="000000"/>
              </w:rPr>
            </w:pPr>
            <w:r>
              <w:rPr>
                <w:rFonts w:hint="eastAsia" w:ascii="仿宋_GB2312" w:eastAsia="仿宋_GB2312"/>
                <w:color w:val="000000"/>
              </w:rPr>
              <w:t>项目负责人</w:t>
            </w:r>
          </w:p>
        </w:tc>
        <w:tc>
          <w:tcPr>
            <w:tcW w:w="2366" w:type="dxa"/>
            <w:gridSpan w:val="2"/>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4" w:type="dxa"/>
            <w:noWrap w:val="0"/>
            <w:vAlign w:val="center"/>
          </w:tcPr>
          <w:p>
            <w:pPr>
              <w:jc w:val="center"/>
              <w:rPr>
                <w:rFonts w:hint="eastAsia" w:ascii="仿宋_GB2312" w:eastAsia="仿宋_GB2312"/>
                <w:color w:val="000000"/>
              </w:rPr>
            </w:pPr>
            <w:r>
              <w:rPr>
                <w:rFonts w:hint="eastAsia" w:ascii="仿宋_GB2312" w:eastAsia="仿宋_GB2312"/>
                <w:color w:val="000000"/>
              </w:rPr>
              <w:t>营业执照号</w:t>
            </w:r>
          </w:p>
        </w:tc>
        <w:tc>
          <w:tcPr>
            <w:tcW w:w="2048" w:type="dxa"/>
            <w:gridSpan w:val="2"/>
            <w:noWrap w:val="0"/>
            <w:vAlign w:val="center"/>
          </w:tcPr>
          <w:p>
            <w:pPr>
              <w:jc w:val="center"/>
              <w:rPr>
                <w:rFonts w:hint="eastAsia" w:ascii="仿宋_GB2312" w:eastAsia="仿宋_GB2312"/>
                <w:color w:val="000000"/>
                <w:szCs w:val="21"/>
              </w:rPr>
            </w:pPr>
          </w:p>
        </w:tc>
        <w:tc>
          <w:tcPr>
            <w:tcW w:w="1186" w:type="dxa"/>
            <w:vMerge w:val="continue"/>
            <w:noWrap w:val="0"/>
            <w:vAlign w:val="center"/>
          </w:tcPr>
          <w:p>
            <w:pPr>
              <w:jc w:val="center"/>
              <w:rPr>
                <w:rFonts w:hint="eastAsia" w:ascii="仿宋_GB2312" w:eastAsia="仿宋_GB2312"/>
                <w:color w:val="000000"/>
                <w:szCs w:val="21"/>
              </w:rPr>
            </w:pPr>
          </w:p>
        </w:tc>
        <w:tc>
          <w:tcPr>
            <w:tcW w:w="1611" w:type="dxa"/>
            <w:noWrap w:val="0"/>
            <w:vAlign w:val="center"/>
          </w:tcPr>
          <w:p>
            <w:pPr>
              <w:jc w:val="center"/>
              <w:rPr>
                <w:rFonts w:hint="eastAsia" w:ascii="仿宋_GB2312" w:eastAsia="仿宋_GB2312"/>
                <w:color w:val="000000"/>
              </w:rPr>
            </w:pPr>
            <w:r>
              <w:rPr>
                <w:rFonts w:hint="eastAsia" w:ascii="仿宋_GB2312" w:eastAsia="仿宋_GB2312"/>
                <w:color w:val="000000"/>
              </w:rPr>
              <w:t>高级职称人员</w:t>
            </w:r>
          </w:p>
        </w:tc>
        <w:tc>
          <w:tcPr>
            <w:tcW w:w="2366" w:type="dxa"/>
            <w:gridSpan w:val="2"/>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4" w:type="dxa"/>
            <w:noWrap w:val="0"/>
            <w:vAlign w:val="center"/>
          </w:tcPr>
          <w:p>
            <w:pPr>
              <w:jc w:val="center"/>
              <w:rPr>
                <w:rFonts w:hint="eastAsia" w:ascii="仿宋_GB2312" w:eastAsia="仿宋_GB2312"/>
                <w:color w:val="000000"/>
              </w:rPr>
            </w:pPr>
            <w:r>
              <w:rPr>
                <w:rFonts w:hint="eastAsia" w:ascii="仿宋_GB2312" w:eastAsia="仿宋_GB2312"/>
                <w:color w:val="000000"/>
              </w:rPr>
              <w:t>注册资金</w:t>
            </w:r>
          </w:p>
        </w:tc>
        <w:tc>
          <w:tcPr>
            <w:tcW w:w="2048" w:type="dxa"/>
            <w:gridSpan w:val="2"/>
            <w:noWrap w:val="0"/>
            <w:vAlign w:val="center"/>
          </w:tcPr>
          <w:p>
            <w:pPr>
              <w:jc w:val="center"/>
              <w:rPr>
                <w:rFonts w:hint="eastAsia" w:ascii="仿宋_GB2312" w:eastAsia="仿宋_GB2312"/>
                <w:color w:val="000000"/>
                <w:szCs w:val="21"/>
              </w:rPr>
            </w:pPr>
          </w:p>
        </w:tc>
        <w:tc>
          <w:tcPr>
            <w:tcW w:w="1186" w:type="dxa"/>
            <w:vMerge w:val="continue"/>
            <w:noWrap w:val="0"/>
            <w:vAlign w:val="center"/>
          </w:tcPr>
          <w:p>
            <w:pPr>
              <w:jc w:val="center"/>
              <w:rPr>
                <w:rFonts w:hint="eastAsia" w:ascii="仿宋_GB2312" w:eastAsia="仿宋_GB2312"/>
                <w:color w:val="000000"/>
                <w:szCs w:val="21"/>
              </w:rPr>
            </w:pPr>
          </w:p>
        </w:tc>
        <w:tc>
          <w:tcPr>
            <w:tcW w:w="1611" w:type="dxa"/>
            <w:noWrap w:val="0"/>
            <w:vAlign w:val="center"/>
          </w:tcPr>
          <w:p>
            <w:pPr>
              <w:jc w:val="center"/>
              <w:rPr>
                <w:rFonts w:hint="eastAsia" w:ascii="仿宋_GB2312" w:eastAsia="仿宋_GB2312"/>
                <w:color w:val="000000"/>
              </w:rPr>
            </w:pPr>
            <w:r>
              <w:rPr>
                <w:rFonts w:hint="eastAsia" w:ascii="仿宋_GB2312" w:eastAsia="仿宋_GB2312"/>
                <w:color w:val="000000"/>
              </w:rPr>
              <w:t>中级职称人员</w:t>
            </w:r>
          </w:p>
        </w:tc>
        <w:tc>
          <w:tcPr>
            <w:tcW w:w="2366" w:type="dxa"/>
            <w:gridSpan w:val="2"/>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4" w:type="dxa"/>
            <w:noWrap w:val="0"/>
            <w:vAlign w:val="center"/>
          </w:tcPr>
          <w:p>
            <w:pPr>
              <w:jc w:val="center"/>
              <w:rPr>
                <w:rFonts w:hint="eastAsia" w:ascii="仿宋_GB2312" w:eastAsia="仿宋_GB2312"/>
                <w:color w:val="000000"/>
              </w:rPr>
            </w:pPr>
            <w:r>
              <w:rPr>
                <w:rFonts w:hint="eastAsia" w:ascii="仿宋_GB2312" w:eastAsia="仿宋_GB2312"/>
                <w:color w:val="000000"/>
              </w:rPr>
              <w:t>开户银行</w:t>
            </w:r>
          </w:p>
        </w:tc>
        <w:tc>
          <w:tcPr>
            <w:tcW w:w="2048" w:type="dxa"/>
            <w:gridSpan w:val="2"/>
            <w:noWrap w:val="0"/>
            <w:vAlign w:val="center"/>
          </w:tcPr>
          <w:p>
            <w:pPr>
              <w:jc w:val="center"/>
              <w:rPr>
                <w:rFonts w:hint="eastAsia" w:ascii="仿宋_GB2312" w:eastAsia="仿宋_GB2312"/>
                <w:color w:val="000000"/>
                <w:szCs w:val="21"/>
              </w:rPr>
            </w:pPr>
          </w:p>
        </w:tc>
        <w:tc>
          <w:tcPr>
            <w:tcW w:w="1186" w:type="dxa"/>
            <w:vMerge w:val="continue"/>
            <w:noWrap w:val="0"/>
            <w:vAlign w:val="center"/>
          </w:tcPr>
          <w:p>
            <w:pPr>
              <w:jc w:val="center"/>
              <w:rPr>
                <w:rFonts w:hint="eastAsia" w:ascii="仿宋_GB2312" w:eastAsia="仿宋_GB2312"/>
                <w:color w:val="000000"/>
                <w:szCs w:val="21"/>
              </w:rPr>
            </w:pPr>
          </w:p>
        </w:tc>
        <w:tc>
          <w:tcPr>
            <w:tcW w:w="1611" w:type="dxa"/>
            <w:noWrap w:val="0"/>
            <w:vAlign w:val="center"/>
          </w:tcPr>
          <w:p>
            <w:pPr>
              <w:jc w:val="center"/>
              <w:rPr>
                <w:rFonts w:hint="eastAsia" w:ascii="仿宋_GB2312" w:eastAsia="仿宋_GB2312"/>
                <w:color w:val="000000"/>
              </w:rPr>
            </w:pPr>
            <w:r>
              <w:rPr>
                <w:rFonts w:hint="eastAsia" w:ascii="仿宋_GB2312" w:eastAsia="仿宋_GB2312"/>
                <w:color w:val="000000"/>
              </w:rPr>
              <w:t>初级职称人员</w:t>
            </w:r>
          </w:p>
        </w:tc>
        <w:tc>
          <w:tcPr>
            <w:tcW w:w="2366" w:type="dxa"/>
            <w:gridSpan w:val="2"/>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4" w:type="dxa"/>
            <w:noWrap w:val="0"/>
            <w:vAlign w:val="center"/>
          </w:tcPr>
          <w:p>
            <w:pPr>
              <w:jc w:val="center"/>
              <w:rPr>
                <w:rFonts w:hint="eastAsia" w:ascii="仿宋_GB2312" w:eastAsia="仿宋_GB2312"/>
                <w:color w:val="000000"/>
              </w:rPr>
            </w:pPr>
            <w:r>
              <w:rPr>
                <w:rFonts w:hint="eastAsia" w:ascii="仿宋_GB2312" w:eastAsia="仿宋_GB2312"/>
                <w:color w:val="000000"/>
              </w:rPr>
              <w:t>基本账号</w:t>
            </w:r>
          </w:p>
        </w:tc>
        <w:tc>
          <w:tcPr>
            <w:tcW w:w="2048" w:type="dxa"/>
            <w:gridSpan w:val="2"/>
            <w:noWrap w:val="0"/>
            <w:vAlign w:val="center"/>
          </w:tcPr>
          <w:p>
            <w:pPr>
              <w:jc w:val="center"/>
              <w:rPr>
                <w:rFonts w:hint="eastAsia" w:ascii="仿宋_GB2312" w:eastAsia="仿宋_GB2312"/>
                <w:color w:val="000000"/>
                <w:szCs w:val="21"/>
              </w:rPr>
            </w:pPr>
          </w:p>
        </w:tc>
        <w:tc>
          <w:tcPr>
            <w:tcW w:w="1186" w:type="dxa"/>
            <w:vMerge w:val="continue"/>
            <w:noWrap w:val="0"/>
            <w:vAlign w:val="center"/>
          </w:tcPr>
          <w:p>
            <w:pPr>
              <w:jc w:val="center"/>
              <w:rPr>
                <w:rFonts w:hint="eastAsia" w:ascii="仿宋_GB2312" w:eastAsia="仿宋_GB2312"/>
                <w:color w:val="000000"/>
                <w:szCs w:val="21"/>
              </w:rPr>
            </w:pPr>
          </w:p>
        </w:tc>
        <w:tc>
          <w:tcPr>
            <w:tcW w:w="1611" w:type="dxa"/>
            <w:noWrap w:val="0"/>
            <w:vAlign w:val="center"/>
          </w:tcPr>
          <w:p>
            <w:pPr>
              <w:jc w:val="center"/>
              <w:rPr>
                <w:rFonts w:hint="eastAsia" w:ascii="仿宋_GB2312" w:eastAsia="仿宋_GB2312"/>
                <w:color w:val="000000"/>
              </w:rPr>
            </w:pPr>
            <w:r>
              <w:rPr>
                <w:rFonts w:hint="eastAsia" w:ascii="仿宋_GB2312" w:eastAsia="仿宋_GB2312"/>
                <w:color w:val="000000"/>
              </w:rPr>
              <w:t>技工</w:t>
            </w:r>
          </w:p>
        </w:tc>
        <w:tc>
          <w:tcPr>
            <w:tcW w:w="2366" w:type="dxa"/>
            <w:gridSpan w:val="2"/>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4" w:type="dxa"/>
            <w:noWrap w:val="0"/>
            <w:vAlign w:val="center"/>
          </w:tcPr>
          <w:p>
            <w:pPr>
              <w:tabs>
                <w:tab w:val="left" w:pos="540"/>
              </w:tabs>
              <w:jc w:val="center"/>
              <w:rPr>
                <w:rFonts w:hint="eastAsia" w:ascii="仿宋_GB2312" w:eastAsia="仿宋_GB2312"/>
                <w:color w:val="000000"/>
                <w:szCs w:val="21"/>
              </w:rPr>
            </w:pPr>
            <w:r>
              <w:rPr>
                <w:rFonts w:hint="eastAsia" w:ascii="仿宋_GB2312" w:eastAsia="仿宋_GB2312"/>
                <w:color w:val="000000"/>
              </w:rPr>
              <w:t>经营范围</w:t>
            </w:r>
          </w:p>
        </w:tc>
        <w:tc>
          <w:tcPr>
            <w:tcW w:w="7211" w:type="dxa"/>
            <w:gridSpan w:val="6"/>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1824" w:type="dxa"/>
            <w:noWrap w:val="0"/>
            <w:vAlign w:val="center"/>
          </w:tcPr>
          <w:p>
            <w:pPr>
              <w:tabs>
                <w:tab w:val="left" w:pos="540"/>
              </w:tabs>
              <w:snapToGrid w:val="0"/>
              <w:spacing w:line="280" w:lineRule="exact"/>
              <w:jc w:val="center"/>
              <w:rPr>
                <w:rFonts w:hint="eastAsia" w:ascii="仿宋_GB2312" w:eastAsia="仿宋_GB2312"/>
                <w:color w:val="000000"/>
              </w:rPr>
            </w:pPr>
            <w:r>
              <w:rPr>
                <w:rFonts w:hint="eastAsia" w:ascii="仿宋_GB2312" w:eastAsia="仿宋_GB2312"/>
                <w:color w:val="000000"/>
              </w:rPr>
              <w:t>投标人、投标人法定代表人、拟任项目负责人近3年行贿受贿犯罪行为记录查询情况</w:t>
            </w:r>
          </w:p>
        </w:tc>
        <w:tc>
          <w:tcPr>
            <w:tcW w:w="7211" w:type="dxa"/>
            <w:gridSpan w:val="6"/>
            <w:noWrap w:val="0"/>
            <w:vAlign w:val="center"/>
          </w:tcPr>
          <w:p>
            <w:pPr>
              <w:snapToGrid w:val="0"/>
              <w:spacing w:line="280" w:lineRule="exact"/>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24" w:type="dxa"/>
            <w:noWrap w:val="0"/>
            <w:vAlign w:val="center"/>
          </w:tcPr>
          <w:p>
            <w:pPr>
              <w:jc w:val="center"/>
              <w:rPr>
                <w:rFonts w:hint="eastAsia" w:ascii="仿宋_GB2312" w:eastAsia="仿宋_GB2312"/>
                <w:color w:val="000000"/>
              </w:rPr>
            </w:pPr>
            <w:r>
              <w:rPr>
                <w:rFonts w:hint="eastAsia" w:ascii="仿宋_GB2312" w:eastAsia="仿宋_GB2312"/>
                <w:color w:val="000000"/>
              </w:rPr>
              <w:t>信用评价</w:t>
            </w:r>
          </w:p>
        </w:tc>
        <w:tc>
          <w:tcPr>
            <w:tcW w:w="7211" w:type="dxa"/>
            <w:gridSpan w:val="6"/>
            <w:noWrap w:val="0"/>
            <w:vAlign w:val="center"/>
          </w:tcPr>
          <w:p>
            <w:pPr>
              <w:pStyle w:val="106"/>
              <w:jc w:val="center"/>
              <w:rPr>
                <w:rFonts w:hint="eastAsia" w:ascii="仿宋_GB2312" w:eastAsia="仿宋_GB2312" w:cs="Times New Roman"/>
                <w:b/>
                <w:sz w:val="21"/>
                <w:szCs w:val="21"/>
              </w:rPr>
            </w:pPr>
          </w:p>
          <w:p>
            <w:pPr>
              <w:pStyle w:val="106"/>
              <w:rPr>
                <w:rFonts w:hint="eastAsia" w:ascii="仿宋_GB2312" w:eastAsia="仿宋_GB2312" w:cs="Times New Roman"/>
                <w:b/>
                <w:sz w:val="21"/>
                <w:szCs w:val="21"/>
              </w:rPr>
            </w:pPr>
            <w:r>
              <w:rPr>
                <w:rFonts w:hint="eastAsia" w:ascii="仿宋_GB2312" w:eastAsia="仿宋_GB2312" w:cs="Times New Roman"/>
                <w:b/>
                <w:sz w:val="21"/>
                <w:szCs w:val="21"/>
              </w:rPr>
              <w:t>信用等级（全国水利建设市场主体）</w:t>
            </w:r>
            <w:r>
              <w:rPr>
                <w:rFonts w:hint="eastAsia" w:ascii="仿宋_GB2312" w:eastAsia="仿宋_GB2312" w:cs="Times New Roman"/>
                <w:b/>
                <w:sz w:val="21"/>
                <w:szCs w:val="21"/>
                <w:u w:val="single"/>
              </w:rPr>
              <w:t xml:space="preserve">     </w:t>
            </w:r>
            <w:r>
              <w:rPr>
                <w:rFonts w:hint="eastAsia" w:ascii="仿宋_GB2312" w:eastAsia="仿宋_GB2312" w:cs="Times New Roman"/>
                <w:b/>
                <w:sz w:val="21"/>
                <w:szCs w:val="21"/>
              </w:rPr>
              <w:t>级，信用等级（湖南省水利建设市场主体）</w:t>
            </w:r>
            <w:r>
              <w:rPr>
                <w:rFonts w:hint="eastAsia" w:ascii="仿宋_GB2312" w:eastAsia="仿宋_GB2312" w:cs="Times New Roman"/>
                <w:b/>
                <w:sz w:val="21"/>
                <w:szCs w:val="21"/>
                <w:u w:val="single"/>
              </w:rPr>
              <w:t xml:space="preserve">     </w:t>
            </w:r>
            <w:r>
              <w:rPr>
                <w:rFonts w:hint="eastAsia" w:ascii="仿宋_GB2312" w:eastAsia="仿宋_GB2312" w:cs="Times New Roman"/>
                <w:b/>
                <w:sz w:val="21"/>
                <w:szCs w:val="21"/>
              </w:rPr>
              <w:t>级；</w:t>
            </w:r>
          </w:p>
          <w:p>
            <w:pPr>
              <w:pStyle w:val="106"/>
              <w:rPr>
                <w:rFonts w:hint="eastAsia" w:ascii="仿宋_GB2312" w:eastAsia="仿宋_GB2312" w:cs="Times New Roman"/>
                <w:b/>
                <w:sz w:val="21"/>
                <w:szCs w:val="21"/>
              </w:rPr>
            </w:pPr>
            <w:r>
              <w:rPr>
                <w:rFonts w:hint="eastAsia" w:ascii="仿宋_GB2312" w:eastAsia="仿宋_GB2312" w:cs="Times New Roman"/>
                <w:b/>
                <w:sz w:val="21"/>
                <w:szCs w:val="21"/>
              </w:rPr>
              <w:t>湖南省智慧住建云（公共服务平台）诚信评价</w:t>
            </w:r>
            <w:r>
              <w:rPr>
                <w:rFonts w:hint="eastAsia" w:ascii="仿宋_GB2312" w:eastAsia="仿宋_GB2312" w:cs="Times New Roman"/>
                <w:b/>
                <w:sz w:val="21"/>
                <w:szCs w:val="21"/>
                <w:u w:val="single"/>
              </w:rPr>
              <w:t xml:space="preserve">         </w:t>
            </w:r>
            <w:r>
              <w:rPr>
                <w:rFonts w:hint="eastAsia" w:ascii="仿宋_GB2312" w:eastAsia="仿宋_GB2312" w:cs="Times New Roman"/>
                <w:b/>
                <w:sz w:val="21"/>
                <w:szCs w:val="21"/>
              </w:rPr>
              <w:t>分</w:t>
            </w:r>
          </w:p>
          <w:p>
            <w:pPr>
              <w:jc w:val="left"/>
              <w:rPr>
                <w:rFonts w:hint="eastAsia" w:ascii="仿宋_GB2312" w:eastAsia="仿宋_GB2312"/>
                <w:color w:val="000000"/>
                <w:szCs w:val="21"/>
              </w:rPr>
            </w:pPr>
            <w:r>
              <w:rPr>
                <w:rFonts w:hint="eastAsia" w:ascii="仿宋_GB2312" w:eastAsia="仿宋_GB2312"/>
                <w:b/>
                <w:color w:val="000000"/>
                <w:szCs w:val="21"/>
              </w:rPr>
              <w:t>（取得全国、湖南省</w:t>
            </w:r>
            <w:r>
              <w:rPr>
                <w:rFonts w:hint="eastAsia" w:ascii="仿宋_GB2312" w:eastAsia="仿宋_GB2312"/>
                <w:b/>
                <w:bCs/>
                <w:color w:val="000000"/>
                <w:szCs w:val="21"/>
              </w:rPr>
              <w:t>水利建设市场主体信用评价</w:t>
            </w:r>
            <w:r>
              <w:rPr>
                <w:rFonts w:hint="eastAsia" w:ascii="仿宋_GB2312" w:eastAsia="仿宋_GB2312"/>
                <w:b/>
                <w:color w:val="000000"/>
                <w:szCs w:val="21"/>
              </w:rPr>
              <w:t>证书的，按信用等级证书上等级填写。首次进入湖南省水利建设市场、未申请信用评价以及连续两年无在建项目的市场主体单位，其湖南省信用等级默认为B级；未取得全国</w:t>
            </w:r>
            <w:r>
              <w:rPr>
                <w:rFonts w:hint="eastAsia" w:ascii="仿宋_GB2312" w:eastAsia="仿宋_GB2312"/>
                <w:b/>
                <w:bCs/>
                <w:color w:val="000000"/>
                <w:szCs w:val="21"/>
              </w:rPr>
              <w:t>水利建设市场主体信用评价</w:t>
            </w:r>
            <w:r>
              <w:rPr>
                <w:rFonts w:hint="eastAsia" w:ascii="仿宋_GB2312" w:eastAsia="仿宋_GB2312"/>
                <w:b/>
                <w:color w:val="000000"/>
                <w:szCs w:val="21"/>
              </w:rPr>
              <w:t>证书的，在湖南省水利建设市场其全国信用等级视为B级。）；投标人信用等级得分以“全国建筑市场监管公共服务平台”或“湖南省智慧住建云”或全国和湖南省水利建设市场主体信用评级机构评定的信用等级官网公示为准。</w:t>
            </w:r>
          </w:p>
        </w:tc>
      </w:tr>
    </w:tbl>
    <w:p>
      <w:pPr>
        <w:pStyle w:val="2"/>
        <w:spacing w:after="0"/>
        <w:rPr>
          <w:rFonts w:eastAsia="仿宋"/>
          <w:color w:val="000000"/>
        </w:rPr>
      </w:pPr>
      <w:r>
        <w:rPr>
          <w:rFonts w:eastAsia="仿宋"/>
          <w:color w:val="000000"/>
        </w:rPr>
        <w:t>注：1</w:t>
      </w:r>
      <w:r>
        <w:rPr>
          <w:rFonts w:hint="eastAsia" w:eastAsia="仿宋"/>
          <w:color w:val="000000"/>
          <w:lang w:val="en-US" w:eastAsia="zh-CN"/>
        </w:rPr>
        <w:t>.</w:t>
      </w:r>
      <w:r>
        <w:rPr>
          <w:rFonts w:eastAsia="仿宋"/>
          <w:color w:val="000000"/>
        </w:rPr>
        <w:t>按“十</w:t>
      </w:r>
      <w:r>
        <w:rPr>
          <w:rFonts w:hint="eastAsia" w:eastAsia="仿宋"/>
          <w:color w:val="000000"/>
          <w:lang w:val="en-US" w:eastAsia="zh-CN"/>
        </w:rPr>
        <w:t>二</w:t>
      </w:r>
      <w:r>
        <w:rPr>
          <w:rFonts w:eastAsia="仿宋"/>
          <w:color w:val="000000"/>
        </w:rPr>
        <w:t>、原件的扫描件”中要求提供相关材料</w:t>
      </w:r>
      <w:r>
        <w:rPr>
          <w:rFonts w:hint="eastAsia" w:eastAsia="仿宋"/>
          <w:color w:val="000000"/>
          <w:lang w:eastAsia="zh-CN"/>
        </w:rPr>
        <w:t>原件扫描件</w:t>
      </w:r>
      <w:r>
        <w:rPr>
          <w:rFonts w:eastAsia="仿宋"/>
          <w:color w:val="000000"/>
        </w:rPr>
        <w:t>并附本表后。</w:t>
      </w:r>
    </w:p>
    <w:p>
      <w:pPr>
        <w:pStyle w:val="2"/>
        <w:spacing w:after="0"/>
        <w:ind w:firstLine="420" w:firstLineChars="200"/>
        <w:rPr>
          <w:rFonts w:hint="eastAsia" w:eastAsia="仿宋"/>
          <w:color w:val="000000"/>
        </w:rPr>
      </w:pPr>
      <w:r>
        <w:rPr>
          <w:rFonts w:eastAsia="仿宋"/>
          <w:color w:val="000000"/>
        </w:rPr>
        <w:t>2</w:t>
      </w:r>
      <w:r>
        <w:rPr>
          <w:rFonts w:hint="eastAsia" w:eastAsia="仿宋"/>
          <w:color w:val="000000"/>
          <w:lang w:val="en-US" w:eastAsia="zh-CN"/>
        </w:rPr>
        <w:t>.</w:t>
      </w:r>
      <w:r>
        <w:rPr>
          <w:rFonts w:eastAsia="仿宋"/>
          <w:color w:val="000000"/>
        </w:rPr>
        <w:t>应附在中国裁判文书网上查询投标人、投标人法定代表人及拟任项目负责人近3年行贿受贿犯罪行为记录的截图。依法不予公开的裁判文书在中国裁判文书网无法查询的，投标人应自行在投标文件中如实声明行贿受贿犯罪行为，否则视为弄虚作假。</w:t>
      </w:r>
    </w:p>
    <w:p>
      <w:pPr>
        <w:pStyle w:val="13"/>
        <w:spacing w:line="490" w:lineRule="exact"/>
        <w:ind w:left="0" w:leftChars="0" w:firstLine="0" w:firstLineChars="0"/>
        <w:jc w:val="center"/>
        <w:outlineLvl w:val="3"/>
        <w:rPr>
          <w:rFonts w:hint="eastAsia" w:ascii="楷体_GB2312" w:eastAsia="楷体_GB2312"/>
          <w:b/>
          <w:color w:val="000000"/>
          <w:sz w:val="30"/>
          <w:szCs w:val="30"/>
        </w:rPr>
      </w:pPr>
      <w:r>
        <w:rPr>
          <w:color w:val="000000"/>
        </w:rPr>
        <w:br w:type="page"/>
      </w:r>
      <w:bookmarkStart w:id="2025" w:name="_Toc4850"/>
      <w:r>
        <w:rPr>
          <w:rFonts w:hint="eastAsia" w:ascii="楷体_GB2312" w:eastAsia="楷体_GB2312"/>
          <w:b/>
          <w:color w:val="000000"/>
          <w:sz w:val="30"/>
          <w:szCs w:val="30"/>
        </w:rPr>
        <w:t>（二）近年财务状况表</w:t>
      </w:r>
      <w:bookmarkEnd w:id="2025"/>
    </w:p>
    <w:p>
      <w:pPr>
        <w:pStyle w:val="13"/>
        <w:spacing w:line="490" w:lineRule="exact"/>
        <w:ind w:left="0" w:leftChars="0" w:firstLine="560" w:firstLineChars="200"/>
        <w:rPr>
          <w:rFonts w:hint="eastAsia" w:ascii="仿宋_GB2312" w:eastAsia="仿宋_GB2312"/>
          <w:color w:val="000000"/>
          <w:sz w:val="28"/>
          <w:szCs w:val="28"/>
        </w:rPr>
      </w:pPr>
      <w:r>
        <w:rPr>
          <w:rFonts w:hint="eastAsia" w:ascii="仿宋_GB2312" w:eastAsia="仿宋_GB2312"/>
          <w:color w:val="000000"/>
          <w:sz w:val="28"/>
          <w:szCs w:val="28"/>
        </w:rPr>
        <w:t>1．财务状况表</w:t>
      </w:r>
    </w:p>
    <w:p>
      <w:pPr>
        <w:pStyle w:val="13"/>
        <w:spacing w:before="240" w:beforeLines="100" w:after="240" w:afterLines="100" w:line="490" w:lineRule="exact"/>
        <w:ind w:left="0" w:leftChars="0" w:firstLine="0" w:firstLineChars="0"/>
        <w:jc w:val="center"/>
        <w:outlineLvl w:val="1"/>
        <w:rPr>
          <w:rFonts w:hint="eastAsia" w:ascii="方正小标宋简体" w:eastAsia="方正小标宋简体"/>
          <w:color w:val="000000"/>
          <w:sz w:val="30"/>
          <w:szCs w:val="30"/>
        </w:rPr>
      </w:pPr>
      <w:bookmarkStart w:id="2026" w:name="_Toc26534"/>
      <w:r>
        <w:rPr>
          <w:rFonts w:hint="eastAsia" w:ascii="方正小标宋简体" w:eastAsia="方正小标宋简体"/>
          <w:color w:val="000000"/>
          <w:sz w:val="30"/>
          <w:szCs w:val="30"/>
        </w:rPr>
        <w:t>财务状况表</w:t>
      </w:r>
      <w:bookmarkEnd w:id="2026"/>
    </w:p>
    <w:tbl>
      <w:tblPr>
        <w:tblStyle w:val="47"/>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7"/>
        <w:gridCol w:w="1675"/>
        <w:gridCol w:w="1676"/>
        <w:gridCol w:w="1676"/>
        <w:gridCol w:w="1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17" w:type="dxa"/>
            <w:noWrap w:val="0"/>
            <w:vAlign w:val="center"/>
          </w:tcPr>
          <w:p>
            <w:pPr>
              <w:jc w:val="center"/>
              <w:rPr>
                <w:rFonts w:hint="eastAsia" w:ascii="仿宋_GB2312" w:eastAsia="仿宋_GB2312"/>
                <w:color w:val="000000"/>
              </w:rPr>
            </w:pPr>
            <w:r>
              <w:rPr>
                <w:rFonts w:hint="eastAsia" w:ascii="仿宋_GB2312" w:eastAsia="仿宋_GB2312"/>
                <w:color w:val="000000"/>
              </w:rPr>
              <w:t>名    称</w:t>
            </w:r>
          </w:p>
        </w:tc>
        <w:tc>
          <w:tcPr>
            <w:tcW w:w="1675" w:type="dxa"/>
            <w:noWrap w:val="0"/>
            <w:vAlign w:val="center"/>
          </w:tcPr>
          <w:p>
            <w:pPr>
              <w:jc w:val="center"/>
              <w:rPr>
                <w:rFonts w:hint="eastAsia" w:ascii="仿宋_GB2312" w:eastAsia="仿宋_GB2312"/>
                <w:color w:val="000000"/>
              </w:rPr>
            </w:pPr>
            <w:r>
              <w:rPr>
                <w:rFonts w:hint="eastAsia" w:ascii="仿宋_GB2312" w:eastAsia="仿宋_GB2312"/>
                <w:color w:val="000000"/>
              </w:rPr>
              <w:t>单  位</w:t>
            </w:r>
          </w:p>
        </w:tc>
        <w:tc>
          <w:tcPr>
            <w:tcW w:w="1676" w:type="dxa"/>
            <w:noWrap w:val="0"/>
            <w:vAlign w:val="center"/>
          </w:tcPr>
          <w:p>
            <w:pPr>
              <w:jc w:val="center"/>
              <w:rPr>
                <w:rFonts w:hint="eastAsia" w:ascii="仿宋_GB2312" w:eastAsia="仿宋_GB2312"/>
                <w:color w:val="000000"/>
              </w:rPr>
            </w:pPr>
            <w:r>
              <w:rPr>
                <w:rFonts w:hint="eastAsia" w:ascii="仿宋_GB2312" w:eastAsia="仿宋_GB2312"/>
                <w:color w:val="000000"/>
              </w:rPr>
              <w:t>年</w:t>
            </w:r>
          </w:p>
        </w:tc>
        <w:tc>
          <w:tcPr>
            <w:tcW w:w="1676" w:type="dxa"/>
            <w:noWrap w:val="0"/>
            <w:vAlign w:val="center"/>
          </w:tcPr>
          <w:p>
            <w:pPr>
              <w:jc w:val="center"/>
              <w:rPr>
                <w:rFonts w:hint="eastAsia" w:ascii="仿宋_GB2312" w:eastAsia="仿宋_GB2312"/>
                <w:color w:val="000000"/>
                <w:u w:val="single"/>
              </w:rPr>
            </w:pPr>
            <w:r>
              <w:rPr>
                <w:rFonts w:hint="eastAsia" w:ascii="仿宋_GB2312" w:eastAsia="仿宋_GB2312"/>
                <w:color w:val="000000"/>
              </w:rPr>
              <w:t>年</w:t>
            </w:r>
          </w:p>
        </w:tc>
        <w:tc>
          <w:tcPr>
            <w:tcW w:w="1676" w:type="dxa"/>
            <w:noWrap w:val="0"/>
            <w:vAlign w:val="center"/>
          </w:tcPr>
          <w:p>
            <w:pPr>
              <w:jc w:val="center"/>
              <w:rPr>
                <w:rFonts w:hint="eastAsia" w:ascii="仿宋_GB2312" w:eastAsia="仿宋_GB2312"/>
                <w:color w:val="000000"/>
              </w:rPr>
            </w:pPr>
            <w:r>
              <w:rPr>
                <w:rFonts w:hint="eastAsia" w:ascii="仿宋_GB2312" w:eastAsia="仿宋_GB2312"/>
                <w:color w:val="00000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17" w:type="dxa"/>
            <w:noWrap w:val="0"/>
            <w:vAlign w:val="center"/>
          </w:tcPr>
          <w:p>
            <w:pPr>
              <w:rPr>
                <w:rFonts w:hint="eastAsia" w:ascii="仿宋_GB2312" w:eastAsia="仿宋_GB2312"/>
                <w:color w:val="000000"/>
              </w:rPr>
            </w:pPr>
            <w:r>
              <w:rPr>
                <w:rFonts w:hint="eastAsia" w:ascii="仿宋_GB2312" w:eastAsia="仿宋_GB2312"/>
                <w:color w:val="000000"/>
              </w:rPr>
              <w:t>一、注册资金</w:t>
            </w:r>
          </w:p>
        </w:tc>
        <w:tc>
          <w:tcPr>
            <w:tcW w:w="1675" w:type="dxa"/>
            <w:noWrap w:val="0"/>
            <w:vAlign w:val="center"/>
          </w:tcPr>
          <w:p>
            <w:pPr>
              <w:jc w:val="center"/>
              <w:rPr>
                <w:rFonts w:hint="eastAsia" w:ascii="仿宋_GB2312" w:eastAsia="仿宋_GB2312"/>
                <w:color w:val="000000"/>
                <w:szCs w:val="21"/>
              </w:rPr>
            </w:pPr>
          </w:p>
        </w:tc>
        <w:tc>
          <w:tcPr>
            <w:tcW w:w="1676" w:type="dxa"/>
            <w:noWrap w:val="0"/>
            <w:vAlign w:val="center"/>
          </w:tcPr>
          <w:p>
            <w:pPr>
              <w:jc w:val="center"/>
              <w:rPr>
                <w:rFonts w:hint="eastAsia" w:ascii="仿宋_GB2312" w:eastAsia="仿宋_GB2312"/>
                <w:color w:val="000000"/>
                <w:szCs w:val="21"/>
              </w:rPr>
            </w:pPr>
          </w:p>
        </w:tc>
        <w:tc>
          <w:tcPr>
            <w:tcW w:w="1676" w:type="dxa"/>
            <w:noWrap w:val="0"/>
            <w:vAlign w:val="center"/>
          </w:tcPr>
          <w:p>
            <w:pPr>
              <w:jc w:val="center"/>
              <w:rPr>
                <w:rFonts w:hint="eastAsia" w:ascii="仿宋_GB2312" w:eastAsia="仿宋_GB2312"/>
                <w:color w:val="000000"/>
                <w:szCs w:val="21"/>
              </w:rPr>
            </w:pPr>
          </w:p>
        </w:tc>
        <w:tc>
          <w:tcPr>
            <w:tcW w:w="1676"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17" w:type="dxa"/>
            <w:noWrap w:val="0"/>
            <w:vAlign w:val="center"/>
          </w:tcPr>
          <w:p>
            <w:pPr>
              <w:rPr>
                <w:rFonts w:hint="eastAsia" w:ascii="仿宋_GB2312" w:eastAsia="仿宋_GB2312"/>
                <w:color w:val="000000"/>
              </w:rPr>
            </w:pPr>
            <w:r>
              <w:rPr>
                <w:rFonts w:hint="eastAsia" w:ascii="仿宋_GB2312" w:eastAsia="仿宋_GB2312"/>
                <w:color w:val="000000"/>
              </w:rPr>
              <w:t>二、净资产</w:t>
            </w:r>
          </w:p>
        </w:tc>
        <w:tc>
          <w:tcPr>
            <w:tcW w:w="1675" w:type="dxa"/>
            <w:noWrap w:val="0"/>
            <w:vAlign w:val="center"/>
          </w:tcPr>
          <w:p>
            <w:pPr>
              <w:jc w:val="center"/>
              <w:rPr>
                <w:rFonts w:hint="eastAsia" w:ascii="仿宋_GB2312" w:eastAsia="仿宋_GB2312"/>
                <w:color w:val="000000"/>
                <w:szCs w:val="21"/>
              </w:rPr>
            </w:pPr>
          </w:p>
        </w:tc>
        <w:tc>
          <w:tcPr>
            <w:tcW w:w="1676" w:type="dxa"/>
            <w:noWrap w:val="0"/>
            <w:vAlign w:val="center"/>
          </w:tcPr>
          <w:p>
            <w:pPr>
              <w:jc w:val="center"/>
              <w:rPr>
                <w:rFonts w:hint="eastAsia" w:ascii="仿宋_GB2312" w:eastAsia="仿宋_GB2312"/>
                <w:color w:val="000000"/>
                <w:szCs w:val="21"/>
              </w:rPr>
            </w:pPr>
          </w:p>
        </w:tc>
        <w:tc>
          <w:tcPr>
            <w:tcW w:w="1676" w:type="dxa"/>
            <w:noWrap w:val="0"/>
            <w:vAlign w:val="center"/>
          </w:tcPr>
          <w:p>
            <w:pPr>
              <w:jc w:val="center"/>
              <w:rPr>
                <w:rFonts w:hint="eastAsia" w:ascii="仿宋_GB2312" w:eastAsia="仿宋_GB2312"/>
                <w:color w:val="000000"/>
                <w:szCs w:val="21"/>
              </w:rPr>
            </w:pPr>
          </w:p>
        </w:tc>
        <w:tc>
          <w:tcPr>
            <w:tcW w:w="1676"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17" w:type="dxa"/>
            <w:noWrap w:val="0"/>
            <w:vAlign w:val="center"/>
          </w:tcPr>
          <w:p>
            <w:pPr>
              <w:rPr>
                <w:rFonts w:hint="eastAsia" w:ascii="仿宋_GB2312" w:eastAsia="仿宋_GB2312"/>
                <w:color w:val="000000"/>
              </w:rPr>
            </w:pPr>
            <w:r>
              <w:rPr>
                <w:rFonts w:hint="eastAsia" w:ascii="仿宋_GB2312" w:eastAsia="仿宋_GB2312"/>
                <w:color w:val="000000"/>
              </w:rPr>
              <w:t>三、总资产</w:t>
            </w:r>
          </w:p>
        </w:tc>
        <w:tc>
          <w:tcPr>
            <w:tcW w:w="1675" w:type="dxa"/>
            <w:noWrap w:val="0"/>
            <w:vAlign w:val="center"/>
          </w:tcPr>
          <w:p>
            <w:pPr>
              <w:jc w:val="center"/>
              <w:rPr>
                <w:rFonts w:hint="eastAsia" w:ascii="仿宋_GB2312" w:eastAsia="仿宋_GB2312"/>
                <w:color w:val="000000"/>
                <w:szCs w:val="21"/>
              </w:rPr>
            </w:pPr>
          </w:p>
        </w:tc>
        <w:tc>
          <w:tcPr>
            <w:tcW w:w="1676" w:type="dxa"/>
            <w:noWrap w:val="0"/>
            <w:vAlign w:val="center"/>
          </w:tcPr>
          <w:p>
            <w:pPr>
              <w:jc w:val="center"/>
              <w:rPr>
                <w:rFonts w:hint="eastAsia" w:ascii="仿宋_GB2312" w:eastAsia="仿宋_GB2312"/>
                <w:color w:val="000000"/>
                <w:szCs w:val="21"/>
              </w:rPr>
            </w:pPr>
          </w:p>
        </w:tc>
        <w:tc>
          <w:tcPr>
            <w:tcW w:w="1676" w:type="dxa"/>
            <w:noWrap w:val="0"/>
            <w:vAlign w:val="center"/>
          </w:tcPr>
          <w:p>
            <w:pPr>
              <w:jc w:val="center"/>
              <w:rPr>
                <w:rFonts w:hint="eastAsia" w:ascii="仿宋_GB2312" w:eastAsia="仿宋_GB2312"/>
                <w:color w:val="000000"/>
                <w:szCs w:val="21"/>
              </w:rPr>
            </w:pPr>
          </w:p>
        </w:tc>
        <w:tc>
          <w:tcPr>
            <w:tcW w:w="1676"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17" w:type="dxa"/>
            <w:noWrap w:val="0"/>
            <w:vAlign w:val="center"/>
          </w:tcPr>
          <w:p>
            <w:pPr>
              <w:rPr>
                <w:rFonts w:hint="eastAsia" w:ascii="仿宋_GB2312" w:eastAsia="仿宋_GB2312"/>
                <w:color w:val="000000"/>
              </w:rPr>
            </w:pPr>
            <w:r>
              <w:rPr>
                <w:rFonts w:hint="eastAsia" w:ascii="仿宋_GB2312" w:eastAsia="仿宋_GB2312"/>
                <w:color w:val="000000"/>
              </w:rPr>
              <w:t>四、固定资产</w:t>
            </w:r>
          </w:p>
        </w:tc>
        <w:tc>
          <w:tcPr>
            <w:tcW w:w="1675" w:type="dxa"/>
            <w:noWrap w:val="0"/>
            <w:vAlign w:val="center"/>
          </w:tcPr>
          <w:p>
            <w:pPr>
              <w:jc w:val="center"/>
              <w:rPr>
                <w:rFonts w:hint="eastAsia" w:ascii="仿宋_GB2312" w:eastAsia="仿宋_GB2312"/>
                <w:color w:val="000000"/>
                <w:szCs w:val="21"/>
              </w:rPr>
            </w:pPr>
          </w:p>
        </w:tc>
        <w:tc>
          <w:tcPr>
            <w:tcW w:w="1676" w:type="dxa"/>
            <w:noWrap w:val="0"/>
            <w:vAlign w:val="center"/>
          </w:tcPr>
          <w:p>
            <w:pPr>
              <w:jc w:val="center"/>
              <w:rPr>
                <w:rFonts w:hint="eastAsia" w:ascii="仿宋_GB2312" w:eastAsia="仿宋_GB2312"/>
                <w:color w:val="000000"/>
                <w:szCs w:val="21"/>
              </w:rPr>
            </w:pPr>
          </w:p>
        </w:tc>
        <w:tc>
          <w:tcPr>
            <w:tcW w:w="1676" w:type="dxa"/>
            <w:noWrap w:val="0"/>
            <w:vAlign w:val="center"/>
          </w:tcPr>
          <w:p>
            <w:pPr>
              <w:jc w:val="center"/>
              <w:rPr>
                <w:rFonts w:hint="eastAsia" w:ascii="仿宋_GB2312" w:eastAsia="仿宋_GB2312"/>
                <w:color w:val="000000"/>
                <w:szCs w:val="21"/>
              </w:rPr>
            </w:pPr>
          </w:p>
        </w:tc>
        <w:tc>
          <w:tcPr>
            <w:tcW w:w="1676"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17" w:type="dxa"/>
            <w:noWrap w:val="0"/>
            <w:vAlign w:val="center"/>
          </w:tcPr>
          <w:p>
            <w:pPr>
              <w:rPr>
                <w:rFonts w:hint="eastAsia" w:ascii="仿宋_GB2312" w:eastAsia="仿宋_GB2312"/>
                <w:color w:val="000000"/>
              </w:rPr>
            </w:pPr>
            <w:r>
              <w:rPr>
                <w:rFonts w:hint="eastAsia" w:ascii="仿宋_GB2312" w:eastAsia="仿宋_GB2312"/>
                <w:color w:val="000000"/>
              </w:rPr>
              <w:t>五、流动资产</w:t>
            </w:r>
          </w:p>
        </w:tc>
        <w:tc>
          <w:tcPr>
            <w:tcW w:w="1675" w:type="dxa"/>
            <w:noWrap w:val="0"/>
            <w:vAlign w:val="center"/>
          </w:tcPr>
          <w:p>
            <w:pPr>
              <w:jc w:val="center"/>
              <w:rPr>
                <w:rFonts w:hint="eastAsia" w:ascii="仿宋_GB2312" w:eastAsia="仿宋_GB2312"/>
                <w:color w:val="000000"/>
                <w:szCs w:val="21"/>
              </w:rPr>
            </w:pPr>
          </w:p>
        </w:tc>
        <w:tc>
          <w:tcPr>
            <w:tcW w:w="1676" w:type="dxa"/>
            <w:noWrap w:val="0"/>
            <w:vAlign w:val="center"/>
          </w:tcPr>
          <w:p>
            <w:pPr>
              <w:jc w:val="center"/>
              <w:rPr>
                <w:rFonts w:hint="eastAsia" w:ascii="仿宋_GB2312" w:eastAsia="仿宋_GB2312"/>
                <w:color w:val="000000"/>
                <w:szCs w:val="21"/>
              </w:rPr>
            </w:pPr>
          </w:p>
        </w:tc>
        <w:tc>
          <w:tcPr>
            <w:tcW w:w="1676" w:type="dxa"/>
            <w:noWrap w:val="0"/>
            <w:vAlign w:val="center"/>
          </w:tcPr>
          <w:p>
            <w:pPr>
              <w:jc w:val="center"/>
              <w:rPr>
                <w:rFonts w:hint="eastAsia" w:ascii="仿宋_GB2312" w:eastAsia="仿宋_GB2312"/>
                <w:color w:val="000000"/>
                <w:szCs w:val="21"/>
              </w:rPr>
            </w:pPr>
          </w:p>
        </w:tc>
        <w:tc>
          <w:tcPr>
            <w:tcW w:w="1676"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17" w:type="dxa"/>
            <w:noWrap w:val="0"/>
            <w:vAlign w:val="center"/>
          </w:tcPr>
          <w:p>
            <w:pPr>
              <w:rPr>
                <w:rFonts w:hint="eastAsia" w:ascii="仿宋_GB2312" w:eastAsia="仿宋_GB2312"/>
                <w:color w:val="000000"/>
              </w:rPr>
            </w:pPr>
            <w:r>
              <w:rPr>
                <w:rFonts w:hint="eastAsia" w:ascii="仿宋_GB2312" w:eastAsia="仿宋_GB2312"/>
                <w:color w:val="000000"/>
              </w:rPr>
              <w:t>六、流动负债</w:t>
            </w:r>
          </w:p>
        </w:tc>
        <w:tc>
          <w:tcPr>
            <w:tcW w:w="1675" w:type="dxa"/>
            <w:noWrap w:val="0"/>
            <w:vAlign w:val="center"/>
          </w:tcPr>
          <w:p>
            <w:pPr>
              <w:jc w:val="center"/>
              <w:rPr>
                <w:rFonts w:hint="eastAsia" w:ascii="仿宋_GB2312" w:eastAsia="仿宋_GB2312"/>
                <w:color w:val="000000"/>
                <w:szCs w:val="21"/>
              </w:rPr>
            </w:pPr>
          </w:p>
        </w:tc>
        <w:tc>
          <w:tcPr>
            <w:tcW w:w="1676" w:type="dxa"/>
            <w:noWrap w:val="0"/>
            <w:vAlign w:val="center"/>
          </w:tcPr>
          <w:p>
            <w:pPr>
              <w:jc w:val="center"/>
              <w:rPr>
                <w:rFonts w:hint="eastAsia" w:ascii="仿宋_GB2312" w:eastAsia="仿宋_GB2312"/>
                <w:color w:val="000000"/>
                <w:szCs w:val="21"/>
              </w:rPr>
            </w:pPr>
          </w:p>
        </w:tc>
        <w:tc>
          <w:tcPr>
            <w:tcW w:w="1676" w:type="dxa"/>
            <w:noWrap w:val="0"/>
            <w:vAlign w:val="center"/>
          </w:tcPr>
          <w:p>
            <w:pPr>
              <w:jc w:val="center"/>
              <w:rPr>
                <w:rFonts w:hint="eastAsia" w:ascii="仿宋_GB2312" w:eastAsia="仿宋_GB2312"/>
                <w:color w:val="000000"/>
                <w:szCs w:val="21"/>
              </w:rPr>
            </w:pPr>
          </w:p>
        </w:tc>
        <w:tc>
          <w:tcPr>
            <w:tcW w:w="1676"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17" w:type="dxa"/>
            <w:noWrap w:val="0"/>
            <w:vAlign w:val="center"/>
          </w:tcPr>
          <w:p>
            <w:pPr>
              <w:rPr>
                <w:rFonts w:hint="eastAsia" w:ascii="仿宋_GB2312" w:eastAsia="仿宋_GB2312"/>
                <w:color w:val="000000"/>
              </w:rPr>
            </w:pPr>
            <w:r>
              <w:rPr>
                <w:rFonts w:hint="eastAsia" w:ascii="仿宋_GB2312" w:eastAsia="仿宋_GB2312"/>
                <w:color w:val="000000"/>
              </w:rPr>
              <w:t>七、负债合计</w:t>
            </w:r>
          </w:p>
        </w:tc>
        <w:tc>
          <w:tcPr>
            <w:tcW w:w="1675" w:type="dxa"/>
            <w:noWrap w:val="0"/>
            <w:vAlign w:val="center"/>
          </w:tcPr>
          <w:p>
            <w:pPr>
              <w:jc w:val="center"/>
              <w:rPr>
                <w:rFonts w:hint="eastAsia" w:ascii="仿宋_GB2312" w:eastAsia="仿宋_GB2312"/>
                <w:color w:val="000000"/>
                <w:szCs w:val="21"/>
              </w:rPr>
            </w:pPr>
          </w:p>
        </w:tc>
        <w:tc>
          <w:tcPr>
            <w:tcW w:w="1676" w:type="dxa"/>
            <w:noWrap w:val="0"/>
            <w:vAlign w:val="center"/>
          </w:tcPr>
          <w:p>
            <w:pPr>
              <w:jc w:val="center"/>
              <w:rPr>
                <w:rFonts w:hint="eastAsia" w:ascii="仿宋_GB2312" w:eastAsia="仿宋_GB2312"/>
                <w:color w:val="000000"/>
                <w:szCs w:val="21"/>
              </w:rPr>
            </w:pPr>
          </w:p>
        </w:tc>
        <w:tc>
          <w:tcPr>
            <w:tcW w:w="1676" w:type="dxa"/>
            <w:noWrap w:val="0"/>
            <w:vAlign w:val="center"/>
          </w:tcPr>
          <w:p>
            <w:pPr>
              <w:jc w:val="center"/>
              <w:rPr>
                <w:rFonts w:hint="eastAsia" w:ascii="仿宋_GB2312" w:eastAsia="仿宋_GB2312"/>
                <w:color w:val="000000"/>
                <w:szCs w:val="21"/>
              </w:rPr>
            </w:pPr>
          </w:p>
        </w:tc>
        <w:tc>
          <w:tcPr>
            <w:tcW w:w="1676"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17" w:type="dxa"/>
            <w:noWrap w:val="0"/>
            <w:vAlign w:val="center"/>
          </w:tcPr>
          <w:p>
            <w:pPr>
              <w:rPr>
                <w:rFonts w:hint="eastAsia" w:ascii="仿宋_GB2312" w:eastAsia="仿宋_GB2312"/>
                <w:color w:val="000000"/>
              </w:rPr>
            </w:pPr>
            <w:r>
              <w:rPr>
                <w:rFonts w:hint="eastAsia" w:ascii="仿宋_GB2312" w:eastAsia="仿宋_GB2312"/>
                <w:color w:val="000000"/>
              </w:rPr>
              <w:t>八、营业收入</w:t>
            </w:r>
          </w:p>
        </w:tc>
        <w:tc>
          <w:tcPr>
            <w:tcW w:w="1675" w:type="dxa"/>
            <w:noWrap w:val="0"/>
            <w:vAlign w:val="center"/>
          </w:tcPr>
          <w:p>
            <w:pPr>
              <w:jc w:val="center"/>
              <w:rPr>
                <w:rFonts w:hint="eastAsia" w:ascii="仿宋_GB2312" w:eastAsia="仿宋_GB2312"/>
                <w:color w:val="000000"/>
                <w:szCs w:val="21"/>
              </w:rPr>
            </w:pPr>
          </w:p>
        </w:tc>
        <w:tc>
          <w:tcPr>
            <w:tcW w:w="1676" w:type="dxa"/>
            <w:noWrap w:val="0"/>
            <w:vAlign w:val="center"/>
          </w:tcPr>
          <w:p>
            <w:pPr>
              <w:jc w:val="center"/>
              <w:rPr>
                <w:rFonts w:hint="eastAsia" w:ascii="仿宋_GB2312" w:eastAsia="仿宋_GB2312"/>
                <w:color w:val="000000"/>
                <w:szCs w:val="21"/>
              </w:rPr>
            </w:pPr>
          </w:p>
        </w:tc>
        <w:tc>
          <w:tcPr>
            <w:tcW w:w="1676" w:type="dxa"/>
            <w:noWrap w:val="0"/>
            <w:vAlign w:val="center"/>
          </w:tcPr>
          <w:p>
            <w:pPr>
              <w:jc w:val="center"/>
              <w:rPr>
                <w:rFonts w:hint="eastAsia" w:ascii="仿宋_GB2312" w:eastAsia="仿宋_GB2312"/>
                <w:color w:val="000000"/>
                <w:szCs w:val="21"/>
              </w:rPr>
            </w:pPr>
          </w:p>
        </w:tc>
        <w:tc>
          <w:tcPr>
            <w:tcW w:w="1676"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17" w:type="dxa"/>
            <w:noWrap w:val="0"/>
            <w:vAlign w:val="center"/>
          </w:tcPr>
          <w:p>
            <w:pPr>
              <w:rPr>
                <w:rFonts w:hint="eastAsia" w:ascii="仿宋_GB2312" w:eastAsia="仿宋_GB2312"/>
                <w:color w:val="000000"/>
              </w:rPr>
            </w:pPr>
            <w:r>
              <w:rPr>
                <w:rFonts w:hint="eastAsia" w:ascii="仿宋_GB2312" w:eastAsia="仿宋_GB2312"/>
                <w:color w:val="000000"/>
              </w:rPr>
              <w:t>九、净利润</w:t>
            </w:r>
          </w:p>
        </w:tc>
        <w:tc>
          <w:tcPr>
            <w:tcW w:w="1675" w:type="dxa"/>
            <w:noWrap w:val="0"/>
            <w:vAlign w:val="center"/>
          </w:tcPr>
          <w:p>
            <w:pPr>
              <w:jc w:val="center"/>
              <w:rPr>
                <w:rFonts w:hint="eastAsia" w:ascii="仿宋_GB2312" w:eastAsia="仿宋_GB2312"/>
                <w:color w:val="000000"/>
                <w:szCs w:val="21"/>
              </w:rPr>
            </w:pPr>
          </w:p>
        </w:tc>
        <w:tc>
          <w:tcPr>
            <w:tcW w:w="1676" w:type="dxa"/>
            <w:noWrap w:val="0"/>
            <w:vAlign w:val="center"/>
          </w:tcPr>
          <w:p>
            <w:pPr>
              <w:jc w:val="center"/>
              <w:rPr>
                <w:rFonts w:hint="eastAsia" w:ascii="仿宋_GB2312" w:eastAsia="仿宋_GB2312"/>
                <w:color w:val="000000"/>
                <w:szCs w:val="21"/>
              </w:rPr>
            </w:pPr>
          </w:p>
        </w:tc>
        <w:tc>
          <w:tcPr>
            <w:tcW w:w="1676" w:type="dxa"/>
            <w:noWrap w:val="0"/>
            <w:vAlign w:val="center"/>
          </w:tcPr>
          <w:p>
            <w:pPr>
              <w:jc w:val="center"/>
              <w:rPr>
                <w:rFonts w:hint="eastAsia" w:ascii="仿宋_GB2312" w:eastAsia="仿宋_GB2312"/>
                <w:color w:val="000000"/>
                <w:szCs w:val="21"/>
              </w:rPr>
            </w:pPr>
          </w:p>
        </w:tc>
        <w:tc>
          <w:tcPr>
            <w:tcW w:w="1676"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17" w:type="dxa"/>
            <w:noWrap w:val="0"/>
            <w:vAlign w:val="center"/>
          </w:tcPr>
          <w:p>
            <w:pPr>
              <w:jc w:val="center"/>
              <w:rPr>
                <w:rFonts w:hint="eastAsia" w:ascii="仿宋_GB2312" w:eastAsia="仿宋_GB2312"/>
                <w:color w:val="000000"/>
                <w:szCs w:val="21"/>
              </w:rPr>
            </w:pPr>
          </w:p>
        </w:tc>
        <w:tc>
          <w:tcPr>
            <w:tcW w:w="1675" w:type="dxa"/>
            <w:noWrap w:val="0"/>
            <w:vAlign w:val="center"/>
          </w:tcPr>
          <w:p>
            <w:pPr>
              <w:jc w:val="center"/>
              <w:rPr>
                <w:rFonts w:hint="eastAsia" w:ascii="仿宋_GB2312" w:eastAsia="仿宋_GB2312"/>
                <w:color w:val="000000"/>
                <w:szCs w:val="21"/>
              </w:rPr>
            </w:pPr>
          </w:p>
        </w:tc>
        <w:tc>
          <w:tcPr>
            <w:tcW w:w="1676" w:type="dxa"/>
            <w:noWrap w:val="0"/>
            <w:vAlign w:val="center"/>
          </w:tcPr>
          <w:p>
            <w:pPr>
              <w:jc w:val="center"/>
              <w:rPr>
                <w:rFonts w:hint="eastAsia" w:ascii="仿宋_GB2312" w:eastAsia="仿宋_GB2312"/>
                <w:color w:val="000000"/>
                <w:szCs w:val="21"/>
              </w:rPr>
            </w:pPr>
          </w:p>
        </w:tc>
        <w:tc>
          <w:tcPr>
            <w:tcW w:w="1676" w:type="dxa"/>
            <w:noWrap w:val="0"/>
            <w:vAlign w:val="center"/>
          </w:tcPr>
          <w:p>
            <w:pPr>
              <w:jc w:val="center"/>
              <w:rPr>
                <w:rFonts w:hint="eastAsia" w:ascii="仿宋_GB2312" w:eastAsia="仿宋_GB2312"/>
                <w:color w:val="000000"/>
                <w:szCs w:val="21"/>
              </w:rPr>
            </w:pPr>
          </w:p>
        </w:tc>
        <w:tc>
          <w:tcPr>
            <w:tcW w:w="1676" w:type="dxa"/>
            <w:noWrap w:val="0"/>
            <w:vAlign w:val="center"/>
          </w:tcPr>
          <w:p>
            <w:pPr>
              <w:jc w:val="center"/>
              <w:rPr>
                <w:rFonts w:hint="eastAsia" w:ascii="仿宋_GB2312" w:eastAsia="仿宋_GB2312"/>
                <w:color w:val="000000"/>
                <w:szCs w:val="21"/>
              </w:rPr>
            </w:pPr>
          </w:p>
        </w:tc>
      </w:tr>
    </w:tbl>
    <w:p>
      <w:pPr>
        <w:snapToGrid w:val="0"/>
        <w:ind w:firstLine="105" w:firstLineChars="50"/>
        <w:rPr>
          <w:rFonts w:eastAsia="仿宋"/>
          <w:bCs/>
          <w:color w:val="000000"/>
        </w:rPr>
      </w:pPr>
      <w:r>
        <w:rPr>
          <w:rFonts w:eastAsia="仿宋"/>
          <w:bCs/>
          <w:color w:val="000000"/>
        </w:rPr>
        <w:t>注：联合体投标的应提供</w:t>
      </w:r>
      <w:r>
        <w:rPr>
          <w:rFonts w:eastAsia="仿宋"/>
          <w:color w:val="000000"/>
          <w:szCs w:val="21"/>
        </w:rPr>
        <w:t>联合体各成员</w:t>
      </w:r>
      <w:r>
        <w:rPr>
          <w:rFonts w:eastAsia="仿宋"/>
          <w:bCs/>
          <w:color w:val="000000"/>
        </w:rPr>
        <w:t>的资料。</w:t>
      </w:r>
    </w:p>
    <w:p>
      <w:pPr>
        <w:rPr>
          <w:color w:val="000000"/>
        </w:rPr>
      </w:pPr>
    </w:p>
    <w:p>
      <w:pPr>
        <w:rPr>
          <w:color w:val="000000"/>
        </w:rPr>
      </w:pPr>
    </w:p>
    <w:p>
      <w:pPr>
        <w:rPr>
          <w:color w:val="000000"/>
        </w:rPr>
      </w:pPr>
    </w:p>
    <w:p>
      <w:pPr>
        <w:rPr>
          <w:color w:val="000000"/>
        </w:rPr>
      </w:pPr>
    </w:p>
    <w:p>
      <w:pPr>
        <w:pStyle w:val="13"/>
        <w:spacing w:line="490" w:lineRule="exact"/>
        <w:ind w:left="0" w:leftChars="0" w:firstLine="0" w:firstLineChars="0"/>
        <w:jc w:val="center"/>
        <w:outlineLvl w:val="3"/>
        <w:rPr>
          <w:rFonts w:ascii="楷体_GB2312" w:eastAsia="楷体_GB2312"/>
          <w:b/>
          <w:color w:val="000000"/>
          <w:sz w:val="30"/>
          <w:szCs w:val="30"/>
        </w:rPr>
      </w:pPr>
      <w:r>
        <w:rPr>
          <w:color w:val="000000"/>
        </w:rPr>
        <w:br w:type="page"/>
      </w:r>
      <w:bookmarkStart w:id="2027" w:name="_Toc22899"/>
      <w:r>
        <w:rPr>
          <w:rFonts w:ascii="楷体_GB2312" w:eastAsia="楷体_GB2312"/>
          <w:b/>
          <w:color w:val="000000"/>
          <w:sz w:val="30"/>
          <w:szCs w:val="30"/>
        </w:rPr>
        <w:t>（三）近年完成的类似项目情况表</w:t>
      </w:r>
      <w:bookmarkEnd w:id="2027"/>
    </w:p>
    <w:p>
      <w:pPr>
        <w:spacing w:line="490" w:lineRule="exact"/>
        <w:rPr>
          <w:color w:val="000000"/>
          <w:sz w:val="20"/>
        </w:rPr>
      </w:pPr>
      <w:r>
        <w:rPr>
          <w:color w:val="000000"/>
          <w:sz w:val="20"/>
        </w:rPr>
        <w:t xml:space="preserve"> </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51"/>
        <w:gridCol w:w="6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051" w:type="dxa"/>
            <w:noWrap w:val="0"/>
            <w:vAlign w:val="center"/>
          </w:tcPr>
          <w:p>
            <w:pPr>
              <w:jc w:val="center"/>
              <w:rPr>
                <w:rFonts w:hint="eastAsia" w:ascii="仿宋_GB2312" w:eastAsia="仿宋_GB2312"/>
                <w:color w:val="000000"/>
              </w:rPr>
            </w:pPr>
            <w:r>
              <w:rPr>
                <w:rFonts w:hint="eastAsia" w:ascii="仿宋_GB2312" w:eastAsia="仿宋_GB2312"/>
                <w:color w:val="000000"/>
              </w:rPr>
              <w:t>合同名称</w:t>
            </w:r>
          </w:p>
        </w:tc>
        <w:tc>
          <w:tcPr>
            <w:tcW w:w="6235"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051" w:type="dxa"/>
            <w:noWrap w:val="0"/>
            <w:vAlign w:val="center"/>
          </w:tcPr>
          <w:p>
            <w:pPr>
              <w:jc w:val="center"/>
              <w:rPr>
                <w:rFonts w:hint="eastAsia" w:ascii="仿宋_GB2312" w:eastAsia="仿宋_GB2312"/>
                <w:color w:val="000000"/>
              </w:rPr>
            </w:pPr>
            <w:r>
              <w:rPr>
                <w:rFonts w:hint="eastAsia" w:ascii="仿宋_GB2312" w:eastAsia="仿宋_GB2312"/>
                <w:color w:val="000000"/>
              </w:rPr>
              <w:t>合同项目所在地</w:t>
            </w:r>
          </w:p>
        </w:tc>
        <w:tc>
          <w:tcPr>
            <w:tcW w:w="6235"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051" w:type="dxa"/>
            <w:noWrap w:val="0"/>
            <w:vAlign w:val="center"/>
          </w:tcPr>
          <w:p>
            <w:pPr>
              <w:jc w:val="center"/>
              <w:rPr>
                <w:rFonts w:hint="eastAsia" w:ascii="仿宋_GB2312" w:eastAsia="仿宋_GB2312"/>
                <w:color w:val="000000"/>
              </w:rPr>
            </w:pPr>
            <w:r>
              <w:rPr>
                <w:rFonts w:hint="eastAsia" w:ascii="仿宋_GB2312" w:eastAsia="仿宋_GB2312"/>
                <w:color w:val="000000"/>
              </w:rPr>
              <w:t>发包人名称</w:t>
            </w:r>
          </w:p>
        </w:tc>
        <w:tc>
          <w:tcPr>
            <w:tcW w:w="6235"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051" w:type="dxa"/>
            <w:noWrap w:val="0"/>
            <w:vAlign w:val="center"/>
          </w:tcPr>
          <w:p>
            <w:pPr>
              <w:jc w:val="center"/>
              <w:rPr>
                <w:rFonts w:hint="eastAsia" w:ascii="仿宋_GB2312" w:eastAsia="仿宋_GB2312"/>
                <w:color w:val="000000"/>
              </w:rPr>
            </w:pPr>
            <w:r>
              <w:rPr>
                <w:rFonts w:hint="eastAsia" w:ascii="仿宋_GB2312" w:eastAsia="仿宋_GB2312"/>
                <w:color w:val="000000"/>
              </w:rPr>
              <w:t>发包人地址</w:t>
            </w:r>
          </w:p>
        </w:tc>
        <w:tc>
          <w:tcPr>
            <w:tcW w:w="6235"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051" w:type="dxa"/>
            <w:noWrap w:val="0"/>
            <w:vAlign w:val="center"/>
          </w:tcPr>
          <w:p>
            <w:pPr>
              <w:jc w:val="center"/>
              <w:rPr>
                <w:rFonts w:hint="eastAsia" w:ascii="仿宋_GB2312" w:eastAsia="仿宋_GB2312"/>
                <w:color w:val="000000"/>
              </w:rPr>
            </w:pPr>
            <w:r>
              <w:rPr>
                <w:rFonts w:hint="eastAsia" w:ascii="仿宋_GB2312" w:eastAsia="仿宋_GB2312"/>
                <w:color w:val="000000"/>
              </w:rPr>
              <w:t>发包人电话</w:t>
            </w:r>
          </w:p>
        </w:tc>
        <w:tc>
          <w:tcPr>
            <w:tcW w:w="6235"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051" w:type="dxa"/>
            <w:noWrap w:val="0"/>
            <w:vAlign w:val="center"/>
          </w:tcPr>
          <w:p>
            <w:pPr>
              <w:jc w:val="center"/>
              <w:rPr>
                <w:rFonts w:hint="eastAsia" w:ascii="仿宋_GB2312" w:eastAsia="仿宋_GB2312"/>
                <w:color w:val="000000"/>
              </w:rPr>
            </w:pPr>
            <w:r>
              <w:rPr>
                <w:rFonts w:hint="eastAsia" w:ascii="仿宋_GB2312" w:eastAsia="仿宋_GB2312"/>
                <w:color w:val="000000"/>
              </w:rPr>
              <w:t>签约合同价</w:t>
            </w:r>
          </w:p>
        </w:tc>
        <w:tc>
          <w:tcPr>
            <w:tcW w:w="6235"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051" w:type="dxa"/>
            <w:noWrap w:val="0"/>
            <w:vAlign w:val="center"/>
          </w:tcPr>
          <w:p>
            <w:pPr>
              <w:jc w:val="center"/>
              <w:rPr>
                <w:rFonts w:hint="eastAsia" w:ascii="仿宋_GB2312" w:eastAsia="仿宋_GB2312"/>
                <w:color w:val="000000"/>
              </w:rPr>
            </w:pPr>
            <w:r>
              <w:rPr>
                <w:rFonts w:hint="eastAsia" w:ascii="仿宋_GB2312" w:eastAsia="仿宋_GB2312"/>
                <w:color w:val="000000"/>
              </w:rPr>
              <w:t>开工日期</w:t>
            </w:r>
          </w:p>
        </w:tc>
        <w:tc>
          <w:tcPr>
            <w:tcW w:w="6235"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051" w:type="dxa"/>
            <w:noWrap w:val="0"/>
            <w:vAlign w:val="center"/>
          </w:tcPr>
          <w:p>
            <w:pPr>
              <w:jc w:val="center"/>
              <w:rPr>
                <w:rFonts w:hint="eastAsia" w:ascii="仿宋_GB2312" w:eastAsia="仿宋_GB2312"/>
                <w:color w:val="000000"/>
              </w:rPr>
            </w:pPr>
            <w:r>
              <w:rPr>
                <w:rFonts w:hint="eastAsia" w:ascii="仿宋_GB2312" w:eastAsia="仿宋_GB2312"/>
                <w:color w:val="000000"/>
              </w:rPr>
              <w:t>完工日期</w:t>
            </w:r>
          </w:p>
        </w:tc>
        <w:tc>
          <w:tcPr>
            <w:tcW w:w="6235"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051" w:type="dxa"/>
            <w:noWrap w:val="0"/>
            <w:vAlign w:val="center"/>
          </w:tcPr>
          <w:p>
            <w:pPr>
              <w:jc w:val="center"/>
              <w:rPr>
                <w:rFonts w:hint="eastAsia" w:ascii="仿宋_GB2312" w:eastAsia="仿宋_GB2312"/>
                <w:color w:val="000000"/>
              </w:rPr>
            </w:pPr>
            <w:r>
              <w:rPr>
                <w:rFonts w:hint="eastAsia" w:ascii="仿宋_GB2312" w:eastAsia="仿宋_GB2312"/>
                <w:color w:val="000000"/>
              </w:rPr>
              <w:t>承担的工作</w:t>
            </w:r>
          </w:p>
        </w:tc>
        <w:tc>
          <w:tcPr>
            <w:tcW w:w="6235"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051" w:type="dxa"/>
            <w:noWrap w:val="0"/>
            <w:vAlign w:val="center"/>
          </w:tcPr>
          <w:p>
            <w:pPr>
              <w:jc w:val="center"/>
              <w:rPr>
                <w:rFonts w:hint="eastAsia" w:ascii="仿宋_GB2312" w:eastAsia="仿宋_GB2312"/>
                <w:color w:val="000000"/>
              </w:rPr>
            </w:pPr>
            <w:r>
              <w:rPr>
                <w:rFonts w:hint="eastAsia" w:ascii="仿宋_GB2312" w:eastAsia="仿宋_GB2312"/>
                <w:color w:val="000000"/>
              </w:rPr>
              <w:t>工程质量</w:t>
            </w:r>
          </w:p>
        </w:tc>
        <w:tc>
          <w:tcPr>
            <w:tcW w:w="6235"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051" w:type="dxa"/>
            <w:noWrap w:val="0"/>
            <w:vAlign w:val="center"/>
          </w:tcPr>
          <w:p>
            <w:pPr>
              <w:jc w:val="center"/>
              <w:rPr>
                <w:rFonts w:hint="eastAsia" w:ascii="仿宋_GB2312" w:eastAsia="仿宋_GB2312"/>
                <w:color w:val="000000"/>
              </w:rPr>
            </w:pPr>
            <w:r>
              <w:rPr>
                <w:rFonts w:hint="eastAsia" w:ascii="仿宋_GB2312" w:eastAsia="仿宋_GB2312"/>
                <w:color w:val="000000"/>
              </w:rPr>
              <w:t>项目负责人</w:t>
            </w:r>
          </w:p>
        </w:tc>
        <w:tc>
          <w:tcPr>
            <w:tcW w:w="6235"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051" w:type="dxa"/>
            <w:noWrap w:val="0"/>
            <w:vAlign w:val="center"/>
          </w:tcPr>
          <w:p>
            <w:pPr>
              <w:jc w:val="center"/>
              <w:rPr>
                <w:rFonts w:hint="eastAsia" w:ascii="仿宋_GB2312" w:eastAsia="仿宋_GB2312"/>
                <w:color w:val="000000"/>
              </w:rPr>
            </w:pPr>
            <w:r>
              <w:rPr>
                <w:rFonts w:hint="eastAsia" w:ascii="仿宋_GB2312" w:eastAsia="仿宋_GB2312"/>
                <w:color w:val="000000"/>
              </w:rPr>
              <w:t>技术负责人</w:t>
            </w:r>
          </w:p>
        </w:tc>
        <w:tc>
          <w:tcPr>
            <w:tcW w:w="6235"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051" w:type="dxa"/>
            <w:noWrap w:val="0"/>
            <w:vAlign w:val="center"/>
          </w:tcPr>
          <w:p>
            <w:pPr>
              <w:jc w:val="center"/>
              <w:rPr>
                <w:rFonts w:hint="eastAsia" w:ascii="仿宋_GB2312" w:eastAsia="仿宋_GB2312"/>
                <w:color w:val="000000"/>
              </w:rPr>
            </w:pPr>
            <w:r>
              <w:rPr>
                <w:rFonts w:hint="eastAsia" w:ascii="仿宋_GB2312" w:eastAsia="仿宋_GB2312"/>
                <w:color w:val="000000"/>
              </w:rPr>
              <w:t>监理人和总监理工程师以及电话</w:t>
            </w:r>
          </w:p>
        </w:tc>
        <w:tc>
          <w:tcPr>
            <w:tcW w:w="6235"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051" w:type="dxa"/>
            <w:noWrap w:val="0"/>
            <w:vAlign w:val="center"/>
          </w:tcPr>
          <w:p>
            <w:pPr>
              <w:jc w:val="center"/>
              <w:rPr>
                <w:rFonts w:hint="eastAsia" w:ascii="仿宋_GB2312" w:eastAsia="仿宋_GB2312"/>
                <w:color w:val="000000"/>
              </w:rPr>
            </w:pPr>
            <w:r>
              <w:rPr>
                <w:rFonts w:hint="eastAsia" w:ascii="仿宋_GB2312" w:eastAsia="仿宋_GB2312"/>
                <w:color w:val="000000"/>
              </w:rPr>
              <w:t>合同项目描述</w:t>
            </w:r>
          </w:p>
        </w:tc>
        <w:tc>
          <w:tcPr>
            <w:tcW w:w="6235"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051" w:type="dxa"/>
            <w:noWrap w:val="0"/>
            <w:vAlign w:val="center"/>
          </w:tcPr>
          <w:p>
            <w:pPr>
              <w:jc w:val="center"/>
              <w:rPr>
                <w:rFonts w:hint="eastAsia" w:ascii="仿宋_GB2312" w:eastAsia="仿宋_GB2312"/>
                <w:color w:val="000000"/>
              </w:rPr>
            </w:pPr>
            <w:r>
              <w:rPr>
                <w:rFonts w:hint="eastAsia" w:ascii="仿宋_GB2312" w:eastAsia="仿宋_GB2312"/>
                <w:color w:val="000000"/>
              </w:rPr>
              <w:t>备注</w:t>
            </w:r>
          </w:p>
        </w:tc>
        <w:tc>
          <w:tcPr>
            <w:tcW w:w="6235" w:type="dxa"/>
            <w:noWrap w:val="0"/>
            <w:vAlign w:val="center"/>
          </w:tcPr>
          <w:p>
            <w:pPr>
              <w:rPr>
                <w:rFonts w:hint="eastAsia" w:ascii="仿宋_GB2312" w:eastAsia="仿宋_GB2312"/>
                <w:color w:val="000000"/>
              </w:rPr>
            </w:pPr>
            <w:r>
              <w:rPr>
                <w:rFonts w:hint="eastAsia" w:ascii="仿宋_GB2312" w:eastAsia="仿宋_GB2312"/>
                <w:color w:val="000000"/>
              </w:rPr>
              <w:t>合同项目描述内容至少包括项目概况、本合同在项目中的地位（部位、合同价格所占比例）和合同工程竣工或完工验收文件</w:t>
            </w:r>
          </w:p>
        </w:tc>
      </w:tr>
    </w:tbl>
    <w:p>
      <w:pPr>
        <w:pStyle w:val="2"/>
        <w:rPr>
          <w:rFonts w:hint="eastAsia" w:ascii="仿宋_GB2312" w:eastAsia="仿宋_GB2312"/>
          <w:color w:val="000000"/>
        </w:rPr>
      </w:pPr>
      <w:r>
        <w:rPr>
          <w:rFonts w:hint="eastAsia" w:ascii="仿宋_GB2312" w:eastAsia="仿宋_GB2312"/>
          <w:color w:val="000000"/>
        </w:rPr>
        <w:t>注：按“十</w:t>
      </w:r>
      <w:r>
        <w:rPr>
          <w:rFonts w:hint="eastAsia" w:ascii="仿宋_GB2312" w:eastAsia="仿宋_GB2312"/>
          <w:color w:val="000000"/>
          <w:lang w:val="en-US" w:eastAsia="zh-CN"/>
        </w:rPr>
        <w:t>二</w:t>
      </w:r>
      <w:r>
        <w:rPr>
          <w:rFonts w:hint="eastAsia" w:ascii="仿宋_GB2312" w:eastAsia="仿宋_GB2312"/>
          <w:color w:val="000000"/>
        </w:rPr>
        <w:t>、原件的扫描件”中要求提供相关材料</w:t>
      </w:r>
      <w:r>
        <w:rPr>
          <w:rFonts w:hint="eastAsia" w:ascii="仿宋_GB2312" w:eastAsia="仿宋_GB2312"/>
          <w:color w:val="000000"/>
          <w:lang w:eastAsia="zh-CN"/>
        </w:rPr>
        <w:t>原件扫描件</w:t>
      </w:r>
      <w:r>
        <w:rPr>
          <w:rFonts w:hint="eastAsia" w:ascii="仿宋_GB2312" w:eastAsia="仿宋_GB2312"/>
          <w:color w:val="000000"/>
        </w:rPr>
        <w:t>并附本表后。</w:t>
      </w:r>
    </w:p>
    <w:p>
      <w:pPr>
        <w:pStyle w:val="41"/>
        <w:ind w:left="1" w:leftChars="0"/>
        <w:jc w:val="center"/>
        <w:rPr>
          <w:color w:val="000000"/>
        </w:rPr>
      </w:pPr>
      <w:r>
        <w:rPr>
          <w:color w:val="000000"/>
        </w:rPr>
        <w:br w:type="page"/>
      </w:r>
    </w:p>
    <w:p>
      <w:pPr>
        <w:pStyle w:val="13"/>
        <w:spacing w:line="490" w:lineRule="exact"/>
        <w:ind w:left="0" w:leftChars="0" w:firstLine="0" w:firstLineChars="0"/>
        <w:jc w:val="center"/>
        <w:outlineLvl w:val="3"/>
        <w:rPr>
          <w:rFonts w:ascii="楷体_GB2312" w:eastAsia="楷体_GB2312"/>
          <w:b/>
          <w:color w:val="000000"/>
          <w:sz w:val="30"/>
          <w:szCs w:val="30"/>
        </w:rPr>
      </w:pPr>
      <w:bookmarkStart w:id="2028" w:name="_Toc4923"/>
      <w:r>
        <w:rPr>
          <w:rFonts w:ascii="楷体_GB2312" w:eastAsia="楷体_GB2312"/>
          <w:b/>
          <w:color w:val="000000"/>
          <w:sz w:val="30"/>
          <w:szCs w:val="30"/>
        </w:rPr>
        <w:t>（四）正在施工的和新承接的项目情况表</w:t>
      </w:r>
      <w:bookmarkEnd w:id="2028"/>
    </w:p>
    <w:p>
      <w:pPr>
        <w:rPr>
          <w:color w:val="000000"/>
        </w:rPr>
      </w:pP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8"/>
        <w:gridCol w:w="6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98" w:type="dxa"/>
            <w:noWrap w:val="0"/>
            <w:vAlign w:val="center"/>
          </w:tcPr>
          <w:p>
            <w:pPr>
              <w:rPr>
                <w:rFonts w:hint="eastAsia" w:ascii="仿宋_GB2312" w:eastAsia="仿宋_GB2312"/>
                <w:color w:val="000000"/>
              </w:rPr>
            </w:pPr>
            <w:r>
              <w:rPr>
                <w:rFonts w:hint="eastAsia" w:ascii="仿宋_GB2312" w:eastAsia="仿宋_GB2312"/>
                <w:color w:val="000000"/>
              </w:rPr>
              <w:t>合同名称</w:t>
            </w:r>
          </w:p>
        </w:tc>
        <w:tc>
          <w:tcPr>
            <w:tcW w:w="6260"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98" w:type="dxa"/>
            <w:noWrap w:val="0"/>
            <w:vAlign w:val="center"/>
          </w:tcPr>
          <w:p>
            <w:pPr>
              <w:rPr>
                <w:rFonts w:hint="eastAsia" w:ascii="仿宋_GB2312" w:eastAsia="仿宋_GB2312"/>
                <w:color w:val="000000"/>
              </w:rPr>
            </w:pPr>
            <w:r>
              <w:rPr>
                <w:rFonts w:hint="eastAsia" w:ascii="仿宋_GB2312" w:eastAsia="仿宋_GB2312"/>
                <w:color w:val="000000"/>
              </w:rPr>
              <w:t>合同项目所在地</w:t>
            </w:r>
          </w:p>
        </w:tc>
        <w:tc>
          <w:tcPr>
            <w:tcW w:w="6260"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98" w:type="dxa"/>
            <w:noWrap w:val="0"/>
            <w:vAlign w:val="center"/>
          </w:tcPr>
          <w:p>
            <w:pPr>
              <w:rPr>
                <w:rFonts w:hint="eastAsia" w:ascii="仿宋_GB2312" w:eastAsia="仿宋_GB2312"/>
                <w:color w:val="000000"/>
              </w:rPr>
            </w:pPr>
            <w:r>
              <w:rPr>
                <w:rFonts w:hint="eastAsia" w:ascii="仿宋_GB2312" w:eastAsia="仿宋_GB2312"/>
                <w:color w:val="000000"/>
              </w:rPr>
              <w:t>发包人名称</w:t>
            </w:r>
          </w:p>
        </w:tc>
        <w:tc>
          <w:tcPr>
            <w:tcW w:w="6260"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98" w:type="dxa"/>
            <w:noWrap w:val="0"/>
            <w:vAlign w:val="center"/>
          </w:tcPr>
          <w:p>
            <w:pPr>
              <w:rPr>
                <w:rFonts w:hint="eastAsia" w:ascii="仿宋_GB2312" w:eastAsia="仿宋_GB2312"/>
                <w:color w:val="000000"/>
              </w:rPr>
            </w:pPr>
            <w:r>
              <w:rPr>
                <w:rFonts w:hint="eastAsia" w:ascii="仿宋_GB2312" w:eastAsia="仿宋_GB2312"/>
                <w:color w:val="000000"/>
              </w:rPr>
              <w:t>发包人地址</w:t>
            </w:r>
          </w:p>
        </w:tc>
        <w:tc>
          <w:tcPr>
            <w:tcW w:w="6260"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98" w:type="dxa"/>
            <w:noWrap w:val="0"/>
            <w:vAlign w:val="center"/>
          </w:tcPr>
          <w:p>
            <w:pPr>
              <w:rPr>
                <w:rFonts w:hint="eastAsia" w:ascii="仿宋_GB2312" w:eastAsia="仿宋_GB2312"/>
                <w:color w:val="000000"/>
              </w:rPr>
            </w:pPr>
            <w:r>
              <w:rPr>
                <w:rFonts w:hint="eastAsia" w:ascii="仿宋_GB2312" w:eastAsia="仿宋_GB2312"/>
                <w:color w:val="000000"/>
              </w:rPr>
              <w:t>发包人电话</w:t>
            </w:r>
          </w:p>
        </w:tc>
        <w:tc>
          <w:tcPr>
            <w:tcW w:w="6260"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98" w:type="dxa"/>
            <w:noWrap w:val="0"/>
            <w:vAlign w:val="center"/>
          </w:tcPr>
          <w:p>
            <w:pPr>
              <w:rPr>
                <w:rFonts w:hint="eastAsia" w:ascii="仿宋_GB2312" w:eastAsia="仿宋_GB2312"/>
                <w:color w:val="000000"/>
              </w:rPr>
            </w:pPr>
            <w:r>
              <w:rPr>
                <w:rFonts w:hint="eastAsia" w:ascii="仿宋_GB2312" w:eastAsia="仿宋_GB2312"/>
                <w:color w:val="000000"/>
              </w:rPr>
              <w:t>签约合同价</w:t>
            </w:r>
          </w:p>
        </w:tc>
        <w:tc>
          <w:tcPr>
            <w:tcW w:w="6260"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98" w:type="dxa"/>
            <w:noWrap w:val="0"/>
            <w:vAlign w:val="center"/>
          </w:tcPr>
          <w:p>
            <w:pPr>
              <w:rPr>
                <w:rFonts w:hint="eastAsia" w:ascii="仿宋_GB2312" w:eastAsia="仿宋_GB2312"/>
                <w:color w:val="000000"/>
              </w:rPr>
            </w:pPr>
            <w:r>
              <w:rPr>
                <w:rFonts w:hint="eastAsia" w:ascii="仿宋_GB2312" w:eastAsia="仿宋_GB2312"/>
                <w:color w:val="000000"/>
              </w:rPr>
              <w:t>开工日期</w:t>
            </w:r>
          </w:p>
        </w:tc>
        <w:tc>
          <w:tcPr>
            <w:tcW w:w="6260"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98" w:type="dxa"/>
            <w:noWrap w:val="0"/>
            <w:vAlign w:val="center"/>
          </w:tcPr>
          <w:p>
            <w:pPr>
              <w:rPr>
                <w:rFonts w:hint="eastAsia" w:ascii="仿宋_GB2312" w:eastAsia="仿宋_GB2312"/>
                <w:color w:val="000000"/>
              </w:rPr>
            </w:pPr>
            <w:r>
              <w:rPr>
                <w:rFonts w:hint="eastAsia" w:ascii="仿宋_GB2312" w:eastAsia="仿宋_GB2312"/>
                <w:color w:val="000000"/>
              </w:rPr>
              <w:t>计划完工日期</w:t>
            </w:r>
          </w:p>
        </w:tc>
        <w:tc>
          <w:tcPr>
            <w:tcW w:w="6260"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98" w:type="dxa"/>
            <w:noWrap w:val="0"/>
            <w:vAlign w:val="center"/>
          </w:tcPr>
          <w:p>
            <w:pPr>
              <w:rPr>
                <w:rFonts w:hint="eastAsia" w:ascii="仿宋_GB2312" w:eastAsia="仿宋_GB2312"/>
                <w:color w:val="000000"/>
              </w:rPr>
            </w:pPr>
            <w:r>
              <w:rPr>
                <w:rFonts w:hint="eastAsia" w:ascii="仿宋_GB2312" w:eastAsia="仿宋_GB2312"/>
                <w:color w:val="000000"/>
              </w:rPr>
              <w:t>承担的工作</w:t>
            </w:r>
          </w:p>
        </w:tc>
        <w:tc>
          <w:tcPr>
            <w:tcW w:w="6260"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98" w:type="dxa"/>
            <w:noWrap w:val="0"/>
            <w:vAlign w:val="center"/>
          </w:tcPr>
          <w:p>
            <w:pPr>
              <w:rPr>
                <w:rFonts w:hint="eastAsia" w:ascii="仿宋_GB2312" w:eastAsia="仿宋_GB2312"/>
                <w:color w:val="000000"/>
              </w:rPr>
            </w:pPr>
            <w:r>
              <w:rPr>
                <w:rFonts w:hint="eastAsia" w:ascii="仿宋_GB2312" w:eastAsia="仿宋_GB2312"/>
                <w:color w:val="000000"/>
              </w:rPr>
              <w:t>工程质量</w:t>
            </w:r>
          </w:p>
        </w:tc>
        <w:tc>
          <w:tcPr>
            <w:tcW w:w="6260"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98" w:type="dxa"/>
            <w:noWrap w:val="0"/>
            <w:vAlign w:val="center"/>
          </w:tcPr>
          <w:p>
            <w:pPr>
              <w:rPr>
                <w:rFonts w:hint="eastAsia" w:ascii="仿宋_GB2312" w:eastAsia="仿宋_GB2312"/>
                <w:color w:val="000000"/>
              </w:rPr>
            </w:pPr>
            <w:r>
              <w:rPr>
                <w:rFonts w:hint="eastAsia" w:ascii="仿宋_GB2312" w:eastAsia="仿宋_GB2312"/>
                <w:color w:val="000000"/>
              </w:rPr>
              <w:t>项目负责人</w:t>
            </w:r>
          </w:p>
        </w:tc>
        <w:tc>
          <w:tcPr>
            <w:tcW w:w="6260"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98" w:type="dxa"/>
            <w:noWrap w:val="0"/>
            <w:vAlign w:val="center"/>
          </w:tcPr>
          <w:p>
            <w:pPr>
              <w:rPr>
                <w:rFonts w:hint="eastAsia" w:ascii="仿宋_GB2312" w:eastAsia="仿宋_GB2312"/>
                <w:color w:val="000000"/>
              </w:rPr>
            </w:pPr>
            <w:r>
              <w:rPr>
                <w:rFonts w:hint="eastAsia" w:ascii="仿宋_GB2312" w:eastAsia="仿宋_GB2312"/>
                <w:color w:val="000000"/>
              </w:rPr>
              <w:t>技术负责人</w:t>
            </w:r>
          </w:p>
        </w:tc>
        <w:tc>
          <w:tcPr>
            <w:tcW w:w="6260"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98" w:type="dxa"/>
            <w:noWrap w:val="0"/>
            <w:vAlign w:val="center"/>
          </w:tcPr>
          <w:p>
            <w:pPr>
              <w:rPr>
                <w:rFonts w:hint="eastAsia" w:ascii="仿宋_GB2312" w:eastAsia="仿宋_GB2312"/>
                <w:color w:val="000000"/>
              </w:rPr>
            </w:pPr>
            <w:r>
              <w:rPr>
                <w:rFonts w:hint="eastAsia" w:ascii="仿宋_GB2312" w:eastAsia="仿宋_GB2312"/>
                <w:color w:val="000000"/>
              </w:rPr>
              <w:t>监理人和总监理工程师以及电话</w:t>
            </w:r>
          </w:p>
        </w:tc>
        <w:tc>
          <w:tcPr>
            <w:tcW w:w="6260"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98" w:type="dxa"/>
            <w:noWrap w:val="0"/>
            <w:vAlign w:val="center"/>
          </w:tcPr>
          <w:p>
            <w:pPr>
              <w:rPr>
                <w:rFonts w:hint="eastAsia" w:ascii="仿宋_GB2312" w:eastAsia="仿宋_GB2312"/>
                <w:color w:val="000000"/>
              </w:rPr>
            </w:pPr>
            <w:r>
              <w:rPr>
                <w:rFonts w:hint="eastAsia" w:ascii="仿宋_GB2312" w:eastAsia="仿宋_GB2312"/>
                <w:color w:val="000000"/>
              </w:rPr>
              <w:t>项目描述</w:t>
            </w:r>
          </w:p>
        </w:tc>
        <w:tc>
          <w:tcPr>
            <w:tcW w:w="6260"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98" w:type="dxa"/>
            <w:noWrap w:val="0"/>
            <w:vAlign w:val="center"/>
          </w:tcPr>
          <w:p>
            <w:pPr>
              <w:rPr>
                <w:rFonts w:hint="eastAsia" w:ascii="仿宋_GB2312" w:eastAsia="仿宋_GB2312"/>
                <w:color w:val="000000"/>
              </w:rPr>
            </w:pPr>
            <w:r>
              <w:rPr>
                <w:rFonts w:hint="eastAsia" w:ascii="仿宋_GB2312" w:eastAsia="仿宋_GB2312"/>
                <w:color w:val="000000"/>
              </w:rPr>
              <w:t>备注</w:t>
            </w:r>
          </w:p>
        </w:tc>
        <w:tc>
          <w:tcPr>
            <w:tcW w:w="6260" w:type="dxa"/>
            <w:noWrap w:val="0"/>
            <w:vAlign w:val="center"/>
          </w:tcPr>
          <w:p>
            <w:pPr>
              <w:rPr>
                <w:rFonts w:hint="eastAsia" w:ascii="仿宋_GB2312" w:eastAsia="仿宋_GB2312"/>
                <w:color w:val="000000"/>
              </w:rPr>
            </w:pPr>
            <w:r>
              <w:rPr>
                <w:rFonts w:hint="eastAsia" w:ascii="仿宋_GB2312" w:eastAsia="仿宋_GB2312"/>
                <w:color w:val="000000"/>
              </w:rPr>
              <w:t>合同所属项目描述内容至少包括项目概况、本合同在项目中的地位</w:t>
            </w:r>
          </w:p>
          <w:p>
            <w:pPr>
              <w:rPr>
                <w:rFonts w:hint="eastAsia" w:ascii="仿宋_GB2312" w:eastAsia="仿宋_GB2312"/>
                <w:color w:val="000000"/>
                <w:szCs w:val="21"/>
              </w:rPr>
            </w:pPr>
            <w:r>
              <w:rPr>
                <w:rFonts w:hint="eastAsia" w:ascii="仿宋_GB2312" w:eastAsia="仿宋_GB2312"/>
                <w:color w:val="000000"/>
              </w:rPr>
              <w:t>（部位、合同价格所占比例）</w:t>
            </w:r>
          </w:p>
        </w:tc>
      </w:tr>
    </w:tbl>
    <w:p>
      <w:pPr>
        <w:pStyle w:val="2"/>
        <w:ind w:firstLine="105" w:firstLineChars="50"/>
        <w:rPr>
          <w:rFonts w:hint="eastAsia" w:ascii="仿宋_GB2312" w:eastAsia="仿宋_GB2312"/>
          <w:color w:val="000000"/>
        </w:rPr>
      </w:pPr>
      <w:r>
        <w:rPr>
          <w:rFonts w:hint="eastAsia" w:ascii="仿宋_GB2312" w:eastAsia="仿宋_GB2312"/>
          <w:color w:val="000000"/>
        </w:rPr>
        <w:t>注：按“十</w:t>
      </w:r>
      <w:r>
        <w:rPr>
          <w:rFonts w:hint="eastAsia" w:ascii="仿宋_GB2312" w:eastAsia="仿宋_GB2312"/>
          <w:color w:val="000000"/>
          <w:lang w:val="en-US" w:eastAsia="zh-CN"/>
        </w:rPr>
        <w:t>二</w:t>
      </w:r>
      <w:r>
        <w:rPr>
          <w:rFonts w:hint="eastAsia" w:ascii="仿宋_GB2312" w:eastAsia="仿宋_GB2312"/>
          <w:color w:val="000000"/>
        </w:rPr>
        <w:t>、原件的扫描件”中要求提供相关材料</w:t>
      </w:r>
      <w:r>
        <w:rPr>
          <w:rFonts w:hint="eastAsia" w:ascii="仿宋_GB2312" w:eastAsia="仿宋_GB2312"/>
          <w:color w:val="000000"/>
          <w:lang w:eastAsia="zh-CN"/>
        </w:rPr>
        <w:t>原件扫描件</w:t>
      </w:r>
      <w:r>
        <w:rPr>
          <w:rFonts w:hint="eastAsia" w:ascii="仿宋_GB2312" w:eastAsia="仿宋_GB2312"/>
          <w:color w:val="000000"/>
        </w:rPr>
        <w:t>并附本表后。</w:t>
      </w:r>
    </w:p>
    <w:p>
      <w:pPr>
        <w:pStyle w:val="41"/>
        <w:spacing w:line="490" w:lineRule="exact"/>
        <w:ind w:left="1" w:leftChars="0"/>
        <w:jc w:val="center"/>
        <w:rPr>
          <w:color w:val="000000"/>
          <w:sz w:val="20"/>
        </w:rPr>
      </w:pPr>
      <w:r>
        <w:rPr>
          <w:color w:val="000000"/>
        </w:rPr>
        <w:br w:type="page"/>
      </w:r>
    </w:p>
    <w:p>
      <w:pPr>
        <w:pStyle w:val="13"/>
        <w:spacing w:line="490" w:lineRule="exact"/>
        <w:ind w:left="0" w:leftChars="0" w:firstLine="0" w:firstLineChars="0"/>
        <w:jc w:val="center"/>
        <w:outlineLvl w:val="3"/>
        <w:rPr>
          <w:rFonts w:ascii="楷体_GB2312" w:eastAsia="楷体_GB2312"/>
          <w:b/>
          <w:color w:val="000000"/>
          <w:sz w:val="30"/>
          <w:szCs w:val="30"/>
        </w:rPr>
      </w:pPr>
      <w:bookmarkStart w:id="2029" w:name="_Toc23430"/>
      <w:r>
        <w:rPr>
          <w:rFonts w:ascii="楷体_GB2312" w:eastAsia="楷体_GB2312"/>
          <w:b/>
          <w:color w:val="000000"/>
          <w:sz w:val="30"/>
          <w:szCs w:val="30"/>
        </w:rPr>
        <w:t>（五）近年发生的诉讼及仲裁情况表</w:t>
      </w:r>
      <w:bookmarkEnd w:id="2029"/>
    </w:p>
    <w:p>
      <w:pPr>
        <w:spacing w:line="490" w:lineRule="exact"/>
        <w:jc w:val="center"/>
        <w:rPr>
          <w:color w:val="000000"/>
          <w:sz w:val="20"/>
        </w:rPr>
      </w:pP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1421"/>
        <w:gridCol w:w="1421"/>
        <w:gridCol w:w="1421"/>
        <w:gridCol w:w="1422"/>
        <w:gridCol w:w="1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21" w:type="dxa"/>
            <w:noWrap w:val="0"/>
            <w:vAlign w:val="center"/>
          </w:tcPr>
          <w:p>
            <w:pPr>
              <w:jc w:val="center"/>
              <w:rPr>
                <w:rFonts w:hint="eastAsia" w:ascii="黑体" w:hAnsi="黑体" w:eastAsia="黑体"/>
                <w:color w:val="000000"/>
              </w:rPr>
            </w:pPr>
            <w:r>
              <w:rPr>
                <w:rFonts w:hint="eastAsia" w:ascii="黑体" w:hAnsi="黑体" w:eastAsia="黑体"/>
                <w:color w:val="000000"/>
              </w:rPr>
              <w:t>序号</w:t>
            </w:r>
          </w:p>
        </w:tc>
        <w:tc>
          <w:tcPr>
            <w:tcW w:w="1421" w:type="dxa"/>
            <w:noWrap w:val="0"/>
            <w:vAlign w:val="center"/>
          </w:tcPr>
          <w:p>
            <w:pPr>
              <w:jc w:val="center"/>
              <w:rPr>
                <w:rFonts w:hint="eastAsia" w:ascii="黑体" w:hAnsi="黑体" w:eastAsia="黑体"/>
                <w:color w:val="000000"/>
              </w:rPr>
            </w:pPr>
            <w:r>
              <w:rPr>
                <w:rFonts w:hint="eastAsia" w:ascii="黑体" w:hAnsi="黑体" w:eastAsia="黑体"/>
                <w:color w:val="000000"/>
              </w:rPr>
              <w:t>诉讼或仲裁事项</w:t>
            </w:r>
          </w:p>
        </w:tc>
        <w:tc>
          <w:tcPr>
            <w:tcW w:w="1421" w:type="dxa"/>
            <w:noWrap w:val="0"/>
            <w:vAlign w:val="center"/>
          </w:tcPr>
          <w:p>
            <w:pPr>
              <w:jc w:val="center"/>
              <w:rPr>
                <w:rFonts w:hint="eastAsia" w:ascii="黑体" w:hAnsi="黑体" w:eastAsia="黑体"/>
                <w:color w:val="000000"/>
              </w:rPr>
            </w:pPr>
            <w:r>
              <w:rPr>
                <w:rFonts w:hint="eastAsia" w:ascii="黑体" w:hAnsi="黑体" w:eastAsia="黑体"/>
                <w:color w:val="000000"/>
              </w:rPr>
              <w:t>诉讼或仲裁中的地位</w:t>
            </w:r>
          </w:p>
        </w:tc>
        <w:tc>
          <w:tcPr>
            <w:tcW w:w="1421" w:type="dxa"/>
            <w:noWrap w:val="0"/>
            <w:vAlign w:val="center"/>
          </w:tcPr>
          <w:p>
            <w:pPr>
              <w:jc w:val="center"/>
              <w:rPr>
                <w:rFonts w:hint="eastAsia" w:ascii="黑体" w:hAnsi="黑体" w:eastAsia="黑体"/>
                <w:color w:val="000000"/>
              </w:rPr>
            </w:pPr>
            <w:r>
              <w:rPr>
                <w:rFonts w:hint="eastAsia" w:ascii="黑体" w:hAnsi="黑体" w:eastAsia="黑体"/>
                <w:color w:val="000000"/>
              </w:rPr>
              <w:t>缘由</w:t>
            </w:r>
          </w:p>
        </w:tc>
        <w:tc>
          <w:tcPr>
            <w:tcW w:w="1422" w:type="dxa"/>
            <w:noWrap w:val="0"/>
            <w:vAlign w:val="center"/>
          </w:tcPr>
          <w:p>
            <w:pPr>
              <w:jc w:val="center"/>
              <w:rPr>
                <w:rFonts w:hint="eastAsia" w:ascii="黑体" w:hAnsi="黑体" w:eastAsia="黑体"/>
                <w:color w:val="000000"/>
              </w:rPr>
            </w:pPr>
            <w:r>
              <w:rPr>
                <w:rFonts w:hint="eastAsia" w:ascii="黑体" w:hAnsi="黑体" w:eastAsia="黑体"/>
                <w:color w:val="000000"/>
              </w:rPr>
              <w:t>结果</w:t>
            </w:r>
          </w:p>
        </w:tc>
        <w:tc>
          <w:tcPr>
            <w:tcW w:w="1837" w:type="dxa"/>
            <w:noWrap w:val="0"/>
            <w:vAlign w:val="center"/>
          </w:tcPr>
          <w:p>
            <w:pPr>
              <w:jc w:val="center"/>
              <w:rPr>
                <w:rFonts w:hint="eastAsia" w:ascii="黑体" w:hAnsi="黑体" w:eastAsia="黑体"/>
                <w:color w:val="000000"/>
              </w:rPr>
            </w:pPr>
            <w:r>
              <w:rPr>
                <w:rFonts w:hint="eastAsia" w:ascii="黑体" w:hAnsi="黑体" w:eastAsia="黑体"/>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21" w:type="dxa"/>
            <w:noWrap w:val="0"/>
            <w:vAlign w:val="center"/>
          </w:tcPr>
          <w:p>
            <w:pPr>
              <w:jc w:val="center"/>
              <w:rPr>
                <w:rFonts w:hint="eastAsia" w:ascii="仿宋_GB2312" w:eastAsia="仿宋_GB2312"/>
                <w:color w:val="000000"/>
              </w:rPr>
            </w:pPr>
            <w:r>
              <w:rPr>
                <w:rFonts w:hint="eastAsia" w:ascii="仿宋_GB2312" w:eastAsia="仿宋_GB2312"/>
                <w:color w:val="000000"/>
              </w:rPr>
              <w:t>一</w:t>
            </w:r>
          </w:p>
        </w:tc>
        <w:tc>
          <w:tcPr>
            <w:tcW w:w="1421" w:type="dxa"/>
            <w:noWrap w:val="0"/>
            <w:vAlign w:val="center"/>
          </w:tcPr>
          <w:p>
            <w:pPr>
              <w:rPr>
                <w:rFonts w:hint="eastAsia" w:ascii="仿宋_GB2312" w:eastAsia="仿宋_GB2312"/>
                <w:color w:val="000000"/>
              </w:rPr>
            </w:pPr>
            <w:r>
              <w:rPr>
                <w:rFonts w:hint="eastAsia" w:ascii="仿宋_GB2312" w:eastAsia="仿宋_GB2312"/>
                <w:color w:val="000000"/>
              </w:rPr>
              <w:t>诉讼事项</w:t>
            </w:r>
          </w:p>
        </w:tc>
        <w:tc>
          <w:tcPr>
            <w:tcW w:w="1421" w:type="dxa"/>
            <w:noWrap w:val="0"/>
            <w:vAlign w:val="center"/>
          </w:tcPr>
          <w:p>
            <w:pPr>
              <w:jc w:val="center"/>
              <w:rPr>
                <w:rFonts w:hint="eastAsia" w:ascii="仿宋_GB2312" w:eastAsia="仿宋_GB2312"/>
                <w:color w:val="000000"/>
                <w:szCs w:val="21"/>
              </w:rPr>
            </w:pPr>
          </w:p>
        </w:tc>
        <w:tc>
          <w:tcPr>
            <w:tcW w:w="1421" w:type="dxa"/>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szCs w:val="21"/>
              </w:rPr>
            </w:pPr>
          </w:p>
        </w:tc>
        <w:tc>
          <w:tcPr>
            <w:tcW w:w="1837"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21" w:type="dxa"/>
            <w:noWrap w:val="0"/>
            <w:vAlign w:val="center"/>
          </w:tcPr>
          <w:p>
            <w:pPr>
              <w:jc w:val="center"/>
              <w:rPr>
                <w:rFonts w:hint="eastAsia" w:ascii="仿宋_GB2312" w:eastAsia="仿宋_GB2312"/>
                <w:color w:val="000000"/>
                <w:szCs w:val="21"/>
              </w:rPr>
            </w:pPr>
          </w:p>
        </w:tc>
        <w:tc>
          <w:tcPr>
            <w:tcW w:w="1421" w:type="dxa"/>
            <w:noWrap w:val="0"/>
            <w:vAlign w:val="center"/>
          </w:tcPr>
          <w:p>
            <w:pPr>
              <w:jc w:val="center"/>
              <w:rPr>
                <w:rFonts w:hint="eastAsia" w:ascii="仿宋_GB2312" w:eastAsia="仿宋_GB2312"/>
                <w:color w:val="000000"/>
                <w:szCs w:val="21"/>
              </w:rPr>
            </w:pPr>
          </w:p>
        </w:tc>
        <w:tc>
          <w:tcPr>
            <w:tcW w:w="1421" w:type="dxa"/>
            <w:noWrap w:val="0"/>
            <w:vAlign w:val="center"/>
          </w:tcPr>
          <w:p>
            <w:pPr>
              <w:jc w:val="center"/>
              <w:rPr>
                <w:rFonts w:hint="eastAsia" w:ascii="仿宋_GB2312" w:eastAsia="仿宋_GB2312"/>
                <w:color w:val="000000"/>
                <w:szCs w:val="21"/>
              </w:rPr>
            </w:pPr>
          </w:p>
        </w:tc>
        <w:tc>
          <w:tcPr>
            <w:tcW w:w="1421" w:type="dxa"/>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szCs w:val="21"/>
              </w:rPr>
            </w:pPr>
          </w:p>
        </w:tc>
        <w:tc>
          <w:tcPr>
            <w:tcW w:w="1837"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21" w:type="dxa"/>
            <w:noWrap w:val="0"/>
            <w:vAlign w:val="center"/>
          </w:tcPr>
          <w:p>
            <w:pPr>
              <w:jc w:val="center"/>
              <w:rPr>
                <w:rFonts w:hint="eastAsia" w:ascii="仿宋_GB2312" w:eastAsia="仿宋_GB2312"/>
                <w:color w:val="000000"/>
                <w:szCs w:val="21"/>
              </w:rPr>
            </w:pPr>
          </w:p>
        </w:tc>
        <w:tc>
          <w:tcPr>
            <w:tcW w:w="1421" w:type="dxa"/>
            <w:noWrap w:val="0"/>
            <w:vAlign w:val="center"/>
          </w:tcPr>
          <w:p>
            <w:pPr>
              <w:jc w:val="center"/>
              <w:rPr>
                <w:rFonts w:hint="eastAsia" w:ascii="仿宋_GB2312" w:eastAsia="仿宋_GB2312"/>
                <w:color w:val="000000"/>
                <w:szCs w:val="21"/>
              </w:rPr>
            </w:pPr>
          </w:p>
        </w:tc>
        <w:tc>
          <w:tcPr>
            <w:tcW w:w="1421" w:type="dxa"/>
            <w:noWrap w:val="0"/>
            <w:vAlign w:val="center"/>
          </w:tcPr>
          <w:p>
            <w:pPr>
              <w:jc w:val="center"/>
              <w:rPr>
                <w:rFonts w:hint="eastAsia" w:ascii="仿宋_GB2312" w:eastAsia="仿宋_GB2312"/>
                <w:color w:val="000000"/>
                <w:szCs w:val="21"/>
              </w:rPr>
            </w:pPr>
          </w:p>
        </w:tc>
        <w:tc>
          <w:tcPr>
            <w:tcW w:w="1421" w:type="dxa"/>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szCs w:val="21"/>
              </w:rPr>
            </w:pPr>
          </w:p>
        </w:tc>
        <w:tc>
          <w:tcPr>
            <w:tcW w:w="1837"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21" w:type="dxa"/>
            <w:noWrap w:val="0"/>
            <w:vAlign w:val="center"/>
          </w:tcPr>
          <w:p>
            <w:pPr>
              <w:jc w:val="center"/>
              <w:rPr>
                <w:rFonts w:hint="eastAsia" w:ascii="仿宋_GB2312" w:eastAsia="仿宋_GB2312"/>
                <w:color w:val="000000"/>
                <w:szCs w:val="21"/>
              </w:rPr>
            </w:pPr>
          </w:p>
        </w:tc>
        <w:tc>
          <w:tcPr>
            <w:tcW w:w="1421" w:type="dxa"/>
            <w:noWrap w:val="0"/>
            <w:vAlign w:val="center"/>
          </w:tcPr>
          <w:p>
            <w:pPr>
              <w:jc w:val="center"/>
              <w:rPr>
                <w:rFonts w:hint="eastAsia" w:ascii="仿宋_GB2312" w:eastAsia="仿宋_GB2312"/>
                <w:color w:val="000000"/>
                <w:szCs w:val="21"/>
              </w:rPr>
            </w:pPr>
          </w:p>
        </w:tc>
        <w:tc>
          <w:tcPr>
            <w:tcW w:w="1421" w:type="dxa"/>
            <w:noWrap w:val="0"/>
            <w:vAlign w:val="center"/>
          </w:tcPr>
          <w:p>
            <w:pPr>
              <w:jc w:val="center"/>
              <w:rPr>
                <w:rFonts w:hint="eastAsia" w:ascii="仿宋_GB2312" w:eastAsia="仿宋_GB2312"/>
                <w:color w:val="000000"/>
                <w:szCs w:val="21"/>
              </w:rPr>
            </w:pPr>
          </w:p>
        </w:tc>
        <w:tc>
          <w:tcPr>
            <w:tcW w:w="1421" w:type="dxa"/>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szCs w:val="21"/>
              </w:rPr>
            </w:pPr>
          </w:p>
        </w:tc>
        <w:tc>
          <w:tcPr>
            <w:tcW w:w="1837"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21" w:type="dxa"/>
            <w:noWrap w:val="0"/>
            <w:vAlign w:val="center"/>
          </w:tcPr>
          <w:p>
            <w:pPr>
              <w:jc w:val="center"/>
              <w:rPr>
                <w:rFonts w:hint="eastAsia" w:ascii="仿宋_GB2312" w:eastAsia="仿宋_GB2312"/>
                <w:color w:val="000000"/>
              </w:rPr>
            </w:pPr>
            <w:r>
              <w:rPr>
                <w:rFonts w:hint="eastAsia" w:ascii="仿宋_GB2312" w:eastAsia="仿宋_GB2312"/>
                <w:color w:val="000000"/>
              </w:rPr>
              <w:t>二</w:t>
            </w:r>
          </w:p>
        </w:tc>
        <w:tc>
          <w:tcPr>
            <w:tcW w:w="1421" w:type="dxa"/>
            <w:noWrap w:val="0"/>
            <w:vAlign w:val="center"/>
          </w:tcPr>
          <w:p>
            <w:pPr>
              <w:rPr>
                <w:rFonts w:hint="eastAsia" w:ascii="仿宋_GB2312" w:eastAsia="仿宋_GB2312"/>
                <w:color w:val="000000"/>
              </w:rPr>
            </w:pPr>
            <w:r>
              <w:rPr>
                <w:rFonts w:hint="eastAsia" w:ascii="仿宋_GB2312" w:eastAsia="仿宋_GB2312"/>
                <w:color w:val="000000"/>
              </w:rPr>
              <w:t>仲裁事项</w:t>
            </w:r>
          </w:p>
        </w:tc>
        <w:tc>
          <w:tcPr>
            <w:tcW w:w="1421" w:type="dxa"/>
            <w:noWrap w:val="0"/>
            <w:vAlign w:val="center"/>
          </w:tcPr>
          <w:p>
            <w:pPr>
              <w:jc w:val="center"/>
              <w:rPr>
                <w:rFonts w:hint="eastAsia" w:ascii="仿宋_GB2312" w:eastAsia="仿宋_GB2312"/>
                <w:color w:val="000000"/>
                <w:szCs w:val="21"/>
              </w:rPr>
            </w:pPr>
          </w:p>
        </w:tc>
        <w:tc>
          <w:tcPr>
            <w:tcW w:w="1421" w:type="dxa"/>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szCs w:val="21"/>
              </w:rPr>
            </w:pPr>
          </w:p>
        </w:tc>
        <w:tc>
          <w:tcPr>
            <w:tcW w:w="1837"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21" w:type="dxa"/>
            <w:noWrap w:val="0"/>
            <w:vAlign w:val="center"/>
          </w:tcPr>
          <w:p>
            <w:pPr>
              <w:jc w:val="center"/>
              <w:rPr>
                <w:rFonts w:hint="eastAsia" w:ascii="仿宋_GB2312" w:eastAsia="仿宋_GB2312"/>
                <w:color w:val="000000"/>
                <w:szCs w:val="21"/>
              </w:rPr>
            </w:pPr>
          </w:p>
        </w:tc>
        <w:tc>
          <w:tcPr>
            <w:tcW w:w="1421" w:type="dxa"/>
            <w:noWrap w:val="0"/>
            <w:vAlign w:val="center"/>
          </w:tcPr>
          <w:p>
            <w:pPr>
              <w:jc w:val="center"/>
              <w:rPr>
                <w:rFonts w:hint="eastAsia" w:ascii="仿宋_GB2312" w:eastAsia="仿宋_GB2312"/>
                <w:color w:val="000000"/>
                <w:szCs w:val="21"/>
              </w:rPr>
            </w:pPr>
          </w:p>
        </w:tc>
        <w:tc>
          <w:tcPr>
            <w:tcW w:w="1421" w:type="dxa"/>
            <w:noWrap w:val="0"/>
            <w:vAlign w:val="center"/>
          </w:tcPr>
          <w:p>
            <w:pPr>
              <w:jc w:val="center"/>
              <w:rPr>
                <w:rFonts w:hint="eastAsia" w:ascii="仿宋_GB2312" w:eastAsia="仿宋_GB2312"/>
                <w:color w:val="000000"/>
                <w:szCs w:val="21"/>
              </w:rPr>
            </w:pPr>
          </w:p>
        </w:tc>
        <w:tc>
          <w:tcPr>
            <w:tcW w:w="1421" w:type="dxa"/>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szCs w:val="21"/>
              </w:rPr>
            </w:pPr>
          </w:p>
        </w:tc>
        <w:tc>
          <w:tcPr>
            <w:tcW w:w="1837"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21" w:type="dxa"/>
            <w:noWrap w:val="0"/>
            <w:vAlign w:val="center"/>
          </w:tcPr>
          <w:p>
            <w:pPr>
              <w:jc w:val="center"/>
              <w:rPr>
                <w:rFonts w:hint="eastAsia" w:ascii="仿宋_GB2312" w:eastAsia="仿宋_GB2312"/>
                <w:color w:val="000000"/>
                <w:szCs w:val="21"/>
              </w:rPr>
            </w:pPr>
          </w:p>
        </w:tc>
        <w:tc>
          <w:tcPr>
            <w:tcW w:w="1421" w:type="dxa"/>
            <w:noWrap w:val="0"/>
            <w:vAlign w:val="center"/>
          </w:tcPr>
          <w:p>
            <w:pPr>
              <w:jc w:val="center"/>
              <w:rPr>
                <w:rFonts w:hint="eastAsia" w:ascii="仿宋_GB2312" w:eastAsia="仿宋_GB2312"/>
                <w:color w:val="000000"/>
                <w:szCs w:val="21"/>
              </w:rPr>
            </w:pPr>
          </w:p>
        </w:tc>
        <w:tc>
          <w:tcPr>
            <w:tcW w:w="1421" w:type="dxa"/>
            <w:noWrap w:val="0"/>
            <w:vAlign w:val="center"/>
          </w:tcPr>
          <w:p>
            <w:pPr>
              <w:jc w:val="center"/>
              <w:rPr>
                <w:rFonts w:hint="eastAsia" w:ascii="仿宋_GB2312" w:eastAsia="仿宋_GB2312"/>
                <w:color w:val="000000"/>
                <w:szCs w:val="21"/>
              </w:rPr>
            </w:pPr>
          </w:p>
        </w:tc>
        <w:tc>
          <w:tcPr>
            <w:tcW w:w="1421" w:type="dxa"/>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szCs w:val="21"/>
              </w:rPr>
            </w:pPr>
          </w:p>
        </w:tc>
        <w:tc>
          <w:tcPr>
            <w:tcW w:w="1837"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21" w:type="dxa"/>
            <w:noWrap w:val="0"/>
            <w:vAlign w:val="center"/>
          </w:tcPr>
          <w:p>
            <w:pPr>
              <w:jc w:val="center"/>
              <w:rPr>
                <w:rFonts w:hint="eastAsia" w:ascii="仿宋_GB2312" w:eastAsia="仿宋_GB2312"/>
                <w:color w:val="000000"/>
                <w:szCs w:val="21"/>
              </w:rPr>
            </w:pPr>
          </w:p>
        </w:tc>
        <w:tc>
          <w:tcPr>
            <w:tcW w:w="1421" w:type="dxa"/>
            <w:noWrap w:val="0"/>
            <w:vAlign w:val="center"/>
          </w:tcPr>
          <w:p>
            <w:pPr>
              <w:jc w:val="center"/>
              <w:rPr>
                <w:rFonts w:hint="eastAsia" w:ascii="仿宋_GB2312" w:eastAsia="仿宋_GB2312"/>
                <w:color w:val="000000"/>
                <w:szCs w:val="21"/>
              </w:rPr>
            </w:pPr>
          </w:p>
        </w:tc>
        <w:tc>
          <w:tcPr>
            <w:tcW w:w="1421" w:type="dxa"/>
            <w:noWrap w:val="0"/>
            <w:vAlign w:val="center"/>
          </w:tcPr>
          <w:p>
            <w:pPr>
              <w:jc w:val="center"/>
              <w:rPr>
                <w:rFonts w:hint="eastAsia" w:ascii="仿宋_GB2312" w:eastAsia="仿宋_GB2312"/>
                <w:color w:val="000000"/>
                <w:szCs w:val="21"/>
              </w:rPr>
            </w:pPr>
          </w:p>
        </w:tc>
        <w:tc>
          <w:tcPr>
            <w:tcW w:w="1421" w:type="dxa"/>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szCs w:val="21"/>
              </w:rPr>
            </w:pPr>
          </w:p>
        </w:tc>
        <w:tc>
          <w:tcPr>
            <w:tcW w:w="1837"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21" w:type="dxa"/>
            <w:noWrap w:val="0"/>
            <w:vAlign w:val="center"/>
          </w:tcPr>
          <w:p>
            <w:pPr>
              <w:jc w:val="center"/>
              <w:rPr>
                <w:rFonts w:hint="eastAsia" w:ascii="仿宋_GB2312" w:eastAsia="仿宋_GB2312"/>
                <w:color w:val="000000"/>
                <w:szCs w:val="21"/>
              </w:rPr>
            </w:pPr>
          </w:p>
        </w:tc>
        <w:tc>
          <w:tcPr>
            <w:tcW w:w="1421" w:type="dxa"/>
            <w:noWrap w:val="0"/>
            <w:vAlign w:val="center"/>
          </w:tcPr>
          <w:p>
            <w:pPr>
              <w:jc w:val="center"/>
              <w:rPr>
                <w:rFonts w:hint="eastAsia" w:ascii="仿宋_GB2312" w:eastAsia="仿宋_GB2312"/>
                <w:color w:val="000000"/>
                <w:szCs w:val="21"/>
              </w:rPr>
            </w:pPr>
          </w:p>
        </w:tc>
        <w:tc>
          <w:tcPr>
            <w:tcW w:w="1421" w:type="dxa"/>
            <w:noWrap w:val="0"/>
            <w:vAlign w:val="center"/>
          </w:tcPr>
          <w:p>
            <w:pPr>
              <w:jc w:val="center"/>
              <w:rPr>
                <w:rFonts w:hint="eastAsia" w:ascii="仿宋_GB2312" w:eastAsia="仿宋_GB2312"/>
                <w:color w:val="000000"/>
                <w:szCs w:val="21"/>
              </w:rPr>
            </w:pPr>
          </w:p>
        </w:tc>
        <w:tc>
          <w:tcPr>
            <w:tcW w:w="1421" w:type="dxa"/>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szCs w:val="21"/>
              </w:rPr>
            </w:pPr>
          </w:p>
        </w:tc>
        <w:tc>
          <w:tcPr>
            <w:tcW w:w="1837"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21" w:type="dxa"/>
            <w:noWrap w:val="0"/>
            <w:vAlign w:val="center"/>
          </w:tcPr>
          <w:p>
            <w:pPr>
              <w:jc w:val="center"/>
              <w:rPr>
                <w:rFonts w:hint="eastAsia" w:ascii="仿宋_GB2312" w:eastAsia="仿宋_GB2312"/>
                <w:color w:val="000000"/>
                <w:szCs w:val="21"/>
              </w:rPr>
            </w:pPr>
          </w:p>
        </w:tc>
        <w:tc>
          <w:tcPr>
            <w:tcW w:w="1421" w:type="dxa"/>
            <w:noWrap w:val="0"/>
            <w:vAlign w:val="center"/>
          </w:tcPr>
          <w:p>
            <w:pPr>
              <w:jc w:val="center"/>
              <w:rPr>
                <w:rFonts w:hint="eastAsia" w:ascii="仿宋_GB2312" w:eastAsia="仿宋_GB2312"/>
                <w:color w:val="000000"/>
                <w:szCs w:val="21"/>
              </w:rPr>
            </w:pPr>
          </w:p>
        </w:tc>
        <w:tc>
          <w:tcPr>
            <w:tcW w:w="1421" w:type="dxa"/>
            <w:noWrap w:val="0"/>
            <w:vAlign w:val="center"/>
          </w:tcPr>
          <w:p>
            <w:pPr>
              <w:jc w:val="center"/>
              <w:rPr>
                <w:rFonts w:hint="eastAsia" w:ascii="仿宋_GB2312" w:eastAsia="仿宋_GB2312"/>
                <w:color w:val="000000"/>
                <w:szCs w:val="21"/>
              </w:rPr>
            </w:pPr>
          </w:p>
        </w:tc>
        <w:tc>
          <w:tcPr>
            <w:tcW w:w="1421" w:type="dxa"/>
            <w:noWrap w:val="0"/>
            <w:vAlign w:val="center"/>
          </w:tcPr>
          <w:p>
            <w:pPr>
              <w:jc w:val="center"/>
              <w:rPr>
                <w:rFonts w:hint="eastAsia" w:ascii="仿宋_GB2312" w:eastAsia="仿宋_GB2312"/>
                <w:color w:val="000000"/>
                <w:szCs w:val="21"/>
              </w:rPr>
            </w:pPr>
          </w:p>
        </w:tc>
        <w:tc>
          <w:tcPr>
            <w:tcW w:w="1422" w:type="dxa"/>
            <w:noWrap w:val="0"/>
            <w:vAlign w:val="center"/>
          </w:tcPr>
          <w:p>
            <w:pPr>
              <w:jc w:val="center"/>
              <w:rPr>
                <w:rFonts w:hint="eastAsia" w:ascii="仿宋_GB2312" w:eastAsia="仿宋_GB2312"/>
                <w:color w:val="000000"/>
                <w:szCs w:val="21"/>
              </w:rPr>
            </w:pPr>
          </w:p>
        </w:tc>
        <w:tc>
          <w:tcPr>
            <w:tcW w:w="1837" w:type="dxa"/>
            <w:noWrap w:val="0"/>
            <w:vAlign w:val="center"/>
          </w:tcPr>
          <w:p>
            <w:pPr>
              <w:jc w:val="center"/>
              <w:rPr>
                <w:rFonts w:hint="eastAsia" w:ascii="仿宋_GB2312" w:eastAsia="仿宋_GB2312"/>
                <w:color w:val="000000"/>
                <w:szCs w:val="21"/>
              </w:rPr>
            </w:pPr>
          </w:p>
        </w:tc>
      </w:tr>
    </w:tbl>
    <w:p>
      <w:pPr>
        <w:pStyle w:val="19"/>
        <w:rPr>
          <w:rFonts w:eastAsia="仿宋"/>
          <w:color w:val="000000"/>
        </w:rPr>
      </w:pPr>
      <w:r>
        <w:rPr>
          <w:rFonts w:eastAsia="仿宋"/>
          <w:color w:val="000000"/>
        </w:rPr>
        <w:t>注：按“十</w:t>
      </w:r>
      <w:r>
        <w:rPr>
          <w:rFonts w:hint="eastAsia" w:eastAsia="仿宋"/>
          <w:color w:val="000000"/>
          <w:lang w:val="en-US" w:eastAsia="zh-CN"/>
        </w:rPr>
        <w:t>二</w:t>
      </w:r>
      <w:r>
        <w:rPr>
          <w:rFonts w:eastAsia="仿宋"/>
          <w:color w:val="000000"/>
        </w:rPr>
        <w:t>、原件的扫描件”中要求提供相关材料</w:t>
      </w:r>
      <w:r>
        <w:rPr>
          <w:rFonts w:hint="eastAsia" w:eastAsia="仿宋"/>
          <w:color w:val="000000"/>
          <w:lang w:eastAsia="zh-CN"/>
        </w:rPr>
        <w:t>原件扫描件</w:t>
      </w:r>
      <w:r>
        <w:rPr>
          <w:rFonts w:eastAsia="仿宋"/>
          <w:color w:val="000000"/>
        </w:rPr>
        <w:t>并附本表后。</w:t>
      </w:r>
    </w:p>
    <w:p>
      <w:pPr>
        <w:snapToGrid w:val="0"/>
        <w:ind w:firstLine="2415" w:firstLineChars="1150"/>
        <w:rPr>
          <w:color w:val="000000"/>
        </w:rPr>
      </w:pPr>
    </w:p>
    <w:p>
      <w:pPr>
        <w:snapToGrid w:val="0"/>
        <w:ind w:firstLine="2415" w:firstLineChars="1150"/>
        <w:rPr>
          <w:color w:val="000000"/>
        </w:rPr>
      </w:pPr>
    </w:p>
    <w:p>
      <w:pPr>
        <w:snapToGrid w:val="0"/>
        <w:ind w:firstLine="2415" w:firstLineChars="1150"/>
        <w:rPr>
          <w:color w:val="000000"/>
        </w:rPr>
      </w:pPr>
    </w:p>
    <w:p>
      <w:pPr>
        <w:pStyle w:val="2"/>
        <w:jc w:val="center"/>
        <w:rPr>
          <w:rFonts w:ascii="方正小标宋简体" w:eastAsia="方正小标宋简体"/>
          <w:bCs/>
          <w:color w:val="000000"/>
          <w:sz w:val="30"/>
          <w:szCs w:val="30"/>
          <w:lang w:val="en-US" w:eastAsia="zh-CN"/>
        </w:rPr>
      </w:pPr>
      <w:r>
        <w:rPr>
          <w:color w:val="000000"/>
        </w:rPr>
        <w:br w:type="page"/>
      </w:r>
      <w:bookmarkStart w:id="2030" w:name="_Toc30765"/>
      <w:bookmarkStart w:id="2031" w:name="_Toc3853"/>
      <w:bookmarkStart w:id="2032" w:name="_Toc51091950"/>
      <w:r>
        <w:rPr>
          <w:rFonts w:ascii="方正小标宋简体" w:eastAsia="方正小标宋简体"/>
          <w:bCs/>
          <w:color w:val="000000"/>
          <w:sz w:val="30"/>
          <w:szCs w:val="30"/>
          <w:lang w:val="en-US" w:eastAsia="zh-CN"/>
        </w:rPr>
        <w:t>十</w:t>
      </w:r>
      <w:r>
        <w:rPr>
          <w:rFonts w:hint="eastAsia" w:ascii="方正小标宋简体" w:eastAsia="方正小标宋简体"/>
          <w:bCs/>
          <w:color w:val="000000"/>
          <w:sz w:val="30"/>
          <w:szCs w:val="30"/>
          <w:lang w:val="en-US" w:eastAsia="zh-CN"/>
        </w:rPr>
        <w:t>二.</w:t>
      </w:r>
      <w:r>
        <w:rPr>
          <w:rFonts w:ascii="方正小标宋简体" w:eastAsia="方正小标宋简体"/>
          <w:bCs/>
          <w:color w:val="000000"/>
          <w:sz w:val="30"/>
          <w:szCs w:val="30"/>
          <w:lang w:val="en-US" w:eastAsia="zh-CN"/>
        </w:rPr>
        <w:t>原件的扫描件</w:t>
      </w:r>
      <w:bookmarkEnd w:id="2030"/>
      <w:bookmarkEnd w:id="2031"/>
      <w:bookmarkEnd w:id="2032"/>
    </w:p>
    <w:p>
      <w:pPr>
        <w:rPr>
          <w:color w:val="000000"/>
        </w:rPr>
      </w:pPr>
    </w:p>
    <w:tbl>
      <w:tblPr>
        <w:tblStyle w:val="47"/>
        <w:tblW w:w="94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6157"/>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0"/>
            <w:vAlign w:val="center"/>
          </w:tcPr>
          <w:p>
            <w:pPr>
              <w:jc w:val="center"/>
              <w:rPr>
                <w:rFonts w:hint="eastAsia" w:ascii="黑体" w:hAnsi="黑体" w:eastAsia="黑体"/>
                <w:color w:val="000000"/>
              </w:rPr>
            </w:pPr>
            <w:r>
              <w:rPr>
                <w:rFonts w:hint="eastAsia" w:ascii="黑体" w:hAnsi="黑体" w:eastAsia="黑体"/>
                <w:color w:val="000000"/>
              </w:rPr>
              <w:t>序号</w:t>
            </w:r>
          </w:p>
        </w:tc>
        <w:tc>
          <w:tcPr>
            <w:tcW w:w="6157" w:type="dxa"/>
            <w:noWrap w:val="0"/>
            <w:vAlign w:val="center"/>
          </w:tcPr>
          <w:p>
            <w:pPr>
              <w:jc w:val="center"/>
              <w:rPr>
                <w:rFonts w:hint="eastAsia" w:ascii="黑体" w:hAnsi="黑体" w:eastAsia="黑体"/>
                <w:color w:val="000000"/>
              </w:rPr>
            </w:pPr>
            <w:r>
              <w:rPr>
                <w:rFonts w:hint="eastAsia" w:ascii="黑体" w:hAnsi="黑体" w:eastAsia="黑体"/>
                <w:color w:val="000000"/>
              </w:rPr>
              <w:t>名    称</w:t>
            </w:r>
          </w:p>
        </w:tc>
        <w:tc>
          <w:tcPr>
            <w:tcW w:w="2552" w:type="dxa"/>
            <w:noWrap w:val="0"/>
            <w:vAlign w:val="center"/>
          </w:tcPr>
          <w:p>
            <w:pPr>
              <w:jc w:val="center"/>
              <w:rPr>
                <w:rFonts w:hint="eastAsia" w:ascii="黑体" w:hAnsi="黑体" w:eastAsia="黑体"/>
                <w:color w:val="000000"/>
                <w:szCs w:val="21"/>
              </w:rPr>
            </w:pPr>
            <w:r>
              <w:rPr>
                <w:rFonts w:hint="eastAsia" w:ascii="黑体" w:hAnsi="黑体" w:eastAsia="黑体"/>
                <w:color w:val="000000"/>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0"/>
            <w:vAlign w:val="center"/>
          </w:tcPr>
          <w:p>
            <w:pPr>
              <w:jc w:val="center"/>
              <w:rPr>
                <w:rFonts w:hint="eastAsia" w:ascii="仿宋_GB2312" w:eastAsia="仿宋_GB2312"/>
                <w:color w:val="000000"/>
                <w:szCs w:val="21"/>
              </w:rPr>
            </w:pPr>
            <w:r>
              <w:rPr>
                <w:rFonts w:hint="eastAsia" w:ascii="仿宋_GB2312" w:eastAsia="仿宋_GB2312"/>
                <w:color w:val="000000"/>
                <w:szCs w:val="21"/>
              </w:rPr>
              <w:t>1</w:t>
            </w:r>
          </w:p>
        </w:tc>
        <w:tc>
          <w:tcPr>
            <w:tcW w:w="6157" w:type="dxa"/>
            <w:noWrap w:val="0"/>
            <w:vAlign w:val="center"/>
          </w:tcPr>
          <w:p>
            <w:pPr>
              <w:rPr>
                <w:rFonts w:hint="eastAsia" w:ascii="仿宋_GB2312" w:eastAsia="仿宋_GB2312"/>
                <w:color w:val="000000"/>
              </w:rPr>
            </w:pPr>
            <w:r>
              <w:rPr>
                <w:rFonts w:hint="eastAsia" w:ascii="仿宋_GB2312" w:eastAsia="仿宋_GB2312"/>
                <w:color w:val="000000"/>
              </w:rPr>
              <w:t>营业执照</w:t>
            </w:r>
          </w:p>
        </w:tc>
        <w:tc>
          <w:tcPr>
            <w:tcW w:w="2552"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0"/>
            <w:vAlign w:val="center"/>
          </w:tcPr>
          <w:p>
            <w:pPr>
              <w:jc w:val="center"/>
              <w:rPr>
                <w:rFonts w:hint="eastAsia" w:ascii="仿宋_GB2312" w:eastAsia="仿宋_GB2312"/>
                <w:color w:val="000000"/>
                <w:szCs w:val="21"/>
              </w:rPr>
            </w:pPr>
            <w:r>
              <w:rPr>
                <w:rFonts w:hint="eastAsia" w:ascii="仿宋_GB2312" w:eastAsia="仿宋_GB2312"/>
                <w:color w:val="000000"/>
                <w:szCs w:val="21"/>
              </w:rPr>
              <w:t>2</w:t>
            </w:r>
          </w:p>
        </w:tc>
        <w:tc>
          <w:tcPr>
            <w:tcW w:w="6157" w:type="dxa"/>
            <w:noWrap w:val="0"/>
            <w:vAlign w:val="center"/>
          </w:tcPr>
          <w:p>
            <w:pPr>
              <w:rPr>
                <w:rFonts w:hint="eastAsia" w:ascii="仿宋_GB2312" w:eastAsia="仿宋_GB2312"/>
                <w:color w:val="000000"/>
              </w:rPr>
            </w:pPr>
            <w:r>
              <w:rPr>
                <w:rFonts w:hint="eastAsia" w:ascii="仿宋_GB2312" w:eastAsia="仿宋_GB2312"/>
                <w:color w:val="000000"/>
              </w:rPr>
              <w:t>安全生产许可证</w:t>
            </w:r>
          </w:p>
        </w:tc>
        <w:tc>
          <w:tcPr>
            <w:tcW w:w="2552"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0"/>
            <w:vAlign w:val="center"/>
          </w:tcPr>
          <w:p>
            <w:pPr>
              <w:jc w:val="center"/>
              <w:rPr>
                <w:rFonts w:hint="eastAsia" w:ascii="仿宋_GB2312" w:eastAsia="仿宋_GB2312"/>
                <w:color w:val="000000"/>
                <w:szCs w:val="21"/>
              </w:rPr>
            </w:pPr>
            <w:r>
              <w:rPr>
                <w:rFonts w:hint="eastAsia" w:ascii="仿宋_GB2312" w:eastAsia="仿宋_GB2312"/>
                <w:color w:val="000000"/>
                <w:szCs w:val="21"/>
              </w:rPr>
              <w:t>3</w:t>
            </w:r>
          </w:p>
        </w:tc>
        <w:tc>
          <w:tcPr>
            <w:tcW w:w="6157" w:type="dxa"/>
            <w:noWrap w:val="0"/>
            <w:vAlign w:val="center"/>
          </w:tcPr>
          <w:p>
            <w:pPr>
              <w:rPr>
                <w:rFonts w:hint="eastAsia" w:ascii="仿宋_GB2312" w:eastAsia="仿宋_GB2312"/>
                <w:color w:val="000000"/>
              </w:rPr>
            </w:pPr>
            <w:r>
              <w:rPr>
                <w:rFonts w:hint="eastAsia" w:ascii="仿宋_GB2312" w:eastAsia="仿宋_GB2312"/>
                <w:color w:val="000000"/>
              </w:rPr>
              <w:t>资质证书</w:t>
            </w:r>
          </w:p>
        </w:tc>
        <w:tc>
          <w:tcPr>
            <w:tcW w:w="2552"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0"/>
            <w:vAlign w:val="center"/>
          </w:tcPr>
          <w:p>
            <w:pPr>
              <w:jc w:val="center"/>
              <w:rPr>
                <w:rFonts w:hint="eastAsia" w:ascii="仿宋_GB2312" w:eastAsia="仿宋_GB2312"/>
                <w:color w:val="000000"/>
                <w:szCs w:val="21"/>
              </w:rPr>
            </w:pPr>
            <w:r>
              <w:rPr>
                <w:rFonts w:hint="eastAsia" w:ascii="仿宋_GB2312" w:eastAsia="仿宋_GB2312"/>
                <w:color w:val="000000"/>
                <w:szCs w:val="21"/>
              </w:rPr>
              <w:t>4</w:t>
            </w:r>
          </w:p>
        </w:tc>
        <w:tc>
          <w:tcPr>
            <w:tcW w:w="6157" w:type="dxa"/>
            <w:noWrap w:val="0"/>
            <w:vAlign w:val="center"/>
          </w:tcPr>
          <w:p>
            <w:pPr>
              <w:rPr>
                <w:rFonts w:hint="eastAsia" w:ascii="仿宋_GB2312" w:eastAsia="仿宋_GB2312"/>
                <w:color w:val="000000"/>
              </w:rPr>
            </w:pPr>
            <w:r>
              <w:rPr>
                <w:rFonts w:hint="eastAsia" w:ascii="仿宋_GB2312" w:eastAsia="仿宋_GB2312"/>
                <w:color w:val="000000"/>
              </w:rPr>
              <w:t>近年经审计的财务会计报表</w:t>
            </w:r>
          </w:p>
        </w:tc>
        <w:tc>
          <w:tcPr>
            <w:tcW w:w="2552" w:type="dxa"/>
            <w:noWrap w:val="0"/>
            <w:vAlign w:val="center"/>
          </w:tcPr>
          <w:p>
            <w:pPr>
              <w:jc w:val="center"/>
              <w:rPr>
                <w:rFonts w:hint="eastAsia" w:ascii="仿宋_GB2312" w:eastAsia="仿宋_GB2312"/>
                <w:color w:val="000000"/>
                <w:szCs w:val="21"/>
              </w:rPr>
            </w:pPr>
            <w:r>
              <w:rPr>
                <w:rFonts w:hint="eastAsia" w:ascii="仿宋_GB2312" w:eastAsia="仿宋_GB2312"/>
                <w:color w:val="000000"/>
              </w:rPr>
              <w:t>财务会计报表</w:t>
            </w:r>
            <w:r>
              <w:rPr>
                <w:rFonts w:hint="eastAsia" w:ascii="仿宋_GB2312" w:eastAsia="仿宋_GB2312"/>
                <w:color w:val="000000"/>
                <w:szCs w:val="21"/>
              </w:rPr>
              <w:t>年度要求见投标人须知前附表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5" w:hRule="atLeast"/>
          <w:jc w:val="center"/>
        </w:trPr>
        <w:tc>
          <w:tcPr>
            <w:tcW w:w="715" w:type="dxa"/>
            <w:noWrap w:val="0"/>
            <w:vAlign w:val="center"/>
          </w:tcPr>
          <w:p>
            <w:pPr>
              <w:jc w:val="center"/>
              <w:rPr>
                <w:rFonts w:hint="eastAsia" w:ascii="仿宋_GB2312" w:eastAsia="仿宋_GB2312"/>
                <w:color w:val="000000"/>
                <w:szCs w:val="21"/>
              </w:rPr>
            </w:pPr>
            <w:r>
              <w:rPr>
                <w:rFonts w:hint="eastAsia" w:ascii="仿宋_GB2312" w:eastAsia="仿宋_GB2312"/>
                <w:color w:val="000000"/>
                <w:szCs w:val="21"/>
              </w:rPr>
              <w:t>5</w:t>
            </w:r>
          </w:p>
        </w:tc>
        <w:tc>
          <w:tcPr>
            <w:tcW w:w="6157" w:type="dxa"/>
            <w:noWrap w:val="0"/>
            <w:vAlign w:val="center"/>
          </w:tcPr>
          <w:p>
            <w:pPr>
              <w:rPr>
                <w:rFonts w:hint="eastAsia" w:ascii="仿宋_GB2312" w:eastAsia="仿宋_GB2312"/>
                <w:color w:val="000000"/>
              </w:rPr>
            </w:pPr>
            <w:r>
              <w:rPr>
                <w:rFonts w:hint="eastAsia" w:ascii="仿宋_GB2312" w:eastAsia="仿宋_GB2312"/>
                <w:color w:val="000000"/>
              </w:rPr>
              <w:t>近年已成功完成的类似项目业绩（附中标通知书、合同协议书、合同</w:t>
            </w:r>
            <w:r>
              <w:rPr>
                <w:rFonts w:hint="eastAsia" w:ascii="仿宋_GB2312" w:eastAsia="仿宋_GB2312"/>
                <w:color w:val="000000"/>
                <w:szCs w:val="21"/>
              </w:rPr>
              <w:t>工程</w:t>
            </w:r>
            <w:r>
              <w:rPr>
                <w:rFonts w:hint="eastAsia" w:ascii="仿宋_GB2312" w:eastAsia="仿宋_GB2312"/>
                <w:color w:val="000000"/>
              </w:rPr>
              <w:t>竣工或完工</w:t>
            </w:r>
            <w:r>
              <w:rPr>
                <w:rFonts w:hint="eastAsia" w:ascii="仿宋_GB2312" w:eastAsia="仿宋_GB2312"/>
                <w:color w:val="000000"/>
                <w:szCs w:val="21"/>
              </w:rPr>
              <w:t>验收文件（由建设单位、施工单位、监理单位、设计单位盖章认可）</w:t>
            </w:r>
            <w:r>
              <w:rPr>
                <w:rFonts w:hint="eastAsia" w:ascii="仿宋_GB2312" w:eastAsia="仿宋_GB2312"/>
                <w:color w:val="000000"/>
              </w:rPr>
              <w:t>，类似项目必须在“全国建筑市场监管公共服务平台”或“湖南省智慧住建云”或“水利部水利建设市场监管平台”或“湖南省水利建设市场综合监管系统”中可查询。）</w:t>
            </w:r>
          </w:p>
        </w:tc>
        <w:tc>
          <w:tcPr>
            <w:tcW w:w="2552" w:type="dxa"/>
            <w:noWrap w:val="0"/>
            <w:vAlign w:val="center"/>
          </w:tcPr>
          <w:p>
            <w:pPr>
              <w:jc w:val="center"/>
              <w:rPr>
                <w:rFonts w:hint="eastAsia" w:ascii="仿宋_GB2312" w:eastAsia="仿宋_GB2312"/>
                <w:color w:val="000000"/>
                <w:szCs w:val="21"/>
              </w:rPr>
            </w:pPr>
            <w:r>
              <w:rPr>
                <w:rFonts w:hint="eastAsia" w:ascii="仿宋_GB2312" w:eastAsia="仿宋_GB2312"/>
                <w:color w:val="000000"/>
                <w:szCs w:val="21"/>
              </w:rPr>
              <w:t>类似项目业绩年度要求见投标人须知前附表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715" w:type="dxa"/>
            <w:noWrap w:val="0"/>
            <w:vAlign w:val="center"/>
          </w:tcPr>
          <w:p>
            <w:pPr>
              <w:jc w:val="center"/>
              <w:rPr>
                <w:rFonts w:hint="eastAsia" w:ascii="仿宋_GB2312" w:eastAsia="仿宋_GB2312"/>
                <w:color w:val="000000"/>
                <w:szCs w:val="21"/>
              </w:rPr>
            </w:pPr>
            <w:r>
              <w:rPr>
                <w:rFonts w:hint="eastAsia" w:ascii="仿宋_GB2312" w:eastAsia="仿宋_GB2312"/>
                <w:color w:val="000000"/>
                <w:szCs w:val="21"/>
              </w:rPr>
              <w:t>6</w:t>
            </w:r>
          </w:p>
        </w:tc>
        <w:tc>
          <w:tcPr>
            <w:tcW w:w="6157" w:type="dxa"/>
            <w:noWrap w:val="0"/>
            <w:vAlign w:val="center"/>
          </w:tcPr>
          <w:p>
            <w:pPr>
              <w:rPr>
                <w:rFonts w:hint="eastAsia" w:ascii="仿宋_GB2312" w:eastAsia="仿宋_GB2312"/>
                <w:color w:val="000000"/>
              </w:rPr>
            </w:pPr>
            <w:r>
              <w:rPr>
                <w:rFonts w:hint="eastAsia" w:ascii="仿宋_GB2312" w:eastAsia="仿宋_GB2312"/>
                <w:color w:val="000000"/>
              </w:rPr>
              <w:t>“全国建筑市场监管公共服务平台”和“湖南省智慧住建云”信用得分或</w:t>
            </w:r>
            <w:r>
              <w:rPr>
                <w:rFonts w:ascii="仿宋_GB2312" w:eastAsia="仿宋_GB2312"/>
                <w:color w:val="000000"/>
              </w:rPr>
              <w:t>“</w:t>
            </w:r>
            <w:r>
              <w:rPr>
                <w:rFonts w:hint="eastAsia" w:ascii="仿宋_GB2312" w:eastAsia="仿宋_GB2312"/>
                <w:color w:val="000000"/>
              </w:rPr>
              <w:t>水利部水利建设市场监管平台</w:t>
            </w:r>
            <w:r>
              <w:rPr>
                <w:rFonts w:ascii="仿宋_GB2312" w:eastAsia="仿宋_GB2312"/>
                <w:color w:val="000000"/>
              </w:rPr>
              <w:t>”</w:t>
            </w:r>
            <w:r>
              <w:rPr>
                <w:rFonts w:hint="eastAsia" w:ascii="仿宋_GB2312" w:eastAsia="仿宋_GB2312"/>
                <w:color w:val="000000"/>
              </w:rPr>
              <w:t>和</w:t>
            </w:r>
            <w:r>
              <w:rPr>
                <w:rFonts w:ascii="仿宋_GB2312" w:eastAsia="仿宋_GB2312"/>
                <w:color w:val="000000"/>
              </w:rPr>
              <w:t>“</w:t>
            </w:r>
            <w:r>
              <w:rPr>
                <w:rFonts w:hint="eastAsia" w:ascii="仿宋_GB2312" w:eastAsia="仿宋_GB2312"/>
                <w:color w:val="000000"/>
              </w:rPr>
              <w:t>湖南省水利建设市场综合监管系统”水利建设市场主体信用评价证书截图（如有）</w:t>
            </w:r>
          </w:p>
        </w:tc>
        <w:tc>
          <w:tcPr>
            <w:tcW w:w="2552"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2" w:hRule="atLeast"/>
          <w:jc w:val="center"/>
        </w:trPr>
        <w:tc>
          <w:tcPr>
            <w:tcW w:w="715" w:type="dxa"/>
            <w:noWrap w:val="0"/>
            <w:vAlign w:val="center"/>
          </w:tcPr>
          <w:p>
            <w:pPr>
              <w:jc w:val="center"/>
              <w:rPr>
                <w:rFonts w:hint="eastAsia" w:ascii="仿宋_GB2312" w:eastAsia="仿宋_GB2312"/>
                <w:color w:val="000000"/>
                <w:szCs w:val="21"/>
              </w:rPr>
            </w:pPr>
            <w:r>
              <w:rPr>
                <w:rFonts w:hint="eastAsia" w:ascii="仿宋_GB2312" w:eastAsia="仿宋_GB2312"/>
                <w:color w:val="000000"/>
                <w:szCs w:val="21"/>
              </w:rPr>
              <w:t>7</w:t>
            </w:r>
          </w:p>
        </w:tc>
        <w:tc>
          <w:tcPr>
            <w:tcW w:w="6157" w:type="dxa"/>
            <w:noWrap w:val="0"/>
            <w:vAlign w:val="center"/>
          </w:tcPr>
          <w:p>
            <w:pPr>
              <w:rPr>
                <w:rFonts w:hint="eastAsia" w:ascii="仿宋_GB2312" w:eastAsia="仿宋_GB2312"/>
                <w:color w:val="000000"/>
              </w:rPr>
            </w:pPr>
            <w:r>
              <w:rPr>
                <w:rFonts w:hint="eastAsia" w:ascii="仿宋_GB2312" w:eastAsia="仿宋_GB2312"/>
                <w:color w:val="000000"/>
              </w:rPr>
              <w:t>拟任项目负责人注册建造师证、第二代身份证、职称证、毕业证、类似经验业绩属实证明材料的原件扫描件并在</w:t>
            </w:r>
            <w:r>
              <w:rPr>
                <w:rFonts w:ascii="仿宋_GB2312" w:eastAsia="仿宋_GB2312"/>
                <w:color w:val="000000"/>
              </w:rPr>
              <w:t>“全国建筑市场监管公共服务平台”</w:t>
            </w:r>
            <w:r>
              <w:rPr>
                <w:rFonts w:hint="eastAsia" w:ascii="仿宋_GB2312" w:eastAsia="仿宋_GB2312"/>
                <w:color w:val="000000"/>
              </w:rPr>
              <w:t>截图</w:t>
            </w:r>
            <w:r>
              <w:rPr>
                <w:rFonts w:ascii="仿宋_GB2312" w:eastAsia="仿宋_GB2312"/>
                <w:color w:val="000000"/>
              </w:rPr>
              <w:t>或在“湖南省智慧住建云”</w:t>
            </w:r>
            <w:r>
              <w:rPr>
                <w:rFonts w:hint="eastAsia" w:ascii="仿宋_GB2312" w:eastAsia="仿宋_GB2312"/>
                <w:color w:val="000000"/>
              </w:rPr>
              <w:t>或</w:t>
            </w:r>
            <w:r>
              <w:rPr>
                <w:rFonts w:ascii="仿宋_GB2312" w:eastAsia="仿宋_GB2312"/>
                <w:color w:val="000000"/>
              </w:rPr>
              <w:t>“</w:t>
            </w:r>
            <w:r>
              <w:rPr>
                <w:rFonts w:hint="eastAsia" w:ascii="仿宋_GB2312" w:eastAsia="仿宋_GB2312"/>
                <w:color w:val="000000"/>
              </w:rPr>
              <w:t>水利部水利建设市场监管平台</w:t>
            </w:r>
            <w:r>
              <w:rPr>
                <w:rFonts w:ascii="仿宋_GB2312" w:eastAsia="仿宋_GB2312"/>
                <w:color w:val="000000"/>
              </w:rPr>
              <w:t>”</w:t>
            </w:r>
            <w:r>
              <w:rPr>
                <w:rFonts w:hint="eastAsia" w:ascii="仿宋_GB2312" w:eastAsia="仿宋_GB2312"/>
                <w:color w:val="000000"/>
              </w:rPr>
              <w:t>或</w:t>
            </w:r>
            <w:r>
              <w:rPr>
                <w:rFonts w:ascii="仿宋_GB2312" w:eastAsia="仿宋_GB2312"/>
                <w:color w:val="000000"/>
              </w:rPr>
              <w:t>“</w:t>
            </w:r>
            <w:r>
              <w:rPr>
                <w:rFonts w:hint="eastAsia" w:ascii="仿宋_GB2312" w:eastAsia="仿宋_GB2312"/>
                <w:color w:val="000000"/>
              </w:rPr>
              <w:t>湖南省水利建设市场综合监管系统</w:t>
            </w:r>
            <w:r>
              <w:rPr>
                <w:rFonts w:ascii="仿宋_GB2312" w:eastAsia="仿宋_GB2312"/>
                <w:color w:val="000000"/>
              </w:rPr>
              <w:t>”</w:t>
            </w:r>
            <w:r>
              <w:rPr>
                <w:rFonts w:hint="eastAsia" w:ascii="仿宋_GB2312" w:eastAsia="仿宋_GB2312"/>
                <w:color w:val="000000"/>
              </w:rPr>
              <w:t>的网页截图（如有）、社会保险证明、安全生产考核合格证书</w:t>
            </w:r>
          </w:p>
        </w:tc>
        <w:tc>
          <w:tcPr>
            <w:tcW w:w="2552"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0"/>
            <w:vAlign w:val="center"/>
          </w:tcPr>
          <w:p>
            <w:pPr>
              <w:jc w:val="center"/>
              <w:rPr>
                <w:rFonts w:hint="eastAsia" w:ascii="仿宋_GB2312" w:eastAsia="仿宋_GB2312"/>
                <w:color w:val="000000"/>
                <w:szCs w:val="21"/>
              </w:rPr>
            </w:pPr>
            <w:r>
              <w:rPr>
                <w:rFonts w:hint="eastAsia" w:ascii="仿宋_GB2312" w:eastAsia="仿宋_GB2312"/>
                <w:color w:val="000000"/>
                <w:szCs w:val="21"/>
              </w:rPr>
              <w:t>8</w:t>
            </w:r>
          </w:p>
        </w:tc>
        <w:tc>
          <w:tcPr>
            <w:tcW w:w="6157" w:type="dxa"/>
            <w:noWrap w:val="0"/>
            <w:vAlign w:val="center"/>
          </w:tcPr>
          <w:p>
            <w:pPr>
              <w:rPr>
                <w:rFonts w:hint="eastAsia" w:ascii="仿宋_GB2312" w:eastAsia="仿宋_GB2312"/>
                <w:color w:val="000000"/>
              </w:rPr>
            </w:pPr>
            <w:r>
              <w:rPr>
                <w:rFonts w:hint="eastAsia" w:ascii="仿宋_GB2312" w:eastAsia="仿宋_GB2312"/>
                <w:color w:val="000000"/>
              </w:rPr>
              <w:t>企业主要负责人安全生产考核合格证书</w:t>
            </w:r>
          </w:p>
        </w:tc>
        <w:tc>
          <w:tcPr>
            <w:tcW w:w="2552"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0"/>
            <w:vAlign w:val="center"/>
          </w:tcPr>
          <w:p>
            <w:pPr>
              <w:jc w:val="center"/>
              <w:rPr>
                <w:rFonts w:hint="eastAsia" w:ascii="仿宋_GB2312" w:eastAsia="仿宋_GB2312"/>
                <w:color w:val="000000"/>
                <w:szCs w:val="21"/>
              </w:rPr>
            </w:pPr>
            <w:r>
              <w:rPr>
                <w:rFonts w:hint="eastAsia" w:ascii="仿宋_GB2312" w:eastAsia="仿宋_GB2312"/>
                <w:color w:val="000000"/>
                <w:szCs w:val="21"/>
              </w:rPr>
              <w:t>9</w:t>
            </w:r>
          </w:p>
        </w:tc>
        <w:tc>
          <w:tcPr>
            <w:tcW w:w="6157" w:type="dxa"/>
            <w:noWrap w:val="0"/>
            <w:vAlign w:val="center"/>
          </w:tcPr>
          <w:p>
            <w:pPr>
              <w:rPr>
                <w:rFonts w:hint="eastAsia" w:ascii="仿宋_GB2312" w:eastAsia="仿宋_GB2312"/>
                <w:color w:val="000000"/>
              </w:rPr>
            </w:pPr>
            <w:r>
              <w:rPr>
                <w:rFonts w:hint="eastAsia" w:ascii="仿宋_GB2312" w:eastAsia="仿宋_GB2312"/>
                <w:color w:val="000000"/>
              </w:rPr>
              <w:t>拟任技术负责人第二代身份证、职称证、毕业证、类似经验业绩属实证明材料的原件扫描件并</w:t>
            </w:r>
            <w:r>
              <w:rPr>
                <w:rFonts w:ascii="仿宋_GB2312" w:eastAsia="仿宋_GB2312"/>
                <w:color w:val="000000"/>
              </w:rPr>
              <w:t>在“全国建筑市场监管公共服务平台”</w:t>
            </w:r>
            <w:r>
              <w:rPr>
                <w:rFonts w:hint="eastAsia" w:ascii="仿宋_GB2312" w:eastAsia="仿宋_GB2312"/>
                <w:color w:val="000000"/>
              </w:rPr>
              <w:t>或</w:t>
            </w:r>
            <w:r>
              <w:rPr>
                <w:rFonts w:ascii="仿宋_GB2312" w:eastAsia="仿宋_GB2312"/>
                <w:color w:val="000000"/>
              </w:rPr>
              <w:t>“湖南省智慧住建云”</w:t>
            </w:r>
            <w:r>
              <w:rPr>
                <w:rFonts w:hint="eastAsia" w:ascii="仿宋_GB2312" w:eastAsia="仿宋_GB2312"/>
                <w:color w:val="000000"/>
              </w:rPr>
              <w:t>网页截图或</w:t>
            </w:r>
            <w:r>
              <w:rPr>
                <w:rFonts w:ascii="仿宋_GB2312" w:eastAsia="仿宋_GB2312"/>
                <w:color w:val="000000"/>
              </w:rPr>
              <w:t>“</w:t>
            </w:r>
            <w:r>
              <w:rPr>
                <w:rFonts w:hint="eastAsia" w:ascii="仿宋_GB2312" w:eastAsia="仿宋_GB2312"/>
                <w:color w:val="000000"/>
              </w:rPr>
              <w:t>水利部水利建设市场监管平台</w:t>
            </w:r>
            <w:r>
              <w:rPr>
                <w:rFonts w:ascii="仿宋_GB2312" w:eastAsia="仿宋_GB2312"/>
                <w:color w:val="000000"/>
              </w:rPr>
              <w:t>”</w:t>
            </w:r>
            <w:r>
              <w:rPr>
                <w:rFonts w:hint="eastAsia" w:ascii="仿宋_GB2312" w:eastAsia="仿宋_GB2312"/>
                <w:color w:val="000000"/>
              </w:rPr>
              <w:t>或</w:t>
            </w:r>
            <w:r>
              <w:rPr>
                <w:rFonts w:ascii="仿宋_GB2312" w:eastAsia="仿宋_GB2312"/>
                <w:color w:val="000000"/>
              </w:rPr>
              <w:t>“</w:t>
            </w:r>
            <w:r>
              <w:rPr>
                <w:rFonts w:hint="eastAsia" w:ascii="仿宋_GB2312" w:eastAsia="仿宋_GB2312"/>
                <w:color w:val="000000"/>
              </w:rPr>
              <w:t>湖南省水利建设市场综合监管系统</w:t>
            </w:r>
            <w:r>
              <w:rPr>
                <w:rFonts w:ascii="仿宋_GB2312" w:eastAsia="仿宋_GB2312"/>
                <w:color w:val="000000"/>
              </w:rPr>
              <w:t>”</w:t>
            </w:r>
            <w:r>
              <w:rPr>
                <w:rFonts w:hint="eastAsia" w:ascii="仿宋_GB2312" w:eastAsia="仿宋_GB2312"/>
                <w:color w:val="000000"/>
              </w:rPr>
              <w:t>网页截图（如有）、社会保险证明</w:t>
            </w:r>
          </w:p>
        </w:tc>
        <w:tc>
          <w:tcPr>
            <w:tcW w:w="2552"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0"/>
            <w:vAlign w:val="center"/>
          </w:tcPr>
          <w:p>
            <w:pPr>
              <w:jc w:val="center"/>
              <w:rPr>
                <w:rFonts w:hint="eastAsia" w:ascii="仿宋_GB2312" w:eastAsia="仿宋_GB2312"/>
                <w:color w:val="000000"/>
                <w:szCs w:val="21"/>
              </w:rPr>
            </w:pPr>
            <w:r>
              <w:rPr>
                <w:rFonts w:hint="eastAsia" w:ascii="仿宋_GB2312" w:eastAsia="仿宋_GB2312"/>
                <w:color w:val="000000"/>
                <w:szCs w:val="21"/>
              </w:rPr>
              <w:t>10</w:t>
            </w:r>
          </w:p>
        </w:tc>
        <w:tc>
          <w:tcPr>
            <w:tcW w:w="6157" w:type="dxa"/>
            <w:noWrap w:val="0"/>
            <w:vAlign w:val="center"/>
          </w:tcPr>
          <w:p>
            <w:pPr>
              <w:rPr>
                <w:rFonts w:hint="eastAsia" w:ascii="仿宋_GB2312" w:eastAsia="仿宋_GB2312"/>
                <w:color w:val="000000"/>
              </w:rPr>
            </w:pPr>
            <w:r>
              <w:rPr>
                <w:rFonts w:hint="eastAsia" w:ascii="仿宋_GB2312" w:eastAsia="仿宋_GB2312"/>
                <w:color w:val="000000"/>
              </w:rPr>
              <w:t>拟任专职安全员第二代身份证、</w:t>
            </w:r>
            <w:r>
              <w:rPr>
                <w:rFonts w:hint="eastAsia" w:ascii="仿宋_GB2312" w:eastAsia="仿宋_GB2312"/>
                <w:color w:val="000000"/>
                <w:szCs w:val="21"/>
              </w:rPr>
              <w:t>毕业证</w:t>
            </w:r>
            <w:r>
              <w:rPr>
                <w:rFonts w:hint="eastAsia" w:ascii="仿宋_GB2312" w:eastAsia="仿宋_GB2312"/>
                <w:color w:val="000000"/>
              </w:rPr>
              <w:t>、社会保险证明、安全生产考核合格证书</w:t>
            </w:r>
          </w:p>
        </w:tc>
        <w:tc>
          <w:tcPr>
            <w:tcW w:w="2552"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0"/>
            <w:vAlign w:val="center"/>
          </w:tcPr>
          <w:p>
            <w:pPr>
              <w:jc w:val="center"/>
              <w:rPr>
                <w:rFonts w:hint="eastAsia" w:ascii="仿宋_GB2312" w:eastAsia="仿宋_GB2312"/>
                <w:color w:val="000000"/>
                <w:szCs w:val="21"/>
              </w:rPr>
            </w:pPr>
            <w:r>
              <w:rPr>
                <w:rFonts w:hint="eastAsia" w:ascii="仿宋_GB2312" w:eastAsia="仿宋_GB2312"/>
                <w:color w:val="000000"/>
                <w:szCs w:val="21"/>
              </w:rPr>
              <w:t>11</w:t>
            </w:r>
          </w:p>
        </w:tc>
        <w:tc>
          <w:tcPr>
            <w:tcW w:w="6157" w:type="dxa"/>
            <w:noWrap w:val="0"/>
            <w:vAlign w:val="center"/>
          </w:tcPr>
          <w:p>
            <w:pPr>
              <w:rPr>
                <w:rFonts w:hint="eastAsia" w:ascii="仿宋_GB2312" w:eastAsia="仿宋_GB2312"/>
                <w:color w:val="000000"/>
              </w:rPr>
            </w:pPr>
            <w:r>
              <w:rPr>
                <w:rFonts w:hint="eastAsia" w:ascii="仿宋_GB2312" w:eastAsia="仿宋_GB2312"/>
                <w:color w:val="000000"/>
              </w:rPr>
              <w:t>拟任质量员、材料员、施工员、预算员或资料员的第二代身份证、</w:t>
            </w:r>
            <w:r>
              <w:rPr>
                <w:rFonts w:hint="eastAsia" w:ascii="仿宋_GB2312" w:eastAsia="仿宋_GB2312"/>
                <w:color w:val="000000"/>
                <w:szCs w:val="21"/>
              </w:rPr>
              <w:t>毕业证</w:t>
            </w:r>
            <w:r>
              <w:rPr>
                <w:rFonts w:hint="eastAsia" w:ascii="仿宋_GB2312" w:eastAsia="仿宋_GB2312"/>
                <w:color w:val="000000"/>
              </w:rPr>
              <w:t>、岗位证、社会保险证明</w:t>
            </w:r>
          </w:p>
        </w:tc>
        <w:tc>
          <w:tcPr>
            <w:tcW w:w="2552"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0"/>
            <w:vAlign w:val="center"/>
          </w:tcPr>
          <w:p>
            <w:pPr>
              <w:jc w:val="center"/>
              <w:rPr>
                <w:rFonts w:hint="eastAsia" w:ascii="仿宋_GB2312" w:eastAsia="仿宋_GB2312"/>
                <w:color w:val="000000"/>
                <w:szCs w:val="21"/>
              </w:rPr>
            </w:pPr>
            <w:r>
              <w:rPr>
                <w:rFonts w:hint="eastAsia" w:ascii="仿宋_GB2312" w:eastAsia="仿宋_GB2312"/>
                <w:color w:val="000000"/>
                <w:szCs w:val="21"/>
              </w:rPr>
              <w:t>12</w:t>
            </w:r>
          </w:p>
        </w:tc>
        <w:tc>
          <w:tcPr>
            <w:tcW w:w="6157" w:type="dxa"/>
            <w:noWrap w:val="0"/>
            <w:vAlign w:val="center"/>
          </w:tcPr>
          <w:p>
            <w:pPr>
              <w:rPr>
                <w:rFonts w:hint="eastAsia" w:ascii="仿宋_GB2312" w:eastAsia="仿宋_GB2312"/>
                <w:color w:val="000000"/>
              </w:rPr>
            </w:pPr>
            <w:r>
              <w:rPr>
                <w:rFonts w:hint="eastAsia" w:ascii="仿宋_GB2312" w:eastAsia="仿宋_GB2312"/>
                <w:color w:val="000000"/>
              </w:rPr>
              <w:t>拟任财务负责人、劳资专管员（单位出具任命书）第二代身份证（单位任命书）、社会保险证明</w:t>
            </w:r>
          </w:p>
        </w:tc>
        <w:tc>
          <w:tcPr>
            <w:tcW w:w="2552"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0"/>
            <w:vAlign w:val="center"/>
          </w:tcPr>
          <w:p>
            <w:pPr>
              <w:jc w:val="center"/>
              <w:rPr>
                <w:rFonts w:hint="eastAsia" w:ascii="仿宋_GB2312" w:eastAsia="仿宋_GB2312"/>
                <w:color w:val="000000"/>
                <w:szCs w:val="21"/>
              </w:rPr>
            </w:pPr>
            <w:r>
              <w:rPr>
                <w:rFonts w:hint="eastAsia" w:ascii="仿宋_GB2312" w:eastAsia="仿宋_GB2312"/>
                <w:color w:val="000000"/>
                <w:szCs w:val="21"/>
              </w:rPr>
              <w:t>13</w:t>
            </w:r>
          </w:p>
        </w:tc>
        <w:tc>
          <w:tcPr>
            <w:tcW w:w="6157" w:type="dxa"/>
            <w:noWrap w:val="0"/>
            <w:vAlign w:val="center"/>
          </w:tcPr>
          <w:p>
            <w:pPr>
              <w:rPr>
                <w:rFonts w:hint="eastAsia" w:ascii="仿宋_GB2312" w:eastAsia="仿宋_GB2312"/>
                <w:color w:val="000000"/>
              </w:rPr>
            </w:pPr>
            <w:r>
              <w:rPr>
                <w:rFonts w:hint="eastAsia" w:ascii="仿宋_GB2312" w:eastAsia="仿宋_GB2312"/>
                <w:color w:val="000000"/>
              </w:rPr>
              <w:t>法律文书</w:t>
            </w:r>
          </w:p>
        </w:tc>
        <w:tc>
          <w:tcPr>
            <w:tcW w:w="2552"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0"/>
            <w:vAlign w:val="center"/>
          </w:tcPr>
          <w:p>
            <w:pPr>
              <w:jc w:val="center"/>
              <w:rPr>
                <w:rFonts w:hint="eastAsia" w:ascii="仿宋_GB2312" w:eastAsia="仿宋_GB2312"/>
                <w:color w:val="000000"/>
                <w:szCs w:val="21"/>
              </w:rPr>
            </w:pPr>
            <w:r>
              <w:rPr>
                <w:rFonts w:hint="eastAsia" w:ascii="仿宋_GB2312" w:eastAsia="仿宋_GB2312"/>
                <w:color w:val="000000"/>
                <w:szCs w:val="21"/>
              </w:rPr>
              <w:t>14</w:t>
            </w:r>
          </w:p>
        </w:tc>
        <w:tc>
          <w:tcPr>
            <w:tcW w:w="6157" w:type="dxa"/>
            <w:noWrap w:val="0"/>
            <w:vAlign w:val="center"/>
          </w:tcPr>
          <w:p>
            <w:pPr>
              <w:rPr>
                <w:rFonts w:hint="eastAsia" w:ascii="仿宋_GB2312" w:eastAsia="仿宋_GB2312"/>
                <w:color w:val="000000"/>
              </w:rPr>
            </w:pPr>
            <w:r>
              <w:rPr>
                <w:rFonts w:hint="eastAsia" w:ascii="仿宋_GB2312" w:eastAsia="仿宋_GB2312"/>
                <w:color w:val="000000"/>
              </w:rPr>
              <w:t>正在施工的和新承接的项目（中标通知书、合同协议书）</w:t>
            </w:r>
          </w:p>
        </w:tc>
        <w:tc>
          <w:tcPr>
            <w:tcW w:w="2552"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0"/>
            <w:vAlign w:val="center"/>
          </w:tcPr>
          <w:p>
            <w:pPr>
              <w:jc w:val="center"/>
              <w:rPr>
                <w:rFonts w:hint="eastAsia" w:ascii="仿宋_GB2312" w:eastAsia="仿宋_GB2312"/>
                <w:color w:val="000000"/>
                <w:szCs w:val="21"/>
              </w:rPr>
            </w:pPr>
            <w:r>
              <w:rPr>
                <w:rFonts w:hint="eastAsia" w:ascii="仿宋_GB2312" w:eastAsia="仿宋_GB2312"/>
                <w:color w:val="000000"/>
                <w:szCs w:val="21"/>
              </w:rPr>
              <w:t>15</w:t>
            </w:r>
          </w:p>
        </w:tc>
        <w:tc>
          <w:tcPr>
            <w:tcW w:w="6157" w:type="dxa"/>
            <w:noWrap w:val="0"/>
            <w:vAlign w:val="center"/>
          </w:tcPr>
          <w:p>
            <w:pPr>
              <w:rPr>
                <w:rFonts w:hint="eastAsia" w:ascii="仿宋_GB2312" w:eastAsia="仿宋_GB2312"/>
                <w:color w:val="000000"/>
              </w:rPr>
            </w:pPr>
            <w:r>
              <w:rPr>
                <w:rFonts w:hint="eastAsia" w:ascii="仿宋_GB2312" w:eastAsia="仿宋_GB2312"/>
                <w:color w:val="000000"/>
              </w:rPr>
              <w:t>认证体系证书</w:t>
            </w:r>
          </w:p>
        </w:tc>
        <w:tc>
          <w:tcPr>
            <w:tcW w:w="2552"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0"/>
            <w:vAlign w:val="center"/>
          </w:tcPr>
          <w:p>
            <w:pPr>
              <w:jc w:val="center"/>
              <w:rPr>
                <w:rFonts w:hint="eastAsia" w:ascii="仿宋_GB2312" w:eastAsia="仿宋_GB2312"/>
                <w:color w:val="000000"/>
                <w:szCs w:val="21"/>
              </w:rPr>
            </w:pPr>
            <w:r>
              <w:rPr>
                <w:rFonts w:hint="eastAsia" w:ascii="仿宋_GB2312" w:eastAsia="仿宋_GB2312"/>
                <w:color w:val="000000"/>
                <w:szCs w:val="21"/>
              </w:rPr>
              <w:t>16</w:t>
            </w:r>
          </w:p>
        </w:tc>
        <w:tc>
          <w:tcPr>
            <w:tcW w:w="6157" w:type="dxa"/>
            <w:noWrap w:val="0"/>
            <w:vAlign w:val="center"/>
          </w:tcPr>
          <w:p>
            <w:pPr>
              <w:rPr>
                <w:rFonts w:hint="eastAsia" w:ascii="仿宋_GB2312" w:eastAsia="仿宋_GB2312"/>
                <w:color w:val="000000"/>
              </w:rPr>
            </w:pPr>
            <w:r>
              <w:rPr>
                <w:rFonts w:hint="eastAsia" w:ascii="仿宋_GB2312" w:eastAsia="仿宋_GB2312"/>
                <w:color w:val="000000"/>
              </w:rPr>
              <w:t>投标人、投标人法定代表人、拟任项目负责人近3年行贿受贿犯罪行为查询情况</w:t>
            </w:r>
          </w:p>
        </w:tc>
        <w:tc>
          <w:tcPr>
            <w:tcW w:w="2552"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0"/>
            <w:vAlign w:val="center"/>
          </w:tcPr>
          <w:p>
            <w:pPr>
              <w:jc w:val="center"/>
              <w:rPr>
                <w:rFonts w:hint="eastAsia" w:ascii="仿宋_GB2312" w:eastAsia="仿宋_GB2312"/>
                <w:color w:val="000000"/>
                <w:szCs w:val="21"/>
              </w:rPr>
            </w:pPr>
            <w:r>
              <w:rPr>
                <w:rFonts w:hint="eastAsia" w:ascii="仿宋_GB2312" w:eastAsia="仿宋_GB2312"/>
                <w:color w:val="000000"/>
                <w:szCs w:val="21"/>
              </w:rPr>
              <w:t>17</w:t>
            </w:r>
          </w:p>
        </w:tc>
        <w:tc>
          <w:tcPr>
            <w:tcW w:w="6157" w:type="dxa"/>
            <w:noWrap w:val="0"/>
            <w:vAlign w:val="center"/>
          </w:tcPr>
          <w:p>
            <w:pPr>
              <w:rPr>
                <w:rFonts w:hint="eastAsia" w:ascii="仿宋_GB2312" w:eastAsia="仿宋_GB2312"/>
                <w:color w:val="000000"/>
              </w:rPr>
            </w:pPr>
            <w:r>
              <w:rPr>
                <w:rFonts w:hint="eastAsia" w:ascii="仿宋_GB2312" w:eastAsia="仿宋_GB2312"/>
                <w:color w:val="000000"/>
              </w:rPr>
              <w:t>未列入湖南省农业农村厅、市州级农业农村局、“全国建筑市场监管公共服务平台”或“湖南省智慧住建云”或“水利部水利建设市场监管平台”公示黑名单的网页截图</w:t>
            </w:r>
          </w:p>
        </w:tc>
        <w:tc>
          <w:tcPr>
            <w:tcW w:w="2552"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0"/>
            <w:vAlign w:val="center"/>
          </w:tcPr>
          <w:p>
            <w:pPr>
              <w:jc w:val="center"/>
              <w:rPr>
                <w:rFonts w:hint="eastAsia" w:ascii="仿宋_GB2312" w:eastAsia="仿宋_GB2312"/>
                <w:color w:val="000000"/>
                <w:szCs w:val="21"/>
              </w:rPr>
            </w:pPr>
            <w:r>
              <w:rPr>
                <w:rFonts w:hint="eastAsia" w:ascii="仿宋_GB2312" w:eastAsia="仿宋_GB2312"/>
                <w:color w:val="000000"/>
                <w:szCs w:val="21"/>
              </w:rPr>
              <w:t>18</w:t>
            </w:r>
          </w:p>
        </w:tc>
        <w:tc>
          <w:tcPr>
            <w:tcW w:w="6157" w:type="dxa"/>
            <w:noWrap w:val="0"/>
            <w:vAlign w:val="center"/>
          </w:tcPr>
          <w:p>
            <w:pPr>
              <w:rPr>
                <w:rFonts w:hint="eastAsia" w:ascii="仿宋_GB2312" w:eastAsia="仿宋_GB2312"/>
                <w:color w:val="000000"/>
              </w:rPr>
            </w:pPr>
            <w:r>
              <w:rPr>
                <w:rFonts w:hint="eastAsia" w:ascii="仿宋_GB2312" w:eastAsia="仿宋_GB2312"/>
                <w:color w:val="000000"/>
              </w:rPr>
              <w:t>其它</w:t>
            </w:r>
          </w:p>
        </w:tc>
        <w:tc>
          <w:tcPr>
            <w:tcW w:w="2552" w:type="dxa"/>
            <w:noWrap w:val="0"/>
            <w:vAlign w:val="center"/>
          </w:tcPr>
          <w:p>
            <w:pPr>
              <w:jc w:val="cente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0"/>
            <w:vAlign w:val="center"/>
          </w:tcPr>
          <w:p>
            <w:pPr>
              <w:jc w:val="center"/>
              <w:rPr>
                <w:rFonts w:hint="eastAsia" w:ascii="仿宋_GB2312" w:eastAsia="仿宋_GB2312"/>
                <w:color w:val="000000"/>
                <w:szCs w:val="21"/>
              </w:rPr>
            </w:pPr>
          </w:p>
        </w:tc>
        <w:tc>
          <w:tcPr>
            <w:tcW w:w="6157" w:type="dxa"/>
            <w:noWrap w:val="0"/>
            <w:vAlign w:val="center"/>
          </w:tcPr>
          <w:p>
            <w:pPr>
              <w:rPr>
                <w:rFonts w:hint="eastAsia" w:ascii="仿宋_GB2312" w:eastAsia="仿宋_GB2312"/>
                <w:color w:val="000000"/>
              </w:rPr>
            </w:pPr>
          </w:p>
        </w:tc>
        <w:tc>
          <w:tcPr>
            <w:tcW w:w="2552" w:type="dxa"/>
            <w:noWrap w:val="0"/>
            <w:vAlign w:val="center"/>
          </w:tcPr>
          <w:p>
            <w:pPr>
              <w:rPr>
                <w:rFonts w:hint="eastAsia"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dxa"/>
            <w:noWrap w:val="0"/>
            <w:vAlign w:val="center"/>
          </w:tcPr>
          <w:p>
            <w:pPr>
              <w:jc w:val="center"/>
              <w:rPr>
                <w:rFonts w:hint="eastAsia" w:ascii="仿宋_GB2312" w:eastAsia="仿宋_GB2312"/>
                <w:color w:val="000000"/>
                <w:szCs w:val="21"/>
              </w:rPr>
            </w:pPr>
          </w:p>
        </w:tc>
        <w:tc>
          <w:tcPr>
            <w:tcW w:w="6157" w:type="dxa"/>
            <w:noWrap w:val="0"/>
            <w:vAlign w:val="center"/>
          </w:tcPr>
          <w:p>
            <w:pPr>
              <w:rPr>
                <w:rFonts w:hint="eastAsia" w:ascii="仿宋_GB2312" w:eastAsia="仿宋_GB2312"/>
                <w:color w:val="000000"/>
              </w:rPr>
            </w:pPr>
          </w:p>
        </w:tc>
        <w:tc>
          <w:tcPr>
            <w:tcW w:w="2552" w:type="dxa"/>
            <w:noWrap w:val="0"/>
            <w:vAlign w:val="center"/>
          </w:tcPr>
          <w:p>
            <w:pPr>
              <w:rPr>
                <w:rFonts w:hint="eastAsia" w:ascii="仿宋_GB2312" w:eastAsia="仿宋_GB2312"/>
                <w:color w:val="000000"/>
                <w:szCs w:val="21"/>
              </w:rPr>
            </w:pPr>
          </w:p>
        </w:tc>
      </w:tr>
    </w:tbl>
    <w:p>
      <w:pPr>
        <w:rPr>
          <w:color w:val="000000"/>
        </w:rPr>
      </w:pPr>
      <w:r>
        <w:rPr>
          <w:rFonts w:eastAsia="仿宋"/>
          <w:color w:val="000000"/>
        </w:rPr>
        <w:t>注</w:t>
      </w:r>
      <w:r>
        <w:rPr>
          <w:rFonts w:hint="eastAsia" w:eastAsia="仿宋"/>
          <w:color w:val="000000"/>
        </w:rPr>
        <w:t>：</w:t>
      </w:r>
      <w:r>
        <w:rPr>
          <w:rFonts w:eastAsia="仿宋"/>
          <w:color w:val="000000"/>
        </w:rPr>
        <w:t>上表所列</w:t>
      </w:r>
      <w:r>
        <w:rPr>
          <w:rFonts w:eastAsia="仿宋"/>
          <w:color w:val="000000"/>
          <w:szCs w:val="21"/>
        </w:rPr>
        <w:t>相应证件</w:t>
      </w:r>
      <w:r>
        <w:rPr>
          <w:rFonts w:eastAsia="仿宋"/>
          <w:color w:val="000000"/>
        </w:rPr>
        <w:t>及材料</w:t>
      </w:r>
      <w:r>
        <w:rPr>
          <w:rFonts w:hint="eastAsia" w:eastAsia="仿宋"/>
          <w:color w:val="000000"/>
        </w:rPr>
        <w:t>原件扫描件</w:t>
      </w:r>
      <w:r>
        <w:rPr>
          <w:rFonts w:eastAsia="仿宋"/>
          <w:color w:val="000000"/>
        </w:rPr>
        <w:t>应附在本章各节相应内容或表格后。</w:t>
      </w:r>
    </w:p>
    <w:p>
      <w:pPr>
        <w:spacing w:line="490" w:lineRule="exact"/>
        <w:rPr>
          <w:color w:val="000000"/>
          <w:sz w:val="20"/>
        </w:rPr>
      </w:pPr>
      <w:r>
        <w:rPr>
          <w:color w:val="000000"/>
        </w:rPr>
        <w:br w:type="page"/>
      </w:r>
    </w:p>
    <w:p>
      <w:pPr>
        <w:pStyle w:val="2"/>
        <w:jc w:val="center"/>
        <w:rPr>
          <w:rFonts w:ascii="方正小标宋简体" w:eastAsia="方正小标宋简体"/>
          <w:bCs/>
          <w:color w:val="000000"/>
          <w:sz w:val="30"/>
          <w:szCs w:val="30"/>
          <w:lang w:val="en-US" w:eastAsia="zh-CN"/>
        </w:rPr>
      </w:pPr>
      <w:bookmarkStart w:id="2033" w:name="_Toc6642"/>
      <w:bookmarkStart w:id="2034" w:name="_Toc32339"/>
      <w:bookmarkStart w:id="2035" w:name="_Toc51091951"/>
      <w:r>
        <w:rPr>
          <w:rFonts w:ascii="方正小标宋简体" w:eastAsia="方正小标宋简体"/>
          <w:bCs/>
          <w:color w:val="000000"/>
          <w:sz w:val="30"/>
          <w:szCs w:val="30"/>
          <w:lang w:val="en-US" w:eastAsia="zh-CN"/>
        </w:rPr>
        <w:t>十</w:t>
      </w:r>
      <w:r>
        <w:rPr>
          <w:rFonts w:hint="eastAsia" w:ascii="方正小标宋简体" w:eastAsia="方正小标宋简体"/>
          <w:bCs/>
          <w:color w:val="000000"/>
          <w:sz w:val="30"/>
          <w:szCs w:val="30"/>
          <w:lang w:val="en-US" w:eastAsia="zh-CN"/>
        </w:rPr>
        <w:t>三.</w:t>
      </w:r>
      <w:r>
        <w:rPr>
          <w:rFonts w:ascii="方正小标宋简体" w:eastAsia="方正小标宋简体"/>
          <w:bCs/>
          <w:color w:val="000000"/>
          <w:sz w:val="30"/>
          <w:szCs w:val="30"/>
          <w:lang w:val="en-US" w:eastAsia="zh-CN"/>
        </w:rPr>
        <w:t>其它材料</w:t>
      </w:r>
      <w:bookmarkEnd w:id="2033"/>
      <w:bookmarkEnd w:id="2034"/>
      <w:bookmarkEnd w:id="2035"/>
    </w:p>
    <w:p>
      <w:pPr>
        <w:pStyle w:val="13"/>
        <w:spacing w:before="240" w:beforeLines="100" w:after="240" w:afterLines="100" w:line="490" w:lineRule="exact"/>
        <w:ind w:left="0" w:leftChars="0" w:firstLine="0" w:firstLineChars="0"/>
        <w:jc w:val="center"/>
        <w:outlineLvl w:val="3"/>
        <w:rPr>
          <w:rFonts w:hint="eastAsia" w:ascii="楷体_GB2312" w:eastAsia="楷体_GB2312"/>
          <w:b/>
          <w:color w:val="000000"/>
          <w:sz w:val="30"/>
          <w:szCs w:val="30"/>
        </w:rPr>
      </w:pPr>
      <w:r>
        <w:rPr>
          <w:rFonts w:hint="eastAsia" w:ascii="楷体_GB2312" w:eastAsia="楷体_GB2312"/>
          <w:b/>
          <w:color w:val="000000"/>
          <w:sz w:val="30"/>
          <w:szCs w:val="30"/>
        </w:rPr>
        <w:t>（一）承诺函（格式）</w:t>
      </w:r>
    </w:p>
    <w:p>
      <w:pPr>
        <w:snapToGrid w:val="0"/>
        <w:spacing w:line="520" w:lineRule="exact"/>
        <w:ind w:firstLine="562" w:firstLineChars="200"/>
        <w:rPr>
          <w:rFonts w:eastAsia="仿宋_GB2312"/>
          <w:b/>
          <w:color w:val="000000"/>
          <w:sz w:val="28"/>
          <w:szCs w:val="32"/>
        </w:rPr>
      </w:pPr>
    </w:p>
    <w:p>
      <w:pPr>
        <w:snapToGrid w:val="0"/>
        <w:spacing w:line="520" w:lineRule="exact"/>
        <w:rPr>
          <w:rFonts w:eastAsia="仿宋_GB2312"/>
          <w:color w:val="000000"/>
          <w:sz w:val="28"/>
          <w:szCs w:val="32"/>
        </w:rPr>
      </w:pPr>
      <w:r>
        <w:rPr>
          <w:rFonts w:eastAsia="仿宋_GB2312"/>
          <w:color w:val="000000"/>
          <w:sz w:val="28"/>
          <w:szCs w:val="32"/>
          <w:u w:val="single"/>
        </w:rPr>
        <w:t xml:space="preserve">                  </w:t>
      </w:r>
      <w:r>
        <w:rPr>
          <w:rFonts w:eastAsia="仿宋_GB2312"/>
          <w:color w:val="000000"/>
          <w:sz w:val="28"/>
          <w:szCs w:val="32"/>
        </w:rPr>
        <w:t>（招标人名称）：</w:t>
      </w:r>
    </w:p>
    <w:p>
      <w:pPr>
        <w:snapToGrid w:val="0"/>
        <w:spacing w:line="520" w:lineRule="exact"/>
        <w:ind w:firstLine="560" w:firstLineChars="200"/>
        <w:rPr>
          <w:rFonts w:eastAsia="仿宋_GB2312"/>
          <w:color w:val="000000"/>
          <w:kern w:val="0"/>
          <w:sz w:val="28"/>
          <w:szCs w:val="32"/>
        </w:rPr>
      </w:pPr>
      <w:r>
        <w:rPr>
          <w:rFonts w:eastAsia="仿宋_GB2312"/>
          <w:color w:val="000000"/>
          <w:kern w:val="0"/>
          <w:sz w:val="28"/>
          <w:szCs w:val="32"/>
        </w:rPr>
        <w:t>我方参加了</w:t>
      </w:r>
      <w:r>
        <w:rPr>
          <w:rFonts w:eastAsia="仿宋_GB2312"/>
          <w:color w:val="000000"/>
          <w:kern w:val="0"/>
          <w:sz w:val="28"/>
          <w:szCs w:val="32"/>
          <w:u w:val="single"/>
        </w:rPr>
        <w:t xml:space="preserve">        </w:t>
      </w:r>
      <w:r>
        <w:rPr>
          <w:rFonts w:eastAsia="仿宋_GB2312"/>
          <w:color w:val="000000"/>
          <w:kern w:val="0"/>
          <w:sz w:val="28"/>
          <w:szCs w:val="32"/>
        </w:rPr>
        <w:t>（项目名称）</w:t>
      </w:r>
      <w:r>
        <w:rPr>
          <w:rFonts w:eastAsia="仿宋_GB2312"/>
          <w:color w:val="000000"/>
          <w:kern w:val="0"/>
          <w:sz w:val="28"/>
          <w:szCs w:val="32"/>
          <w:u w:val="single"/>
        </w:rPr>
        <w:t xml:space="preserve">       </w:t>
      </w:r>
      <w:r>
        <w:rPr>
          <w:rFonts w:eastAsia="仿宋_GB2312"/>
          <w:color w:val="000000"/>
          <w:kern w:val="0"/>
          <w:sz w:val="28"/>
          <w:szCs w:val="32"/>
        </w:rPr>
        <w:t>（标段名称）施工投标，若我方中标，我方在此承诺：</w:t>
      </w:r>
    </w:p>
    <w:p>
      <w:pPr>
        <w:snapToGrid w:val="0"/>
        <w:spacing w:line="520" w:lineRule="exact"/>
        <w:ind w:firstLine="560" w:firstLineChars="200"/>
        <w:rPr>
          <w:rFonts w:eastAsia="仿宋_GB2312"/>
          <w:color w:val="000000"/>
          <w:sz w:val="28"/>
          <w:szCs w:val="32"/>
        </w:rPr>
      </w:pPr>
      <w:r>
        <w:rPr>
          <w:rFonts w:eastAsia="仿宋_GB2312"/>
          <w:color w:val="000000"/>
          <w:sz w:val="28"/>
          <w:szCs w:val="32"/>
        </w:rPr>
        <w:t>我方在本项目投标文件中填报派的驻本合同工程的项目负责人在本合同工程施工期间没有由其本人担任施工项目负责人的其他在建工程项目。</w:t>
      </w:r>
    </w:p>
    <w:p>
      <w:pPr>
        <w:snapToGrid w:val="0"/>
        <w:spacing w:line="520" w:lineRule="exact"/>
        <w:ind w:firstLine="560" w:firstLineChars="200"/>
        <w:rPr>
          <w:rFonts w:eastAsia="仿宋_GB2312"/>
          <w:color w:val="000000"/>
          <w:kern w:val="0"/>
          <w:sz w:val="28"/>
          <w:szCs w:val="32"/>
        </w:rPr>
      </w:pPr>
      <w:r>
        <w:rPr>
          <w:rFonts w:eastAsia="仿宋_GB2312"/>
          <w:color w:val="000000"/>
          <w:kern w:val="0"/>
          <w:sz w:val="28"/>
          <w:szCs w:val="32"/>
        </w:rPr>
        <w:t>如我方违背了上述承诺，本项目招标人有权取消我方的中标资格，并由招标人将我方的违约行为上报同级或上级</w:t>
      </w:r>
      <w:r>
        <w:rPr>
          <w:rFonts w:hint="eastAsia" w:eastAsia="仿宋_GB2312"/>
          <w:color w:val="000000"/>
          <w:kern w:val="0"/>
          <w:sz w:val="28"/>
          <w:szCs w:val="32"/>
        </w:rPr>
        <w:t>农业、建设、</w:t>
      </w:r>
      <w:r>
        <w:rPr>
          <w:rFonts w:eastAsia="仿宋_GB2312"/>
          <w:color w:val="000000"/>
          <w:kern w:val="0"/>
          <w:sz w:val="28"/>
          <w:szCs w:val="32"/>
        </w:rPr>
        <w:t>水利主管部门，作为不良纪律纳入水利建设市场信息管理系统。</w:t>
      </w:r>
    </w:p>
    <w:p>
      <w:pPr>
        <w:snapToGrid w:val="0"/>
        <w:spacing w:line="520" w:lineRule="exact"/>
        <w:ind w:firstLine="560" w:firstLineChars="200"/>
        <w:rPr>
          <w:rFonts w:eastAsia="仿宋_GB2312"/>
          <w:color w:val="000000"/>
          <w:kern w:val="0"/>
          <w:sz w:val="28"/>
          <w:szCs w:val="32"/>
        </w:rPr>
      </w:pPr>
    </w:p>
    <w:p>
      <w:pPr>
        <w:snapToGrid w:val="0"/>
        <w:spacing w:line="520" w:lineRule="exact"/>
        <w:ind w:firstLine="560" w:firstLineChars="200"/>
        <w:rPr>
          <w:rFonts w:eastAsia="仿宋_GB2312"/>
          <w:color w:val="000000"/>
          <w:kern w:val="0"/>
          <w:sz w:val="28"/>
          <w:szCs w:val="32"/>
        </w:rPr>
      </w:pPr>
    </w:p>
    <w:p>
      <w:pPr>
        <w:spacing w:line="520" w:lineRule="exact"/>
        <w:ind w:firstLine="560" w:firstLineChars="200"/>
        <w:rPr>
          <w:rFonts w:eastAsia="仿宋_GB2312"/>
          <w:color w:val="000000"/>
          <w:sz w:val="28"/>
          <w:szCs w:val="32"/>
        </w:rPr>
      </w:pPr>
    </w:p>
    <w:p>
      <w:pPr>
        <w:pStyle w:val="23"/>
        <w:spacing w:line="520" w:lineRule="exact"/>
        <w:ind w:firstLine="2522" w:firstLineChars="901"/>
        <w:rPr>
          <w:rFonts w:ascii="Times New Roman" w:hAnsi="Times New Roman" w:eastAsia="仿宋_GB2312"/>
          <w:color w:val="000000"/>
          <w:sz w:val="28"/>
          <w:szCs w:val="32"/>
        </w:rPr>
      </w:pPr>
      <w:r>
        <w:rPr>
          <w:rFonts w:ascii="Times New Roman" w:hAnsi="Times New Roman" w:eastAsia="仿宋_GB2312"/>
          <w:color w:val="000000"/>
          <w:sz w:val="28"/>
          <w:szCs w:val="32"/>
        </w:rPr>
        <w:t>投  标  人：</w:t>
      </w:r>
      <w:r>
        <w:rPr>
          <w:rFonts w:ascii="Times New Roman" w:hAnsi="Times New Roman" w:eastAsia="仿宋_GB2312"/>
          <w:color w:val="000000"/>
          <w:sz w:val="28"/>
          <w:szCs w:val="32"/>
          <w:u w:val="single"/>
        </w:rPr>
        <w:t xml:space="preserve">        （名称）</w:t>
      </w:r>
      <w:r>
        <w:rPr>
          <w:rFonts w:ascii="Times New Roman" w:hAnsi="Times New Roman" w:eastAsia="仿宋_GB2312"/>
          <w:color w:val="000000"/>
          <w:sz w:val="28"/>
          <w:szCs w:val="32"/>
        </w:rPr>
        <w:t>（盖单位电子公章）</w:t>
      </w:r>
    </w:p>
    <w:p>
      <w:pPr>
        <w:pStyle w:val="23"/>
        <w:spacing w:line="520" w:lineRule="exact"/>
        <w:ind w:firstLine="2522" w:firstLineChars="901"/>
        <w:rPr>
          <w:rFonts w:ascii="Times New Roman" w:hAnsi="Times New Roman" w:eastAsia="仿宋_GB2312"/>
          <w:color w:val="000000"/>
          <w:sz w:val="28"/>
          <w:szCs w:val="32"/>
        </w:rPr>
      </w:pPr>
    </w:p>
    <w:p>
      <w:pPr>
        <w:pStyle w:val="23"/>
        <w:spacing w:line="520" w:lineRule="exact"/>
        <w:ind w:firstLine="2522" w:firstLineChars="901"/>
        <w:rPr>
          <w:rFonts w:ascii="Times New Roman" w:hAnsi="Times New Roman" w:eastAsia="仿宋_GB2312"/>
          <w:color w:val="000000"/>
          <w:sz w:val="28"/>
          <w:szCs w:val="32"/>
        </w:rPr>
      </w:pPr>
      <w:r>
        <w:rPr>
          <w:rFonts w:ascii="Times New Roman" w:hAnsi="Times New Roman" w:eastAsia="仿宋_GB2312"/>
          <w:bCs/>
          <w:color w:val="000000"/>
          <w:sz w:val="28"/>
          <w:szCs w:val="32"/>
        </w:rPr>
        <w:t>法定代表人</w:t>
      </w:r>
      <w:r>
        <w:rPr>
          <w:rFonts w:ascii="Times New Roman" w:hAnsi="Times New Roman" w:eastAsia="仿宋_GB2312"/>
          <w:color w:val="000000"/>
          <w:sz w:val="28"/>
          <w:szCs w:val="32"/>
        </w:rPr>
        <w:t>：</w:t>
      </w:r>
      <w:r>
        <w:rPr>
          <w:rFonts w:ascii="Times New Roman" w:hAnsi="Times New Roman" w:eastAsia="仿宋_GB2312"/>
          <w:color w:val="000000"/>
          <w:sz w:val="28"/>
          <w:szCs w:val="32"/>
          <w:u w:val="single"/>
        </w:rPr>
        <w:t xml:space="preserve">          （姓名）   </w:t>
      </w:r>
      <w:r>
        <w:rPr>
          <w:rFonts w:ascii="Times New Roman" w:hAnsi="Times New Roman" w:eastAsia="仿宋_GB2312"/>
          <w:color w:val="000000"/>
          <w:sz w:val="28"/>
          <w:szCs w:val="32"/>
        </w:rPr>
        <w:t>（电子签名）</w:t>
      </w:r>
    </w:p>
    <w:p>
      <w:pPr>
        <w:pStyle w:val="23"/>
        <w:spacing w:line="520" w:lineRule="exact"/>
        <w:ind w:firstLine="2522" w:firstLineChars="901"/>
        <w:rPr>
          <w:rFonts w:ascii="Times New Roman" w:hAnsi="Times New Roman" w:eastAsia="仿宋_GB2312"/>
          <w:color w:val="000000"/>
          <w:sz w:val="28"/>
          <w:szCs w:val="32"/>
        </w:rPr>
      </w:pPr>
    </w:p>
    <w:p>
      <w:pPr>
        <w:spacing w:line="520" w:lineRule="exact"/>
        <w:ind w:firstLine="2522" w:firstLineChars="901"/>
        <w:rPr>
          <w:rFonts w:eastAsia="仿宋_GB2312"/>
          <w:color w:val="000000"/>
          <w:sz w:val="28"/>
          <w:szCs w:val="32"/>
          <w:u w:val="single"/>
        </w:rPr>
      </w:pPr>
      <w:r>
        <w:rPr>
          <w:rFonts w:eastAsia="仿宋_GB2312"/>
          <w:color w:val="000000"/>
          <w:sz w:val="28"/>
          <w:szCs w:val="32"/>
        </w:rPr>
        <w:t>日      期：</w:t>
      </w:r>
      <w:r>
        <w:rPr>
          <w:rFonts w:eastAsia="仿宋_GB2312"/>
          <w:color w:val="000000"/>
          <w:sz w:val="28"/>
          <w:szCs w:val="32"/>
          <w:u w:val="single"/>
        </w:rPr>
        <w:t xml:space="preserve">                               </w:t>
      </w:r>
    </w:p>
    <w:p>
      <w:pPr>
        <w:snapToGrid w:val="0"/>
        <w:spacing w:line="490" w:lineRule="exact"/>
        <w:rPr>
          <w:color w:val="000000"/>
          <w:sz w:val="22"/>
        </w:rPr>
      </w:pPr>
      <w:r>
        <w:rPr>
          <w:rFonts w:eastAsia="仿宋_GB2312"/>
          <w:color w:val="000000"/>
          <w:sz w:val="28"/>
          <w:szCs w:val="32"/>
          <w:u w:val="single"/>
        </w:rPr>
        <w:br w:type="page"/>
      </w:r>
    </w:p>
    <w:p>
      <w:pPr>
        <w:pStyle w:val="13"/>
        <w:spacing w:line="490" w:lineRule="exact"/>
        <w:ind w:left="0" w:leftChars="0" w:firstLine="0" w:firstLineChars="0"/>
        <w:jc w:val="center"/>
        <w:outlineLvl w:val="3"/>
        <w:rPr>
          <w:rFonts w:hint="eastAsia" w:ascii="楷体_GB2312" w:eastAsia="楷体_GB2312"/>
          <w:b/>
          <w:color w:val="000000"/>
          <w:sz w:val="30"/>
          <w:szCs w:val="30"/>
        </w:rPr>
      </w:pPr>
      <w:r>
        <w:rPr>
          <w:rFonts w:hint="eastAsia" w:ascii="楷体_GB2312" w:eastAsia="楷体_GB2312"/>
          <w:b/>
          <w:color w:val="000000"/>
          <w:sz w:val="30"/>
          <w:szCs w:val="30"/>
        </w:rPr>
        <w:t>（二）民工工资支付承诺书（格式）</w:t>
      </w:r>
    </w:p>
    <w:p>
      <w:pPr>
        <w:snapToGrid w:val="0"/>
        <w:spacing w:line="490" w:lineRule="exact"/>
        <w:ind w:firstLine="560" w:firstLineChars="200"/>
        <w:rPr>
          <w:rFonts w:eastAsia="仿宋_GB2312"/>
          <w:color w:val="000000"/>
          <w:sz w:val="28"/>
          <w:szCs w:val="32"/>
        </w:rPr>
      </w:pPr>
    </w:p>
    <w:p>
      <w:pPr>
        <w:snapToGrid w:val="0"/>
        <w:spacing w:line="490" w:lineRule="exact"/>
        <w:rPr>
          <w:rFonts w:eastAsia="仿宋_GB2312"/>
          <w:color w:val="000000"/>
          <w:sz w:val="28"/>
          <w:szCs w:val="32"/>
        </w:rPr>
      </w:pPr>
      <w:r>
        <w:rPr>
          <w:rFonts w:eastAsia="仿宋_GB2312"/>
          <w:color w:val="000000"/>
          <w:sz w:val="28"/>
          <w:szCs w:val="32"/>
        </w:rPr>
        <w:t>致：</w:t>
      </w:r>
      <w:r>
        <w:rPr>
          <w:rFonts w:eastAsia="仿宋_GB2312"/>
          <w:color w:val="000000"/>
          <w:sz w:val="28"/>
          <w:szCs w:val="32"/>
          <w:u w:val="single"/>
        </w:rPr>
        <w:t xml:space="preserve">       （招标人名称）        </w:t>
      </w:r>
    </w:p>
    <w:p>
      <w:pPr>
        <w:snapToGrid w:val="0"/>
        <w:spacing w:line="490" w:lineRule="exact"/>
        <w:ind w:firstLine="560" w:firstLineChars="200"/>
        <w:rPr>
          <w:rFonts w:eastAsia="仿宋_GB2312"/>
          <w:color w:val="000000"/>
          <w:sz w:val="28"/>
          <w:szCs w:val="32"/>
        </w:rPr>
      </w:pPr>
      <w:r>
        <w:rPr>
          <w:rFonts w:eastAsia="仿宋_GB2312"/>
          <w:color w:val="000000"/>
          <w:sz w:val="28"/>
          <w:szCs w:val="32"/>
        </w:rPr>
        <w:t>本公司在此郑重承诺：在本合同工程项目中严格执行国家和湖南省关于及时支付农民工工资的有关政策，按时足额支付农民工工资。</w:t>
      </w:r>
    </w:p>
    <w:p>
      <w:pPr>
        <w:snapToGrid w:val="0"/>
        <w:spacing w:line="490" w:lineRule="exact"/>
        <w:ind w:firstLine="560" w:firstLineChars="200"/>
        <w:rPr>
          <w:rFonts w:eastAsia="仿宋_GB2312"/>
          <w:color w:val="000000"/>
          <w:sz w:val="28"/>
          <w:szCs w:val="32"/>
        </w:rPr>
      </w:pPr>
    </w:p>
    <w:p>
      <w:pPr>
        <w:snapToGrid w:val="0"/>
        <w:spacing w:line="490" w:lineRule="exact"/>
        <w:ind w:firstLine="560" w:firstLineChars="200"/>
        <w:rPr>
          <w:rFonts w:eastAsia="仿宋_GB2312"/>
          <w:color w:val="000000"/>
          <w:sz w:val="28"/>
          <w:szCs w:val="32"/>
        </w:rPr>
      </w:pPr>
    </w:p>
    <w:p>
      <w:pPr>
        <w:spacing w:line="490" w:lineRule="exact"/>
        <w:ind w:firstLine="560" w:firstLineChars="200"/>
        <w:rPr>
          <w:rFonts w:eastAsia="仿宋_GB2312"/>
          <w:color w:val="000000"/>
          <w:sz w:val="28"/>
          <w:szCs w:val="32"/>
        </w:rPr>
      </w:pPr>
    </w:p>
    <w:p>
      <w:pPr>
        <w:pStyle w:val="23"/>
        <w:spacing w:line="490" w:lineRule="exact"/>
        <w:ind w:firstLine="2584" w:firstLineChars="923"/>
        <w:rPr>
          <w:rFonts w:ascii="Times New Roman" w:hAnsi="Times New Roman" w:eastAsia="仿宋_GB2312"/>
          <w:color w:val="000000"/>
          <w:sz w:val="28"/>
          <w:szCs w:val="32"/>
        </w:rPr>
      </w:pPr>
      <w:r>
        <w:rPr>
          <w:rFonts w:ascii="Times New Roman" w:hAnsi="Times New Roman" w:eastAsia="仿宋_GB2312"/>
          <w:color w:val="000000"/>
          <w:sz w:val="28"/>
          <w:szCs w:val="32"/>
        </w:rPr>
        <w:t>投  标  人：</w:t>
      </w:r>
      <w:r>
        <w:rPr>
          <w:rFonts w:ascii="Times New Roman" w:hAnsi="Times New Roman" w:eastAsia="仿宋_GB2312"/>
          <w:color w:val="000000"/>
          <w:sz w:val="28"/>
          <w:szCs w:val="32"/>
          <w:u w:val="single"/>
        </w:rPr>
        <w:t xml:space="preserve">       （名称）      </w:t>
      </w:r>
    </w:p>
    <w:p>
      <w:pPr>
        <w:pStyle w:val="23"/>
        <w:spacing w:line="490" w:lineRule="exact"/>
        <w:ind w:firstLine="4684" w:firstLineChars="1673"/>
        <w:rPr>
          <w:rFonts w:ascii="Times New Roman" w:hAnsi="Times New Roman" w:eastAsia="仿宋_GB2312"/>
          <w:color w:val="000000"/>
          <w:sz w:val="28"/>
          <w:szCs w:val="32"/>
        </w:rPr>
      </w:pPr>
      <w:r>
        <w:rPr>
          <w:rFonts w:ascii="Times New Roman" w:hAnsi="Times New Roman" w:eastAsia="仿宋_GB2312"/>
          <w:color w:val="000000"/>
          <w:sz w:val="28"/>
          <w:szCs w:val="32"/>
        </w:rPr>
        <w:t>（盖单位电子公章）</w:t>
      </w:r>
    </w:p>
    <w:p>
      <w:pPr>
        <w:pStyle w:val="23"/>
        <w:spacing w:line="490" w:lineRule="exact"/>
        <w:ind w:firstLine="2584" w:firstLineChars="923"/>
        <w:rPr>
          <w:rFonts w:ascii="Times New Roman" w:hAnsi="Times New Roman" w:eastAsia="仿宋_GB2312"/>
          <w:color w:val="000000"/>
          <w:sz w:val="28"/>
          <w:szCs w:val="32"/>
        </w:rPr>
      </w:pPr>
      <w:r>
        <w:rPr>
          <w:rFonts w:ascii="Times New Roman" w:hAnsi="Times New Roman" w:eastAsia="仿宋_GB2312"/>
          <w:bCs/>
          <w:color w:val="000000"/>
          <w:sz w:val="28"/>
          <w:szCs w:val="32"/>
        </w:rPr>
        <w:t>法定代表人</w:t>
      </w:r>
      <w:r>
        <w:rPr>
          <w:rFonts w:ascii="Times New Roman" w:hAnsi="Times New Roman" w:eastAsia="仿宋_GB2312"/>
          <w:color w:val="000000"/>
          <w:sz w:val="28"/>
          <w:szCs w:val="32"/>
        </w:rPr>
        <w:t>：</w:t>
      </w:r>
      <w:r>
        <w:rPr>
          <w:rFonts w:ascii="Times New Roman" w:hAnsi="Times New Roman" w:eastAsia="仿宋_GB2312"/>
          <w:color w:val="000000"/>
          <w:sz w:val="28"/>
          <w:szCs w:val="32"/>
          <w:u w:val="single"/>
        </w:rPr>
        <w:t xml:space="preserve">        （姓名）      </w:t>
      </w:r>
    </w:p>
    <w:p>
      <w:pPr>
        <w:pStyle w:val="23"/>
        <w:spacing w:line="490" w:lineRule="exact"/>
        <w:ind w:firstLine="5244" w:firstLineChars="1873"/>
        <w:rPr>
          <w:rFonts w:ascii="Times New Roman" w:hAnsi="Times New Roman" w:eastAsia="仿宋_GB2312"/>
          <w:color w:val="000000"/>
          <w:sz w:val="28"/>
          <w:szCs w:val="32"/>
        </w:rPr>
      </w:pPr>
      <w:r>
        <w:rPr>
          <w:rFonts w:ascii="Times New Roman" w:hAnsi="Times New Roman" w:eastAsia="仿宋_GB2312"/>
          <w:color w:val="000000"/>
          <w:sz w:val="28"/>
          <w:szCs w:val="32"/>
        </w:rPr>
        <w:t>（电子签名）</w:t>
      </w:r>
    </w:p>
    <w:p>
      <w:pPr>
        <w:spacing w:line="490" w:lineRule="exact"/>
        <w:ind w:firstLine="2584" w:firstLineChars="923"/>
        <w:rPr>
          <w:rFonts w:eastAsia="仿宋_GB2312"/>
          <w:color w:val="000000"/>
          <w:sz w:val="28"/>
          <w:szCs w:val="32"/>
          <w:u w:val="single"/>
        </w:rPr>
      </w:pPr>
      <w:r>
        <w:rPr>
          <w:rFonts w:eastAsia="仿宋_GB2312"/>
          <w:color w:val="000000"/>
          <w:sz w:val="28"/>
          <w:szCs w:val="32"/>
        </w:rPr>
        <w:t>日      期：</w:t>
      </w:r>
      <w:r>
        <w:rPr>
          <w:rFonts w:eastAsia="仿宋_GB2312"/>
          <w:color w:val="000000"/>
          <w:sz w:val="28"/>
          <w:szCs w:val="32"/>
          <w:u w:val="single"/>
        </w:rPr>
        <w:t xml:space="preserve">                       </w:t>
      </w:r>
    </w:p>
    <w:p>
      <w:pPr>
        <w:pStyle w:val="106"/>
        <w:spacing w:line="490" w:lineRule="exact"/>
        <w:ind w:firstLine="3520" w:firstLineChars="1600"/>
        <w:rPr>
          <w:rFonts w:ascii="Times New Roman" w:cs="Times New Roman"/>
          <w:sz w:val="22"/>
        </w:rPr>
      </w:pPr>
    </w:p>
    <w:p>
      <w:pPr>
        <w:spacing w:line="490" w:lineRule="exact"/>
        <w:rPr>
          <w:color w:val="000000"/>
          <w:sz w:val="20"/>
        </w:rPr>
      </w:pPr>
    </w:p>
    <w:p>
      <w:pPr>
        <w:snapToGrid w:val="0"/>
        <w:spacing w:line="490" w:lineRule="exact"/>
        <w:ind w:firstLine="480"/>
        <w:rPr>
          <w:color w:val="000000"/>
          <w:sz w:val="20"/>
          <w:szCs w:val="21"/>
        </w:rPr>
      </w:pPr>
    </w:p>
    <w:p>
      <w:pPr>
        <w:snapToGrid w:val="0"/>
        <w:spacing w:line="490" w:lineRule="exact"/>
        <w:ind w:firstLine="480"/>
        <w:rPr>
          <w:color w:val="000000"/>
          <w:sz w:val="20"/>
          <w:szCs w:val="21"/>
        </w:rPr>
      </w:pPr>
      <w:r>
        <w:rPr>
          <w:color w:val="000000"/>
          <w:sz w:val="20"/>
          <w:szCs w:val="21"/>
        </w:rPr>
        <w:t xml:space="preserve">                           </w:t>
      </w:r>
    </w:p>
    <w:p>
      <w:pPr>
        <w:spacing w:line="490" w:lineRule="exact"/>
        <w:rPr>
          <w:color w:val="000000"/>
          <w:sz w:val="20"/>
        </w:rPr>
      </w:pPr>
      <w:r>
        <w:rPr>
          <w:color w:val="000000"/>
          <w:sz w:val="20"/>
        </w:rPr>
        <w:br w:type="page"/>
      </w:r>
    </w:p>
    <w:p>
      <w:pPr>
        <w:pStyle w:val="13"/>
        <w:spacing w:line="490" w:lineRule="exact"/>
        <w:ind w:left="0" w:leftChars="0" w:firstLine="0" w:firstLineChars="0"/>
        <w:jc w:val="center"/>
        <w:outlineLvl w:val="3"/>
        <w:rPr>
          <w:rFonts w:hint="eastAsia" w:ascii="楷体_GB2312" w:eastAsia="楷体_GB2312"/>
          <w:b/>
          <w:color w:val="000000"/>
          <w:sz w:val="30"/>
          <w:szCs w:val="30"/>
        </w:rPr>
      </w:pPr>
      <w:r>
        <w:rPr>
          <w:rFonts w:hint="eastAsia" w:ascii="楷体_GB2312" w:eastAsia="楷体_GB2312"/>
          <w:b/>
          <w:color w:val="000000"/>
          <w:sz w:val="30"/>
          <w:szCs w:val="30"/>
        </w:rPr>
        <w:t>（三）资金流估算表（格式）</w:t>
      </w:r>
    </w:p>
    <w:p>
      <w:pPr>
        <w:spacing w:line="490" w:lineRule="exact"/>
        <w:rPr>
          <w:color w:val="000000"/>
          <w:sz w:val="16"/>
          <w:szCs w:val="18"/>
        </w:rPr>
      </w:pPr>
    </w:p>
    <w:p>
      <w:pPr>
        <w:snapToGrid w:val="0"/>
        <w:spacing w:line="490" w:lineRule="exact"/>
        <w:ind w:firstLine="560" w:firstLineChars="200"/>
        <w:rPr>
          <w:rFonts w:eastAsia="仿宋_GB2312"/>
          <w:color w:val="000000"/>
          <w:sz w:val="28"/>
          <w:szCs w:val="32"/>
        </w:rPr>
      </w:pPr>
      <w:r>
        <w:rPr>
          <w:rFonts w:eastAsia="仿宋_GB2312"/>
          <w:color w:val="000000"/>
          <w:sz w:val="28"/>
          <w:szCs w:val="32"/>
        </w:rPr>
        <w:t>承包人应按下表所列格式提交与总进度计划相吻合的资金流估算表。</w:t>
      </w:r>
    </w:p>
    <w:p>
      <w:pPr>
        <w:snapToGrid w:val="0"/>
        <w:spacing w:line="490" w:lineRule="exact"/>
        <w:ind w:firstLine="400" w:firstLineChars="200"/>
        <w:rPr>
          <w:color w:val="000000"/>
          <w:sz w:val="20"/>
        </w:rPr>
      </w:pPr>
    </w:p>
    <w:p>
      <w:pPr>
        <w:snapToGrid w:val="0"/>
        <w:spacing w:line="600" w:lineRule="exact"/>
        <w:ind w:firstLine="280" w:firstLineChars="100"/>
        <w:rPr>
          <w:rFonts w:eastAsia="仿宋_GB2312"/>
          <w:color w:val="000000"/>
          <w:sz w:val="28"/>
          <w:szCs w:val="28"/>
        </w:rPr>
      </w:pPr>
      <w:r>
        <w:rPr>
          <w:rFonts w:eastAsia="仿宋_GB2312"/>
          <w:color w:val="000000"/>
          <w:sz w:val="28"/>
          <w:szCs w:val="28"/>
        </w:rPr>
        <w:t>合同编号：</w:t>
      </w:r>
      <w:r>
        <w:rPr>
          <w:rFonts w:eastAsia="仿宋_GB2312"/>
          <w:color w:val="000000"/>
          <w:sz w:val="28"/>
          <w:szCs w:val="28"/>
          <w:u w:val="single"/>
        </w:rPr>
        <w:t xml:space="preserve">             </w:t>
      </w:r>
      <w:r>
        <w:rPr>
          <w:rFonts w:eastAsia="仿宋_GB2312"/>
          <w:color w:val="000000"/>
          <w:sz w:val="28"/>
          <w:szCs w:val="28"/>
        </w:rPr>
        <w:t xml:space="preserve">                金额单位：</w:t>
      </w:r>
      <w:r>
        <w:rPr>
          <w:rFonts w:eastAsia="仿宋_GB2312"/>
          <w:color w:val="000000"/>
          <w:sz w:val="28"/>
          <w:szCs w:val="28"/>
          <w:u w:val="single"/>
        </w:rPr>
        <w:t xml:space="preserve">          </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77"/>
        <w:gridCol w:w="677"/>
        <w:gridCol w:w="966"/>
        <w:gridCol w:w="1110"/>
        <w:gridCol w:w="824"/>
        <w:gridCol w:w="967"/>
        <w:gridCol w:w="967"/>
        <w:gridCol w:w="967"/>
        <w:gridCol w:w="967"/>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77" w:type="dxa"/>
            <w:noWrap w:val="0"/>
            <w:vAlign w:val="center"/>
          </w:tcPr>
          <w:p>
            <w:pPr>
              <w:snapToGrid w:val="0"/>
              <w:jc w:val="center"/>
              <w:rPr>
                <w:rFonts w:eastAsia="黑体"/>
                <w:color w:val="000000"/>
              </w:rPr>
            </w:pPr>
            <w:r>
              <w:rPr>
                <w:rFonts w:eastAsia="黑体"/>
                <w:color w:val="000000"/>
              </w:rPr>
              <w:t>年</w:t>
            </w:r>
          </w:p>
        </w:tc>
        <w:tc>
          <w:tcPr>
            <w:tcW w:w="677" w:type="dxa"/>
            <w:noWrap w:val="0"/>
            <w:vAlign w:val="center"/>
          </w:tcPr>
          <w:p>
            <w:pPr>
              <w:snapToGrid w:val="0"/>
              <w:jc w:val="center"/>
              <w:rPr>
                <w:rFonts w:eastAsia="黑体"/>
                <w:color w:val="000000"/>
              </w:rPr>
            </w:pPr>
            <w:r>
              <w:rPr>
                <w:rFonts w:eastAsia="黑体"/>
                <w:color w:val="000000"/>
              </w:rPr>
              <w:t>月</w:t>
            </w:r>
          </w:p>
        </w:tc>
        <w:tc>
          <w:tcPr>
            <w:tcW w:w="966" w:type="dxa"/>
            <w:noWrap w:val="0"/>
            <w:vAlign w:val="center"/>
          </w:tcPr>
          <w:p>
            <w:pPr>
              <w:snapToGrid w:val="0"/>
              <w:jc w:val="center"/>
              <w:rPr>
                <w:rFonts w:eastAsia="黑体"/>
                <w:color w:val="000000"/>
              </w:rPr>
            </w:pPr>
            <w:r>
              <w:rPr>
                <w:rFonts w:eastAsia="黑体"/>
                <w:color w:val="000000"/>
              </w:rPr>
              <w:t>工程</w:t>
            </w:r>
          </w:p>
          <w:p>
            <w:pPr>
              <w:snapToGrid w:val="0"/>
              <w:jc w:val="center"/>
              <w:rPr>
                <w:rFonts w:eastAsia="黑体"/>
                <w:color w:val="000000"/>
              </w:rPr>
            </w:pPr>
            <w:r>
              <w:rPr>
                <w:rFonts w:eastAsia="黑体"/>
                <w:color w:val="000000"/>
              </w:rPr>
              <w:t>预付款</w:t>
            </w:r>
          </w:p>
        </w:tc>
        <w:tc>
          <w:tcPr>
            <w:tcW w:w="1110" w:type="dxa"/>
            <w:noWrap w:val="0"/>
            <w:vAlign w:val="center"/>
          </w:tcPr>
          <w:p>
            <w:pPr>
              <w:snapToGrid w:val="0"/>
              <w:jc w:val="center"/>
              <w:rPr>
                <w:rFonts w:eastAsia="黑体"/>
                <w:color w:val="000000"/>
              </w:rPr>
            </w:pPr>
            <w:r>
              <w:rPr>
                <w:rFonts w:eastAsia="黑体"/>
                <w:color w:val="000000"/>
              </w:rPr>
              <w:t>完成</w:t>
            </w:r>
          </w:p>
          <w:p>
            <w:pPr>
              <w:snapToGrid w:val="0"/>
              <w:jc w:val="center"/>
              <w:rPr>
                <w:rFonts w:eastAsia="黑体"/>
                <w:color w:val="000000"/>
              </w:rPr>
            </w:pPr>
            <w:r>
              <w:rPr>
                <w:rFonts w:eastAsia="黑体"/>
                <w:color w:val="000000"/>
              </w:rPr>
              <w:t>工作量付款</w:t>
            </w:r>
          </w:p>
        </w:tc>
        <w:tc>
          <w:tcPr>
            <w:tcW w:w="824" w:type="dxa"/>
            <w:noWrap w:val="0"/>
            <w:vAlign w:val="center"/>
          </w:tcPr>
          <w:p>
            <w:pPr>
              <w:snapToGrid w:val="0"/>
              <w:jc w:val="center"/>
              <w:rPr>
                <w:rFonts w:eastAsia="黑体"/>
                <w:color w:val="000000"/>
              </w:rPr>
            </w:pPr>
            <w:r>
              <w:rPr>
                <w:rFonts w:eastAsia="黑体"/>
                <w:color w:val="000000"/>
              </w:rPr>
              <w:t>保留金</w:t>
            </w:r>
          </w:p>
          <w:p>
            <w:pPr>
              <w:snapToGrid w:val="0"/>
              <w:jc w:val="center"/>
              <w:rPr>
                <w:rFonts w:eastAsia="黑体"/>
                <w:color w:val="000000"/>
              </w:rPr>
            </w:pPr>
            <w:r>
              <w:rPr>
                <w:rFonts w:eastAsia="黑体"/>
                <w:color w:val="000000"/>
              </w:rPr>
              <w:t>扣留</w:t>
            </w:r>
          </w:p>
        </w:tc>
        <w:tc>
          <w:tcPr>
            <w:tcW w:w="967" w:type="dxa"/>
            <w:noWrap w:val="0"/>
            <w:vAlign w:val="center"/>
          </w:tcPr>
          <w:p>
            <w:pPr>
              <w:snapToGrid w:val="0"/>
              <w:jc w:val="center"/>
              <w:rPr>
                <w:rFonts w:eastAsia="黑体"/>
                <w:color w:val="000000"/>
              </w:rPr>
            </w:pPr>
            <w:r>
              <w:rPr>
                <w:rFonts w:eastAsia="黑体"/>
                <w:color w:val="000000"/>
              </w:rPr>
              <w:t>预付款</w:t>
            </w:r>
          </w:p>
          <w:p>
            <w:pPr>
              <w:snapToGrid w:val="0"/>
              <w:jc w:val="center"/>
              <w:rPr>
                <w:rFonts w:eastAsia="黑体"/>
                <w:color w:val="000000"/>
              </w:rPr>
            </w:pPr>
            <w:r>
              <w:rPr>
                <w:rFonts w:eastAsia="黑体"/>
                <w:color w:val="000000"/>
              </w:rPr>
              <w:t>扣还</w:t>
            </w:r>
          </w:p>
        </w:tc>
        <w:tc>
          <w:tcPr>
            <w:tcW w:w="967" w:type="dxa"/>
            <w:noWrap w:val="0"/>
            <w:vAlign w:val="center"/>
          </w:tcPr>
          <w:p>
            <w:pPr>
              <w:snapToGrid w:val="0"/>
              <w:jc w:val="center"/>
              <w:rPr>
                <w:rFonts w:eastAsia="黑体"/>
                <w:color w:val="000000"/>
              </w:rPr>
            </w:pPr>
            <w:r>
              <w:rPr>
                <w:rFonts w:eastAsia="黑体"/>
                <w:color w:val="000000"/>
              </w:rPr>
              <w:t>其它</w:t>
            </w:r>
          </w:p>
        </w:tc>
        <w:tc>
          <w:tcPr>
            <w:tcW w:w="967" w:type="dxa"/>
            <w:noWrap w:val="0"/>
            <w:vAlign w:val="center"/>
          </w:tcPr>
          <w:p>
            <w:pPr>
              <w:snapToGrid w:val="0"/>
              <w:jc w:val="center"/>
              <w:rPr>
                <w:rFonts w:eastAsia="黑体"/>
                <w:color w:val="000000"/>
              </w:rPr>
            </w:pPr>
            <w:r>
              <w:rPr>
                <w:rFonts w:eastAsia="黑体"/>
                <w:color w:val="000000"/>
              </w:rPr>
              <w:t>应得付款</w:t>
            </w:r>
          </w:p>
        </w:tc>
        <w:tc>
          <w:tcPr>
            <w:tcW w:w="967" w:type="dxa"/>
            <w:noWrap w:val="0"/>
            <w:vAlign w:val="center"/>
          </w:tcPr>
          <w:p>
            <w:pPr>
              <w:snapToGrid w:val="0"/>
              <w:jc w:val="center"/>
              <w:rPr>
                <w:rFonts w:eastAsia="黑体"/>
                <w:color w:val="000000"/>
              </w:rPr>
            </w:pPr>
            <w:r>
              <w:rPr>
                <w:rFonts w:eastAsia="黑体"/>
                <w:color w:val="000000"/>
              </w:rPr>
              <w:t>累积付款</w:t>
            </w:r>
          </w:p>
        </w:tc>
        <w:tc>
          <w:tcPr>
            <w:tcW w:w="1202" w:type="dxa"/>
            <w:noWrap w:val="0"/>
            <w:vAlign w:val="center"/>
          </w:tcPr>
          <w:p>
            <w:pPr>
              <w:snapToGrid w:val="0"/>
              <w:jc w:val="center"/>
              <w:rPr>
                <w:rFonts w:eastAsia="黑体"/>
                <w:color w:val="000000"/>
              </w:rPr>
            </w:pPr>
            <w:r>
              <w:rPr>
                <w:rFonts w:eastAsia="黑体"/>
                <w:color w:val="000000"/>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77" w:type="dxa"/>
            <w:noWrap w:val="0"/>
            <w:vAlign w:val="center"/>
          </w:tcPr>
          <w:p>
            <w:pPr>
              <w:snapToGrid w:val="0"/>
              <w:jc w:val="center"/>
              <w:rPr>
                <w:color w:val="000000"/>
              </w:rPr>
            </w:pPr>
          </w:p>
        </w:tc>
        <w:tc>
          <w:tcPr>
            <w:tcW w:w="677" w:type="dxa"/>
            <w:noWrap w:val="0"/>
            <w:vAlign w:val="center"/>
          </w:tcPr>
          <w:p>
            <w:pPr>
              <w:snapToGrid w:val="0"/>
              <w:jc w:val="center"/>
              <w:rPr>
                <w:color w:val="000000"/>
              </w:rPr>
            </w:pPr>
          </w:p>
        </w:tc>
        <w:tc>
          <w:tcPr>
            <w:tcW w:w="966" w:type="dxa"/>
            <w:noWrap w:val="0"/>
            <w:vAlign w:val="center"/>
          </w:tcPr>
          <w:p>
            <w:pPr>
              <w:snapToGrid w:val="0"/>
              <w:jc w:val="center"/>
              <w:rPr>
                <w:color w:val="000000"/>
              </w:rPr>
            </w:pPr>
          </w:p>
        </w:tc>
        <w:tc>
          <w:tcPr>
            <w:tcW w:w="1110" w:type="dxa"/>
            <w:noWrap w:val="0"/>
            <w:vAlign w:val="center"/>
          </w:tcPr>
          <w:p>
            <w:pPr>
              <w:snapToGrid w:val="0"/>
              <w:jc w:val="center"/>
              <w:rPr>
                <w:color w:val="000000"/>
              </w:rPr>
            </w:pPr>
          </w:p>
        </w:tc>
        <w:tc>
          <w:tcPr>
            <w:tcW w:w="824"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1202" w:type="dxa"/>
            <w:noWrap w:val="0"/>
            <w:vAlign w:val="center"/>
          </w:tcPr>
          <w:p>
            <w:pPr>
              <w:snapToGrid w:val="0"/>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77" w:type="dxa"/>
            <w:noWrap w:val="0"/>
            <w:vAlign w:val="center"/>
          </w:tcPr>
          <w:p>
            <w:pPr>
              <w:snapToGrid w:val="0"/>
              <w:jc w:val="center"/>
              <w:rPr>
                <w:color w:val="000000"/>
              </w:rPr>
            </w:pPr>
          </w:p>
        </w:tc>
        <w:tc>
          <w:tcPr>
            <w:tcW w:w="677" w:type="dxa"/>
            <w:noWrap w:val="0"/>
            <w:vAlign w:val="center"/>
          </w:tcPr>
          <w:p>
            <w:pPr>
              <w:snapToGrid w:val="0"/>
              <w:jc w:val="center"/>
              <w:rPr>
                <w:color w:val="000000"/>
              </w:rPr>
            </w:pPr>
          </w:p>
        </w:tc>
        <w:tc>
          <w:tcPr>
            <w:tcW w:w="966" w:type="dxa"/>
            <w:noWrap w:val="0"/>
            <w:vAlign w:val="center"/>
          </w:tcPr>
          <w:p>
            <w:pPr>
              <w:snapToGrid w:val="0"/>
              <w:jc w:val="center"/>
              <w:rPr>
                <w:color w:val="000000"/>
              </w:rPr>
            </w:pPr>
          </w:p>
        </w:tc>
        <w:tc>
          <w:tcPr>
            <w:tcW w:w="1110" w:type="dxa"/>
            <w:noWrap w:val="0"/>
            <w:vAlign w:val="center"/>
          </w:tcPr>
          <w:p>
            <w:pPr>
              <w:snapToGrid w:val="0"/>
              <w:jc w:val="center"/>
              <w:rPr>
                <w:color w:val="000000"/>
              </w:rPr>
            </w:pPr>
          </w:p>
        </w:tc>
        <w:tc>
          <w:tcPr>
            <w:tcW w:w="824"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1202" w:type="dxa"/>
            <w:noWrap w:val="0"/>
            <w:vAlign w:val="center"/>
          </w:tcPr>
          <w:p>
            <w:pPr>
              <w:snapToGrid w:val="0"/>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77" w:type="dxa"/>
            <w:noWrap w:val="0"/>
            <w:vAlign w:val="center"/>
          </w:tcPr>
          <w:p>
            <w:pPr>
              <w:snapToGrid w:val="0"/>
              <w:jc w:val="center"/>
              <w:rPr>
                <w:color w:val="000000"/>
              </w:rPr>
            </w:pPr>
          </w:p>
        </w:tc>
        <w:tc>
          <w:tcPr>
            <w:tcW w:w="677" w:type="dxa"/>
            <w:noWrap w:val="0"/>
            <w:vAlign w:val="center"/>
          </w:tcPr>
          <w:p>
            <w:pPr>
              <w:snapToGrid w:val="0"/>
              <w:jc w:val="center"/>
              <w:rPr>
                <w:color w:val="000000"/>
              </w:rPr>
            </w:pPr>
          </w:p>
        </w:tc>
        <w:tc>
          <w:tcPr>
            <w:tcW w:w="966" w:type="dxa"/>
            <w:noWrap w:val="0"/>
            <w:vAlign w:val="center"/>
          </w:tcPr>
          <w:p>
            <w:pPr>
              <w:snapToGrid w:val="0"/>
              <w:jc w:val="center"/>
              <w:rPr>
                <w:color w:val="000000"/>
              </w:rPr>
            </w:pPr>
          </w:p>
        </w:tc>
        <w:tc>
          <w:tcPr>
            <w:tcW w:w="1110" w:type="dxa"/>
            <w:noWrap w:val="0"/>
            <w:vAlign w:val="center"/>
          </w:tcPr>
          <w:p>
            <w:pPr>
              <w:snapToGrid w:val="0"/>
              <w:jc w:val="center"/>
              <w:rPr>
                <w:color w:val="000000"/>
              </w:rPr>
            </w:pPr>
          </w:p>
        </w:tc>
        <w:tc>
          <w:tcPr>
            <w:tcW w:w="824"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1202" w:type="dxa"/>
            <w:noWrap w:val="0"/>
            <w:vAlign w:val="center"/>
          </w:tcPr>
          <w:p>
            <w:pPr>
              <w:snapToGrid w:val="0"/>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77" w:type="dxa"/>
            <w:noWrap w:val="0"/>
            <w:vAlign w:val="center"/>
          </w:tcPr>
          <w:p>
            <w:pPr>
              <w:snapToGrid w:val="0"/>
              <w:jc w:val="center"/>
              <w:rPr>
                <w:color w:val="000000"/>
              </w:rPr>
            </w:pPr>
          </w:p>
        </w:tc>
        <w:tc>
          <w:tcPr>
            <w:tcW w:w="677" w:type="dxa"/>
            <w:noWrap w:val="0"/>
            <w:vAlign w:val="center"/>
          </w:tcPr>
          <w:p>
            <w:pPr>
              <w:snapToGrid w:val="0"/>
              <w:jc w:val="center"/>
              <w:rPr>
                <w:color w:val="000000"/>
              </w:rPr>
            </w:pPr>
          </w:p>
        </w:tc>
        <w:tc>
          <w:tcPr>
            <w:tcW w:w="966" w:type="dxa"/>
            <w:noWrap w:val="0"/>
            <w:vAlign w:val="center"/>
          </w:tcPr>
          <w:p>
            <w:pPr>
              <w:snapToGrid w:val="0"/>
              <w:jc w:val="center"/>
              <w:rPr>
                <w:color w:val="000000"/>
              </w:rPr>
            </w:pPr>
          </w:p>
        </w:tc>
        <w:tc>
          <w:tcPr>
            <w:tcW w:w="1110" w:type="dxa"/>
            <w:noWrap w:val="0"/>
            <w:vAlign w:val="center"/>
          </w:tcPr>
          <w:p>
            <w:pPr>
              <w:snapToGrid w:val="0"/>
              <w:jc w:val="center"/>
              <w:rPr>
                <w:color w:val="000000"/>
              </w:rPr>
            </w:pPr>
          </w:p>
        </w:tc>
        <w:tc>
          <w:tcPr>
            <w:tcW w:w="824"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1202" w:type="dxa"/>
            <w:noWrap w:val="0"/>
            <w:vAlign w:val="center"/>
          </w:tcPr>
          <w:p>
            <w:pPr>
              <w:snapToGrid w:val="0"/>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77" w:type="dxa"/>
            <w:noWrap w:val="0"/>
            <w:vAlign w:val="center"/>
          </w:tcPr>
          <w:p>
            <w:pPr>
              <w:snapToGrid w:val="0"/>
              <w:jc w:val="center"/>
              <w:rPr>
                <w:color w:val="000000"/>
              </w:rPr>
            </w:pPr>
          </w:p>
        </w:tc>
        <w:tc>
          <w:tcPr>
            <w:tcW w:w="677" w:type="dxa"/>
            <w:noWrap w:val="0"/>
            <w:vAlign w:val="center"/>
          </w:tcPr>
          <w:p>
            <w:pPr>
              <w:snapToGrid w:val="0"/>
              <w:jc w:val="center"/>
              <w:rPr>
                <w:color w:val="000000"/>
              </w:rPr>
            </w:pPr>
          </w:p>
        </w:tc>
        <w:tc>
          <w:tcPr>
            <w:tcW w:w="966" w:type="dxa"/>
            <w:noWrap w:val="0"/>
            <w:vAlign w:val="center"/>
          </w:tcPr>
          <w:p>
            <w:pPr>
              <w:snapToGrid w:val="0"/>
              <w:jc w:val="center"/>
              <w:rPr>
                <w:color w:val="000000"/>
              </w:rPr>
            </w:pPr>
          </w:p>
        </w:tc>
        <w:tc>
          <w:tcPr>
            <w:tcW w:w="1110" w:type="dxa"/>
            <w:noWrap w:val="0"/>
            <w:vAlign w:val="center"/>
          </w:tcPr>
          <w:p>
            <w:pPr>
              <w:snapToGrid w:val="0"/>
              <w:jc w:val="center"/>
              <w:rPr>
                <w:color w:val="000000"/>
              </w:rPr>
            </w:pPr>
          </w:p>
        </w:tc>
        <w:tc>
          <w:tcPr>
            <w:tcW w:w="824"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1202" w:type="dxa"/>
            <w:noWrap w:val="0"/>
            <w:vAlign w:val="center"/>
          </w:tcPr>
          <w:p>
            <w:pPr>
              <w:snapToGrid w:val="0"/>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77" w:type="dxa"/>
            <w:noWrap w:val="0"/>
            <w:vAlign w:val="center"/>
          </w:tcPr>
          <w:p>
            <w:pPr>
              <w:snapToGrid w:val="0"/>
              <w:jc w:val="center"/>
              <w:rPr>
                <w:color w:val="000000"/>
              </w:rPr>
            </w:pPr>
          </w:p>
        </w:tc>
        <w:tc>
          <w:tcPr>
            <w:tcW w:w="677" w:type="dxa"/>
            <w:noWrap w:val="0"/>
            <w:vAlign w:val="center"/>
          </w:tcPr>
          <w:p>
            <w:pPr>
              <w:snapToGrid w:val="0"/>
              <w:jc w:val="center"/>
              <w:rPr>
                <w:color w:val="000000"/>
              </w:rPr>
            </w:pPr>
          </w:p>
        </w:tc>
        <w:tc>
          <w:tcPr>
            <w:tcW w:w="966" w:type="dxa"/>
            <w:noWrap w:val="0"/>
            <w:vAlign w:val="center"/>
          </w:tcPr>
          <w:p>
            <w:pPr>
              <w:snapToGrid w:val="0"/>
              <w:jc w:val="center"/>
              <w:rPr>
                <w:color w:val="000000"/>
              </w:rPr>
            </w:pPr>
          </w:p>
        </w:tc>
        <w:tc>
          <w:tcPr>
            <w:tcW w:w="1110" w:type="dxa"/>
            <w:noWrap w:val="0"/>
            <w:vAlign w:val="center"/>
          </w:tcPr>
          <w:p>
            <w:pPr>
              <w:snapToGrid w:val="0"/>
              <w:jc w:val="center"/>
              <w:rPr>
                <w:color w:val="000000"/>
              </w:rPr>
            </w:pPr>
          </w:p>
        </w:tc>
        <w:tc>
          <w:tcPr>
            <w:tcW w:w="824"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1202" w:type="dxa"/>
            <w:noWrap w:val="0"/>
            <w:vAlign w:val="center"/>
          </w:tcPr>
          <w:p>
            <w:pPr>
              <w:snapToGrid w:val="0"/>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77" w:type="dxa"/>
            <w:noWrap w:val="0"/>
            <w:vAlign w:val="center"/>
          </w:tcPr>
          <w:p>
            <w:pPr>
              <w:snapToGrid w:val="0"/>
              <w:jc w:val="center"/>
              <w:rPr>
                <w:color w:val="000000"/>
              </w:rPr>
            </w:pPr>
          </w:p>
        </w:tc>
        <w:tc>
          <w:tcPr>
            <w:tcW w:w="677" w:type="dxa"/>
            <w:noWrap w:val="0"/>
            <w:vAlign w:val="center"/>
          </w:tcPr>
          <w:p>
            <w:pPr>
              <w:snapToGrid w:val="0"/>
              <w:jc w:val="center"/>
              <w:rPr>
                <w:color w:val="000000"/>
              </w:rPr>
            </w:pPr>
          </w:p>
        </w:tc>
        <w:tc>
          <w:tcPr>
            <w:tcW w:w="966" w:type="dxa"/>
            <w:noWrap w:val="0"/>
            <w:vAlign w:val="center"/>
          </w:tcPr>
          <w:p>
            <w:pPr>
              <w:snapToGrid w:val="0"/>
              <w:jc w:val="center"/>
              <w:rPr>
                <w:color w:val="000000"/>
              </w:rPr>
            </w:pPr>
          </w:p>
        </w:tc>
        <w:tc>
          <w:tcPr>
            <w:tcW w:w="1110" w:type="dxa"/>
            <w:noWrap w:val="0"/>
            <w:vAlign w:val="center"/>
          </w:tcPr>
          <w:p>
            <w:pPr>
              <w:snapToGrid w:val="0"/>
              <w:jc w:val="center"/>
              <w:rPr>
                <w:color w:val="000000"/>
              </w:rPr>
            </w:pPr>
          </w:p>
        </w:tc>
        <w:tc>
          <w:tcPr>
            <w:tcW w:w="824"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1202" w:type="dxa"/>
            <w:noWrap w:val="0"/>
            <w:vAlign w:val="center"/>
          </w:tcPr>
          <w:p>
            <w:pPr>
              <w:snapToGrid w:val="0"/>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77" w:type="dxa"/>
            <w:noWrap w:val="0"/>
            <w:vAlign w:val="center"/>
          </w:tcPr>
          <w:p>
            <w:pPr>
              <w:snapToGrid w:val="0"/>
              <w:jc w:val="center"/>
              <w:rPr>
                <w:color w:val="000000"/>
              </w:rPr>
            </w:pPr>
          </w:p>
        </w:tc>
        <w:tc>
          <w:tcPr>
            <w:tcW w:w="677" w:type="dxa"/>
            <w:noWrap w:val="0"/>
            <w:vAlign w:val="center"/>
          </w:tcPr>
          <w:p>
            <w:pPr>
              <w:snapToGrid w:val="0"/>
              <w:jc w:val="center"/>
              <w:rPr>
                <w:color w:val="000000"/>
              </w:rPr>
            </w:pPr>
          </w:p>
        </w:tc>
        <w:tc>
          <w:tcPr>
            <w:tcW w:w="966" w:type="dxa"/>
            <w:noWrap w:val="0"/>
            <w:vAlign w:val="center"/>
          </w:tcPr>
          <w:p>
            <w:pPr>
              <w:snapToGrid w:val="0"/>
              <w:jc w:val="center"/>
              <w:rPr>
                <w:color w:val="000000"/>
              </w:rPr>
            </w:pPr>
          </w:p>
        </w:tc>
        <w:tc>
          <w:tcPr>
            <w:tcW w:w="1110" w:type="dxa"/>
            <w:noWrap w:val="0"/>
            <w:vAlign w:val="center"/>
          </w:tcPr>
          <w:p>
            <w:pPr>
              <w:snapToGrid w:val="0"/>
              <w:jc w:val="center"/>
              <w:rPr>
                <w:color w:val="000000"/>
              </w:rPr>
            </w:pPr>
          </w:p>
        </w:tc>
        <w:tc>
          <w:tcPr>
            <w:tcW w:w="824"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1202" w:type="dxa"/>
            <w:noWrap w:val="0"/>
            <w:vAlign w:val="center"/>
          </w:tcPr>
          <w:p>
            <w:pPr>
              <w:snapToGrid w:val="0"/>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77" w:type="dxa"/>
            <w:noWrap w:val="0"/>
            <w:vAlign w:val="center"/>
          </w:tcPr>
          <w:p>
            <w:pPr>
              <w:snapToGrid w:val="0"/>
              <w:jc w:val="center"/>
              <w:rPr>
                <w:color w:val="000000"/>
              </w:rPr>
            </w:pPr>
          </w:p>
        </w:tc>
        <w:tc>
          <w:tcPr>
            <w:tcW w:w="677" w:type="dxa"/>
            <w:noWrap w:val="0"/>
            <w:vAlign w:val="center"/>
          </w:tcPr>
          <w:p>
            <w:pPr>
              <w:snapToGrid w:val="0"/>
              <w:jc w:val="center"/>
              <w:rPr>
                <w:color w:val="000000"/>
              </w:rPr>
            </w:pPr>
          </w:p>
        </w:tc>
        <w:tc>
          <w:tcPr>
            <w:tcW w:w="966" w:type="dxa"/>
            <w:noWrap w:val="0"/>
            <w:vAlign w:val="center"/>
          </w:tcPr>
          <w:p>
            <w:pPr>
              <w:snapToGrid w:val="0"/>
              <w:jc w:val="center"/>
              <w:rPr>
                <w:color w:val="000000"/>
              </w:rPr>
            </w:pPr>
          </w:p>
        </w:tc>
        <w:tc>
          <w:tcPr>
            <w:tcW w:w="1110" w:type="dxa"/>
            <w:noWrap w:val="0"/>
            <w:vAlign w:val="center"/>
          </w:tcPr>
          <w:p>
            <w:pPr>
              <w:snapToGrid w:val="0"/>
              <w:jc w:val="center"/>
              <w:rPr>
                <w:color w:val="000000"/>
              </w:rPr>
            </w:pPr>
          </w:p>
        </w:tc>
        <w:tc>
          <w:tcPr>
            <w:tcW w:w="824"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1202" w:type="dxa"/>
            <w:noWrap w:val="0"/>
            <w:vAlign w:val="center"/>
          </w:tcPr>
          <w:p>
            <w:pPr>
              <w:snapToGrid w:val="0"/>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77" w:type="dxa"/>
            <w:noWrap w:val="0"/>
            <w:vAlign w:val="center"/>
          </w:tcPr>
          <w:p>
            <w:pPr>
              <w:snapToGrid w:val="0"/>
              <w:jc w:val="center"/>
              <w:rPr>
                <w:color w:val="000000"/>
              </w:rPr>
            </w:pPr>
          </w:p>
        </w:tc>
        <w:tc>
          <w:tcPr>
            <w:tcW w:w="677" w:type="dxa"/>
            <w:noWrap w:val="0"/>
            <w:vAlign w:val="center"/>
          </w:tcPr>
          <w:p>
            <w:pPr>
              <w:snapToGrid w:val="0"/>
              <w:jc w:val="center"/>
              <w:rPr>
                <w:color w:val="000000"/>
              </w:rPr>
            </w:pPr>
          </w:p>
        </w:tc>
        <w:tc>
          <w:tcPr>
            <w:tcW w:w="966" w:type="dxa"/>
            <w:noWrap w:val="0"/>
            <w:vAlign w:val="center"/>
          </w:tcPr>
          <w:p>
            <w:pPr>
              <w:snapToGrid w:val="0"/>
              <w:jc w:val="center"/>
              <w:rPr>
                <w:color w:val="000000"/>
              </w:rPr>
            </w:pPr>
          </w:p>
        </w:tc>
        <w:tc>
          <w:tcPr>
            <w:tcW w:w="1110" w:type="dxa"/>
            <w:noWrap w:val="0"/>
            <w:vAlign w:val="center"/>
          </w:tcPr>
          <w:p>
            <w:pPr>
              <w:snapToGrid w:val="0"/>
              <w:jc w:val="center"/>
              <w:rPr>
                <w:color w:val="000000"/>
              </w:rPr>
            </w:pPr>
          </w:p>
        </w:tc>
        <w:tc>
          <w:tcPr>
            <w:tcW w:w="824"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1202" w:type="dxa"/>
            <w:noWrap w:val="0"/>
            <w:vAlign w:val="center"/>
          </w:tcPr>
          <w:p>
            <w:pPr>
              <w:snapToGrid w:val="0"/>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77" w:type="dxa"/>
            <w:noWrap w:val="0"/>
            <w:vAlign w:val="center"/>
          </w:tcPr>
          <w:p>
            <w:pPr>
              <w:snapToGrid w:val="0"/>
              <w:jc w:val="center"/>
              <w:rPr>
                <w:color w:val="000000"/>
              </w:rPr>
            </w:pPr>
          </w:p>
        </w:tc>
        <w:tc>
          <w:tcPr>
            <w:tcW w:w="677" w:type="dxa"/>
            <w:noWrap w:val="0"/>
            <w:vAlign w:val="center"/>
          </w:tcPr>
          <w:p>
            <w:pPr>
              <w:snapToGrid w:val="0"/>
              <w:jc w:val="center"/>
              <w:rPr>
                <w:color w:val="000000"/>
              </w:rPr>
            </w:pPr>
          </w:p>
        </w:tc>
        <w:tc>
          <w:tcPr>
            <w:tcW w:w="966" w:type="dxa"/>
            <w:noWrap w:val="0"/>
            <w:vAlign w:val="center"/>
          </w:tcPr>
          <w:p>
            <w:pPr>
              <w:snapToGrid w:val="0"/>
              <w:jc w:val="center"/>
              <w:rPr>
                <w:color w:val="000000"/>
              </w:rPr>
            </w:pPr>
          </w:p>
        </w:tc>
        <w:tc>
          <w:tcPr>
            <w:tcW w:w="1110" w:type="dxa"/>
            <w:noWrap w:val="0"/>
            <w:vAlign w:val="center"/>
          </w:tcPr>
          <w:p>
            <w:pPr>
              <w:snapToGrid w:val="0"/>
              <w:jc w:val="center"/>
              <w:rPr>
                <w:color w:val="000000"/>
              </w:rPr>
            </w:pPr>
          </w:p>
        </w:tc>
        <w:tc>
          <w:tcPr>
            <w:tcW w:w="824"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1202" w:type="dxa"/>
            <w:noWrap w:val="0"/>
            <w:vAlign w:val="center"/>
          </w:tcPr>
          <w:p>
            <w:pPr>
              <w:snapToGrid w:val="0"/>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77" w:type="dxa"/>
            <w:noWrap w:val="0"/>
            <w:vAlign w:val="center"/>
          </w:tcPr>
          <w:p>
            <w:pPr>
              <w:snapToGrid w:val="0"/>
              <w:jc w:val="center"/>
              <w:rPr>
                <w:color w:val="000000"/>
              </w:rPr>
            </w:pPr>
          </w:p>
        </w:tc>
        <w:tc>
          <w:tcPr>
            <w:tcW w:w="677" w:type="dxa"/>
            <w:noWrap w:val="0"/>
            <w:vAlign w:val="center"/>
          </w:tcPr>
          <w:p>
            <w:pPr>
              <w:snapToGrid w:val="0"/>
              <w:jc w:val="center"/>
              <w:rPr>
                <w:color w:val="000000"/>
              </w:rPr>
            </w:pPr>
          </w:p>
        </w:tc>
        <w:tc>
          <w:tcPr>
            <w:tcW w:w="966" w:type="dxa"/>
            <w:noWrap w:val="0"/>
            <w:vAlign w:val="center"/>
          </w:tcPr>
          <w:p>
            <w:pPr>
              <w:snapToGrid w:val="0"/>
              <w:jc w:val="center"/>
              <w:rPr>
                <w:color w:val="000000"/>
              </w:rPr>
            </w:pPr>
          </w:p>
        </w:tc>
        <w:tc>
          <w:tcPr>
            <w:tcW w:w="1110" w:type="dxa"/>
            <w:noWrap w:val="0"/>
            <w:vAlign w:val="center"/>
          </w:tcPr>
          <w:p>
            <w:pPr>
              <w:snapToGrid w:val="0"/>
              <w:jc w:val="center"/>
              <w:rPr>
                <w:color w:val="000000"/>
              </w:rPr>
            </w:pPr>
          </w:p>
        </w:tc>
        <w:tc>
          <w:tcPr>
            <w:tcW w:w="824"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967" w:type="dxa"/>
            <w:noWrap w:val="0"/>
            <w:vAlign w:val="center"/>
          </w:tcPr>
          <w:p>
            <w:pPr>
              <w:snapToGrid w:val="0"/>
              <w:jc w:val="center"/>
              <w:rPr>
                <w:color w:val="000000"/>
              </w:rPr>
            </w:pPr>
          </w:p>
        </w:tc>
        <w:tc>
          <w:tcPr>
            <w:tcW w:w="1202" w:type="dxa"/>
            <w:noWrap w:val="0"/>
            <w:vAlign w:val="center"/>
          </w:tcPr>
          <w:p>
            <w:pPr>
              <w:snapToGrid w:val="0"/>
              <w:jc w:val="center"/>
              <w:rPr>
                <w:color w:val="000000"/>
              </w:rPr>
            </w:pPr>
          </w:p>
        </w:tc>
      </w:tr>
    </w:tbl>
    <w:p>
      <w:pPr>
        <w:snapToGrid w:val="0"/>
        <w:ind w:firstLine="180" w:firstLineChars="100"/>
        <w:rPr>
          <w:color w:val="000000"/>
          <w:sz w:val="18"/>
          <w:szCs w:val="18"/>
        </w:rPr>
      </w:pPr>
    </w:p>
    <w:p>
      <w:pPr>
        <w:snapToGrid w:val="0"/>
        <w:rPr>
          <w:color w:val="000000"/>
        </w:rPr>
      </w:pPr>
    </w:p>
    <w:p>
      <w:pPr>
        <w:rPr>
          <w:color w:val="000000"/>
        </w:rPr>
      </w:pPr>
    </w:p>
    <w:p>
      <w:pPr>
        <w:rPr>
          <w:color w:val="000000"/>
        </w:rPr>
      </w:pPr>
    </w:p>
    <w:p>
      <w:pPr>
        <w:rPr>
          <w:color w:val="000000"/>
        </w:rPr>
      </w:pPr>
    </w:p>
    <w:p>
      <w:pPr>
        <w:rPr>
          <w:color w:val="000000"/>
        </w:rPr>
      </w:pPr>
    </w:p>
    <w:p>
      <w:pPr>
        <w:rPr>
          <w:color w:val="000000"/>
        </w:rPr>
      </w:pPr>
    </w:p>
    <w:p>
      <w:pPr>
        <w:spacing w:line="490" w:lineRule="exact"/>
        <w:rPr>
          <w:color w:val="000000"/>
          <w:sz w:val="20"/>
        </w:rPr>
      </w:pPr>
      <w:r>
        <w:rPr>
          <w:color w:val="000000"/>
        </w:rPr>
        <w:br w:type="page"/>
      </w:r>
    </w:p>
    <w:p>
      <w:pPr>
        <w:pStyle w:val="13"/>
        <w:spacing w:line="490" w:lineRule="exact"/>
        <w:ind w:left="0" w:leftChars="0" w:firstLine="0" w:firstLineChars="0"/>
        <w:jc w:val="center"/>
        <w:outlineLvl w:val="3"/>
        <w:rPr>
          <w:rFonts w:hint="eastAsia" w:ascii="楷体_GB2312" w:eastAsia="楷体_GB2312"/>
          <w:b/>
          <w:color w:val="000000"/>
          <w:sz w:val="30"/>
          <w:szCs w:val="30"/>
        </w:rPr>
      </w:pPr>
      <w:r>
        <w:rPr>
          <w:rFonts w:hint="eastAsia" w:ascii="楷体_GB2312" w:eastAsia="楷体_GB2312"/>
          <w:b/>
          <w:color w:val="000000"/>
          <w:sz w:val="30"/>
          <w:szCs w:val="30"/>
        </w:rPr>
        <w:t>（四）行贿受贿犯罪行为查询</w:t>
      </w:r>
    </w:p>
    <w:p>
      <w:pPr>
        <w:spacing w:line="490" w:lineRule="exact"/>
        <w:ind w:firstLine="560" w:firstLineChars="200"/>
        <w:rPr>
          <w:rFonts w:eastAsia="仿宋_GB2312"/>
          <w:color w:val="000000"/>
          <w:sz w:val="28"/>
          <w:szCs w:val="32"/>
        </w:rPr>
      </w:pPr>
    </w:p>
    <w:p>
      <w:pPr>
        <w:pStyle w:val="19"/>
        <w:spacing w:line="490" w:lineRule="exact"/>
        <w:ind w:firstLine="560"/>
        <w:rPr>
          <w:rFonts w:eastAsia="仿宋_GB2312"/>
          <w:color w:val="000000"/>
          <w:sz w:val="28"/>
          <w:szCs w:val="32"/>
        </w:rPr>
      </w:pPr>
      <w:r>
        <w:rPr>
          <w:rFonts w:eastAsia="仿宋_GB2312"/>
          <w:color w:val="000000"/>
          <w:sz w:val="28"/>
          <w:szCs w:val="32"/>
        </w:rPr>
        <w:t>应在中国裁判文书网上查询投标人、投标人法定代表人、拟任项目负责人在最近3年内（</w:t>
      </w:r>
      <w:r>
        <w:rPr>
          <w:rFonts w:eastAsia="仿宋_GB2312"/>
          <w:color w:val="000000"/>
          <w:sz w:val="28"/>
          <w:szCs w:val="32"/>
          <w:u w:val="single"/>
        </w:rPr>
        <w:t xml:space="preserve">     </w:t>
      </w:r>
      <w:r>
        <w:rPr>
          <w:rFonts w:eastAsia="仿宋_GB2312"/>
          <w:color w:val="000000"/>
          <w:sz w:val="28"/>
          <w:szCs w:val="32"/>
        </w:rPr>
        <w:t>年</w:t>
      </w:r>
      <w:r>
        <w:rPr>
          <w:rFonts w:eastAsia="仿宋_GB2312"/>
          <w:color w:val="000000"/>
          <w:sz w:val="28"/>
          <w:szCs w:val="32"/>
          <w:u w:val="single"/>
        </w:rPr>
        <w:t xml:space="preserve">   </w:t>
      </w:r>
      <w:r>
        <w:rPr>
          <w:rFonts w:eastAsia="仿宋_GB2312"/>
          <w:color w:val="000000"/>
          <w:sz w:val="28"/>
          <w:szCs w:val="32"/>
        </w:rPr>
        <w:t>月至投标截止日期）行贿受贿犯罪行为记录，依法不予公开的裁判文书在中国裁判文书网无法查询的，投标人应如实声明行贿受贿犯罪行为，否则视为弄虚作假：</w:t>
      </w:r>
    </w:p>
    <w:p>
      <w:pPr>
        <w:pStyle w:val="19"/>
        <w:spacing w:line="490" w:lineRule="exact"/>
        <w:ind w:left="980" w:hanging="560" w:hangingChars="200"/>
        <w:rPr>
          <w:color w:val="000000"/>
          <w:sz w:val="28"/>
          <w:szCs w:val="32"/>
        </w:rPr>
      </w:pPr>
    </w:p>
    <w:p>
      <w:pPr>
        <w:pStyle w:val="19"/>
        <w:spacing w:line="490" w:lineRule="exact"/>
        <w:ind w:left="980" w:hanging="560" w:hangingChars="200"/>
        <w:rPr>
          <w:rFonts w:eastAsia="仿宋_GB2312"/>
          <w:color w:val="000000"/>
          <w:sz w:val="28"/>
          <w:szCs w:val="32"/>
        </w:rPr>
      </w:pPr>
      <w:r>
        <w:rPr>
          <w:rFonts w:eastAsia="仿宋_GB2312"/>
          <w:color w:val="000000"/>
          <w:sz w:val="28"/>
          <w:szCs w:val="32"/>
        </w:rPr>
        <w:t>………………</w:t>
      </w:r>
    </w:p>
    <w:p>
      <w:pPr>
        <w:pStyle w:val="19"/>
        <w:spacing w:line="490" w:lineRule="exact"/>
        <w:ind w:left="980" w:hanging="560" w:hangingChars="200"/>
        <w:rPr>
          <w:rFonts w:eastAsia="仿宋_GB2312"/>
          <w:color w:val="000000"/>
          <w:sz w:val="28"/>
          <w:szCs w:val="32"/>
        </w:rPr>
      </w:pPr>
    </w:p>
    <w:p>
      <w:pPr>
        <w:pStyle w:val="19"/>
        <w:spacing w:line="490" w:lineRule="exact"/>
        <w:ind w:firstLine="560"/>
        <w:rPr>
          <w:rFonts w:eastAsia="仿宋_GB2312"/>
          <w:color w:val="000000"/>
          <w:sz w:val="28"/>
          <w:szCs w:val="28"/>
        </w:rPr>
      </w:pPr>
      <w:r>
        <w:rPr>
          <w:rFonts w:eastAsia="仿宋_GB2312"/>
          <w:color w:val="000000"/>
          <w:sz w:val="28"/>
          <w:szCs w:val="28"/>
        </w:rPr>
        <w:t>本声明应附以下材料：</w:t>
      </w:r>
    </w:p>
    <w:p>
      <w:pPr>
        <w:pStyle w:val="19"/>
        <w:spacing w:after="0" w:line="360" w:lineRule="auto"/>
        <w:ind w:firstLine="560"/>
        <w:rPr>
          <w:rFonts w:eastAsia="仿宋"/>
          <w:color w:val="000000"/>
          <w:sz w:val="28"/>
          <w:szCs w:val="28"/>
        </w:rPr>
      </w:pPr>
      <w:r>
        <w:rPr>
          <w:rFonts w:eastAsia="仿宋"/>
          <w:color w:val="000000"/>
          <w:sz w:val="28"/>
          <w:szCs w:val="28"/>
        </w:rPr>
        <w:t>投标人应在中国裁判文书网（http://wenshu.court.gov.cn/）查询行贿受贿犯罪行为记录并截图。</w:t>
      </w:r>
    </w:p>
    <w:p>
      <w:pPr>
        <w:spacing w:line="490" w:lineRule="exact"/>
        <w:ind w:firstLine="560" w:firstLineChars="200"/>
        <w:rPr>
          <w:rFonts w:eastAsia="仿宋_GB2312"/>
          <w:color w:val="000000"/>
          <w:sz w:val="28"/>
          <w:szCs w:val="32"/>
        </w:rPr>
      </w:pPr>
    </w:p>
    <w:p>
      <w:pPr>
        <w:spacing w:line="490" w:lineRule="exact"/>
        <w:ind w:firstLine="560" w:firstLineChars="200"/>
        <w:rPr>
          <w:rFonts w:eastAsia="仿宋_GB2312"/>
          <w:color w:val="000000"/>
          <w:sz w:val="28"/>
          <w:szCs w:val="32"/>
        </w:rPr>
      </w:pPr>
    </w:p>
    <w:p>
      <w:pPr>
        <w:snapToGrid w:val="0"/>
        <w:spacing w:line="490" w:lineRule="exact"/>
        <w:ind w:firstLine="2472" w:firstLineChars="883"/>
        <w:rPr>
          <w:rFonts w:eastAsia="仿宋_GB2312"/>
          <w:color w:val="000000"/>
          <w:sz w:val="28"/>
          <w:szCs w:val="32"/>
          <w:u w:val="single"/>
        </w:rPr>
      </w:pPr>
      <w:r>
        <w:rPr>
          <w:rFonts w:eastAsia="仿宋_GB2312"/>
          <w:color w:val="000000"/>
          <w:sz w:val="28"/>
          <w:szCs w:val="32"/>
        </w:rPr>
        <w:t>投  标  人：</w:t>
      </w:r>
      <w:r>
        <w:rPr>
          <w:rFonts w:eastAsia="仿宋_GB2312"/>
          <w:color w:val="000000"/>
          <w:sz w:val="28"/>
          <w:szCs w:val="32"/>
          <w:u w:val="single"/>
        </w:rPr>
        <w:t xml:space="preserve">         （名称）        </w:t>
      </w:r>
    </w:p>
    <w:p>
      <w:pPr>
        <w:snapToGrid w:val="0"/>
        <w:spacing w:line="490" w:lineRule="exact"/>
        <w:ind w:firstLine="4852" w:firstLineChars="1733"/>
        <w:rPr>
          <w:rFonts w:eastAsia="仿宋_GB2312"/>
          <w:color w:val="000000"/>
          <w:sz w:val="28"/>
          <w:szCs w:val="32"/>
        </w:rPr>
      </w:pPr>
      <w:r>
        <w:rPr>
          <w:rFonts w:eastAsia="仿宋_GB2312"/>
          <w:color w:val="000000"/>
          <w:sz w:val="28"/>
          <w:szCs w:val="32"/>
        </w:rPr>
        <w:t>（盖单位电子公章）</w:t>
      </w:r>
    </w:p>
    <w:p>
      <w:pPr>
        <w:snapToGrid w:val="0"/>
        <w:spacing w:line="490" w:lineRule="exact"/>
        <w:ind w:firstLine="2472" w:firstLineChars="883"/>
        <w:rPr>
          <w:rFonts w:eastAsia="仿宋_GB2312"/>
          <w:color w:val="000000"/>
          <w:sz w:val="28"/>
          <w:szCs w:val="32"/>
          <w:u w:val="single"/>
        </w:rPr>
      </w:pPr>
      <w:r>
        <w:rPr>
          <w:rFonts w:eastAsia="仿宋_GB2312"/>
          <w:bCs/>
          <w:color w:val="000000"/>
          <w:sz w:val="28"/>
          <w:szCs w:val="32"/>
        </w:rPr>
        <w:t>法定代表人</w:t>
      </w:r>
      <w:r>
        <w:rPr>
          <w:rFonts w:eastAsia="仿宋_GB2312"/>
          <w:color w:val="000000"/>
          <w:sz w:val="28"/>
          <w:szCs w:val="32"/>
        </w:rPr>
        <w:t>：</w:t>
      </w:r>
      <w:r>
        <w:rPr>
          <w:rFonts w:eastAsia="仿宋_GB2312"/>
          <w:color w:val="000000"/>
          <w:sz w:val="28"/>
          <w:szCs w:val="32"/>
          <w:u w:val="single"/>
        </w:rPr>
        <w:t xml:space="preserve">      （电子签名）        </w:t>
      </w:r>
    </w:p>
    <w:p>
      <w:pPr>
        <w:snapToGrid w:val="0"/>
        <w:spacing w:line="490" w:lineRule="exact"/>
        <w:ind w:firstLine="2472" w:firstLineChars="883"/>
        <w:rPr>
          <w:rFonts w:eastAsia="仿宋_GB2312"/>
          <w:color w:val="000000"/>
          <w:sz w:val="28"/>
          <w:szCs w:val="32"/>
          <w:u w:val="single"/>
        </w:rPr>
      </w:pPr>
    </w:p>
    <w:p>
      <w:pPr>
        <w:snapToGrid w:val="0"/>
        <w:spacing w:line="490" w:lineRule="exact"/>
        <w:ind w:firstLine="2472" w:firstLineChars="883"/>
        <w:rPr>
          <w:rFonts w:eastAsia="仿宋_GB2312"/>
          <w:color w:val="000000"/>
          <w:sz w:val="28"/>
          <w:szCs w:val="32"/>
        </w:rPr>
      </w:pPr>
      <w:r>
        <w:rPr>
          <w:rFonts w:eastAsia="仿宋_GB2312"/>
          <w:bCs/>
          <w:color w:val="000000"/>
          <w:sz w:val="28"/>
          <w:szCs w:val="32"/>
        </w:rPr>
        <w:t>日      期：</w:t>
      </w:r>
      <w:r>
        <w:rPr>
          <w:rFonts w:eastAsia="仿宋_GB2312"/>
          <w:color w:val="000000"/>
          <w:sz w:val="28"/>
          <w:szCs w:val="32"/>
          <w:u w:val="single"/>
        </w:rPr>
        <w:t xml:space="preserve">        </w:t>
      </w:r>
      <w:r>
        <w:rPr>
          <w:rFonts w:eastAsia="仿宋_GB2312"/>
          <w:color w:val="000000"/>
          <w:sz w:val="28"/>
          <w:szCs w:val="32"/>
        </w:rPr>
        <w:t>年</w:t>
      </w:r>
      <w:r>
        <w:rPr>
          <w:rFonts w:eastAsia="仿宋_GB2312"/>
          <w:color w:val="000000"/>
          <w:sz w:val="28"/>
          <w:szCs w:val="32"/>
          <w:u w:val="single"/>
        </w:rPr>
        <w:t xml:space="preserve">     </w:t>
      </w:r>
      <w:r>
        <w:rPr>
          <w:rFonts w:eastAsia="仿宋_GB2312"/>
          <w:color w:val="000000"/>
          <w:sz w:val="28"/>
          <w:szCs w:val="32"/>
        </w:rPr>
        <w:t>月</w:t>
      </w:r>
      <w:r>
        <w:rPr>
          <w:rFonts w:eastAsia="仿宋_GB2312"/>
          <w:color w:val="000000"/>
          <w:sz w:val="28"/>
          <w:szCs w:val="32"/>
          <w:u w:val="single"/>
        </w:rPr>
        <w:t xml:space="preserve">     </w:t>
      </w:r>
      <w:r>
        <w:rPr>
          <w:rFonts w:eastAsia="仿宋_GB2312"/>
          <w:color w:val="000000"/>
          <w:sz w:val="28"/>
          <w:szCs w:val="32"/>
        </w:rPr>
        <w:t>日</w:t>
      </w:r>
    </w:p>
    <w:p>
      <w:pPr>
        <w:snapToGrid w:val="0"/>
        <w:spacing w:line="490" w:lineRule="exact"/>
        <w:ind w:firstLine="1766" w:firstLineChars="883"/>
        <w:rPr>
          <w:color w:val="000000"/>
          <w:sz w:val="20"/>
        </w:rPr>
      </w:pPr>
    </w:p>
    <w:p>
      <w:pPr>
        <w:pStyle w:val="13"/>
        <w:spacing w:line="490" w:lineRule="exact"/>
        <w:ind w:left="0" w:leftChars="0" w:firstLine="0" w:firstLineChars="0"/>
        <w:jc w:val="center"/>
        <w:rPr>
          <w:rFonts w:hint="eastAsia"/>
          <w:color w:val="000000"/>
          <w:sz w:val="20"/>
        </w:rPr>
      </w:pPr>
      <w:r>
        <w:rPr>
          <w:color w:val="000000"/>
          <w:sz w:val="20"/>
        </w:rPr>
        <w:br w:type="page"/>
      </w:r>
    </w:p>
    <w:p>
      <w:pPr>
        <w:pStyle w:val="13"/>
        <w:spacing w:line="490" w:lineRule="exact"/>
        <w:ind w:left="0" w:leftChars="0" w:firstLine="0" w:firstLineChars="0"/>
        <w:jc w:val="center"/>
        <w:outlineLvl w:val="3"/>
        <w:rPr>
          <w:rFonts w:ascii="楷体_GB2312" w:eastAsia="楷体_GB2312"/>
          <w:b/>
          <w:color w:val="000000"/>
          <w:sz w:val="30"/>
          <w:szCs w:val="30"/>
        </w:rPr>
      </w:pPr>
      <w:r>
        <w:rPr>
          <w:rFonts w:ascii="楷体_GB2312" w:eastAsia="楷体_GB2312"/>
          <w:b/>
          <w:color w:val="000000"/>
          <w:sz w:val="30"/>
          <w:szCs w:val="30"/>
        </w:rPr>
        <w:t>（五）未列入严重违法失信企业名单、失信被执行人名单的网页截图</w:t>
      </w:r>
    </w:p>
    <w:p>
      <w:pPr>
        <w:spacing w:line="490" w:lineRule="exact"/>
        <w:rPr>
          <w:rFonts w:hint="eastAsia" w:ascii="仿宋_GB2312" w:eastAsia="仿宋_GB2312"/>
          <w:color w:val="000000"/>
          <w:sz w:val="20"/>
        </w:rPr>
      </w:pPr>
    </w:p>
    <w:p>
      <w:pPr>
        <w:pStyle w:val="19"/>
        <w:spacing w:line="490" w:lineRule="exact"/>
        <w:ind w:left="0" w:leftChars="0" w:firstLine="560" w:firstLineChars="200"/>
        <w:rPr>
          <w:rFonts w:hint="eastAsia" w:ascii="仿宋_GB2312" w:eastAsia="仿宋_GB2312"/>
          <w:color w:val="000000"/>
          <w:sz w:val="28"/>
          <w:szCs w:val="28"/>
        </w:rPr>
      </w:pPr>
      <w:r>
        <w:rPr>
          <w:rFonts w:hint="eastAsia" w:ascii="仿宋_GB2312" w:eastAsia="仿宋_GB2312"/>
          <w:color w:val="000000"/>
          <w:sz w:val="28"/>
          <w:szCs w:val="28"/>
        </w:rPr>
        <w:t>附：</w:t>
      </w:r>
    </w:p>
    <w:p>
      <w:pPr>
        <w:pStyle w:val="19"/>
        <w:spacing w:line="490" w:lineRule="exact"/>
        <w:ind w:left="0" w:leftChars="0" w:firstLine="560" w:firstLineChars="200"/>
        <w:rPr>
          <w:rFonts w:hint="eastAsia" w:ascii="仿宋_GB2312" w:eastAsia="仿宋_GB2312"/>
          <w:color w:val="000000"/>
          <w:sz w:val="28"/>
          <w:szCs w:val="28"/>
        </w:rPr>
      </w:pPr>
      <w:r>
        <w:rPr>
          <w:rFonts w:hint="eastAsia" w:ascii="仿宋_GB2312" w:eastAsia="仿宋_GB2312"/>
          <w:color w:val="000000"/>
          <w:sz w:val="28"/>
          <w:szCs w:val="28"/>
        </w:rPr>
        <w:t>1</w:t>
      </w:r>
      <w:r>
        <w:rPr>
          <w:rFonts w:hint="eastAsia" w:ascii="仿宋_GB2312" w:eastAsia="仿宋_GB2312"/>
          <w:color w:val="000000"/>
          <w:sz w:val="28"/>
          <w:szCs w:val="28"/>
          <w:lang w:val="en-US" w:eastAsia="zh-CN"/>
        </w:rPr>
        <w:t>.</w:t>
      </w:r>
      <w:r>
        <w:rPr>
          <w:rFonts w:hint="eastAsia" w:ascii="仿宋_GB2312" w:eastAsia="仿宋_GB2312"/>
          <w:color w:val="000000"/>
          <w:sz w:val="28"/>
          <w:szCs w:val="28"/>
        </w:rPr>
        <w:t>全国企业信用信息公示系统中未列入严重违法失信企业名单的网页截图；</w:t>
      </w:r>
    </w:p>
    <w:p>
      <w:pPr>
        <w:pStyle w:val="19"/>
        <w:spacing w:line="490" w:lineRule="exact"/>
        <w:ind w:left="0" w:leftChars="0" w:firstLine="560" w:firstLineChars="200"/>
        <w:rPr>
          <w:rFonts w:hint="eastAsia" w:ascii="仿宋_GB2312" w:eastAsia="仿宋_GB2312"/>
          <w:color w:val="000000"/>
          <w:sz w:val="28"/>
          <w:szCs w:val="28"/>
        </w:rPr>
      </w:pPr>
      <w:r>
        <w:rPr>
          <w:rFonts w:hint="eastAsia" w:ascii="仿宋_GB2312" w:eastAsia="仿宋_GB2312"/>
          <w:color w:val="000000"/>
          <w:sz w:val="28"/>
          <w:szCs w:val="28"/>
        </w:rPr>
        <w:t>2</w:t>
      </w:r>
      <w:r>
        <w:rPr>
          <w:rFonts w:hint="eastAsia" w:ascii="仿宋_GB2312" w:eastAsia="仿宋_GB2312"/>
          <w:color w:val="000000"/>
          <w:sz w:val="28"/>
          <w:szCs w:val="28"/>
          <w:lang w:val="en-US" w:eastAsia="zh-CN"/>
        </w:rPr>
        <w:t>.</w:t>
      </w:r>
      <w:r>
        <w:rPr>
          <w:rFonts w:hint="eastAsia" w:ascii="仿宋_GB2312" w:eastAsia="仿宋_GB2312"/>
          <w:color w:val="000000"/>
          <w:sz w:val="28"/>
          <w:szCs w:val="28"/>
        </w:rPr>
        <w:t>被最高人民法院在“信用中国”网站（www.creditchina.gov.cn）中未列入失信被执行人名单的网页截图。</w:t>
      </w:r>
    </w:p>
    <w:p>
      <w:pPr>
        <w:spacing w:line="490" w:lineRule="exact"/>
        <w:rPr>
          <w:rFonts w:hint="eastAsia" w:ascii="仿宋_GB2312" w:eastAsia="仿宋_GB2312"/>
          <w:color w:val="000000"/>
          <w:sz w:val="20"/>
        </w:rPr>
      </w:pPr>
    </w:p>
    <w:p>
      <w:pPr>
        <w:pStyle w:val="13"/>
        <w:spacing w:line="490" w:lineRule="exact"/>
        <w:ind w:left="0" w:leftChars="0" w:firstLine="0" w:firstLineChars="0"/>
        <w:jc w:val="center"/>
        <w:outlineLvl w:val="3"/>
        <w:rPr>
          <w:rFonts w:ascii="楷体_GB2312" w:eastAsia="楷体_GB2312"/>
          <w:b/>
          <w:color w:val="000000"/>
          <w:sz w:val="30"/>
          <w:szCs w:val="30"/>
        </w:rPr>
      </w:pPr>
      <w:r>
        <w:rPr>
          <w:rFonts w:ascii="楷体_GB2312" w:eastAsia="楷体_GB2312"/>
          <w:b/>
          <w:color w:val="000000"/>
          <w:sz w:val="30"/>
          <w:szCs w:val="30"/>
        </w:rPr>
        <w:t>（六）其它材料</w:t>
      </w:r>
    </w:p>
    <w:p>
      <w:pPr>
        <w:spacing w:line="600" w:lineRule="exact"/>
        <w:ind w:firstLine="440" w:firstLineChars="200"/>
        <w:rPr>
          <w:rFonts w:eastAsia="仿宋_GB2312"/>
          <w:color w:val="000000"/>
          <w:sz w:val="22"/>
        </w:rPr>
      </w:pPr>
    </w:p>
    <w:p>
      <w:pPr>
        <w:spacing w:line="600" w:lineRule="exact"/>
        <w:ind w:firstLine="560" w:firstLineChars="200"/>
        <w:rPr>
          <w:rFonts w:eastAsia="仿宋_GB2312"/>
          <w:color w:val="000000"/>
          <w:sz w:val="28"/>
        </w:rPr>
      </w:pPr>
      <w:r>
        <w:rPr>
          <w:rFonts w:eastAsia="仿宋_GB2312"/>
          <w:color w:val="000000"/>
          <w:sz w:val="28"/>
        </w:rPr>
        <w:t>注：投标人可根据自身需要自行提供各类材料，内容不限。</w:t>
      </w:r>
    </w:p>
    <w:p>
      <w:pPr>
        <w:spacing w:line="600" w:lineRule="exact"/>
        <w:ind w:firstLine="440" w:firstLineChars="200"/>
        <w:rPr>
          <w:rFonts w:eastAsia="仿宋_GB2312"/>
          <w:color w:val="000000"/>
          <w:sz w:val="22"/>
        </w:rPr>
      </w:pPr>
    </w:p>
    <w:p>
      <w:pPr>
        <w:spacing w:line="276" w:lineRule="auto"/>
        <w:ind w:firstLine="420" w:firstLineChars="200"/>
        <w:rPr>
          <w:color w:val="000000"/>
        </w:rPr>
      </w:pPr>
    </w:p>
    <w:p>
      <w:pPr>
        <w:pStyle w:val="13"/>
        <w:spacing w:before="240" w:beforeLines="100" w:after="240" w:afterLines="100" w:line="600" w:lineRule="exact"/>
        <w:ind w:left="0" w:leftChars="0" w:firstLine="0" w:firstLineChars="0"/>
        <w:jc w:val="center"/>
        <w:rPr>
          <w:color w:val="000000"/>
        </w:rPr>
      </w:pPr>
      <w:r>
        <w:rPr>
          <w:color w:val="000000"/>
        </w:rPr>
        <w:br w:type="page"/>
      </w:r>
    </w:p>
    <w:p>
      <w:pPr>
        <w:pStyle w:val="13"/>
        <w:spacing w:before="240" w:beforeLines="100" w:after="240" w:afterLines="100" w:line="600" w:lineRule="exact"/>
        <w:ind w:left="0" w:leftChars="0" w:firstLine="0" w:firstLineChars="0"/>
        <w:jc w:val="center"/>
        <w:rPr>
          <w:rFonts w:eastAsia="方正小标宋_GBK"/>
          <w:b/>
          <w:color w:val="000000"/>
          <w:sz w:val="40"/>
          <w:szCs w:val="28"/>
        </w:rPr>
      </w:pPr>
    </w:p>
    <w:p>
      <w:pPr>
        <w:pStyle w:val="13"/>
        <w:spacing w:before="240" w:beforeLines="100" w:after="240" w:afterLines="100" w:line="600" w:lineRule="exact"/>
        <w:ind w:left="0" w:leftChars="0" w:firstLine="0" w:firstLineChars="0"/>
        <w:jc w:val="center"/>
        <w:rPr>
          <w:rFonts w:eastAsia="方正小标宋_GBK"/>
          <w:b/>
          <w:color w:val="000000"/>
          <w:sz w:val="40"/>
          <w:szCs w:val="28"/>
        </w:rPr>
      </w:pPr>
    </w:p>
    <w:p>
      <w:pPr>
        <w:pStyle w:val="13"/>
        <w:spacing w:before="240" w:beforeLines="100" w:after="240" w:afterLines="100" w:line="600" w:lineRule="exact"/>
        <w:ind w:left="0" w:leftChars="0" w:firstLine="0" w:firstLineChars="0"/>
        <w:jc w:val="center"/>
        <w:rPr>
          <w:rFonts w:eastAsia="方正小标宋_GBK"/>
          <w:b/>
          <w:color w:val="000000"/>
          <w:sz w:val="40"/>
          <w:szCs w:val="28"/>
        </w:rPr>
      </w:pPr>
    </w:p>
    <w:p>
      <w:pPr>
        <w:pStyle w:val="13"/>
        <w:spacing w:before="240" w:beforeLines="100" w:after="240" w:afterLines="100"/>
        <w:ind w:left="0" w:leftChars="0" w:firstLine="0" w:firstLineChars="0"/>
        <w:jc w:val="center"/>
        <w:outlineLvl w:val="1"/>
        <w:rPr>
          <w:rFonts w:hint="eastAsia" w:ascii="方正小标宋简体" w:eastAsia="方正小标宋简体"/>
          <w:color w:val="000000"/>
          <w:sz w:val="52"/>
          <w:szCs w:val="56"/>
        </w:rPr>
      </w:pPr>
      <w:bookmarkStart w:id="2036" w:name="_Toc51091952"/>
      <w:bookmarkStart w:id="2037" w:name="_Toc16102"/>
      <w:bookmarkStart w:id="2038" w:name="_Toc24962"/>
      <w:r>
        <w:rPr>
          <w:rFonts w:hint="eastAsia" w:ascii="方正小标宋简体" w:eastAsia="方正小标宋简体"/>
          <w:color w:val="000000"/>
          <w:sz w:val="52"/>
          <w:szCs w:val="56"/>
        </w:rPr>
        <w:t>第二部分  技术投标文件格式</w:t>
      </w:r>
      <w:bookmarkEnd w:id="2036"/>
      <w:bookmarkEnd w:id="2037"/>
      <w:bookmarkEnd w:id="2038"/>
    </w:p>
    <w:p>
      <w:pPr>
        <w:jc w:val="center"/>
        <w:rPr>
          <w:rFonts w:hint="eastAsia" w:ascii="楷体_GB2312" w:eastAsia="楷体_GB2312"/>
          <w:b/>
          <w:color w:val="000000"/>
          <w:sz w:val="28"/>
        </w:rPr>
      </w:pPr>
      <w:r>
        <w:rPr>
          <w:rFonts w:hint="eastAsia" w:ascii="楷体_GB2312" w:eastAsia="楷体_GB2312"/>
          <w:b/>
          <w:bCs/>
          <w:color w:val="000000"/>
          <w:sz w:val="40"/>
          <w:szCs w:val="28"/>
        </w:rPr>
        <w:t>（技术投标文件为暗标）</w:t>
      </w:r>
    </w:p>
    <w:p>
      <w:pPr>
        <w:spacing w:line="490" w:lineRule="exact"/>
        <w:jc w:val="center"/>
        <w:rPr>
          <w:rFonts w:hint="eastAsia" w:ascii="楷体_GB2312" w:eastAsia="楷体_GB2312"/>
          <w:color w:val="000000"/>
          <w:sz w:val="20"/>
        </w:rPr>
      </w:pPr>
      <w:r>
        <w:rPr>
          <w:rFonts w:hint="eastAsia" w:ascii="楷体_GB2312" w:eastAsia="楷体_GB2312"/>
          <w:color w:val="000000"/>
        </w:rPr>
        <w:br w:type="page"/>
      </w:r>
    </w:p>
    <w:p>
      <w:pPr>
        <w:pStyle w:val="39"/>
        <w:spacing w:line="490" w:lineRule="exact"/>
        <w:ind w:left="0" w:leftChars="0" w:firstLine="0" w:firstLineChars="0"/>
        <w:jc w:val="center"/>
        <w:outlineLvl w:val="3"/>
        <w:rPr>
          <w:rFonts w:hint="eastAsia" w:ascii="方正小标宋简体" w:eastAsia="方正小标宋简体"/>
          <w:color w:val="000000"/>
          <w:sz w:val="36"/>
          <w:szCs w:val="36"/>
        </w:rPr>
      </w:pPr>
      <w:r>
        <w:rPr>
          <w:rFonts w:hint="eastAsia" w:ascii="方正小标宋简体" w:eastAsia="方正小标宋简体"/>
          <w:color w:val="000000"/>
          <w:sz w:val="36"/>
          <w:szCs w:val="36"/>
        </w:rPr>
        <w:t>技术投标文件（施工组织设计）内容</w:t>
      </w:r>
    </w:p>
    <w:p>
      <w:pPr>
        <w:pStyle w:val="39"/>
        <w:spacing w:line="490" w:lineRule="exact"/>
        <w:ind w:left="0" w:leftChars="0" w:firstLine="560" w:firstLineChars="200"/>
        <w:rPr>
          <w:rFonts w:eastAsia="仿宋_GB2312"/>
          <w:color w:val="000000"/>
          <w:sz w:val="28"/>
          <w:szCs w:val="32"/>
        </w:rPr>
      </w:pPr>
    </w:p>
    <w:p>
      <w:pPr>
        <w:pStyle w:val="39"/>
        <w:spacing w:line="490" w:lineRule="exact"/>
        <w:ind w:left="0" w:leftChars="0" w:firstLine="560" w:firstLineChars="200"/>
        <w:rPr>
          <w:rFonts w:eastAsia="仿宋_GB2312"/>
          <w:color w:val="000000"/>
          <w:sz w:val="28"/>
          <w:szCs w:val="32"/>
        </w:rPr>
      </w:pPr>
      <w:r>
        <w:rPr>
          <w:rFonts w:eastAsia="仿宋_GB2312"/>
          <w:color w:val="000000"/>
          <w:sz w:val="28"/>
          <w:szCs w:val="32"/>
        </w:rPr>
        <w:t>1．投标人应根据项目具体特点和需要编制技术投标文件。技术投标文件应版面整齐，表述清晰，内容全面、准确，图文并茂。</w:t>
      </w:r>
    </w:p>
    <w:p>
      <w:pPr>
        <w:pStyle w:val="39"/>
        <w:spacing w:line="490" w:lineRule="exact"/>
        <w:ind w:left="0" w:leftChars="0" w:firstLine="560" w:firstLineChars="200"/>
        <w:rPr>
          <w:rFonts w:eastAsia="仿宋_GB2312"/>
          <w:color w:val="000000"/>
          <w:sz w:val="28"/>
          <w:szCs w:val="32"/>
        </w:rPr>
      </w:pPr>
      <w:r>
        <w:rPr>
          <w:rFonts w:eastAsia="仿宋_GB2312"/>
          <w:color w:val="000000"/>
          <w:sz w:val="28"/>
          <w:szCs w:val="32"/>
        </w:rPr>
        <w:t>2．技术投标文件应至少附下列图表，图表及格式要求附后。附件一：拟投入本标段的主要施工设备表</w:t>
      </w:r>
    </w:p>
    <w:p>
      <w:pPr>
        <w:pStyle w:val="39"/>
        <w:spacing w:line="490" w:lineRule="exact"/>
        <w:ind w:left="0" w:leftChars="0" w:firstLine="560" w:firstLineChars="200"/>
        <w:rPr>
          <w:rFonts w:eastAsia="仿宋_GB2312"/>
          <w:color w:val="000000"/>
          <w:sz w:val="28"/>
          <w:szCs w:val="32"/>
        </w:rPr>
      </w:pPr>
      <w:r>
        <w:rPr>
          <w:rFonts w:eastAsia="仿宋_GB2312"/>
          <w:color w:val="000000"/>
          <w:sz w:val="28"/>
          <w:szCs w:val="32"/>
        </w:rPr>
        <w:t>附件二：拟投入本标段的试验和检测仪器设备表</w:t>
      </w:r>
    </w:p>
    <w:p>
      <w:pPr>
        <w:pStyle w:val="39"/>
        <w:spacing w:line="490" w:lineRule="exact"/>
        <w:ind w:left="0" w:leftChars="0" w:firstLine="560" w:firstLineChars="200"/>
        <w:rPr>
          <w:rFonts w:eastAsia="仿宋_GB2312"/>
          <w:color w:val="000000"/>
          <w:sz w:val="28"/>
          <w:szCs w:val="32"/>
        </w:rPr>
      </w:pPr>
      <w:r>
        <w:rPr>
          <w:rFonts w:eastAsia="仿宋_GB2312"/>
          <w:color w:val="000000"/>
          <w:sz w:val="28"/>
          <w:szCs w:val="32"/>
        </w:rPr>
        <w:t>附件三：拟投入本标段的劳动力计划表</w:t>
      </w:r>
    </w:p>
    <w:p>
      <w:pPr>
        <w:pStyle w:val="39"/>
        <w:spacing w:line="490" w:lineRule="exact"/>
        <w:ind w:left="0" w:leftChars="0" w:firstLine="560" w:firstLineChars="200"/>
        <w:rPr>
          <w:rFonts w:eastAsia="仿宋_GB2312"/>
          <w:color w:val="000000"/>
          <w:sz w:val="28"/>
          <w:szCs w:val="32"/>
        </w:rPr>
      </w:pPr>
      <w:r>
        <w:rPr>
          <w:rFonts w:eastAsia="仿宋_GB2312"/>
          <w:color w:val="000000"/>
          <w:sz w:val="28"/>
          <w:szCs w:val="32"/>
        </w:rPr>
        <w:t>附件四：计划开工日期、完工日期和施工进度网络图（或横道图）</w:t>
      </w:r>
    </w:p>
    <w:p>
      <w:pPr>
        <w:pStyle w:val="39"/>
        <w:spacing w:line="490" w:lineRule="exact"/>
        <w:ind w:left="0" w:leftChars="0" w:firstLine="560" w:firstLineChars="200"/>
        <w:rPr>
          <w:rFonts w:eastAsia="仿宋_GB2312"/>
          <w:color w:val="000000"/>
          <w:sz w:val="28"/>
          <w:szCs w:val="32"/>
        </w:rPr>
      </w:pPr>
      <w:r>
        <w:rPr>
          <w:rFonts w:eastAsia="仿宋_GB2312"/>
          <w:color w:val="000000"/>
          <w:sz w:val="28"/>
          <w:szCs w:val="32"/>
        </w:rPr>
        <w:t>附件五：施工总平面图（绘出现场临时设施布置图表并附文字说明，说明临时设施、加工车间、现场办公、设备及仓储、供电、供水、卫生、生活、道路、消防等设施及料场、弃料场等位置及布置情况。）</w:t>
      </w:r>
    </w:p>
    <w:p>
      <w:pPr>
        <w:pStyle w:val="39"/>
        <w:spacing w:line="490" w:lineRule="exact"/>
        <w:ind w:left="0" w:leftChars="0" w:firstLine="560" w:firstLineChars="200"/>
        <w:rPr>
          <w:rFonts w:eastAsia="仿宋_GB2312"/>
          <w:color w:val="000000"/>
          <w:sz w:val="28"/>
          <w:szCs w:val="32"/>
        </w:rPr>
      </w:pPr>
      <w:r>
        <w:rPr>
          <w:rFonts w:eastAsia="仿宋_GB2312"/>
          <w:color w:val="000000"/>
          <w:sz w:val="28"/>
          <w:szCs w:val="32"/>
        </w:rPr>
        <w:t>附件六：临时用地表</w:t>
      </w:r>
    </w:p>
    <w:p>
      <w:pPr>
        <w:pStyle w:val="39"/>
        <w:spacing w:line="490" w:lineRule="exact"/>
        <w:ind w:left="0" w:leftChars="0" w:firstLine="562" w:firstLineChars="200"/>
        <w:rPr>
          <w:rFonts w:eastAsia="仿宋_GB2312"/>
          <w:b/>
          <w:color w:val="000000"/>
          <w:sz w:val="28"/>
          <w:szCs w:val="32"/>
        </w:rPr>
      </w:pPr>
      <w:r>
        <w:rPr>
          <w:rFonts w:eastAsia="仿宋_GB2312"/>
          <w:b/>
          <w:color w:val="000000"/>
          <w:sz w:val="28"/>
          <w:szCs w:val="32"/>
        </w:rPr>
        <w:t>3．暗标制作要求</w:t>
      </w:r>
    </w:p>
    <w:p>
      <w:pPr>
        <w:spacing w:line="490" w:lineRule="exact"/>
        <w:ind w:firstLine="560" w:firstLineChars="200"/>
        <w:rPr>
          <w:rFonts w:eastAsia="仿宋_GB2312"/>
          <w:color w:val="000000"/>
          <w:sz w:val="28"/>
          <w:szCs w:val="32"/>
        </w:rPr>
      </w:pPr>
      <w:r>
        <w:rPr>
          <w:rFonts w:eastAsia="仿宋_GB2312"/>
          <w:color w:val="000000"/>
          <w:sz w:val="28"/>
          <w:szCs w:val="32"/>
        </w:rPr>
        <w:t>（1）技术投标文件</w:t>
      </w:r>
      <w:r>
        <w:rPr>
          <w:rFonts w:eastAsia="仿宋_GB2312"/>
          <w:bCs/>
          <w:color w:val="000000"/>
          <w:sz w:val="28"/>
          <w:szCs w:val="32"/>
        </w:rPr>
        <w:t>内不得出现投标人名称或者出现任何能直接判断出投标人和其相关人员信息的内容。</w:t>
      </w:r>
    </w:p>
    <w:p>
      <w:pPr>
        <w:spacing w:line="490" w:lineRule="exact"/>
        <w:ind w:firstLine="560" w:firstLineChars="200"/>
        <w:rPr>
          <w:rFonts w:eastAsia="仿宋_GB2312"/>
          <w:color w:val="000000"/>
          <w:sz w:val="28"/>
          <w:szCs w:val="32"/>
        </w:rPr>
      </w:pPr>
      <w:r>
        <w:rPr>
          <w:rFonts w:eastAsia="仿宋_GB2312"/>
          <w:color w:val="000000"/>
          <w:sz w:val="28"/>
          <w:szCs w:val="32"/>
        </w:rPr>
        <w:t>（2）图纸按规范要求绘制，不设图签，不得注明投标人和其相关人员信息或设计单位及设计人信息。</w:t>
      </w:r>
    </w:p>
    <w:p>
      <w:pPr>
        <w:spacing w:line="490" w:lineRule="exact"/>
        <w:ind w:firstLine="560" w:firstLineChars="200"/>
        <w:rPr>
          <w:rFonts w:eastAsia="仿宋_GB2312"/>
          <w:color w:val="000000"/>
          <w:sz w:val="28"/>
          <w:szCs w:val="32"/>
        </w:rPr>
      </w:pPr>
      <w:r>
        <w:rPr>
          <w:rFonts w:eastAsia="仿宋_GB2312"/>
          <w:color w:val="000000"/>
          <w:sz w:val="28"/>
          <w:szCs w:val="32"/>
        </w:rPr>
        <w:t>（</w:t>
      </w:r>
      <w:r>
        <w:rPr>
          <w:rFonts w:hint="eastAsia" w:eastAsia="仿宋_GB2312"/>
          <w:color w:val="000000"/>
          <w:sz w:val="28"/>
          <w:szCs w:val="32"/>
        </w:rPr>
        <w:t>3</w:t>
      </w:r>
      <w:r>
        <w:rPr>
          <w:rFonts w:eastAsia="仿宋_GB2312"/>
          <w:color w:val="000000"/>
          <w:sz w:val="28"/>
          <w:szCs w:val="32"/>
        </w:rPr>
        <w:t>）</w:t>
      </w:r>
      <w:r>
        <w:rPr>
          <w:rFonts w:hint="eastAsia" w:eastAsia="仿宋_GB2312"/>
          <w:color w:val="000000"/>
          <w:sz w:val="28"/>
          <w:szCs w:val="32"/>
        </w:rPr>
        <w:t>“暗标”应当以能够隐去投标人的身份为原则，不得以上述规定之外的理由废标。</w:t>
      </w:r>
    </w:p>
    <w:p>
      <w:pPr>
        <w:spacing w:line="490" w:lineRule="exact"/>
        <w:ind w:firstLine="560" w:firstLineChars="200"/>
        <w:rPr>
          <w:rFonts w:eastAsia="仿宋_GB2312"/>
          <w:color w:val="000000"/>
          <w:sz w:val="28"/>
          <w:szCs w:val="32"/>
        </w:rPr>
      </w:pPr>
    </w:p>
    <w:p>
      <w:pPr>
        <w:pStyle w:val="7"/>
        <w:keepNext w:val="0"/>
        <w:keepLines w:val="0"/>
        <w:spacing w:before="0" w:after="0" w:line="490" w:lineRule="exact"/>
        <w:rPr>
          <w:rFonts w:hint="eastAsia" w:ascii="Times New Roman" w:hAnsi="Times New Roman"/>
          <w:b w:val="0"/>
          <w:color w:val="000000"/>
          <w:kern w:val="0"/>
          <w:szCs w:val="24"/>
        </w:rPr>
      </w:pPr>
      <w:r>
        <w:rPr>
          <w:rFonts w:ascii="Times New Roman" w:hAnsi="Times New Roman"/>
          <w:b w:val="0"/>
          <w:color w:val="000000"/>
          <w:kern w:val="0"/>
          <w:sz w:val="32"/>
          <w:szCs w:val="24"/>
        </w:rPr>
        <w:br w:type="page"/>
      </w:r>
      <w:r>
        <w:rPr>
          <w:rFonts w:ascii="Times New Roman" w:hAnsi="Times New Roman"/>
          <w:b w:val="0"/>
          <w:color w:val="000000"/>
          <w:kern w:val="0"/>
          <w:szCs w:val="24"/>
        </w:rPr>
        <w:t>附件一</w:t>
      </w:r>
    </w:p>
    <w:p>
      <w:pPr>
        <w:rPr>
          <w:color w:val="000000"/>
        </w:rPr>
      </w:pPr>
    </w:p>
    <w:p>
      <w:pPr>
        <w:pStyle w:val="13"/>
        <w:spacing w:line="490" w:lineRule="exact"/>
        <w:ind w:left="0" w:leftChars="0" w:firstLine="0" w:firstLineChars="0"/>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拟投入本标段的主要施工设备表</w:t>
      </w:r>
    </w:p>
    <w:p>
      <w:pPr>
        <w:pStyle w:val="13"/>
        <w:spacing w:line="490" w:lineRule="exact"/>
        <w:ind w:left="0" w:leftChars="0" w:firstLine="0" w:firstLineChars="0"/>
        <w:jc w:val="center"/>
        <w:rPr>
          <w:rFonts w:eastAsia="方正小标宋_GBK"/>
          <w:b/>
          <w:color w:val="000000"/>
          <w:sz w:val="40"/>
          <w:szCs w:val="36"/>
        </w:rPr>
      </w:pP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852"/>
        <w:gridCol w:w="853"/>
        <w:gridCol w:w="816"/>
        <w:gridCol w:w="853"/>
        <w:gridCol w:w="816"/>
        <w:gridCol w:w="1042"/>
        <w:gridCol w:w="664"/>
        <w:gridCol w:w="1089"/>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noWrap w:val="0"/>
            <w:vAlign w:val="center"/>
          </w:tcPr>
          <w:p>
            <w:pPr>
              <w:jc w:val="center"/>
              <w:rPr>
                <w:rFonts w:eastAsia="黑体"/>
                <w:color w:val="000000"/>
              </w:rPr>
            </w:pPr>
            <w:r>
              <w:rPr>
                <w:rFonts w:eastAsia="黑体"/>
                <w:color w:val="000000"/>
              </w:rPr>
              <w:t>序号</w:t>
            </w:r>
          </w:p>
        </w:tc>
        <w:tc>
          <w:tcPr>
            <w:tcW w:w="852" w:type="dxa"/>
            <w:noWrap w:val="0"/>
            <w:vAlign w:val="center"/>
          </w:tcPr>
          <w:p>
            <w:pPr>
              <w:jc w:val="center"/>
              <w:rPr>
                <w:rFonts w:eastAsia="黑体"/>
                <w:color w:val="000000"/>
              </w:rPr>
            </w:pPr>
            <w:r>
              <w:rPr>
                <w:rFonts w:eastAsia="黑体"/>
                <w:color w:val="000000"/>
              </w:rPr>
              <w:t>设备名称</w:t>
            </w:r>
          </w:p>
        </w:tc>
        <w:tc>
          <w:tcPr>
            <w:tcW w:w="853" w:type="dxa"/>
            <w:noWrap w:val="0"/>
            <w:vAlign w:val="center"/>
          </w:tcPr>
          <w:p>
            <w:pPr>
              <w:jc w:val="center"/>
              <w:rPr>
                <w:rFonts w:eastAsia="黑体"/>
                <w:color w:val="000000"/>
              </w:rPr>
            </w:pPr>
            <w:r>
              <w:rPr>
                <w:rFonts w:eastAsia="黑体"/>
                <w:color w:val="000000"/>
              </w:rPr>
              <w:t>型号规格</w:t>
            </w:r>
          </w:p>
        </w:tc>
        <w:tc>
          <w:tcPr>
            <w:tcW w:w="816" w:type="dxa"/>
            <w:noWrap w:val="0"/>
            <w:vAlign w:val="center"/>
          </w:tcPr>
          <w:p>
            <w:pPr>
              <w:jc w:val="center"/>
              <w:rPr>
                <w:rFonts w:eastAsia="黑体"/>
                <w:color w:val="000000"/>
              </w:rPr>
            </w:pPr>
            <w:r>
              <w:rPr>
                <w:rFonts w:eastAsia="黑体"/>
                <w:color w:val="000000"/>
              </w:rPr>
              <w:t>数量</w:t>
            </w:r>
          </w:p>
        </w:tc>
        <w:tc>
          <w:tcPr>
            <w:tcW w:w="853" w:type="dxa"/>
            <w:noWrap w:val="0"/>
            <w:vAlign w:val="center"/>
          </w:tcPr>
          <w:p>
            <w:pPr>
              <w:jc w:val="center"/>
              <w:rPr>
                <w:rFonts w:eastAsia="黑体"/>
                <w:color w:val="000000"/>
              </w:rPr>
            </w:pPr>
            <w:r>
              <w:rPr>
                <w:rFonts w:eastAsia="黑体"/>
                <w:color w:val="000000"/>
              </w:rPr>
              <w:t>国别</w:t>
            </w:r>
          </w:p>
          <w:p>
            <w:pPr>
              <w:jc w:val="center"/>
              <w:rPr>
                <w:rFonts w:eastAsia="黑体"/>
                <w:color w:val="000000"/>
              </w:rPr>
            </w:pPr>
            <w:r>
              <w:rPr>
                <w:rFonts w:eastAsia="黑体"/>
                <w:color w:val="000000"/>
              </w:rPr>
              <w:t>产地</w:t>
            </w:r>
          </w:p>
        </w:tc>
        <w:tc>
          <w:tcPr>
            <w:tcW w:w="816" w:type="dxa"/>
            <w:noWrap w:val="0"/>
            <w:vAlign w:val="center"/>
          </w:tcPr>
          <w:p>
            <w:pPr>
              <w:jc w:val="center"/>
              <w:rPr>
                <w:rFonts w:eastAsia="黑体"/>
                <w:color w:val="000000"/>
              </w:rPr>
            </w:pPr>
            <w:r>
              <w:rPr>
                <w:rFonts w:eastAsia="黑体"/>
                <w:color w:val="000000"/>
              </w:rPr>
              <w:t>制造</w:t>
            </w:r>
          </w:p>
          <w:p>
            <w:pPr>
              <w:jc w:val="center"/>
              <w:rPr>
                <w:rFonts w:eastAsia="黑体"/>
                <w:color w:val="000000"/>
              </w:rPr>
            </w:pPr>
            <w:r>
              <w:rPr>
                <w:rFonts w:eastAsia="黑体"/>
                <w:color w:val="000000"/>
              </w:rPr>
              <w:t>年份</w:t>
            </w:r>
          </w:p>
        </w:tc>
        <w:tc>
          <w:tcPr>
            <w:tcW w:w="1042" w:type="dxa"/>
            <w:noWrap w:val="0"/>
            <w:vAlign w:val="center"/>
          </w:tcPr>
          <w:p>
            <w:pPr>
              <w:jc w:val="center"/>
              <w:rPr>
                <w:rFonts w:eastAsia="黑体"/>
                <w:color w:val="000000"/>
              </w:rPr>
            </w:pPr>
            <w:r>
              <w:rPr>
                <w:rFonts w:eastAsia="黑体"/>
                <w:color w:val="000000"/>
              </w:rPr>
              <w:t>额定功率</w:t>
            </w:r>
          </w:p>
          <w:p>
            <w:pPr>
              <w:jc w:val="center"/>
              <w:rPr>
                <w:rFonts w:eastAsia="黑体"/>
                <w:color w:val="000000"/>
              </w:rPr>
            </w:pPr>
            <w:r>
              <w:rPr>
                <w:rFonts w:eastAsia="黑体"/>
                <w:color w:val="000000"/>
              </w:rPr>
              <w:t>（kW）</w:t>
            </w:r>
          </w:p>
        </w:tc>
        <w:tc>
          <w:tcPr>
            <w:tcW w:w="664" w:type="dxa"/>
            <w:noWrap w:val="0"/>
            <w:vAlign w:val="center"/>
          </w:tcPr>
          <w:p>
            <w:pPr>
              <w:jc w:val="center"/>
              <w:rPr>
                <w:rFonts w:eastAsia="黑体"/>
                <w:color w:val="000000"/>
              </w:rPr>
            </w:pPr>
            <w:r>
              <w:rPr>
                <w:rFonts w:eastAsia="黑体"/>
                <w:color w:val="000000"/>
              </w:rPr>
              <w:t>生产能力</w:t>
            </w:r>
          </w:p>
        </w:tc>
        <w:tc>
          <w:tcPr>
            <w:tcW w:w="1089" w:type="dxa"/>
            <w:noWrap w:val="0"/>
            <w:vAlign w:val="center"/>
          </w:tcPr>
          <w:p>
            <w:pPr>
              <w:jc w:val="center"/>
              <w:rPr>
                <w:rFonts w:eastAsia="黑体"/>
                <w:color w:val="000000"/>
              </w:rPr>
            </w:pPr>
            <w:r>
              <w:rPr>
                <w:rFonts w:eastAsia="黑体"/>
                <w:color w:val="000000"/>
              </w:rPr>
              <w:t>用于施工</w:t>
            </w:r>
          </w:p>
          <w:p>
            <w:pPr>
              <w:jc w:val="center"/>
              <w:rPr>
                <w:rFonts w:eastAsia="黑体"/>
                <w:color w:val="000000"/>
              </w:rPr>
            </w:pPr>
            <w:r>
              <w:rPr>
                <w:rFonts w:eastAsia="黑体"/>
                <w:color w:val="000000"/>
              </w:rPr>
              <w:t>部位</w:t>
            </w:r>
          </w:p>
        </w:tc>
        <w:tc>
          <w:tcPr>
            <w:tcW w:w="853" w:type="dxa"/>
            <w:noWrap w:val="0"/>
            <w:vAlign w:val="center"/>
          </w:tcPr>
          <w:p>
            <w:pPr>
              <w:jc w:val="center"/>
              <w:rPr>
                <w:rFonts w:eastAsia="黑体"/>
                <w:color w:val="000000"/>
              </w:rPr>
            </w:pPr>
            <w:r>
              <w:rPr>
                <w:rFonts w:eastAsia="黑体"/>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noWrap w:val="0"/>
            <w:vAlign w:val="center"/>
          </w:tcPr>
          <w:p>
            <w:pPr>
              <w:rPr>
                <w:color w:val="000000"/>
                <w:szCs w:val="21"/>
              </w:rPr>
            </w:pPr>
          </w:p>
        </w:tc>
        <w:tc>
          <w:tcPr>
            <w:tcW w:w="852" w:type="dxa"/>
            <w:noWrap w:val="0"/>
            <w:vAlign w:val="center"/>
          </w:tcPr>
          <w:p>
            <w:pPr>
              <w:rPr>
                <w:color w:val="000000"/>
                <w:szCs w:val="21"/>
              </w:rPr>
            </w:pPr>
          </w:p>
        </w:tc>
        <w:tc>
          <w:tcPr>
            <w:tcW w:w="853" w:type="dxa"/>
            <w:noWrap w:val="0"/>
            <w:vAlign w:val="center"/>
          </w:tcPr>
          <w:p>
            <w:pPr>
              <w:rPr>
                <w:color w:val="000000"/>
                <w:szCs w:val="21"/>
              </w:rPr>
            </w:pPr>
          </w:p>
        </w:tc>
        <w:tc>
          <w:tcPr>
            <w:tcW w:w="816" w:type="dxa"/>
            <w:noWrap w:val="0"/>
            <w:vAlign w:val="center"/>
          </w:tcPr>
          <w:p>
            <w:pPr>
              <w:rPr>
                <w:color w:val="000000"/>
                <w:szCs w:val="21"/>
              </w:rPr>
            </w:pPr>
          </w:p>
        </w:tc>
        <w:tc>
          <w:tcPr>
            <w:tcW w:w="853" w:type="dxa"/>
            <w:noWrap w:val="0"/>
            <w:vAlign w:val="center"/>
          </w:tcPr>
          <w:p>
            <w:pPr>
              <w:rPr>
                <w:color w:val="000000"/>
                <w:szCs w:val="21"/>
              </w:rPr>
            </w:pPr>
          </w:p>
        </w:tc>
        <w:tc>
          <w:tcPr>
            <w:tcW w:w="816" w:type="dxa"/>
            <w:noWrap w:val="0"/>
            <w:vAlign w:val="center"/>
          </w:tcPr>
          <w:p>
            <w:pPr>
              <w:rPr>
                <w:color w:val="000000"/>
                <w:szCs w:val="21"/>
              </w:rPr>
            </w:pPr>
          </w:p>
        </w:tc>
        <w:tc>
          <w:tcPr>
            <w:tcW w:w="1042" w:type="dxa"/>
            <w:noWrap w:val="0"/>
            <w:vAlign w:val="center"/>
          </w:tcPr>
          <w:p>
            <w:pPr>
              <w:rPr>
                <w:color w:val="000000"/>
                <w:szCs w:val="21"/>
              </w:rPr>
            </w:pPr>
          </w:p>
        </w:tc>
        <w:tc>
          <w:tcPr>
            <w:tcW w:w="664" w:type="dxa"/>
            <w:noWrap w:val="0"/>
            <w:vAlign w:val="center"/>
          </w:tcPr>
          <w:p>
            <w:pPr>
              <w:rPr>
                <w:color w:val="000000"/>
                <w:szCs w:val="21"/>
              </w:rPr>
            </w:pPr>
          </w:p>
        </w:tc>
        <w:tc>
          <w:tcPr>
            <w:tcW w:w="1089" w:type="dxa"/>
            <w:noWrap w:val="0"/>
            <w:vAlign w:val="center"/>
          </w:tcPr>
          <w:p>
            <w:pPr>
              <w:rPr>
                <w:color w:val="000000"/>
                <w:szCs w:val="21"/>
              </w:rPr>
            </w:pPr>
          </w:p>
        </w:tc>
        <w:tc>
          <w:tcPr>
            <w:tcW w:w="853" w:type="dxa"/>
            <w:noWrap w:val="0"/>
            <w:vAlign w:val="center"/>
          </w:tcPr>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noWrap w:val="0"/>
            <w:vAlign w:val="center"/>
          </w:tcPr>
          <w:p>
            <w:pPr>
              <w:rPr>
                <w:color w:val="000000"/>
                <w:szCs w:val="21"/>
              </w:rPr>
            </w:pPr>
          </w:p>
        </w:tc>
        <w:tc>
          <w:tcPr>
            <w:tcW w:w="852" w:type="dxa"/>
            <w:noWrap w:val="0"/>
            <w:vAlign w:val="center"/>
          </w:tcPr>
          <w:p>
            <w:pPr>
              <w:rPr>
                <w:color w:val="000000"/>
                <w:szCs w:val="21"/>
              </w:rPr>
            </w:pPr>
          </w:p>
        </w:tc>
        <w:tc>
          <w:tcPr>
            <w:tcW w:w="853" w:type="dxa"/>
            <w:noWrap w:val="0"/>
            <w:vAlign w:val="center"/>
          </w:tcPr>
          <w:p>
            <w:pPr>
              <w:rPr>
                <w:color w:val="000000"/>
                <w:szCs w:val="21"/>
              </w:rPr>
            </w:pPr>
          </w:p>
        </w:tc>
        <w:tc>
          <w:tcPr>
            <w:tcW w:w="816" w:type="dxa"/>
            <w:noWrap w:val="0"/>
            <w:vAlign w:val="center"/>
          </w:tcPr>
          <w:p>
            <w:pPr>
              <w:rPr>
                <w:color w:val="000000"/>
                <w:szCs w:val="21"/>
              </w:rPr>
            </w:pPr>
          </w:p>
        </w:tc>
        <w:tc>
          <w:tcPr>
            <w:tcW w:w="853" w:type="dxa"/>
            <w:noWrap w:val="0"/>
            <w:vAlign w:val="center"/>
          </w:tcPr>
          <w:p>
            <w:pPr>
              <w:rPr>
                <w:color w:val="000000"/>
                <w:szCs w:val="21"/>
              </w:rPr>
            </w:pPr>
          </w:p>
        </w:tc>
        <w:tc>
          <w:tcPr>
            <w:tcW w:w="816" w:type="dxa"/>
            <w:noWrap w:val="0"/>
            <w:vAlign w:val="center"/>
          </w:tcPr>
          <w:p>
            <w:pPr>
              <w:rPr>
                <w:color w:val="000000"/>
                <w:szCs w:val="21"/>
              </w:rPr>
            </w:pPr>
          </w:p>
        </w:tc>
        <w:tc>
          <w:tcPr>
            <w:tcW w:w="1042" w:type="dxa"/>
            <w:noWrap w:val="0"/>
            <w:vAlign w:val="center"/>
          </w:tcPr>
          <w:p>
            <w:pPr>
              <w:rPr>
                <w:color w:val="000000"/>
                <w:szCs w:val="21"/>
              </w:rPr>
            </w:pPr>
          </w:p>
        </w:tc>
        <w:tc>
          <w:tcPr>
            <w:tcW w:w="664" w:type="dxa"/>
            <w:noWrap w:val="0"/>
            <w:vAlign w:val="center"/>
          </w:tcPr>
          <w:p>
            <w:pPr>
              <w:rPr>
                <w:color w:val="000000"/>
                <w:szCs w:val="21"/>
              </w:rPr>
            </w:pPr>
          </w:p>
        </w:tc>
        <w:tc>
          <w:tcPr>
            <w:tcW w:w="1089" w:type="dxa"/>
            <w:noWrap w:val="0"/>
            <w:vAlign w:val="center"/>
          </w:tcPr>
          <w:p>
            <w:pPr>
              <w:rPr>
                <w:color w:val="000000"/>
                <w:szCs w:val="21"/>
              </w:rPr>
            </w:pPr>
          </w:p>
        </w:tc>
        <w:tc>
          <w:tcPr>
            <w:tcW w:w="853" w:type="dxa"/>
            <w:noWrap w:val="0"/>
            <w:vAlign w:val="center"/>
          </w:tcPr>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noWrap w:val="0"/>
            <w:vAlign w:val="center"/>
          </w:tcPr>
          <w:p>
            <w:pPr>
              <w:rPr>
                <w:color w:val="000000"/>
                <w:szCs w:val="21"/>
              </w:rPr>
            </w:pPr>
          </w:p>
        </w:tc>
        <w:tc>
          <w:tcPr>
            <w:tcW w:w="852" w:type="dxa"/>
            <w:noWrap w:val="0"/>
            <w:vAlign w:val="center"/>
          </w:tcPr>
          <w:p>
            <w:pPr>
              <w:rPr>
                <w:color w:val="000000"/>
                <w:szCs w:val="21"/>
              </w:rPr>
            </w:pPr>
          </w:p>
        </w:tc>
        <w:tc>
          <w:tcPr>
            <w:tcW w:w="853" w:type="dxa"/>
            <w:noWrap w:val="0"/>
            <w:vAlign w:val="center"/>
          </w:tcPr>
          <w:p>
            <w:pPr>
              <w:rPr>
                <w:color w:val="000000"/>
                <w:szCs w:val="21"/>
              </w:rPr>
            </w:pPr>
          </w:p>
        </w:tc>
        <w:tc>
          <w:tcPr>
            <w:tcW w:w="816" w:type="dxa"/>
            <w:noWrap w:val="0"/>
            <w:vAlign w:val="center"/>
          </w:tcPr>
          <w:p>
            <w:pPr>
              <w:rPr>
                <w:color w:val="000000"/>
                <w:szCs w:val="21"/>
              </w:rPr>
            </w:pPr>
          </w:p>
        </w:tc>
        <w:tc>
          <w:tcPr>
            <w:tcW w:w="853" w:type="dxa"/>
            <w:noWrap w:val="0"/>
            <w:vAlign w:val="center"/>
          </w:tcPr>
          <w:p>
            <w:pPr>
              <w:rPr>
                <w:color w:val="000000"/>
                <w:szCs w:val="21"/>
              </w:rPr>
            </w:pPr>
          </w:p>
        </w:tc>
        <w:tc>
          <w:tcPr>
            <w:tcW w:w="816" w:type="dxa"/>
            <w:noWrap w:val="0"/>
            <w:vAlign w:val="center"/>
          </w:tcPr>
          <w:p>
            <w:pPr>
              <w:rPr>
                <w:color w:val="000000"/>
                <w:szCs w:val="21"/>
              </w:rPr>
            </w:pPr>
          </w:p>
        </w:tc>
        <w:tc>
          <w:tcPr>
            <w:tcW w:w="1042" w:type="dxa"/>
            <w:noWrap w:val="0"/>
            <w:vAlign w:val="center"/>
          </w:tcPr>
          <w:p>
            <w:pPr>
              <w:rPr>
                <w:color w:val="000000"/>
                <w:szCs w:val="21"/>
              </w:rPr>
            </w:pPr>
          </w:p>
        </w:tc>
        <w:tc>
          <w:tcPr>
            <w:tcW w:w="664" w:type="dxa"/>
            <w:noWrap w:val="0"/>
            <w:vAlign w:val="center"/>
          </w:tcPr>
          <w:p>
            <w:pPr>
              <w:rPr>
                <w:color w:val="000000"/>
                <w:szCs w:val="21"/>
              </w:rPr>
            </w:pPr>
          </w:p>
        </w:tc>
        <w:tc>
          <w:tcPr>
            <w:tcW w:w="1089" w:type="dxa"/>
            <w:noWrap w:val="0"/>
            <w:vAlign w:val="center"/>
          </w:tcPr>
          <w:p>
            <w:pPr>
              <w:rPr>
                <w:color w:val="000000"/>
                <w:szCs w:val="21"/>
              </w:rPr>
            </w:pPr>
          </w:p>
        </w:tc>
        <w:tc>
          <w:tcPr>
            <w:tcW w:w="853" w:type="dxa"/>
            <w:noWrap w:val="0"/>
            <w:vAlign w:val="center"/>
          </w:tcPr>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noWrap w:val="0"/>
            <w:vAlign w:val="center"/>
          </w:tcPr>
          <w:p>
            <w:pPr>
              <w:rPr>
                <w:color w:val="000000"/>
                <w:szCs w:val="21"/>
              </w:rPr>
            </w:pPr>
          </w:p>
        </w:tc>
        <w:tc>
          <w:tcPr>
            <w:tcW w:w="852" w:type="dxa"/>
            <w:noWrap w:val="0"/>
            <w:vAlign w:val="center"/>
          </w:tcPr>
          <w:p>
            <w:pPr>
              <w:rPr>
                <w:color w:val="000000"/>
                <w:szCs w:val="21"/>
              </w:rPr>
            </w:pPr>
          </w:p>
        </w:tc>
        <w:tc>
          <w:tcPr>
            <w:tcW w:w="853" w:type="dxa"/>
            <w:noWrap w:val="0"/>
            <w:vAlign w:val="center"/>
          </w:tcPr>
          <w:p>
            <w:pPr>
              <w:rPr>
                <w:color w:val="000000"/>
                <w:szCs w:val="21"/>
              </w:rPr>
            </w:pPr>
          </w:p>
        </w:tc>
        <w:tc>
          <w:tcPr>
            <w:tcW w:w="816" w:type="dxa"/>
            <w:noWrap w:val="0"/>
            <w:vAlign w:val="center"/>
          </w:tcPr>
          <w:p>
            <w:pPr>
              <w:rPr>
                <w:color w:val="000000"/>
                <w:szCs w:val="21"/>
              </w:rPr>
            </w:pPr>
          </w:p>
        </w:tc>
        <w:tc>
          <w:tcPr>
            <w:tcW w:w="853" w:type="dxa"/>
            <w:noWrap w:val="0"/>
            <w:vAlign w:val="center"/>
          </w:tcPr>
          <w:p>
            <w:pPr>
              <w:rPr>
                <w:color w:val="000000"/>
                <w:szCs w:val="21"/>
              </w:rPr>
            </w:pPr>
          </w:p>
        </w:tc>
        <w:tc>
          <w:tcPr>
            <w:tcW w:w="816" w:type="dxa"/>
            <w:noWrap w:val="0"/>
            <w:vAlign w:val="center"/>
          </w:tcPr>
          <w:p>
            <w:pPr>
              <w:rPr>
                <w:color w:val="000000"/>
                <w:szCs w:val="21"/>
              </w:rPr>
            </w:pPr>
          </w:p>
        </w:tc>
        <w:tc>
          <w:tcPr>
            <w:tcW w:w="1042" w:type="dxa"/>
            <w:noWrap w:val="0"/>
            <w:vAlign w:val="center"/>
          </w:tcPr>
          <w:p>
            <w:pPr>
              <w:rPr>
                <w:color w:val="000000"/>
                <w:szCs w:val="21"/>
              </w:rPr>
            </w:pPr>
          </w:p>
        </w:tc>
        <w:tc>
          <w:tcPr>
            <w:tcW w:w="664" w:type="dxa"/>
            <w:noWrap w:val="0"/>
            <w:vAlign w:val="center"/>
          </w:tcPr>
          <w:p>
            <w:pPr>
              <w:rPr>
                <w:color w:val="000000"/>
                <w:szCs w:val="21"/>
              </w:rPr>
            </w:pPr>
          </w:p>
        </w:tc>
        <w:tc>
          <w:tcPr>
            <w:tcW w:w="1089" w:type="dxa"/>
            <w:noWrap w:val="0"/>
            <w:vAlign w:val="center"/>
          </w:tcPr>
          <w:p>
            <w:pPr>
              <w:rPr>
                <w:color w:val="000000"/>
                <w:szCs w:val="21"/>
              </w:rPr>
            </w:pPr>
          </w:p>
        </w:tc>
        <w:tc>
          <w:tcPr>
            <w:tcW w:w="853" w:type="dxa"/>
            <w:noWrap w:val="0"/>
            <w:vAlign w:val="center"/>
          </w:tcPr>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noWrap w:val="0"/>
            <w:vAlign w:val="center"/>
          </w:tcPr>
          <w:p>
            <w:pPr>
              <w:rPr>
                <w:color w:val="000000"/>
                <w:szCs w:val="21"/>
              </w:rPr>
            </w:pPr>
          </w:p>
        </w:tc>
        <w:tc>
          <w:tcPr>
            <w:tcW w:w="852" w:type="dxa"/>
            <w:noWrap w:val="0"/>
            <w:vAlign w:val="center"/>
          </w:tcPr>
          <w:p>
            <w:pPr>
              <w:rPr>
                <w:color w:val="000000"/>
                <w:szCs w:val="21"/>
              </w:rPr>
            </w:pPr>
          </w:p>
        </w:tc>
        <w:tc>
          <w:tcPr>
            <w:tcW w:w="853" w:type="dxa"/>
            <w:noWrap w:val="0"/>
            <w:vAlign w:val="center"/>
          </w:tcPr>
          <w:p>
            <w:pPr>
              <w:rPr>
                <w:color w:val="000000"/>
                <w:szCs w:val="21"/>
              </w:rPr>
            </w:pPr>
          </w:p>
        </w:tc>
        <w:tc>
          <w:tcPr>
            <w:tcW w:w="816" w:type="dxa"/>
            <w:noWrap w:val="0"/>
            <w:vAlign w:val="center"/>
          </w:tcPr>
          <w:p>
            <w:pPr>
              <w:rPr>
                <w:color w:val="000000"/>
                <w:szCs w:val="21"/>
              </w:rPr>
            </w:pPr>
          </w:p>
        </w:tc>
        <w:tc>
          <w:tcPr>
            <w:tcW w:w="853" w:type="dxa"/>
            <w:noWrap w:val="0"/>
            <w:vAlign w:val="center"/>
          </w:tcPr>
          <w:p>
            <w:pPr>
              <w:rPr>
                <w:color w:val="000000"/>
                <w:szCs w:val="21"/>
              </w:rPr>
            </w:pPr>
          </w:p>
        </w:tc>
        <w:tc>
          <w:tcPr>
            <w:tcW w:w="816" w:type="dxa"/>
            <w:noWrap w:val="0"/>
            <w:vAlign w:val="center"/>
          </w:tcPr>
          <w:p>
            <w:pPr>
              <w:rPr>
                <w:color w:val="000000"/>
                <w:szCs w:val="21"/>
              </w:rPr>
            </w:pPr>
          </w:p>
        </w:tc>
        <w:tc>
          <w:tcPr>
            <w:tcW w:w="1042" w:type="dxa"/>
            <w:noWrap w:val="0"/>
            <w:vAlign w:val="center"/>
          </w:tcPr>
          <w:p>
            <w:pPr>
              <w:rPr>
                <w:color w:val="000000"/>
                <w:szCs w:val="21"/>
              </w:rPr>
            </w:pPr>
          </w:p>
        </w:tc>
        <w:tc>
          <w:tcPr>
            <w:tcW w:w="664" w:type="dxa"/>
            <w:noWrap w:val="0"/>
            <w:vAlign w:val="center"/>
          </w:tcPr>
          <w:p>
            <w:pPr>
              <w:rPr>
                <w:color w:val="000000"/>
                <w:szCs w:val="21"/>
              </w:rPr>
            </w:pPr>
          </w:p>
        </w:tc>
        <w:tc>
          <w:tcPr>
            <w:tcW w:w="1089" w:type="dxa"/>
            <w:noWrap w:val="0"/>
            <w:vAlign w:val="center"/>
          </w:tcPr>
          <w:p>
            <w:pPr>
              <w:rPr>
                <w:color w:val="000000"/>
                <w:szCs w:val="21"/>
              </w:rPr>
            </w:pPr>
          </w:p>
        </w:tc>
        <w:tc>
          <w:tcPr>
            <w:tcW w:w="853" w:type="dxa"/>
            <w:noWrap w:val="0"/>
            <w:vAlign w:val="center"/>
          </w:tcPr>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noWrap w:val="0"/>
            <w:vAlign w:val="center"/>
          </w:tcPr>
          <w:p>
            <w:pPr>
              <w:rPr>
                <w:color w:val="000000"/>
                <w:szCs w:val="21"/>
              </w:rPr>
            </w:pPr>
          </w:p>
        </w:tc>
        <w:tc>
          <w:tcPr>
            <w:tcW w:w="852" w:type="dxa"/>
            <w:noWrap w:val="0"/>
            <w:vAlign w:val="center"/>
          </w:tcPr>
          <w:p>
            <w:pPr>
              <w:rPr>
                <w:color w:val="000000"/>
                <w:szCs w:val="21"/>
              </w:rPr>
            </w:pPr>
          </w:p>
        </w:tc>
        <w:tc>
          <w:tcPr>
            <w:tcW w:w="853" w:type="dxa"/>
            <w:noWrap w:val="0"/>
            <w:vAlign w:val="center"/>
          </w:tcPr>
          <w:p>
            <w:pPr>
              <w:rPr>
                <w:color w:val="000000"/>
                <w:szCs w:val="21"/>
              </w:rPr>
            </w:pPr>
          </w:p>
        </w:tc>
        <w:tc>
          <w:tcPr>
            <w:tcW w:w="816" w:type="dxa"/>
            <w:noWrap w:val="0"/>
            <w:vAlign w:val="center"/>
          </w:tcPr>
          <w:p>
            <w:pPr>
              <w:rPr>
                <w:color w:val="000000"/>
                <w:szCs w:val="21"/>
              </w:rPr>
            </w:pPr>
          </w:p>
        </w:tc>
        <w:tc>
          <w:tcPr>
            <w:tcW w:w="853" w:type="dxa"/>
            <w:noWrap w:val="0"/>
            <w:vAlign w:val="center"/>
          </w:tcPr>
          <w:p>
            <w:pPr>
              <w:rPr>
                <w:color w:val="000000"/>
                <w:szCs w:val="21"/>
              </w:rPr>
            </w:pPr>
          </w:p>
        </w:tc>
        <w:tc>
          <w:tcPr>
            <w:tcW w:w="816" w:type="dxa"/>
            <w:noWrap w:val="0"/>
            <w:vAlign w:val="center"/>
          </w:tcPr>
          <w:p>
            <w:pPr>
              <w:rPr>
                <w:color w:val="000000"/>
                <w:szCs w:val="21"/>
              </w:rPr>
            </w:pPr>
          </w:p>
        </w:tc>
        <w:tc>
          <w:tcPr>
            <w:tcW w:w="1042" w:type="dxa"/>
            <w:noWrap w:val="0"/>
            <w:vAlign w:val="center"/>
          </w:tcPr>
          <w:p>
            <w:pPr>
              <w:rPr>
                <w:color w:val="000000"/>
                <w:szCs w:val="21"/>
              </w:rPr>
            </w:pPr>
          </w:p>
        </w:tc>
        <w:tc>
          <w:tcPr>
            <w:tcW w:w="664" w:type="dxa"/>
            <w:noWrap w:val="0"/>
            <w:vAlign w:val="center"/>
          </w:tcPr>
          <w:p>
            <w:pPr>
              <w:rPr>
                <w:color w:val="000000"/>
                <w:szCs w:val="21"/>
              </w:rPr>
            </w:pPr>
          </w:p>
        </w:tc>
        <w:tc>
          <w:tcPr>
            <w:tcW w:w="1089" w:type="dxa"/>
            <w:noWrap w:val="0"/>
            <w:vAlign w:val="center"/>
          </w:tcPr>
          <w:p>
            <w:pPr>
              <w:rPr>
                <w:color w:val="000000"/>
                <w:szCs w:val="21"/>
              </w:rPr>
            </w:pPr>
          </w:p>
        </w:tc>
        <w:tc>
          <w:tcPr>
            <w:tcW w:w="853" w:type="dxa"/>
            <w:noWrap w:val="0"/>
            <w:vAlign w:val="center"/>
          </w:tcPr>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noWrap w:val="0"/>
            <w:vAlign w:val="center"/>
          </w:tcPr>
          <w:p>
            <w:pPr>
              <w:rPr>
                <w:color w:val="000000"/>
                <w:szCs w:val="21"/>
              </w:rPr>
            </w:pPr>
          </w:p>
        </w:tc>
        <w:tc>
          <w:tcPr>
            <w:tcW w:w="852" w:type="dxa"/>
            <w:noWrap w:val="0"/>
            <w:vAlign w:val="center"/>
          </w:tcPr>
          <w:p>
            <w:pPr>
              <w:rPr>
                <w:color w:val="000000"/>
                <w:szCs w:val="21"/>
              </w:rPr>
            </w:pPr>
          </w:p>
        </w:tc>
        <w:tc>
          <w:tcPr>
            <w:tcW w:w="853" w:type="dxa"/>
            <w:noWrap w:val="0"/>
            <w:vAlign w:val="center"/>
          </w:tcPr>
          <w:p>
            <w:pPr>
              <w:rPr>
                <w:color w:val="000000"/>
                <w:szCs w:val="21"/>
              </w:rPr>
            </w:pPr>
          </w:p>
        </w:tc>
        <w:tc>
          <w:tcPr>
            <w:tcW w:w="816" w:type="dxa"/>
            <w:noWrap w:val="0"/>
            <w:vAlign w:val="center"/>
          </w:tcPr>
          <w:p>
            <w:pPr>
              <w:rPr>
                <w:color w:val="000000"/>
                <w:szCs w:val="21"/>
              </w:rPr>
            </w:pPr>
          </w:p>
        </w:tc>
        <w:tc>
          <w:tcPr>
            <w:tcW w:w="853" w:type="dxa"/>
            <w:noWrap w:val="0"/>
            <w:vAlign w:val="center"/>
          </w:tcPr>
          <w:p>
            <w:pPr>
              <w:rPr>
                <w:color w:val="000000"/>
                <w:szCs w:val="21"/>
              </w:rPr>
            </w:pPr>
          </w:p>
        </w:tc>
        <w:tc>
          <w:tcPr>
            <w:tcW w:w="816" w:type="dxa"/>
            <w:noWrap w:val="0"/>
            <w:vAlign w:val="center"/>
          </w:tcPr>
          <w:p>
            <w:pPr>
              <w:rPr>
                <w:color w:val="000000"/>
                <w:szCs w:val="21"/>
              </w:rPr>
            </w:pPr>
          </w:p>
        </w:tc>
        <w:tc>
          <w:tcPr>
            <w:tcW w:w="1042" w:type="dxa"/>
            <w:noWrap w:val="0"/>
            <w:vAlign w:val="center"/>
          </w:tcPr>
          <w:p>
            <w:pPr>
              <w:rPr>
                <w:color w:val="000000"/>
                <w:szCs w:val="21"/>
              </w:rPr>
            </w:pPr>
          </w:p>
        </w:tc>
        <w:tc>
          <w:tcPr>
            <w:tcW w:w="664" w:type="dxa"/>
            <w:noWrap w:val="0"/>
            <w:vAlign w:val="center"/>
          </w:tcPr>
          <w:p>
            <w:pPr>
              <w:rPr>
                <w:color w:val="000000"/>
                <w:szCs w:val="21"/>
              </w:rPr>
            </w:pPr>
          </w:p>
        </w:tc>
        <w:tc>
          <w:tcPr>
            <w:tcW w:w="1089" w:type="dxa"/>
            <w:noWrap w:val="0"/>
            <w:vAlign w:val="center"/>
          </w:tcPr>
          <w:p>
            <w:pPr>
              <w:rPr>
                <w:color w:val="000000"/>
                <w:szCs w:val="21"/>
              </w:rPr>
            </w:pPr>
          </w:p>
        </w:tc>
        <w:tc>
          <w:tcPr>
            <w:tcW w:w="853" w:type="dxa"/>
            <w:noWrap w:val="0"/>
            <w:vAlign w:val="center"/>
          </w:tcPr>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noWrap w:val="0"/>
            <w:vAlign w:val="center"/>
          </w:tcPr>
          <w:p>
            <w:pPr>
              <w:rPr>
                <w:color w:val="000000"/>
                <w:szCs w:val="21"/>
              </w:rPr>
            </w:pPr>
          </w:p>
        </w:tc>
        <w:tc>
          <w:tcPr>
            <w:tcW w:w="852" w:type="dxa"/>
            <w:noWrap w:val="0"/>
            <w:vAlign w:val="center"/>
          </w:tcPr>
          <w:p>
            <w:pPr>
              <w:rPr>
                <w:color w:val="000000"/>
                <w:szCs w:val="21"/>
              </w:rPr>
            </w:pPr>
          </w:p>
        </w:tc>
        <w:tc>
          <w:tcPr>
            <w:tcW w:w="853" w:type="dxa"/>
            <w:noWrap w:val="0"/>
            <w:vAlign w:val="center"/>
          </w:tcPr>
          <w:p>
            <w:pPr>
              <w:rPr>
                <w:color w:val="000000"/>
                <w:szCs w:val="21"/>
              </w:rPr>
            </w:pPr>
          </w:p>
        </w:tc>
        <w:tc>
          <w:tcPr>
            <w:tcW w:w="816" w:type="dxa"/>
            <w:noWrap w:val="0"/>
            <w:vAlign w:val="center"/>
          </w:tcPr>
          <w:p>
            <w:pPr>
              <w:rPr>
                <w:color w:val="000000"/>
                <w:szCs w:val="21"/>
              </w:rPr>
            </w:pPr>
          </w:p>
        </w:tc>
        <w:tc>
          <w:tcPr>
            <w:tcW w:w="853" w:type="dxa"/>
            <w:noWrap w:val="0"/>
            <w:vAlign w:val="center"/>
          </w:tcPr>
          <w:p>
            <w:pPr>
              <w:rPr>
                <w:color w:val="000000"/>
                <w:szCs w:val="21"/>
              </w:rPr>
            </w:pPr>
          </w:p>
        </w:tc>
        <w:tc>
          <w:tcPr>
            <w:tcW w:w="816" w:type="dxa"/>
            <w:noWrap w:val="0"/>
            <w:vAlign w:val="center"/>
          </w:tcPr>
          <w:p>
            <w:pPr>
              <w:rPr>
                <w:color w:val="000000"/>
                <w:szCs w:val="21"/>
              </w:rPr>
            </w:pPr>
          </w:p>
        </w:tc>
        <w:tc>
          <w:tcPr>
            <w:tcW w:w="1042" w:type="dxa"/>
            <w:noWrap w:val="0"/>
            <w:vAlign w:val="center"/>
          </w:tcPr>
          <w:p>
            <w:pPr>
              <w:rPr>
                <w:color w:val="000000"/>
                <w:szCs w:val="21"/>
              </w:rPr>
            </w:pPr>
          </w:p>
        </w:tc>
        <w:tc>
          <w:tcPr>
            <w:tcW w:w="664" w:type="dxa"/>
            <w:noWrap w:val="0"/>
            <w:vAlign w:val="center"/>
          </w:tcPr>
          <w:p>
            <w:pPr>
              <w:rPr>
                <w:color w:val="000000"/>
                <w:szCs w:val="21"/>
              </w:rPr>
            </w:pPr>
          </w:p>
        </w:tc>
        <w:tc>
          <w:tcPr>
            <w:tcW w:w="1089" w:type="dxa"/>
            <w:noWrap w:val="0"/>
            <w:vAlign w:val="center"/>
          </w:tcPr>
          <w:p>
            <w:pPr>
              <w:rPr>
                <w:color w:val="000000"/>
                <w:szCs w:val="21"/>
              </w:rPr>
            </w:pPr>
          </w:p>
        </w:tc>
        <w:tc>
          <w:tcPr>
            <w:tcW w:w="853" w:type="dxa"/>
            <w:noWrap w:val="0"/>
            <w:vAlign w:val="center"/>
          </w:tcPr>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noWrap w:val="0"/>
            <w:vAlign w:val="center"/>
          </w:tcPr>
          <w:p>
            <w:pPr>
              <w:rPr>
                <w:color w:val="000000"/>
                <w:szCs w:val="21"/>
              </w:rPr>
            </w:pPr>
          </w:p>
        </w:tc>
        <w:tc>
          <w:tcPr>
            <w:tcW w:w="852" w:type="dxa"/>
            <w:noWrap w:val="0"/>
            <w:vAlign w:val="center"/>
          </w:tcPr>
          <w:p>
            <w:pPr>
              <w:rPr>
                <w:color w:val="000000"/>
                <w:szCs w:val="21"/>
              </w:rPr>
            </w:pPr>
          </w:p>
        </w:tc>
        <w:tc>
          <w:tcPr>
            <w:tcW w:w="853" w:type="dxa"/>
            <w:noWrap w:val="0"/>
            <w:vAlign w:val="center"/>
          </w:tcPr>
          <w:p>
            <w:pPr>
              <w:rPr>
                <w:color w:val="000000"/>
                <w:szCs w:val="21"/>
              </w:rPr>
            </w:pPr>
          </w:p>
        </w:tc>
        <w:tc>
          <w:tcPr>
            <w:tcW w:w="816" w:type="dxa"/>
            <w:noWrap w:val="0"/>
            <w:vAlign w:val="center"/>
          </w:tcPr>
          <w:p>
            <w:pPr>
              <w:rPr>
                <w:color w:val="000000"/>
                <w:szCs w:val="21"/>
              </w:rPr>
            </w:pPr>
          </w:p>
        </w:tc>
        <w:tc>
          <w:tcPr>
            <w:tcW w:w="853" w:type="dxa"/>
            <w:noWrap w:val="0"/>
            <w:vAlign w:val="center"/>
          </w:tcPr>
          <w:p>
            <w:pPr>
              <w:rPr>
                <w:color w:val="000000"/>
                <w:szCs w:val="21"/>
              </w:rPr>
            </w:pPr>
          </w:p>
        </w:tc>
        <w:tc>
          <w:tcPr>
            <w:tcW w:w="816" w:type="dxa"/>
            <w:noWrap w:val="0"/>
            <w:vAlign w:val="center"/>
          </w:tcPr>
          <w:p>
            <w:pPr>
              <w:rPr>
                <w:color w:val="000000"/>
                <w:szCs w:val="21"/>
              </w:rPr>
            </w:pPr>
          </w:p>
        </w:tc>
        <w:tc>
          <w:tcPr>
            <w:tcW w:w="1042" w:type="dxa"/>
            <w:noWrap w:val="0"/>
            <w:vAlign w:val="center"/>
          </w:tcPr>
          <w:p>
            <w:pPr>
              <w:rPr>
                <w:color w:val="000000"/>
                <w:szCs w:val="21"/>
              </w:rPr>
            </w:pPr>
          </w:p>
        </w:tc>
        <w:tc>
          <w:tcPr>
            <w:tcW w:w="664" w:type="dxa"/>
            <w:noWrap w:val="0"/>
            <w:vAlign w:val="center"/>
          </w:tcPr>
          <w:p>
            <w:pPr>
              <w:rPr>
                <w:color w:val="000000"/>
                <w:szCs w:val="21"/>
              </w:rPr>
            </w:pPr>
          </w:p>
        </w:tc>
        <w:tc>
          <w:tcPr>
            <w:tcW w:w="1089" w:type="dxa"/>
            <w:noWrap w:val="0"/>
            <w:vAlign w:val="center"/>
          </w:tcPr>
          <w:p>
            <w:pPr>
              <w:rPr>
                <w:color w:val="000000"/>
                <w:szCs w:val="21"/>
              </w:rPr>
            </w:pPr>
          </w:p>
        </w:tc>
        <w:tc>
          <w:tcPr>
            <w:tcW w:w="853" w:type="dxa"/>
            <w:noWrap w:val="0"/>
            <w:vAlign w:val="center"/>
          </w:tcPr>
          <w:p>
            <w:pPr>
              <w:rPr>
                <w:color w:val="000000"/>
                <w:szCs w:val="21"/>
              </w:rPr>
            </w:pPr>
          </w:p>
        </w:tc>
      </w:tr>
    </w:tbl>
    <w:p>
      <w:pPr>
        <w:rPr>
          <w:color w:val="000000"/>
        </w:rPr>
      </w:pPr>
    </w:p>
    <w:p>
      <w:pPr>
        <w:pStyle w:val="7"/>
        <w:keepNext w:val="0"/>
        <w:keepLines w:val="0"/>
        <w:spacing w:before="0" w:after="0" w:line="490" w:lineRule="exact"/>
        <w:rPr>
          <w:rFonts w:ascii="Times New Roman" w:hAnsi="Times New Roman"/>
          <w:b w:val="0"/>
          <w:color w:val="000000"/>
          <w:kern w:val="0"/>
          <w:szCs w:val="24"/>
        </w:rPr>
      </w:pPr>
      <w:r>
        <w:rPr>
          <w:rFonts w:ascii="Times New Roman" w:hAnsi="Times New Roman"/>
          <w:color w:val="000000"/>
        </w:rPr>
        <w:br w:type="page"/>
      </w:r>
      <w:r>
        <w:rPr>
          <w:rFonts w:ascii="Times New Roman" w:hAnsi="Times New Roman"/>
          <w:b w:val="0"/>
          <w:color w:val="000000"/>
          <w:kern w:val="0"/>
          <w:szCs w:val="24"/>
        </w:rPr>
        <w:t>附件二</w:t>
      </w:r>
    </w:p>
    <w:p>
      <w:pPr>
        <w:spacing w:line="490" w:lineRule="exact"/>
        <w:rPr>
          <w:color w:val="000000"/>
          <w:kern w:val="0"/>
          <w:sz w:val="22"/>
        </w:rPr>
      </w:pPr>
    </w:p>
    <w:p>
      <w:pPr>
        <w:pStyle w:val="13"/>
        <w:spacing w:before="240" w:beforeLines="100" w:after="240" w:afterLines="100" w:line="490" w:lineRule="exact"/>
        <w:ind w:left="0" w:leftChars="0" w:firstLine="0" w:firstLineChars="0"/>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拟投入本标段的试验和检测仪器设备表</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947"/>
        <w:gridCol w:w="734"/>
        <w:gridCol w:w="1160"/>
        <w:gridCol w:w="820"/>
        <w:gridCol w:w="1240"/>
        <w:gridCol w:w="1124"/>
        <w:gridCol w:w="948"/>
        <w:gridCol w:w="1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7" w:type="dxa"/>
            <w:noWrap w:val="0"/>
            <w:vAlign w:val="center"/>
          </w:tcPr>
          <w:p>
            <w:pPr>
              <w:jc w:val="center"/>
              <w:rPr>
                <w:rFonts w:eastAsia="黑体"/>
                <w:color w:val="000000"/>
              </w:rPr>
            </w:pPr>
            <w:r>
              <w:rPr>
                <w:rFonts w:eastAsia="黑体"/>
                <w:color w:val="000000"/>
              </w:rPr>
              <w:t>序号</w:t>
            </w:r>
          </w:p>
        </w:tc>
        <w:tc>
          <w:tcPr>
            <w:tcW w:w="947" w:type="dxa"/>
            <w:noWrap w:val="0"/>
            <w:vAlign w:val="center"/>
          </w:tcPr>
          <w:p>
            <w:pPr>
              <w:jc w:val="center"/>
              <w:rPr>
                <w:rFonts w:eastAsia="黑体"/>
                <w:color w:val="000000"/>
              </w:rPr>
            </w:pPr>
            <w:r>
              <w:rPr>
                <w:rFonts w:eastAsia="黑体"/>
                <w:color w:val="000000"/>
              </w:rPr>
              <w:t>仪器设备名称</w:t>
            </w:r>
          </w:p>
        </w:tc>
        <w:tc>
          <w:tcPr>
            <w:tcW w:w="734" w:type="dxa"/>
            <w:noWrap w:val="0"/>
            <w:vAlign w:val="center"/>
          </w:tcPr>
          <w:p>
            <w:pPr>
              <w:jc w:val="center"/>
              <w:rPr>
                <w:rFonts w:eastAsia="黑体"/>
                <w:color w:val="000000"/>
              </w:rPr>
            </w:pPr>
            <w:r>
              <w:rPr>
                <w:rFonts w:eastAsia="黑体"/>
                <w:color w:val="000000"/>
              </w:rPr>
              <w:t>型号规格</w:t>
            </w:r>
          </w:p>
        </w:tc>
        <w:tc>
          <w:tcPr>
            <w:tcW w:w="1160" w:type="dxa"/>
            <w:noWrap w:val="0"/>
            <w:vAlign w:val="center"/>
          </w:tcPr>
          <w:p>
            <w:pPr>
              <w:jc w:val="center"/>
              <w:rPr>
                <w:rFonts w:eastAsia="黑体"/>
                <w:color w:val="000000"/>
              </w:rPr>
            </w:pPr>
            <w:r>
              <w:rPr>
                <w:rFonts w:eastAsia="黑体"/>
                <w:color w:val="000000"/>
              </w:rPr>
              <w:t>数量</w:t>
            </w:r>
          </w:p>
        </w:tc>
        <w:tc>
          <w:tcPr>
            <w:tcW w:w="820" w:type="dxa"/>
            <w:noWrap w:val="0"/>
            <w:vAlign w:val="center"/>
          </w:tcPr>
          <w:p>
            <w:pPr>
              <w:jc w:val="center"/>
              <w:rPr>
                <w:rFonts w:eastAsia="黑体"/>
                <w:color w:val="000000"/>
              </w:rPr>
            </w:pPr>
            <w:r>
              <w:rPr>
                <w:rFonts w:eastAsia="黑体"/>
                <w:color w:val="000000"/>
              </w:rPr>
              <w:t>国别产地</w:t>
            </w:r>
          </w:p>
        </w:tc>
        <w:tc>
          <w:tcPr>
            <w:tcW w:w="1240" w:type="dxa"/>
            <w:noWrap w:val="0"/>
            <w:vAlign w:val="center"/>
          </w:tcPr>
          <w:p>
            <w:pPr>
              <w:jc w:val="center"/>
              <w:rPr>
                <w:rFonts w:eastAsia="黑体"/>
                <w:color w:val="000000"/>
              </w:rPr>
            </w:pPr>
            <w:r>
              <w:rPr>
                <w:rFonts w:eastAsia="黑体"/>
                <w:color w:val="000000"/>
              </w:rPr>
              <w:t>制造年份</w:t>
            </w:r>
          </w:p>
        </w:tc>
        <w:tc>
          <w:tcPr>
            <w:tcW w:w="1124" w:type="dxa"/>
            <w:noWrap w:val="0"/>
            <w:vAlign w:val="center"/>
          </w:tcPr>
          <w:p>
            <w:pPr>
              <w:jc w:val="center"/>
              <w:rPr>
                <w:rFonts w:eastAsia="黑体"/>
                <w:color w:val="000000"/>
              </w:rPr>
            </w:pPr>
            <w:r>
              <w:rPr>
                <w:rFonts w:eastAsia="黑体"/>
                <w:color w:val="000000"/>
              </w:rPr>
              <w:t>已使用台</w:t>
            </w:r>
          </w:p>
        </w:tc>
        <w:tc>
          <w:tcPr>
            <w:tcW w:w="948" w:type="dxa"/>
            <w:noWrap w:val="0"/>
            <w:vAlign w:val="center"/>
          </w:tcPr>
          <w:p>
            <w:pPr>
              <w:jc w:val="center"/>
              <w:rPr>
                <w:rFonts w:eastAsia="黑体"/>
                <w:color w:val="000000"/>
              </w:rPr>
            </w:pPr>
            <w:r>
              <w:rPr>
                <w:rFonts w:eastAsia="黑体"/>
                <w:color w:val="000000"/>
              </w:rPr>
              <w:t>时数</w:t>
            </w:r>
          </w:p>
        </w:tc>
        <w:tc>
          <w:tcPr>
            <w:tcW w:w="1197" w:type="dxa"/>
            <w:noWrap w:val="0"/>
            <w:vAlign w:val="center"/>
          </w:tcPr>
          <w:p>
            <w:pPr>
              <w:jc w:val="center"/>
              <w:rPr>
                <w:rFonts w:eastAsia="黑体"/>
                <w:color w:val="000000"/>
              </w:rPr>
            </w:pPr>
            <w:r>
              <w:rPr>
                <w:rFonts w:eastAsia="黑体"/>
                <w:color w:val="000000"/>
              </w:rPr>
              <w:t>用途备注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7" w:type="dxa"/>
            <w:noWrap w:val="0"/>
            <w:vAlign w:val="center"/>
          </w:tcPr>
          <w:p>
            <w:pPr>
              <w:jc w:val="center"/>
              <w:rPr>
                <w:color w:val="000000"/>
                <w:szCs w:val="21"/>
              </w:rPr>
            </w:pPr>
          </w:p>
        </w:tc>
        <w:tc>
          <w:tcPr>
            <w:tcW w:w="947" w:type="dxa"/>
            <w:noWrap w:val="0"/>
            <w:vAlign w:val="center"/>
          </w:tcPr>
          <w:p>
            <w:pPr>
              <w:jc w:val="center"/>
              <w:rPr>
                <w:color w:val="000000"/>
                <w:szCs w:val="21"/>
              </w:rPr>
            </w:pPr>
          </w:p>
        </w:tc>
        <w:tc>
          <w:tcPr>
            <w:tcW w:w="734" w:type="dxa"/>
            <w:noWrap w:val="0"/>
            <w:vAlign w:val="center"/>
          </w:tcPr>
          <w:p>
            <w:pPr>
              <w:jc w:val="center"/>
              <w:rPr>
                <w:color w:val="000000"/>
                <w:szCs w:val="21"/>
              </w:rPr>
            </w:pPr>
          </w:p>
        </w:tc>
        <w:tc>
          <w:tcPr>
            <w:tcW w:w="1160" w:type="dxa"/>
            <w:noWrap w:val="0"/>
            <w:vAlign w:val="center"/>
          </w:tcPr>
          <w:p>
            <w:pPr>
              <w:jc w:val="center"/>
              <w:rPr>
                <w:color w:val="000000"/>
                <w:szCs w:val="21"/>
              </w:rPr>
            </w:pPr>
          </w:p>
        </w:tc>
        <w:tc>
          <w:tcPr>
            <w:tcW w:w="820" w:type="dxa"/>
            <w:noWrap w:val="0"/>
            <w:vAlign w:val="center"/>
          </w:tcPr>
          <w:p>
            <w:pPr>
              <w:jc w:val="center"/>
              <w:rPr>
                <w:color w:val="000000"/>
                <w:szCs w:val="21"/>
              </w:rPr>
            </w:pPr>
          </w:p>
        </w:tc>
        <w:tc>
          <w:tcPr>
            <w:tcW w:w="1240" w:type="dxa"/>
            <w:noWrap w:val="0"/>
            <w:vAlign w:val="center"/>
          </w:tcPr>
          <w:p>
            <w:pPr>
              <w:jc w:val="center"/>
              <w:rPr>
                <w:color w:val="000000"/>
                <w:szCs w:val="21"/>
              </w:rPr>
            </w:pPr>
          </w:p>
        </w:tc>
        <w:tc>
          <w:tcPr>
            <w:tcW w:w="1124" w:type="dxa"/>
            <w:noWrap w:val="0"/>
            <w:vAlign w:val="center"/>
          </w:tcPr>
          <w:p>
            <w:pPr>
              <w:jc w:val="center"/>
              <w:rPr>
                <w:color w:val="000000"/>
                <w:szCs w:val="21"/>
              </w:rPr>
            </w:pPr>
          </w:p>
        </w:tc>
        <w:tc>
          <w:tcPr>
            <w:tcW w:w="948" w:type="dxa"/>
            <w:noWrap w:val="0"/>
            <w:vAlign w:val="center"/>
          </w:tcPr>
          <w:p>
            <w:pPr>
              <w:jc w:val="center"/>
              <w:rPr>
                <w:color w:val="000000"/>
                <w:szCs w:val="21"/>
              </w:rPr>
            </w:pPr>
          </w:p>
        </w:tc>
        <w:tc>
          <w:tcPr>
            <w:tcW w:w="1197" w:type="dxa"/>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7" w:type="dxa"/>
            <w:noWrap w:val="0"/>
            <w:vAlign w:val="center"/>
          </w:tcPr>
          <w:p>
            <w:pPr>
              <w:jc w:val="center"/>
              <w:rPr>
                <w:color w:val="000000"/>
                <w:szCs w:val="21"/>
              </w:rPr>
            </w:pPr>
          </w:p>
        </w:tc>
        <w:tc>
          <w:tcPr>
            <w:tcW w:w="947" w:type="dxa"/>
            <w:noWrap w:val="0"/>
            <w:vAlign w:val="center"/>
          </w:tcPr>
          <w:p>
            <w:pPr>
              <w:jc w:val="center"/>
              <w:rPr>
                <w:color w:val="000000"/>
                <w:szCs w:val="21"/>
              </w:rPr>
            </w:pPr>
          </w:p>
        </w:tc>
        <w:tc>
          <w:tcPr>
            <w:tcW w:w="734" w:type="dxa"/>
            <w:noWrap w:val="0"/>
            <w:vAlign w:val="center"/>
          </w:tcPr>
          <w:p>
            <w:pPr>
              <w:jc w:val="center"/>
              <w:rPr>
                <w:color w:val="000000"/>
                <w:szCs w:val="21"/>
              </w:rPr>
            </w:pPr>
          </w:p>
        </w:tc>
        <w:tc>
          <w:tcPr>
            <w:tcW w:w="1160" w:type="dxa"/>
            <w:noWrap w:val="0"/>
            <w:vAlign w:val="center"/>
          </w:tcPr>
          <w:p>
            <w:pPr>
              <w:jc w:val="center"/>
              <w:rPr>
                <w:color w:val="000000"/>
                <w:szCs w:val="21"/>
              </w:rPr>
            </w:pPr>
          </w:p>
        </w:tc>
        <w:tc>
          <w:tcPr>
            <w:tcW w:w="820" w:type="dxa"/>
            <w:noWrap w:val="0"/>
            <w:vAlign w:val="center"/>
          </w:tcPr>
          <w:p>
            <w:pPr>
              <w:jc w:val="center"/>
              <w:rPr>
                <w:color w:val="000000"/>
                <w:szCs w:val="21"/>
              </w:rPr>
            </w:pPr>
          </w:p>
        </w:tc>
        <w:tc>
          <w:tcPr>
            <w:tcW w:w="1240" w:type="dxa"/>
            <w:noWrap w:val="0"/>
            <w:vAlign w:val="center"/>
          </w:tcPr>
          <w:p>
            <w:pPr>
              <w:jc w:val="center"/>
              <w:rPr>
                <w:color w:val="000000"/>
                <w:szCs w:val="21"/>
              </w:rPr>
            </w:pPr>
          </w:p>
        </w:tc>
        <w:tc>
          <w:tcPr>
            <w:tcW w:w="1124" w:type="dxa"/>
            <w:noWrap w:val="0"/>
            <w:vAlign w:val="center"/>
          </w:tcPr>
          <w:p>
            <w:pPr>
              <w:jc w:val="center"/>
              <w:rPr>
                <w:color w:val="000000"/>
                <w:szCs w:val="21"/>
              </w:rPr>
            </w:pPr>
          </w:p>
        </w:tc>
        <w:tc>
          <w:tcPr>
            <w:tcW w:w="948" w:type="dxa"/>
            <w:noWrap w:val="0"/>
            <w:vAlign w:val="center"/>
          </w:tcPr>
          <w:p>
            <w:pPr>
              <w:jc w:val="center"/>
              <w:rPr>
                <w:color w:val="000000"/>
                <w:szCs w:val="21"/>
              </w:rPr>
            </w:pPr>
          </w:p>
        </w:tc>
        <w:tc>
          <w:tcPr>
            <w:tcW w:w="1197" w:type="dxa"/>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7" w:type="dxa"/>
            <w:noWrap w:val="0"/>
            <w:vAlign w:val="center"/>
          </w:tcPr>
          <w:p>
            <w:pPr>
              <w:jc w:val="center"/>
              <w:rPr>
                <w:color w:val="000000"/>
                <w:szCs w:val="21"/>
              </w:rPr>
            </w:pPr>
          </w:p>
        </w:tc>
        <w:tc>
          <w:tcPr>
            <w:tcW w:w="947" w:type="dxa"/>
            <w:noWrap w:val="0"/>
            <w:vAlign w:val="center"/>
          </w:tcPr>
          <w:p>
            <w:pPr>
              <w:jc w:val="center"/>
              <w:rPr>
                <w:color w:val="000000"/>
                <w:szCs w:val="21"/>
              </w:rPr>
            </w:pPr>
          </w:p>
        </w:tc>
        <w:tc>
          <w:tcPr>
            <w:tcW w:w="734" w:type="dxa"/>
            <w:noWrap w:val="0"/>
            <w:vAlign w:val="center"/>
          </w:tcPr>
          <w:p>
            <w:pPr>
              <w:jc w:val="center"/>
              <w:rPr>
                <w:color w:val="000000"/>
                <w:szCs w:val="21"/>
              </w:rPr>
            </w:pPr>
          </w:p>
        </w:tc>
        <w:tc>
          <w:tcPr>
            <w:tcW w:w="1160" w:type="dxa"/>
            <w:noWrap w:val="0"/>
            <w:vAlign w:val="center"/>
          </w:tcPr>
          <w:p>
            <w:pPr>
              <w:jc w:val="center"/>
              <w:rPr>
                <w:color w:val="000000"/>
                <w:szCs w:val="21"/>
              </w:rPr>
            </w:pPr>
          </w:p>
        </w:tc>
        <w:tc>
          <w:tcPr>
            <w:tcW w:w="820" w:type="dxa"/>
            <w:noWrap w:val="0"/>
            <w:vAlign w:val="center"/>
          </w:tcPr>
          <w:p>
            <w:pPr>
              <w:jc w:val="center"/>
              <w:rPr>
                <w:color w:val="000000"/>
                <w:szCs w:val="21"/>
              </w:rPr>
            </w:pPr>
          </w:p>
        </w:tc>
        <w:tc>
          <w:tcPr>
            <w:tcW w:w="1240" w:type="dxa"/>
            <w:noWrap w:val="0"/>
            <w:vAlign w:val="center"/>
          </w:tcPr>
          <w:p>
            <w:pPr>
              <w:jc w:val="center"/>
              <w:rPr>
                <w:color w:val="000000"/>
                <w:szCs w:val="21"/>
              </w:rPr>
            </w:pPr>
          </w:p>
        </w:tc>
        <w:tc>
          <w:tcPr>
            <w:tcW w:w="1124" w:type="dxa"/>
            <w:noWrap w:val="0"/>
            <w:vAlign w:val="center"/>
          </w:tcPr>
          <w:p>
            <w:pPr>
              <w:jc w:val="center"/>
              <w:rPr>
                <w:color w:val="000000"/>
                <w:szCs w:val="21"/>
              </w:rPr>
            </w:pPr>
          </w:p>
        </w:tc>
        <w:tc>
          <w:tcPr>
            <w:tcW w:w="948" w:type="dxa"/>
            <w:noWrap w:val="0"/>
            <w:vAlign w:val="center"/>
          </w:tcPr>
          <w:p>
            <w:pPr>
              <w:jc w:val="center"/>
              <w:rPr>
                <w:color w:val="000000"/>
                <w:szCs w:val="21"/>
              </w:rPr>
            </w:pPr>
          </w:p>
        </w:tc>
        <w:tc>
          <w:tcPr>
            <w:tcW w:w="1197" w:type="dxa"/>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7" w:type="dxa"/>
            <w:noWrap w:val="0"/>
            <w:vAlign w:val="center"/>
          </w:tcPr>
          <w:p>
            <w:pPr>
              <w:jc w:val="center"/>
              <w:rPr>
                <w:color w:val="000000"/>
                <w:szCs w:val="21"/>
              </w:rPr>
            </w:pPr>
          </w:p>
        </w:tc>
        <w:tc>
          <w:tcPr>
            <w:tcW w:w="947" w:type="dxa"/>
            <w:noWrap w:val="0"/>
            <w:vAlign w:val="center"/>
          </w:tcPr>
          <w:p>
            <w:pPr>
              <w:jc w:val="center"/>
              <w:rPr>
                <w:color w:val="000000"/>
                <w:szCs w:val="21"/>
              </w:rPr>
            </w:pPr>
          </w:p>
        </w:tc>
        <w:tc>
          <w:tcPr>
            <w:tcW w:w="734" w:type="dxa"/>
            <w:noWrap w:val="0"/>
            <w:vAlign w:val="center"/>
          </w:tcPr>
          <w:p>
            <w:pPr>
              <w:jc w:val="center"/>
              <w:rPr>
                <w:color w:val="000000"/>
                <w:szCs w:val="21"/>
              </w:rPr>
            </w:pPr>
          </w:p>
        </w:tc>
        <w:tc>
          <w:tcPr>
            <w:tcW w:w="1160" w:type="dxa"/>
            <w:noWrap w:val="0"/>
            <w:vAlign w:val="center"/>
          </w:tcPr>
          <w:p>
            <w:pPr>
              <w:jc w:val="center"/>
              <w:rPr>
                <w:color w:val="000000"/>
                <w:szCs w:val="21"/>
              </w:rPr>
            </w:pPr>
          </w:p>
        </w:tc>
        <w:tc>
          <w:tcPr>
            <w:tcW w:w="820" w:type="dxa"/>
            <w:noWrap w:val="0"/>
            <w:vAlign w:val="center"/>
          </w:tcPr>
          <w:p>
            <w:pPr>
              <w:jc w:val="center"/>
              <w:rPr>
                <w:color w:val="000000"/>
                <w:szCs w:val="21"/>
              </w:rPr>
            </w:pPr>
          </w:p>
        </w:tc>
        <w:tc>
          <w:tcPr>
            <w:tcW w:w="1240" w:type="dxa"/>
            <w:noWrap w:val="0"/>
            <w:vAlign w:val="center"/>
          </w:tcPr>
          <w:p>
            <w:pPr>
              <w:jc w:val="center"/>
              <w:rPr>
                <w:color w:val="000000"/>
                <w:szCs w:val="21"/>
              </w:rPr>
            </w:pPr>
          </w:p>
        </w:tc>
        <w:tc>
          <w:tcPr>
            <w:tcW w:w="1124" w:type="dxa"/>
            <w:noWrap w:val="0"/>
            <w:vAlign w:val="center"/>
          </w:tcPr>
          <w:p>
            <w:pPr>
              <w:jc w:val="center"/>
              <w:rPr>
                <w:color w:val="000000"/>
                <w:szCs w:val="21"/>
              </w:rPr>
            </w:pPr>
          </w:p>
        </w:tc>
        <w:tc>
          <w:tcPr>
            <w:tcW w:w="948" w:type="dxa"/>
            <w:noWrap w:val="0"/>
            <w:vAlign w:val="center"/>
          </w:tcPr>
          <w:p>
            <w:pPr>
              <w:jc w:val="center"/>
              <w:rPr>
                <w:color w:val="000000"/>
                <w:szCs w:val="21"/>
              </w:rPr>
            </w:pPr>
          </w:p>
        </w:tc>
        <w:tc>
          <w:tcPr>
            <w:tcW w:w="1197" w:type="dxa"/>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7" w:type="dxa"/>
            <w:noWrap w:val="0"/>
            <w:vAlign w:val="center"/>
          </w:tcPr>
          <w:p>
            <w:pPr>
              <w:jc w:val="center"/>
              <w:rPr>
                <w:color w:val="000000"/>
                <w:szCs w:val="21"/>
              </w:rPr>
            </w:pPr>
          </w:p>
        </w:tc>
        <w:tc>
          <w:tcPr>
            <w:tcW w:w="947" w:type="dxa"/>
            <w:noWrap w:val="0"/>
            <w:vAlign w:val="center"/>
          </w:tcPr>
          <w:p>
            <w:pPr>
              <w:jc w:val="center"/>
              <w:rPr>
                <w:color w:val="000000"/>
                <w:szCs w:val="21"/>
              </w:rPr>
            </w:pPr>
          </w:p>
        </w:tc>
        <w:tc>
          <w:tcPr>
            <w:tcW w:w="734" w:type="dxa"/>
            <w:noWrap w:val="0"/>
            <w:vAlign w:val="center"/>
          </w:tcPr>
          <w:p>
            <w:pPr>
              <w:jc w:val="center"/>
              <w:rPr>
                <w:color w:val="000000"/>
                <w:szCs w:val="21"/>
              </w:rPr>
            </w:pPr>
          </w:p>
        </w:tc>
        <w:tc>
          <w:tcPr>
            <w:tcW w:w="1160" w:type="dxa"/>
            <w:noWrap w:val="0"/>
            <w:vAlign w:val="center"/>
          </w:tcPr>
          <w:p>
            <w:pPr>
              <w:jc w:val="center"/>
              <w:rPr>
                <w:color w:val="000000"/>
                <w:szCs w:val="21"/>
              </w:rPr>
            </w:pPr>
          </w:p>
        </w:tc>
        <w:tc>
          <w:tcPr>
            <w:tcW w:w="820" w:type="dxa"/>
            <w:noWrap w:val="0"/>
            <w:vAlign w:val="center"/>
          </w:tcPr>
          <w:p>
            <w:pPr>
              <w:jc w:val="center"/>
              <w:rPr>
                <w:color w:val="000000"/>
                <w:szCs w:val="21"/>
              </w:rPr>
            </w:pPr>
          </w:p>
        </w:tc>
        <w:tc>
          <w:tcPr>
            <w:tcW w:w="1240" w:type="dxa"/>
            <w:noWrap w:val="0"/>
            <w:vAlign w:val="center"/>
          </w:tcPr>
          <w:p>
            <w:pPr>
              <w:jc w:val="center"/>
              <w:rPr>
                <w:color w:val="000000"/>
                <w:szCs w:val="21"/>
              </w:rPr>
            </w:pPr>
          </w:p>
        </w:tc>
        <w:tc>
          <w:tcPr>
            <w:tcW w:w="1124" w:type="dxa"/>
            <w:noWrap w:val="0"/>
            <w:vAlign w:val="center"/>
          </w:tcPr>
          <w:p>
            <w:pPr>
              <w:jc w:val="center"/>
              <w:rPr>
                <w:color w:val="000000"/>
                <w:szCs w:val="21"/>
              </w:rPr>
            </w:pPr>
          </w:p>
        </w:tc>
        <w:tc>
          <w:tcPr>
            <w:tcW w:w="948" w:type="dxa"/>
            <w:noWrap w:val="0"/>
            <w:vAlign w:val="center"/>
          </w:tcPr>
          <w:p>
            <w:pPr>
              <w:jc w:val="center"/>
              <w:rPr>
                <w:color w:val="000000"/>
                <w:szCs w:val="21"/>
              </w:rPr>
            </w:pPr>
          </w:p>
        </w:tc>
        <w:tc>
          <w:tcPr>
            <w:tcW w:w="1197" w:type="dxa"/>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7" w:type="dxa"/>
            <w:noWrap w:val="0"/>
            <w:vAlign w:val="center"/>
          </w:tcPr>
          <w:p>
            <w:pPr>
              <w:jc w:val="center"/>
              <w:rPr>
                <w:color w:val="000000"/>
                <w:szCs w:val="21"/>
              </w:rPr>
            </w:pPr>
          </w:p>
        </w:tc>
        <w:tc>
          <w:tcPr>
            <w:tcW w:w="947" w:type="dxa"/>
            <w:noWrap w:val="0"/>
            <w:vAlign w:val="center"/>
          </w:tcPr>
          <w:p>
            <w:pPr>
              <w:jc w:val="center"/>
              <w:rPr>
                <w:color w:val="000000"/>
                <w:szCs w:val="21"/>
              </w:rPr>
            </w:pPr>
          </w:p>
        </w:tc>
        <w:tc>
          <w:tcPr>
            <w:tcW w:w="734" w:type="dxa"/>
            <w:noWrap w:val="0"/>
            <w:vAlign w:val="center"/>
          </w:tcPr>
          <w:p>
            <w:pPr>
              <w:jc w:val="center"/>
              <w:rPr>
                <w:color w:val="000000"/>
                <w:szCs w:val="21"/>
              </w:rPr>
            </w:pPr>
          </w:p>
        </w:tc>
        <w:tc>
          <w:tcPr>
            <w:tcW w:w="1160" w:type="dxa"/>
            <w:noWrap w:val="0"/>
            <w:vAlign w:val="center"/>
          </w:tcPr>
          <w:p>
            <w:pPr>
              <w:jc w:val="center"/>
              <w:rPr>
                <w:color w:val="000000"/>
                <w:szCs w:val="21"/>
              </w:rPr>
            </w:pPr>
          </w:p>
        </w:tc>
        <w:tc>
          <w:tcPr>
            <w:tcW w:w="820" w:type="dxa"/>
            <w:noWrap w:val="0"/>
            <w:vAlign w:val="center"/>
          </w:tcPr>
          <w:p>
            <w:pPr>
              <w:jc w:val="center"/>
              <w:rPr>
                <w:color w:val="000000"/>
                <w:szCs w:val="21"/>
              </w:rPr>
            </w:pPr>
          </w:p>
        </w:tc>
        <w:tc>
          <w:tcPr>
            <w:tcW w:w="1240" w:type="dxa"/>
            <w:noWrap w:val="0"/>
            <w:vAlign w:val="center"/>
          </w:tcPr>
          <w:p>
            <w:pPr>
              <w:jc w:val="center"/>
              <w:rPr>
                <w:color w:val="000000"/>
                <w:szCs w:val="21"/>
              </w:rPr>
            </w:pPr>
          </w:p>
        </w:tc>
        <w:tc>
          <w:tcPr>
            <w:tcW w:w="1124" w:type="dxa"/>
            <w:noWrap w:val="0"/>
            <w:vAlign w:val="center"/>
          </w:tcPr>
          <w:p>
            <w:pPr>
              <w:jc w:val="center"/>
              <w:rPr>
                <w:color w:val="000000"/>
                <w:szCs w:val="21"/>
              </w:rPr>
            </w:pPr>
          </w:p>
        </w:tc>
        <w:tc>
          <w:tcPr>
            <w:tcW w:w="948" w:type="dxa"/>
            <w:noWrap w:val="0"/>
            <w:vAlign w:val="center"/>
          </w:tcPr>
          <w:p>
            <w:pPr>
              <w:jc w:val="center"/>
              <w:rPr>
                <w:color w:val="000000"/>
                <w:szCs w:val="21"/>
              </w:rPr>
            </w:pPr>
          </w:p>
        </w:tc>
        <w:tc>
          <w:tcPr>
            <w:tcW w:w="1197" w:type="dxa"/>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7" w:type="dxa"/>
            <w:noWrap w:val="0"/>
            <w:vAlign w:val="center"/>
          </w:tcPr>
          <w:p>
            <w:pPr>
              <w:jc w:val="center"/>
              <w:rPr>
                <w:color w:val="000000"/>
                <w:szCs w:val="21"/>
              </w:rPr>
            </w:pPr>
          </w:p>
        </w:tc>
        <w:tc>
          <w:tcPr>
            <w:tcW w:w="947" w:type="dxa"/>
            <w:noWrap w:val="0"/>
            <w:vAlign w:val="center"/>
          </w:tcPr>
          <w:p>
            <w:pPr>
              <w:jc w:val="center"/>
              <w:rPr>
                <w:color w:val="000000"/>
                <w:szCs w:val="21"/>
              </w:rPr>
            </w:pPr>
          </w:p>
        </w:tc>
        <w:tc>
          <w:tcPr>
            <w:tcW w:w="734" w:type="dxa"/>
            <w:noWrap w:val="0"/>
            <w:vAlign w:val="center"/>
          </w:tcPr>
          <w:p>
            <w:pPr>
              <w:jc w:val="center"/>
              <w:rPr>
                <w:color w:val="000000"/>
                <w:szCs w:val="21"/>
              </w:rPr>
            </w:pPr>
          </w:p>
        </w:tc>
        <w:tc>
          <w:tcPr>
            <w:tcW w:w="1160" w:type="dxa"/>
            <w:noWrap w:val="0"/>
            <w:vAlign w:val="center"/>
          </w:tcPr>
          <w:p>
            <w:pPr>
              <w:jc w:val="center"/>
              <w:rPr>
                <w:color w:val="000000"/>
                <w:szCs w:val="21"/>
              </w:rPr>
            </w:pPr>
          </w:p>
        </w:tc>
        <w:tc>
          <w:tcPr>
            <w:tcW w:w="820" w:type="dxa"/>
            <w:noWrap w:val="0"/>
            <w:vAlign w:val="center"/>
          </w:tcPr>
          <w:p>
            <w:pPr>
              <w:jc w:val="center"/>
              <w:rPr>
                <w:color w:val="000000"/>
                <w:szCs w:val="21"/>
              </w:rPr>
            </w:pPr>
          </w:p>
        </w:tc>
        <w:tc>
          <w:tcPr>
            <w:tcW w:w="1240" w:type="dxa"/>
            <w:noWrap w:val="0"/>
            <w:vAlign w:val="center"/>
          </w:tcPr>
          <w:p>
            <w:pPr>
              <w:jc w:val="center"/>
              <w:rPr>
                <w:color w:val="000000"/>
                <w:szCs w:val="21"/>
              </w:rPr>
            </w:pPr>
          </w:p>
        </w:tc>
        <w:tc>
          <w:tcPr>
            <w:tcW w:w="1124" w:type="dxa"/>
            <w:noWrap w:val="0"/>
            <w:vAlign w:val="center"/>
          </w:tcPr>
          <w:p>
            <w:pPr>
              <w:jc w:val="center"/>
              <w:rPr>
                <w:color w:val="000000"/>
                <w:szCs w:val="21"/>
              </w:rPr>
            </w:pPr>
          </w:p>
        </w:tc>
        <w:tc>
          <w:tcPr>
            <w:tcW w:w="948" w:type="dxa"/>
            <w:noWrap w:val="0"/>
            <w:vAlign w:val="center"/>
          </w:tcPr>
          <w:p>
            <w:pPr>
              <w:jc w:val="center"/>
              <w:rPr>
                <w:color w:val="000000"/>
                <w:szCs w:val="21"/>
              </w:rPr>
            </w:pPr>
          </w:p>
        </w:tc>
        <w:tc>
          <w:tcPr>
            <w:tcW w:w="1197" w:type="dxa"/>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7" w:type="dxa"/>
            <w:noWrap w:val="0"/>
            <w:vAlign w:val="center"/>
          </w:tcPr>
          <w:p>
            <w:pPr>
              <w:jc w:val="center"/>
              <w:rPr>
                <w:color w:val="000000"/>
                <w:szCs w:val="21"/>
              </w:rPr>
            </w:pPr>
          </w:p>
        </w:tc>
        <w:tc>
          <w:tcPr>
            <w:tcW w:w="947" w:type="dxa"/>
            <w:noWrap w:val="0"/>
            <w:vAlign w:val="center"/>
          </w:tcPr>
          <w:p>
            <w:pPr>
              <w:jc w:val="center"/>
              <w:rPr>
                <w:color w:val="000000"/>
                <w:szCs w:val="21"/>
              </w:rPr>
            </w:pPr>
          </w:p>
        </w:tc>
        <w:tc>
          <w:tcPr>
            <w:tcW w:w="734" w:type="dxa"/>
            <w:noWrap w:val="0"/>
            <w:vAlign w:val="center"/>
          </w:tcPr>
          <w:p>
            <w:pPr>
              <w:jc w:val="center"/>
              <w:rPr>
                <w:color w:val="000000"/>
                <w:szCs w:val="21"/>
              </w:rPr>
            </w:pPr>
          </w:p>
        </w:tc>
        <w:tc>
          <w:tcPr>
            <w:tcW w:w="1160" w:type="dxa"/>
            <w:noWrap w:val="0"/>
            <w:vAlign w:val="center"/>
          </w:tcPr>
          <w:p>
            <w:pPr>
              <w:jc w:val="center"/>
              <w:rPr>
                <w:color w:val="000000"/>
                <w:szCs w:val="21"/>
              </w:rPr>
            </w:pPr>
          </w:p>
        </w:tc>
        <w:tc>
          <w:tcPr>
            <w:tcW w:w="820" w:type="dxa"/>
            <w:noWrap w:val="0"/>
            <w:vAlign w:val="center"/>
          </w:tcPr>
          <w:p>
            <w:pPr>
              <w:jc w:val="center"/>
              <w:rPr>
                <w:color w:val="000000"/>
                <w:szCs w:val="21"/>
              </w:rPr>
            </w:pPr>
          </w:p>
        </w:tc>
        <w:tc>
          <w:tcPr>
            <w:tcW w:w="1240" w:type="dxa"/>
            <w:noWrap w:val="0"/>
            <w:vAlign w:val="center"/>
          </w:tcPr>
          <w:p>
            <w:pPr>
              <w:jc w:val="center"/>
              <w:rPr>
                <w:color w:val="000000"/>
                <w:szCs w:val="21"/>
              </w:rPr>
            </w:pPr>
          </w:p>
        </w:tc>
        <w:tc>
          <w:tcPr>
            <w:tcW w:w="1124" w:type="dxa"/>
            <w:noWrap w:val="0"/>
            <w:vAlign w:val="center"/>
          </w:tcPr>
          <w:p>
            <w:pPr>
              <w:jc w:val="center"/>
              <w:rPr>
                <w:color w:val="000000"/>
                <w:szCs w:val="21"/>
              </w:rPr>
            </w:pPr>
          </w:p>
        </w:tc>
        <w:tc>
          <w:tcPr>
            <w:tcW w:w="948" w:type="dxa"/>
            <w:noWrap w:val="0"/>
            <w:vAlign w:val="center"/>
          </w:tcPr>
          <w:p>
            <w:pPr>
              <w:jc w:val="center"/>
              <w:rPr>
                <w:color w:val="000000"/>
                <w:szCs w:val="21"/>
              </w:rPr>
            </w:pPr>
          </w:p>
        </w:tc>
        <w:tc>
          <w:tcPr>
            <w:tcW w:w="1197" w:type="dxa"/>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7" w:type="dxa"/>
            <w:noWrap w:val="0"/>
            <w:vAlign w:val="center"/>
          </w:tcPr>
          <w:p>
            <w:pPr>
              <w:jc w:val="center"/>
              <w:rPr>
                <w:color w:val="000000"/>
                <w:szCs w:val="21"/>
              </w:rPr>
            </w:pPr>
          </w:p>
        </w:tc>
        <w:tc>
          <w:tcPr>
            <w:tcW w:w="947" w:type="dxa"/>
            <w:noWrap w:val="0"/>
            <w:vAlign w:val="center"/>
          </w:tcPr>
          <w:p>
            <w:pPr>
              <w:jc w:val="center"/>
              <w:rPr>
                <w:color w:val="000000"/>
                <w:szCs w:val="21"/>
              </w:rPr>
            </w:pPr>
          </w:p>
        </w:tc>
        <w:tc>
          <w:tcPr>
            <w:tcW w:w="734" w:type="dxa"/>
            <w:noWrap w:val="0"/>
            <w:vAlign w:val="center"/>
          </w:tcPr>
          <w:p>
            <w:pPr>
              <w:jc w:val="center"/>
              <w:rPr>
                <w:color w:val="000000"/>
                <w:szCs w:val="21"/>
              </w:rPr>
            </w:pPr>
          </w:p>
        </w:tc>
        <w:tc>
          <w:tcPr>
            <w:tcW w:w="1160" w:type="dxa"/>
            <w:noWrap w:val="0"/>
            <w:vAlign w:val="center"/>
          </w:tcPr>
          <w:p>
            <w:pPr>
              <w:jc w:val="center"/>
              <w:rPr>
                <w:color w:val="000000"/>
                <w:szCs w:val="21"/>
              </w:rPr>
            </w:pPr>
          </w:p>
        </w:tc>
        <w:tc>
          <w:tcPr>
            <w:tcW w:w="820" w:type="dxa"/>
            <w:noWrap w:val="0"/>
            <w:vAlign w:val="center"/>
          </w:tcPr>
          <w:p>
            <w:pPr>
              <w:jc w:val="center"/>
              <w:rPr>
                <w:color w:val="000000"/>
                <w:szCs w:val="21"/>
              </w:rPr>
            </w:pPr>
          </w:p>
        </w:tc>
        <w:tc>
          <w:tcPr>
            <w:tcW w:w="1240" w:type="dxa"/>
            <w:noWrap w:val="0"/>
            <w:vAlign w:val="center"/>
          </w:tcPr>
          <w:p>
            <w:pPr>
              <w:jc w:val="center"/>
              <w:rPr>
                <w:color w:val="000000"/>
                <w:szCs w:val="21"/>
              </w:rPr>
            </w:pPr>
          </w:p>
        </w:tc>
        <w:tc>
          <w:tcPr>
            <w:tcW w:w="1124" w:type="dxa"/>
            <w:noWrap w:val="0"/>
            <w:vAlign w:val="center"/>
          </w:tcPr>
          <w:p>
            <w:pPr>
              <w:jc w:val="center"/>
              <w:rPr>
                <w:color w:val="000000"/>
                <w:szCs w:val="21"/>
              </w:rPr>
            </w:pPr>
          </w:p>
        </w:tc>
        <w:tc>
          <w:tcPr>
            <w:tcW w:w="948" w:type="dxa"/>
            <w:noWrap w:val="0"/>
            <w:vAlign w:val="center"/>
          </w:tcPr>
          <w:p>
            <w:pPr>
              <w:jc w:val="center"/>
              <w:rPr>
                <w:color w:val="000000"/>
                <w:szCs w:val="21"/>
              </w:rPr>
            </w:pPr>
          </w:p>
        </w:tc>
        <w:tc>
          <w:tcPr>
            <w:tcW w:w="1197" w:type="dxa"/>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7" w:type="dxa"/>
            <w:noWrap w:val="0"/>
            <w:vAlign w:val="center"/>
          </w:tcPr>
          <w:p>
            <w:pPr>
              <w:jc w:val="center"/>
              <w:rPr>
                <w:color w:val="000000"/>
                <w:szCs w:val="21"/>
              </w:rPr>
            </w:pPr>
          </w:p>
        </w:tc>
        <w:tc>
          <w:tcPr>
            <w:tcW w:w="947" w:type="dxa"/>
            <w:noWrap w:val="0"/>
            <w:vAlign w:val="center"/>
          </w:tcPr>
          <w:p>
            <w:pPr>
              <w:jc w:val="center"/>
              <w:rPr>
                <w:color w:val="000000"/>
                <w:szCs w:val="21"/>
              </w:rPr>
            </w:pPr>
          </w:p>
        </w:tc>
        <w:tc>
          <w:tcPr>
            <w:tcW w:w="734" w:type="dxa"/>
            <w:noWrap w:val="0"/>
            <w:vAlign w:val="center"/>
          </w:tcPr>
          <w:p>
            <w:pPr>
              <w:jc w:val="center"/>
              <w:rPr>
                <w:color w:val="000000"/>
                <w:szCs w:val="21"/>
              </w:rPr>
            </w:pPr>
          </w:p>
        </w:tc>
        <w:tc>
          <w:tcPr>
            <w:tcW w:w="1160" w:type="dxa"/>
            <w:noWrap w:val="0"/>
            <w:vAlign w:val="center"/>
          </w:tcPr>
          <w:p>
            <w:pPr>
              <w:jc w:val="center"/>
              <w:rPr>
                <w:color w:val="000000"/>
                <w:szCs w:val="21"/>
              </w:rPr>
            </w:pPr>
          </w:p>
        </w:tc>
        <w:tc>
          <w:tcPr>
            <w:tcW w:w="820" w:type="dxa"/>
            <w:noWrap w:val="0"/>
            <w:vAlign w:val="center"/>
          </w:tcPr>
          <w:p>
            <w:pPr>
              <w:jc w:val="center"/>
              <w:rPr>
                <w:color w:val="000000"/>
                <w:szCs w:val="21"/>
              </w:rPr>
            </w:pPr>
          </w:p>
        </w:tc>
        <w:tc>
          <w:tcPr>
            <w:tcW w:w="1240" w:type="dxa"/>
            <w:noWrap w:val="0"/>
            <w:vAlign w:val="center"/>
          </w:tcPr>
          <w:p>
            <w:pPr>
              <w:jc w:val="center"/>
              <w:rPr>
                <w:color w:val="000000"/>
                <w:szCs w:val="21"/>
              </w:rPr>
            </w:pPr>
          </w:p>
        </w:tc>
        <w:tc>
          <w:tcPr>
            <w:tcW w:w="1124" w:type="dxa"/>
            <w:noWrap w:val="0"/>
            <w:vAlign w:val="center"/>
          </w:tcPr>
          <w:p>
            <w:pPr>
              <w:jc w:val="center"/>
              <w:rPr>
                <w:color w:val="000000"/>
                <w:szCs w:val="21"/>
              </w:rPr>
            </w:pPr>
          </w:p>
        </w:tc>
        <w:tc>
          <w:tcPr>
            <w:tcW w:w="948" w:type="dxa"/>
            <w:noWrap w:val="0"/>
            <w:vAlign w:val="center"/>
          </w:tcPr>
          <w:p>
            <w:pPr>
              <w:jc w:val="center"/>
              <w:rPr>
                <w:color w:val="000000"/>
                <w:szCs w:val="21"/>
              </w:rPr>
            </w:pPr>
          </w:p>
        </w:tc>
        <w:tc>
          <w:tcPr>
            <w:tcW w:w="1197" w:type="dxa"/>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7" w:type="dxa"/>
            <w:noWrap w:val="0"/>
            <w:vAlign w:val="center"/>
          </w:tcPr>
          <w:p>
            <w:pPr>
              <w:jc w:val="center"/>
              <w:rPr>
                <w:color w:val="000000"/>
                <w:szCs w:val="21"/>
              </w:rPr>
            </w:pPr>
          </w:p>
        </w:tc>
        <w:tc>
          <w:tcPr>
            <w:tcW w:w="947" w:type="dxa"/>
            <w:noWrap w:val="0"/>
            <w:vAlign w:val="center"/>
          </w:tcPr>
          <w:p>
            <w:pPr>
              <w:jc w:val="center"/>
              <w:rPr>
                <w:color w:val="000000"/>
                <w:szCs w:val="21"/>
              </w:rPr>
            </w:pPr>
          </w:p>
        </w:tc>
        <w:tc>
          <w:tcPr>
            <w:tcW w:w="734" w:type="dxa"/>
            <w:noWrap w:val="0"/>
            <w:vAlign w:val="center"/>
          </w:tcPr>
          <w:p>
            <w:pPr>
              <w:jc w:val="center"/>
              <w:rPr>
                <w:color w:val="000000"/>
                <w:szCs w:val="21"/>
              </w:rPr>
            </w:pPr>
          </w:p>
        </w:tc>
        <w:tc>
          <w:tcPr>
            <w:tcW w:w="1160" w:type="dxa"/>
            <w:noWrap w:val="0"/>
            <w:vAlign w:val="center"/>
          </w:tcPr>
          <w:p>
            <w:pPr>
              <w:jc w:val="center"/>
              <w:rPr>
                <w:color w:val="000000"/>
                <w:szCs w:val="21"/>
              </w:rPr>
            </w:pPr>
          </w:p>
        </w:tc>
        <w:tc>
          <w:tcPr>
            <w:tcW w:w="820" w:type="dxa"/>
            <w:noWrap w:val="0"/>
            <w:vAlign w:val="center"/>
          </w:tcPr>
          <w:p>
            <w:pPr>
              <w:jc w:val="center"/>
              <w:rPr>
                <w:color w:val="000000"/>
                <w:szCs w:val="21"/>
              </w:rPr>
            </w:pPr>
          </w:p>
        </w:tc>
        <w:tc>
          <w:tcPr>
            <w:tcW w:w="1240" w:type="dxa"/>
            <w:noWrap w:val="0"/>
            <w:vAlign w:val="center"/>
          </w:tcPr>
          <w:p>
            <w:pPr>
              <w:jc w:val="center"/>
              <w:rPr>
                <w:color w:val="000000"/>
                <w:szCs w:val="21"/>
              </w:rPr>
            </w:pPr>
          </w:p>
        </w:tc>
        <w:tc>
          <w:tcPr>
            <w:tcW w:w="1124" w:type="dxa"/>
            <w:noWrap w:val="0"/>
            <w:vAlign w:val="center"/>
          </w:tcPr>
          <w:p>
            <w:pPr>
              <w:jc w:val="center"/>
              <w:rPr>
                <w:color w:val="000000"/>
                <w:szCs w:val="21"/>
              </w:rPr>
            </w:pPr>
          </w:p>
        </w:tc>
        <w:tc>
          <w:tcPr>
            <w:tcW w:w="948" w:type="dxa"/>
            <w:noWrap w:val="0"/>
            <w:vAlign w:val="center"/>
          </w:tcPr>
          <w:p>
            <w:pPr>
              <w:jc w:val="center"/>
              <w:rPr>
                <w:color w:val="000000"/>
                <w:szCs w:val="21"/>
              </w:rPr>
            </w:pPr>
          </w:p>
        </w:tc>
        <w:tc>
          <w:tcPr>
            <w:tcW w:w="1197" w:type="dxa"/>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7" w:type="dxa"/>
            <w:noWrap w:val="0"/>
            <w:vAlign w:val="center"/>
          </w:tcPr>
          <w:p>
            <w:pPr>
              <w:jc w:val="center"/>
              <w:rPr>
                <w:color w:val="000000"/>
                <w:szCs w:val="21"/>
              </w:rPr>
            </w:pPr>
          </w:p>
        </w:tc>
        <w:tc>
          <w:tcPr>
            <w:tcW w:w="947" w:type="dxa"/>
            <w:noWrap w:val="0"/>
            <w:vAlign w:val="center"/>
          </w:tcPr>
          <w:p>
            <w:pPr>
              <w:jc w:val="center"/>
              <w:rPr>
                <w:color w:val="000000"/>
                <w:szCs w:val="21"/>
              </w:rPr>
            </w:pPr>
          </w:p>
        </w:tc>
        <w:tc>
          <w:tcPr>
            <w:tcW w:w="734" w:type="dxa"/>
            <w:noWrap w:val="0"/>
            <w:vAlign w:val="center"/>
          </w:tcPr>
          <w:p>
            <w:pPr>
              <w:jc w:val="center"/>
              <w:rPr>
                <w:color w:val="000000"/>
                <w:szCs w:val="21"/>
              </w:rPr>
            </w:pPr>
          </w:p>
        </w:tc>
        <w:tc>
          <w:tcPr>
            <w:tcW w:w="1160" w:type="dxa"/>
            <w:noWrap w:val="0"/>
            <w:vAlign w:val="center"/>
          </w:tcPr>
          <w:p>
            <w:pPr>
              <w:jc w:val="center"/>
              <w:rPr>
                <w:color w:val="000000"/>
                <w:szCs w:val="21"/>
              </w:rPr>
            </w:pPr>
          </w:p>
        </w:tc>
        <w:tc>
          <w:tcPr>
            <w:tcW w:w="820" w:type="dxa"/>
            <w:noWrap w:val="0"/>
            <w:vAlign w:val="center"/>
          </w:tcPr>
          <w:p>
            <w:pPr>
              <w:jc w:val="center"/>
              <w:rPr>
                <w:color w:val="000000"/>
                <w:szCs w:val="21"/>
              </w:rPr>
            </w:pPr>
          </w:p>
        </w:tc>
        <w:tc>
          <w:tcPr>
            <w:tcW w:w="1240" w:type="dxa"/>
            <w:noWrap w:val="0"/>
            <w:vAlign w:val="center"/>
          </w:tcPr>
          <w:p>
            <w:pPr>
              <w:jc w:val="center"/>
              <w:rPr>
                <w:color w:val="000000"/>
                <w:szCs w:val="21"/>
              </w:rPr>
            </w:pPr>
          </w:p>
        </w:tc>
        <w:tc>
          <w:tcPr>
            <w:tcW w:w="1124" w:type="dxa"/>
            <w:noWrap w:val="0"/>
            <w:vAlign w:val="center"/>
          </w:tcPr>
          <w:p>
            <w:pPr>
              <w:jc w:val="center"/>
              <w:rPr>
                <w:color w:val="000000"/>
                <w:szCs w:val="21"/>
              </w:rPr>
            </w:pPr>
          </w:p>
        </w:tc>
        <w:tc>
          <w:tcPr>
            <w:tcW w:w="948" w:type="dxa"/>
            <w:noWrap w:val="0"/>
            <w:vAlign w:val="center"/>
          </w:tcPr>
          <w:p>
            <w:pPr>
              <w:jc w:val="center"/>
              <w:rPr>
                <w:color w:val="000000"/>
                <w:szCs w:val="21"/>
              </w:rPr>
            </w:pPr>
          </w:p>
        </w:tc>
        <w:tc>
          <w:tcPr>
            <w:tcW w:w="1197" w:type="dxa"/>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7" w:type="dxa"/>
            <w:noWrap w:val="0"/>
            <w:vAlign w:val="center"/>
          </w:tcPr>
          <w:p>
            <w:pPr>
              <w:jc w:val="center"/>
              <w:rPr>
                <w:color w:val="000000"/>
                <w:szCs w:val="21"/>
              </w:rPr>
            </w:pPr>
          </w:p>
        </w:tc>
        <w:tc>
          <w:tcPr>
            <w:tcW w:w="947" w:type="dxa"/>
            <w:noWrap w:val="0"/>
            <w:vAlign w:val="center"/>
          </w:tcPr>
          <w:p>
            <w:pPr>
              <w:jc w:val="center"/>
              <w:rPr>
                <w:color w:val="000000"/>
                <w:szCs w:val="21"/>
              </w:rPr>
            </w:pPr>
          </w:p>
        </w:tc>
        <w:tc>
          <w:tcPr>
            <w:tcW w:w="734" w:type="dxa"/>
            <w:noWrap w:val="0"/>
            <w:vAlign w:val="center"/>
          </w:tcPr>
          <w:p>
            <w:pPr>
              <w:jc w:val="center"/>
              <w:rPr>
                <w:color w:val="000000"/>
                <w:szCs w:val="21"/>
              </w:rPr>
            </w:pPr>
          </w:p>
        </w:tc>
        <w:tc>
          <w:tcPr>
            <w:tcW w:w="1160" w:type="dxa"/>
            <w:noWrap w:val="0"/>
            <w:vAlign w:val="center"/>
          </w:tcPr>
          <w:p>
            <w:pPr>
              <w:jc w:val="center"/>
              <w:rPr>
                <w:color w:val="000000"/>
                <w:szCs w:val="21"/>
              </w:rPr>
            </w:pPr>
          </w:p>
        </w:tc>
        <w:tc>
          <w:tcPr>
            <w:tcW w:w="820" w:type="dxa"/>
            <w:noWrap w:val="0"/>
            <w:vAlign w:val="center"/>
          </w:tcPr>
          <w:p>
            <w:pPr>
              <w:jc w:val="center"/>
              <w:rPr>
                <w:color w:val="000000"/>
                <w:szCs w:val="21"/>
              </w:rPr>
            </w:pPr>
          </w:p>
        </w:tc>
        <w:tc>
          <w:tcPr>
            <w:tcW w:w="1240" w:type="dxa"/>
            <w:noWrap w:val="0"/>
            <w:vAlign w:val="center"/>
          </w:tcPr>
          <w:p>
            <w:pPr>
              <w:jc w:val="center"/>
              <w:rPr>
                <w:color w:val="000000"/>
                <w:szCs w:val="21"/>
              </w:rPr>
            </w:pPr>
          </w:p>
        </w:tc>
        <w:tc>
          <w:tcPr>
            <w:tcW w:w="1124" w:type="dxa"/>
            <w:noWrap w:val="0"/>
            <w:vAlign w:val="center"/>
          </w:tcPr>
          <w:p>
            <w:pPr>
              <w:jc w:val="center"/>
              <w:rPr>
                <w:color w:val="000000"/>
                <w:szCs w:val="21"/>
              </w:rPr>
            </w:pPr>
          </w:p>
        </w:tc>
        <w:tc>
          <w:tcPr>
            <w:tcW w:w="948" w:type="dxa"/>
            <w:noWrap w:val="0"/>
            <w:vAlign w:val="center"/>
          </w:tcPr>
          <w:p>
            <w:pPr>
              <w:jc w:val="center"/>
              <w:rPr>
                <w:color w:val="000000"/>
                <w:szCs w:val="21"/>
              </w:rPr>
            </w:pPr>
          </w:p>
        </w:tc>
        <w:tc>
          <w:tcPr>
            <w:tcW w:w="1197" w:type="dxa"/>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7" w:type="dxa"/>
            <w:noWrap w:val="0"/>
            <w:vAlign w:val="center"/>
          </w:tcPr>
          <w:p>
            <w:pPr>
              <w:jc w:val="center"/>
              <w:rPr>
                <w:color w:val="000000"/>
                <w:szCs w:val="21"/>
              </w:rPr>
            </w:pPr>
          </w:p>
        </w:tc>
        <w:tc>
          <w:tcPr>
            <w:tcW w:w="947" w:type="dxa"/>
            <w:noWrap w:val="0"/>
            <w:vAlign w:val="center"/>
          </w:tcPr>
          <w:p>
            <w:pPr>
              <w:jc w:val="center"/>
              <w:rPr>
                <w:color w:val="000000"/>
                <w:szCs w:val="21"/>
              </w:rPr>
            </w:pPr>
          </w:p>
        </w:tc>
        <w:tc>
          <w:tcPr>
            <w:tcW w:w="734" w:type="dxa"/>
            <w:noWrap w:val="0"/>
            <w:vAlign w:val="center"/>
          </w:tcPr>
          <w:p>
            <w:pPr>
              <w:jc w:val="center"/>
              <w:rPr>
                <w:color w:val="000000"/>
                <w:szCs w:val="21"/>
              </w:rPr>
            </w:pPr>
          </w:p>
        </w:tc>
        <w:tc>
          <w:tcPr>
            <w:tcW w:w="1160" w:type="dxa"/>
            <w:noWrap w:val="0"/>
            <w:vAlign w:val="center"/>
          </w:tcPr>
          <w:p>
            <w:pPr>
              <w:jc w:val="center"/>
              <w:rPr>
                <w:color w:val="000000"/>
                <w:szCs w:val="21"/>
              </w:rPr>
            </w:pPr>
          </w:p>
        </w:tc>
        <w:tc>
          <w:tcPr>
            <w:tcW w:w="820" w:type="dxa"/>
            <w:noWrap w:val="0"/>
            <w:vAlign w:val="center"/>
          </w:tcPr>
          <w:p>
            <w:pPr>
              <w:jc w:val="center"/>
              <w:rPr>
                <w:color w:val="000000"/>
                <w:szCs w:val="21"/>
              </w:rPr>
            </w:pPr>
          </w:p>
        </w:tc>
        <w:tc>
          <w:tcPr>
            <w:tcW w:w="1240" w:type="dxa"/>
            <w:noWrap w:val="0"/>
            <w:vAlign w:val="center"/>
          </w:tcPr>
          <w:p>
            <w:pPr>
              <w:jc w:val="center"/>
              <w:rPr>
                <w:color w:val="000000"/>
                <w:szCs w:val="21"/>
              </w:rPr>
            </w:pPr>
          </w:p>
        </w:tc>
        <w:tc>
          <w:tcPr>
            <w:tcW w:w="1124" w:type="dxa"/>
            <w:noWrap w:val="0"/>
            <w:vAlign w:val="center"/>
          </w:tcPr>
          <w:p>
            <w:pPr>
              <w:jc w:val="center"/>
              <w:rPr>
                <w:color w:val="000000"/>
                <w:szCs w:val="21"/>
              </w:rPr>
            </w:pPr>
          </w:p>
        </w:tc>
        <w:tc>
          <w:tcPr>
            <w:tcW w:w="948" w:type="dxa"/>
            <w:noWrap w:val="0"/>
            <w:vAlign w:val="center"/>
          </w:tcPr>
          <w:p>
            <w:pPr>
              <w:jc w:val="center"/>
              <w:rPr>
                <w:color w:val="000000"/>
                <w:szCs w:val="21"/>
              </w:rPr>
            </w:pPr>
          </w:p>
        </w:tc>
        <w:tc>
          <w:tcPr>
            <w:tcW w:w="1197" w:type="dxa"/>
            <w:noWrap w:val="0"/>
            <w:vAlign w:val="center"/>
          </w:tcPr>
          <w:p>
            <w:pPr>
              <w:jc w:val="center"/>
              <w:rPr>
                <w:color w:val="000000"/>
                <w:szCs w:val="21"/>
              </w:rPr>
            </w:pPr>
          </w:p>
        </w:tc>
      </w:tr>
    </w:tbl>
    <w:p>
      <w:pPr>
        <w:snapToGrid w:val="0"/>
        <w:ind w:firstLine="2415" w:firstLineChars="1150"/>
        <w:rPr>
          <w:color w:val="000000"/>
        </w:rPr>
      </w:pPr>
    </w:p>
    <w:p>
      <w:pPr>
        <w:pStyle w:val="7"/>
        <w:keepNext w:val="0"/>
        <w:keepLines w:val="0"/>
        <w:spacing w:before="0" w:after="0" w:line="490" w:lineRule="exact"/>
        <w:rPr>
          <w:rFonts w:ascii="Times New Roman" w:hAnsi="Times New Roman"/>
          <w:b w:val="0"/>
          <w:color w:val="000000"/>
          <w:kern w:val="0"/>
          <w:szCs w:val="24"/>
        </w:rPr>
      </w:pPr>
      <w:r>
        <w:rPr>
          <w:rFonts w:ascii="Times New Roman" w:hAnsi="Times New Roman"/>
          <w:color w:val="000000"/>
        </w:rPr>
        <w:br w:type="page"/>
      </w:r>
      <w:r>
        <w:rPr>
          <w:rFonts w:ascii="Times New Roman" w:hAnsi="Times New Roman"/>
          <w:b w:val="0"/>
          <w:color w:val="000000"/>
          <w:kern w:val="0"/>
          <w:szCs w:val="24"/>
        </w:rPr>
        <w:t>附件三</w:t>
      </w:r>
    </w:p>
    <w:p>
      <w:pPr>
        <w:spacing w:line="490" w:lineRule="exact"/>
        <w:rPr>
          <w:color w:val="000000"/>
          <w:kern w:val="0"/>
          <w:sz w:val="22"/>
        </w:rPr>
      </w:pPr>
    </w:p>
    <w:p>
      <w:pPr>
        <w:pStyle w:val="13"/>
        <w:spacing w:before="240" w:beforeLines="100" w:after="240" w:afterLines="100" w:line="490" w:lineRule="exact"/>
        <w:ind w:left="0" w:leftChars="0" w:firstLine="0" w:firstLineChars="0"/>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拟投入本标段的劳动力计划表</w:t>
      </w:r>
    </w:p>
    <w:p>
      <w:pPr>
        <w:snapToGrid w:val="0"/>
        <w:spacing w:line="360" w:lineRule="exact"/>
        <w:rPr>
          <w:color w:val="000000"/>
        </w:rPr>
      </w:pPr>
      <w:r>
        <w:rPr>
          <w:color w:val="000000"/>
        </w:rPr>
        <w:t xml:space="preserve"> </w:t>
      </w:r>
      <w:r>
        <w:rPr>
          <w:color w:val="000000"/>
          <w:sz w:val="24"/>
        </w:rPr>
        <w:t xml:space="preserve">                                                         </w:t>
      </w:r>
      <w:r>
        <w:rPr>
          <w:color w:val="000000"/>
          <w:sz w:val="24"/>
          <w:lang w:val="zh-CN"/>
        </w:rPr>
        <w:t>单位：人</w:t>
      </w:r>
    </w:p>
    <w:tbl>
      <w:tblPr>
        <w:tblStyle w:val="4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56"/>
        <w:gridCol w:w="1155"/>
        <w:gridCol w:w="1050"/>
        <w:gridCol w:w="1050"/>
        <w:gridCol w:w="1050"/>
        <w:gridCol w:w="1050"/>
        <w:gridCol w:w="920"/>
        <w:gridCol w:w="138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1711" w:type="dxa"/>
            <w:gridSpan w:val="2"/>
            <w:vMerge w:val="restart"/>
            <w:tcBorders>
              <w:top w:val="single" w:color="auto" w:sz="4" w:space="0"/>
              <w:left w:val="single" w:color="auto" w:sz="4" w:space="0"/>
              <w:bottom w:val="single" w:color="auto" w:sz="4" w:space="0"/>
              <w:right w:val="single" w:color="auto" w:sz="4" w:space="0"/>
              <w:tl2br w:val="single" w:color="auto" w:sz="6" w:space="0"/>
            </w:tcBorders>
            <w:noWrap w:val="0"/>
            <w:vAlign w:val="top"/>
          </w:tcPr>
          <w:p>
            <w:pPr>
              <w:snapToGrid w:val="0"/>
              <w:spacing w:line="360" w:lineRule="exact"/>
              <w:ind w:firstLine="987" w:firstLineChars="470"/>
              <w:rPr>
                <w:rFonts w:eastAsia="黑体"/>
                <w:color w:val="000000"/>
              </w:rPr>
            </w:pPr>
            <w:r>
              <w:rPr>
                <w:rFonts w:eastAsia="黑体"/>
                <w:color w:val="000000"/>
              </w:rPr>
              <w:t>工种</w:t>
            </w:r>
          </w:p>
          <w:p>
            <w:pPr>
              <w:snapToGrid w:val="0"/>
              <w:spacing w:line="360" w:lineRule="exact"/>
              <w:rPr>
                <w:rFonts w:eastAsia="黑体"/>
                <w:color w:val="000000"/>
              </w:rPr>
            </w:pPr>
            <w:r>
              <w:rPr>
                <w:rFonts w:eastAsia="黑体"/>
                <w:color w:val="000000"/>
              </w:rPr>
              <w:t>人数</w:t>
            </w:r>
          </w:p>
        </w:tc>
        <w:tc>
          <w:tcPr>
            <w:tcW w:w="1050"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eastAsia="黑体"/>
                <w:color w:val="000000"/>
              </w:rPr>
            </w:pPr>
          </w:p>
        </w:tc>
        <w:tc>
          <w:tcPr>
            <w:tcW w:w="1050"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eastAsia="黑体"/>
                <w:color w:val="000000"/>
              </w:rPr>
            </w:pPr>
          </w:p>
        </w:tc>
        <w:tc>
          <w:tcPr>
            <w:tcW w:w="1050"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eastAsia="黑体"/>
                <w:color w:val="000000"/>
              </w:rPr>
            </w:pPr>
          </w:p>
        </w:tc>
        <w:tc>
          <w:tcPr>
            <w:tcW w:w="1050"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eastAsia="黑体"/>
                <w:color w:val="000000"/>
              </w:rPr>
            </w:pPr>
            <w:r>
              <w:rPr>
                <w:rFonts w:hint="eastAsia" w:eastAsia="黑体"/>
                <w:color w:val="000000"/>
              </w:rPr>
              <w:t>……</w:t>
            </w:r>
          </w:p>
        </w:tc>
        <w:tc>
          <w:tcPr>
            <w:tcW w:w="2309"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eastAsia="黑体"/>
                <w:color w:val="000000"/>
              </w:rPr>
            </w:pPr>
            <w:r>
              <w:rPr>
                <w:rFonts w:eastAsia="黑体"/>
                <w:color w:val="000000"/>
              </w:rPr>
              <w:t>合计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1711" w:type="dxa"/>
            <w:gridSpan w:val="2"/>
            <w:vMerge w:val="continue"/>
            <w:tcBorders>
              <w:top w:val="single" w:color="auto" w:sz="4" w:space="0"/>
              <w:left w:val="single" w:color="auto" w:sz="4" w:space="0"/>
              <w:bottom w:val="single" w:color="auto" w:sz="4" w:space="0"/>
              <w:right w:val="single" w:color="auto" w:sz="4" w:space="0"/>
              <w:tl2br w:val="single" w:color="auto" w:sz="6" w:space="0"/>
            </w:tcBorders>
            <w:noWrap w:val="0"/>
            <w:vAlign w:val="top"/>
          </w:tcPr>
          <w:p>
            <w:pPr>
              <w:snapToGrid w:val="0"/>
              <w:spacing w:line="360" w:lineRule="exact"/>
              <w:rPr>
                <w:rFonts w:eastAsia="黑体"/>
                <w:color w:val="000000"/>
              </w:rPr>
            </w:pPr>
          </w:p>
        </w:tc>
        <w:tc>
          <w:tcPr>
            <w:tcW w:w="1050" w:type="dxa"/>
            <w:vMerge w:val="continue"/>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eastAsia="黑体"/>
                <w:color w:val="000000"/>
              </w:rPr>
            </w:pPr>
          </w:p>
        </w:tc>
        <w:tc>
          <w:tcPr>
            <w:tcW w:w="1050" w:type="dxa"/>
            <w:vMerge w:val="continue"/>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eastAsia="黑体"/>
                <w:color w:val="000000"/>
              </w:rPr>
            </w:pPr>
          </w:p>
        </w:tc>
        <w:tc>
          <w:tcPr>
            <w:tcW w:w="1050" w:type="dxa"/>
            <w:vMerge w:val="continue"/>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eastAsia="黑体"/>
                <w:color w:val="000000"/>
              </w:rPr>
            </w:pPr>
          </w:p>
        </w:tc>
        <w:tc>
          <w:tcPr>
            <w:tcW w:w="1050" w:type="dxa"/>
            <w:vMerge w:val="continue"/>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eastAsia="黑体"/>
                <w:color w:val="000000"/>
              </w:rPr>
            </w:pPr>
          </w:p>
        </w:tc>
        <w:tc>
          <w:tcPr>
            <w:tcW w:w="92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eastAsia="黑体"/>
                <w:color w:val="000000"/>
              </w:rPr>
            </w:pPr>
            <w:r>
              <w:rPr>
                <w:rFonts w:eastAsia="黑体"/>
                <w:color w:val="000000"/>
              </w:rPr>
              <w:t>人数</w:t>
            </w:r>
          </w:p>
        </w:tc>
        <w:tc>
          <w:tcPr>
            <w:tcW w:w="138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eastAsia="黑体"/>
                <w:color w:val="000000"/>
              </w:rPr>
            </w:pPr>
            <w:r>
              <w:rPr>
                <w:rFonts w:eastAsia="黑体"/>
                <w:color w:val="000000"/>
              </w:rPr>
              <w:t>人工工日数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556"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r>
              <w:rPr>
                <w:rFonts w:hint="eastAsia" w:ascii="仿宋_GB2312" w:eastAsia="仿宋_GB2312"/>
                <w:color w:val="000000"/>
              </w:rPr>
              <w:t>年</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仿宋_GB2312" w:eastAsia="仿宋_GB2312"/>
                <w:color w:val="000000"/>
              </w:rPr>
            </w:pPr>
            <w:r>
              <w:rPr>
                <w:rFonts w:hint="eastAsia" w:ascii="仿宋_GB2312" w:eastAsia="仿宋_GB2312"/>
                <w:color w:val="000000"/>
              </w:rPr>
              <w:t xml:space="preserve"> 月</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c>
          <w:tcPr>
            <w:tcW w:w="92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c>
          <w:tcPr>
            <w:tcW w:w="138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556" w:type="dxa"/>
            <w:vMerge w:val="continue"/>
            <w:tcBorders>
              <w:top w:val="single" w:color="auto" w:sz="4" w:space="0"/>
              <w:left w:val="single" w:color="auto" w:sz="4" w:space="0"/>
              <w:bottom w:val="single" w:color="auto" w:sz="4" w:space="0"/>
              <w:right w:val="single" w:color="auto" w:sz="4" w:space="0"/>
            </w:tcBorders>
            <w:noWrap w:val="0"/>
            <w:vAlign w:val="top"/>
          </w:tcPr>
          <w:p>
            <w:pPr>
              <w:snapToGrid w:val="0"/>
              <w:spacing w:line="360" w:lineRule="exact"/>
              <w:rPr>
                <w:rFonts w:hint="eastAsia" w:ascii="仿宋_GB2312" w:eastAsia="仿宋_GB2312"/>
                <w:color w:val="000000"/>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000000"/>
              </w:rPr>
            </w:pPr>
            <w:r>
              <w:rPr>
                <w:rFonts w:hint="eastAsia" w:ascii="仿宋_GB2312" w:eastAsia="仿宋_GB2312"/>
                <w:color w:val="000000"/>
              </w:rPr>
              <w:t xml:space="preserve"> 月</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c>
          <w:tcPr>
            <w:tcW w:w="92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c>
          <w:tcPr>
            <w:tcW w:w="138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556" w:type="dxa"/>
            <w:vMerge w:val="continue"/>
            <w:tcBorders>
              <w:top w:val="single" w:color="auto" w:sz="4" w:space="0"/>
              <w:left w:val="single" w:color="auto" w:sz="4" w:space="0"/>
              <w:bottom w:val="single" w:color="auto" w:sz="4" w:space="0"/>
              <w:right w:val="single" w:color="auto" w:sz="4" w:space="0"/>
            </w:tcBorders>
            <w:noWrap w:val="0"/>
            <w:vAlign w:val="top"/>
          </w:tcPr>
          <w:p>
            <w:pPr>
              <w:snapToGrid w:val="0"/>
              <w:spacing w:line="360" w:lineRule="exact"/>
              <w:rPr>
                <w:rFonts w:hint="eastAsia" w:ascii="仿宋_GB2312" w:eastAsia="仿宋_GB2312"/>
                <w:color w:val="000000"/>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000000"/>
              </w:rPr>
            </w:pPr>
            <w:r>
              <w:rPr>
                <w:rFonts w:hint="eastAsia" w:ascii="仿宋_GB2312" w:eastAsia="仿宋_GB2312"/>
                <w:color w:val="000000"/>
              </w:rPr>
              <w:t xml:space="preserve"> 月</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c>
          <w:tcPr>
            <w:tcW w:w="92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c>
          <w:tcPr>
            <w:tcW w:w="138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556" w:type="dxa"/>
            <w:vMerge w:val="continue"/>
            <w:tcBorders>
              <w:top w:val="single" w:color="auto" w:sz="4" w:space="0"/>
              <w:left w:val="single" w:color="auto" w:sz="4" w:space="0"/>
              <w:bottom w:val="single" w:color="auto" w:sz="4" w:space="0"/>
              <w:right w:val="single" w:color="auto" w:sz="4" w:space="0"/>
            </w:tcBorders>
            <w:noWrap w:val="0"/>
            <w:vAlign w:val="top"/>
          </w:tcPr>
          <w:p>
            <w:pPr>
              <w:snapToGrid w:val="0"/>
              <w:spacing w:line="360" w:lineRule="exact"/>
              <w:rPr>
                <w:rFonts w:hint="eastAsia" w:ascii="仿宋_GB2312" w:eastAsia="仿宋_GB2312"/>
                <w:color w:val="000000"/>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000000"/>
              </w:rPr>
            </w:pPr>
            <w:r>
              <w:rPr>
                <w:rFonts w:hint="eastAsia" w:ascii="仿宋_GB2312" w:eastAsia="仿宋_GB2312"/>
                <w:color w:val="000000"/>
              </w:rPr>
              <w:t xml:space="preserve"> 月</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c>
          <w:tcPr>
            <w:tcW w:w="92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c>
          <w:tcPr>
            <w:tcW w:w="138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556" w:type="dxa"/>
            <w:vMerge w:val="continue"/>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000000"/>
              </w:rPr>
            </w:pPr>
            <w:r>
              <w:rPr>
                <w:rFonts w:hint="eastAsia" w:ascii="仿宋_GB2312" w:eastAsia="仿宋_GB2312"/>
                <w:color w:val="000000"/>
              </w:rPr>
              <w:t xml:space="preserve"> 月</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c>
          <w:tcPr>
            <w:tcW w:w="92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c>
          <w:tcPr>
            <w:tcW w:w="138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89" w:hRule="atLeast"/>
          <w:jc w:val="center"/>
        </w:trPr>
        <w:tc>
          <w:tcPr>
            <w:tcW w:w="556" w:type="dxa"/>
            <w:vMerge w:val="continue"/>
            <w:tcBorders>
              <w:top w:val="single" w:color="auto" w:sz="4" w:space="0"/>
              <w:left w:val="single" w:color="auto" w:sz="4" w:space="0"/>
              <w:bottom w:val="single" w:color="auto" w:sz="4" w:space="0"/>
              <w:right w:val="single" w:color="auto" w:sz="4" w:space="0"/>
            </w:tcBorders>
            <w:noWrap w:val="0"/>
            <w:vAlign w:val="top"/>
          </w:tcPr>
          <w:p>
            <w:pPr>
              <w:snapToGrid w:val="0"/>
              <w:spacing w:line="360" w:lineRule="exact"/>
              <w:rPr>
                <w:rFonts w:hint="eastAsia" w:ascii="仿宋_GB2312" w:eastAsia="仿宋_GB2312"/>
                <w:color w:val="000000"/>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000000"/>
              </w:rPr>
            </w:pPr>
            <w:r>
              <w:rPr>
                <w:rFonts w:hint="eastAsia" w:ascii="仿宋_GB2312" w:eastAsia="仿宋_GB2312"/>
                <w:color w:val="000000"/>
              </w:rPr>
              <w:t>月</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c>
          <w:tcPr>
            <w:tcW w:w="92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c>
          <w:tcPr>
            <w:tcW w:w="138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556" w:type="dxa"/>
            <w:vMerge w:val="continue"/>
            <w:tcBorders>
              <w:top w:val="single" w:color="auto" w:sz="4" w:space="0"/>
              <w:left w:val="single" w:color="auto" w:sz="4" w:space="0"/>
              <w:bottom w:val="single" w:color="auto" w:sz="4" w:space="0"/>
              <w:right w:val="single" w:color="auto" w:sz="4" w:space="0"/>
            </w:tcBorders>
            <w:noWrap w:val="0"/>
            <w:vAlign w:val="top"/>
          </w:tcPr>
          <w:p>
            <w:pPr>
              <w:snapToGrid w:val="0"/>
              <w:spacing w:line="360" w:lineRule="exact"/>
              <w:rPr>
                <w:rFonts w:hint="eastAsia" w:ascii="仿宋_GB2312" w:eastAsia="仿宋_GB2312"/>
                <w:color w:val="000000"/>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000000"/>
              </w:rPr>
            </w:pPr>
            <w:r>
              <w:rPr>
                <w:rFonts w:hint="eastAsia" w:ascii="仿宋_GB2312" w:eastAsia="仿宋_GB2312"/>
                <w:color w:val="000000"/>
              </w:rPr>
              <w:t xml:space="preserve"> 月</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c>
          <w:tcPr>
            <w:tcW w:w="92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c>
          <w:tcPr>
            <w:tcW w:w="138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556" w:type="dxa"/>
            <w:vMerge w:val="continue"/>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000000"/>
              </w:rPr>
            </w:pPr>
            <w:r>
              <w:rPr>
                <w:rFonts w:hint="eastAsia" w:ascii="仿宋_GB2312" w:eastAsia="仿宋_GB2312"/>
                <w:color w:val="000000"/>
              </w:rPr>
              <w:t xml:space="preserve"> 月</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c>
          <w:tcPr>
            <w:tcW w:w="92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c>
          <w:tcPr>
            <w:tcW w:w="138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556" w:type="dxa"/>
            <w:vMerge w:val="continue"/>
            <w:tcBorders>
              <w:top w:val="single" w:color="auto" w:sz="4" w:space="0"/>
              <w:left w:val="single" w:color="auto" w:sz="4" w:space="0"/>
              <w:bottom w:val="single" w:color="auto" w:sz="4" w:space="0"/>
              <w:right w:val="single" w:color="auto" w:sz="4" w:space="0"/>
            </w:tcBorders>
            <w:noWrap w:val="0"/>
            <w:vAlign w:val="top"/>
          </w:tcPr>
          <w:p>
            <w:pPr>
              <w:snapToGrid w:val="0"/>
              <w:spacing w:line="360" w:lineRule="exact"/>
              <w:rPr>
                <w:rFonts w:hint="eastAsia" w:ascii="仿宋_GB2312" w:eastAsia="仿宋_GB2312"/>
                <w:color w:val="000000"/>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000000"/>
              </w:rPr>
            </w:pPr>
            <w:r>
              <w:rPr>
                <w:rFonts w:hint="eastAsia" w:eastAsia="黑体"/>
                <w:color w:val="000000"/>
              </w:rPr>
              <w:t>…</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仿宋_GB2312" w:eastAsia="仿宋_GB2312"/>
                <w:color w:val="000000"/>
              </w:rPr>
            </w:pPr>
            <w:r>
              <w:rPr>
                <w:rFonts w:hint="eastAsia" w:eastAsia="黑体"/>
                <w:color w:val="000000"/>
              </w:rPr>
              <w:t>……</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仿宋_GB2312" w:eastAsia="仿宋_GB2312"/>
                <w:color w:val="000000"/>
              </w:rPr>
            </w:pPr>
            <w:r>
              <w:rPr>
                <w:rFonts w:hint="eastAsia" w:eastAsia="黑体"/>
                <w:color w:val="000000"/>
              </w:rPr>
              <w:t>……</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仿宋_GB2312" w:eastAsia="仿宋_GB2312"/>
                <w:color w:val="000000"/>
              </w:rPr>
            </w:pPr>
            <w:r>
              <w:rPr>
                <w:rFonts w:hint="eastAsia" w:eastAsia="黑体"/>
                <w:color w:val="000000"/>
              </w:rPr>
              <w:t>……</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仿宋_GB2312" w:eastAsia="仿宋_GB2312"/>
                <w:color w:val="000000"/>
              </w:rPr>
            </w:pPr>
            <w:r>
              <w:rPr>
                <w:rFonts w:hint="eastAsia" w:eastAsia="黑体"/>
                <w:color w:val="000000"/>
              </w:rPr>
              <w:t>……</w:t>
            </w:r>
          </w:p>
        </w:tc>
        <w:tc>
          <w:tcPr>
            <w:tcW w:w="92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c>
          <w:tcPr>
            <w:tcW w:w="138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5911" w:type="dxa"/>
            <w:gridSpan w:val="6"/>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eastAsia" w:ascii="仿宋_GB2312" w:eastAsia="仿宋_GB2312"/>
                <w:color w:val="000000"/>
              </w:rPr>
            </w:pPr>
            <w:r>
              <w:rPr>
                <w:rFonts w:hint="eastAsia" w:ascii="仿宋_GB2312" w:eastAsia="仿宋_GB2312"/>
                <w:color w:val="000000"/>
              </w:rPr>
              <w:t>总     计</w:t>
            </w:r>
          </w:p>
        </w:tc>
        <w:tc>
          <w:tcPr>
            <w:tcW w:w="92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c>
          <w:tcPr>
            <w:tcW w:w="138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_GB2312" w:eastAsia="仿宋_GB2312"/>
                <w:color w:val="000000"/>
              </w:rPr>
            </w:pPr>
          </w:p>
        </w:tc>
      </w:tr>
    </w:tbl>
    <w:p>
      <w:pPr>
        <w:snapToGrid w:val="0"/>
        <w:ind w:firstLine="420" w:firstLineChars="200"/>
        <w:rPr>
          <w:rFonts w:hint="eastAsia" w:ascii="仿宋_GB2312" w:eastAsia="仿宋_GB2312"/>
          <w:color w:val="000000"/>
          <w:szCs w:val="21"/>
        </w:rPr>
      </w:pPr>
      <w:r>
        <w:rPr>
          <w:rFonts w:hint="eastAsia" w:ascii="仿宋_GB2312" w:eastAsia="仿宋_GB2312"/>
          <w:color w:val="000000"/>
          <w:szCs w:val="21"/>
          <w:lang w:val="zh-CN"/>
        </w:rPr>
        <w:t>注：1.</w:t>
      </w:r>
      <w:r>
        <w:rPr>
          <w:rFonts w:hint="eastAsia" w:ascii="仿宋_GB2312" w:eastAsia="仿宋_GB2312"/>
          <w:color w:val="000000"/>
          <w:szCs w:val="21"/>
        </w:rPr>
        <w:t>投标人应按上表所列格式提交与施工总进度相吻合的劳动力计划表。</w:t>
      </w:r>
    </w:p>
    <w:p>
      <w:pPr>
        <w:pStyle w:val="138"/>
        <w:spacing w:line="240" w:lineRule="auto"/>
        <w:ind w:firstLine="840" w:firstLineChars="400"/>
        <w:jc w:val="both"/>
        <w:rPr>
          <w:rFonts w:hint="eastAsia" w:ascii="仿宋_GB2312" w:eastAsia="仿宋_GB2312" w:cs="Times New Roman"/>
          <w:color w:val="000000"/>
          <w:sz w:val="21"/>
          <w:szCs w:val="21"/>
        </w:rPr>
      </w:pPr>
      <w:r>
        <w:rPr>
          <w:rFonts w:hint="eastAsia" w:ascii="仿宋_GB2312" w:eastAsia="仿宋_GB2312" w:cs="Times New Roman"/>
          <w:color w:val="000000"/>
          <w:sz w:val="21"/>
          <w:szCs w:val="21"/>
        </w:rPr>
        <w:t>2.投标人可根据需要，对上表进行补充修改。</w:t>
      </w:r>
    </w:p>
    <w:p>
      <w:pPr>
        <w:pStyle w:val="7"/>
        <w:keepNext w:val="0"/>
        <w:keepLines w:val="0"/>
        <w:spacing w:before="0" w:after="0" w:line="520" w:lineRule="exact"/>
        <w:rPr>
          <w:rFonts w:ascii="Times New Roman" w:hAnsi="Times New Roman"/>
          <w:b w:val="0"/>
          <w:color w:val="000000"/>
          <w:kern w:val="0"/>
          <w:szCs w:val="24"/>
        </w:rPr>
      </w:pPr>
      <w:r>
        <w:rPr>
          <w:rFonts w:ascii="Times New Roman" w:hAnsi="Times New Roman"/>
          <w:b w:val="0"/>
          <w:color w:val="000000"/>
          <w:kern w:val="0"/>
          <w:sz w:val="32"/>
          <w:szCs w:val="24"/>
        </w:rPr>
        <w:br w:type="page"/>
      </w:r>
      <w:r>
        <w:rPr>
          <w:rFonts w:ascii="Times New Roman" w:hAnsi="Times New Roman"/>
          <w:b w:val="0"/>
          <w:color w:val="000000"/>
          <w:kern w:val="0"/>
          <w:szCs w:val="24"/>
        </w:rPr>
        <w:t>附件四</w:t>
      </w:r>
    </w:p>
    <w:p>
      <w:pPr>
        <w:pStyle w:val="2"/>
        <w:spacing w:after="0" w:line="520" w:lineRule="exact"/>
        <w:ind w:firstLine="560" w:firstLineChars="200"/>
        <w:rPr>
          <w:rFonts w:eastAsia="仿宋_GB2312"/>
          <w:color w:val="000000"/>
          <w:sz w:val="28"/>
          <w:szCs w:val="32"/>
        </w:rPr>
      </w:pPr>
    </w:p>
    <w:p>
      <w:pPr>
        <w:pStyle w:val="13"/>
        <w:spacing w:line="520" w:lineRule="exact"/>
        <w:ind w:left="0" w:leftChars="0" w:firstLine="0" w:firstLineChars="0"/>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计划开工日期、完工日期和施工进度网络图</w:t>
      </w:r>
    </w:p>
    <w:p>
      <w:pPr>
        <w:pStyle w:val="13"/>
        <w:spacing w:line="520" w:lineRule="exact"/>
        <w:ind w:left="0" w:leftChars="0" w:firstLine="0" w:firstLineChars="0"/>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（或横道图）</w:t>
      </w:r>
    </w:p>
    <w:p>
      <w:pPr>
        <w:pStyle w:val="2"/>
        <w:spacing w:after="0" w:line="520" w:lineRule="exact"/>
        <w:ind w:firstLine="560" w:firstLineChars="200"/>
        <w:rPr>
          <w:rFonts w:eastAsia="仿宋_GB2312"/>
          <w:color w:val="000000"/>
          <w:sz w:val="28"/>
          <w:szCs w:val="32"/>
        </w:rPr>
      </w:pPr>
    </w:p>
    <w:p>
      <w:pPr>
        <w:pStyle w:val="2"/>
        <w:spacing w:after="0" w:line="520" w:lineRule="exact"/>
        <w:ind w:firstLine="560" w:firstLineChars="200"/>
        <w:rPr>
          <w:rFonts w:eastAsia="仿宋_GB2312"/>
          <w:color w:val="000000"/>
          <w:sz w:val="28"/>
          <w:szCs w:val="32"/>
        </w:rPr>
      </w:pPr>
      <w:r>
        <w:rPr>
          <w:rFonts w:eastAsia="仿宋_GB2312"/>
          <w:color w:val="000000"/>
          <w:sz w:val="28"/>
          <w:szCs w:val="32"/>
        </w:rPr>
        <w:t>1．投标人应递交施工进度网络图或施工进度表，说明按招标文件要求的计划工期进行施工的各个关键日期。</w:t>
      </w:r>
    </w:p>
    <w:p>
      <w:pPr>
        <w:pStyle w:val="2"/>
        <w:spacing w:after="0" w:line="520" w:lineRule="exact"/>
        <w:ind w:firstLine="560" w:firstLineChars="200"/>
        <w:rPr>
          <w:rFonts w:eastAsia="仿宋_GB2312"/>
          <w:color w:val="000000"/>
          <w:sz w:val="28"/>
          <w:szCs w:val="32"/>
        </w:rPr>
      </w:pPr>
      <w:r>
        <w:rPr>
          <w:rFonts w:eastAsia="仿宋_GB2312"/>
          <w:color w:val="000000"/>
          <w:sz w:val="28"/>
          <w:szCs w:val="32"/>
        </w:rPr>
        <w:t>2．施工进度表可采用网络图（或横道图）表示。</w:t>
      </w:r>
    </w:p>
    <w:p>
      <w:pPr>
        <w:spacing w:line="520" w:lineRule="exact"/>
        <w:rPr>
          <w:color w:val="000000"/>
        </w:rPr>
      </w:pPr>
    </w:p>
    <w:p>
      <w:pPr>
        <w:pStyle w:val="7"/>
        <w:keepNext w:val="0"/>
        <w:keepLines w:val="0"/>
        <w:spacing w:before="0" w:after="0" w:line="490" w:lineRule="exact"/>
        <w:rPr>
          <w:rFonts w:ascii="Times New Roman" w:hAnsi="Times New Roman"/>
          <w:b w:val="0"/>
          <w:color w:val="000000"/>
          <w:kern w:val="0"/>
          <w:szCs w:val="24"/>
        </w:rPr>
      </w:pPr>
      <w:r>
        <w:rPr>
          <w:rFonts w:ascii="Times New Roman" w:hAnsi="Times New Roman" w:eastAsia="宋体"/>
          <w:color w:val="000000"/>
          <w:kern w:val="0"/>
          <w:sz w:val="24"/>
          <w:szCs w:val="24"/>
        </w:rPr>
        <w:br w:type="page"/>
      </w:r>
      <w:r>
        <w:rPr>
          <w:rFonts w:ascii="Times New Roman" w:hAnsi="Times New Roman"/>
          <w:b w:val="0"/>
          <w:color w:val="000000"/>
          <w:kern w:val="0"/>
          <w:szCs w:val="24"/>
        </w:rPr>
        <w:t>附件五</w:t>
      </w:r>
    </w:p>
    <w:p>
      <w:pPr>
        <w:pStyle w:val="2"/>
        <w:spacing w:after="0" w:line="490" w:lineRule="exact"/>
        <w:ind w:firstLine="560" w:firstLineChars="200"/>
        <w:rPr>
          <w:rFonts w:eastAsia="仿宋_GB2312"/>
          <w:color w:val="000000"/>
          <w:sz w:val="28"/>
          <w:szCs w:val="32"/>
        </w:rPr>
      </w:pPr>
    </w:p>
    <w:p>
      <w:pPr>
        <w:pStyle w:val="13"/>
        <w:spacing w:line="490" w:lineRule="exact"/>
        <w:ind w:left="0" w:leftChars="0" w:firstLine="0" w:firstLineChars="0"/>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施工总平面图</w:t>
      </w:r>
    </w:p>
    <w:p>
      <w:pPr>
        <w:pStyle w:val="2"/>
        <w:spacing w:after="0" w:line="490" w:lineRule="exact"/>
        <w:ind w:firstLine="560" w:firstLineChars="200"/>
        <w:rPr>
          <w:rFonts w:eastAsia="仿宋_GB2312"/>
          <w:color w:val="000000"/>
          <w:sz w:val="28"/>
          <w:szCs w:val="32"/>
        </w:rPr>
      </w:pPr>
    </w:p>
    <w:p>
      <w:pPr>
        <w:pStyle w:val="2"/>
        <w:spacing w:after="0" w:line="490" w:lineRule="exact"/>
        <w:ind w:firstLine="560" w:firstLineChars="200"/>
        <w:rPr>
          <w:rFonts w:eastAsia="仿宋_GB2312"/>
          <w:color w:val="000000"/>
          <w:sz w:val="28"/>
          <w:szCs w:val="32"/>
        </w:rPr>
      </w:pPr>
      <w:r>
        <w:rPr>
          <w:rFonts w:eastAsia="仿宋_GB2312"/>
          <w:color w:val="000000"/>
          <w:sz w:val="28"/>
          <w:szCs w:val="32"/>
        </w:rPr>
        <w:t>投标人应递交一份施工总平面图，绘出现场临时设施布置图表并附文字说明，说明临时设施、加工车间、现场办公、设备及仓储、供电、供水、卫生、生活、道路、消防等设施及料场、弃料场等位置及布置情况。</w:t>
      </w:r>
    </w:p>
    <w:p>
      <w:pPr>
        <w:pStyle w:val="7"/>
        <w:keepNext w:val="0"/>
        <w:keepLines w:val="0"/>
        <w:spacing w:before="0" w:after="0" w:line="490" w:lineRule="exact"/>
        <w:rPr>
          <w:rFonts w:hint="eastAsia" w:ascii="Times New Roman" w:hAnsi="Times New Roman"/>
          <w:b w:val="0"/>
          <w:color w:val="000000"/>
          <w:kern w:val="0"/>
          <w:szCs w:val="24"/>
        </w:rPr>
      </w:pPr>
      <w:r>
        <w:rPr>
          <w:rFonts w:ascii="Times New Roman" w:hAnsi="Times New Roman"/>
          <w:color w:val="000000"/>
        </w:rPr>
        <w:br w:type="page"/>
      </w:r>
      <w:r>
        <w:rPr>
          <w:rFonts w:ascii="Times New Roman" w:hAnsi="Times New Roman"/>
          <w:b w:val="0"/>
          <w:color w:val="000000"/>
          <w:kern w:val="0"/>
          <w:szCs w:val="24"/>
        </w:rPr>
        <w:t>附件六</w:t>
      </w:r>
    </w:p>
    <w:p>
      <w:pPr>
        <w:rPr>
          <w:color w:val="000000"/>
        </w:rPr>
      </w:pPr>
    </w:p>
    <w:p>
      <w:pPr>
        <w:pStyle w:val="13"/>
        <w:spacing w:line="490" w:lineRule="exact"/>
        <w:ind w:left="0" w:leftChars="0" w:firstLine="0" w:firstLineChars="0"/>
        <w:jc w:val="center"/>
        <w:rPr>
          <w:rFonts w:hint="eastAsia" w:ascii="方正小标宋简体" w:eastAsia="方正小标宋简体"/>
          <w:color w:val="000000"/>
          <w:sz w:val="36"/>
          <w:szCs w:val="36"/>
        </w:rPr>
      </w:pPr>
      <w:r>
        <w:rPr>
          <w:rFonts w:hint="eastAsia" w:ascii="方正小标宋简体" w:eastAsia="方正小标宋简体"/>
          <w:color w:val="000000"/>
          <w:sz w:val="36"/>
          <w:szCs w:val="36"/>
        </w:rPr>
        <w:t>临时用地表</w:t>
      </w:r>
    </w:p>
    <w:p>
      <w:pPr>
        <w:pStyle w:val="13"/>
        <w:spacing w:line="490" w:lineRule="exact"/>
        <w:ind w:left="0" w:leftChars="0" w:firstLine="0" w:firstLineChars="0"/>
        <w:jc w:val="center"/>
        <w:rPr>
          <w:rFonts w:eastAsia="方正小标宋_GBK"/>
          <w:b/>
          <w:color w:val="000000"/>
          <w:sz w:val="36"/>
          <w:szCs w:val="36"/>
        </w:rPr>
      </w:pP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1928"/>
        <w:gridCol w:w="2132"/>
        <w:gridCol w:w="2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2" w:type="dxa"/>
            <w:noWrap w:val="0"/>
            <w:vAlign w:val="center"/>
          </w:tcPr>
          <w:p>
            <w:pPr>
              <w:jc w:val="center"/>
              <w:rPr>
                <w:rFonts w:eastAsia="黑体"/>
                <w:color w:val="000000"/>
              </w:rPr>
            </w:pPr>
            <w:r>
              <w:rPr>
                <w:rFonts w:eastAsia="黑体"/>
                <w:color w:val="000000"/>
              </w:rPr>
              <w:t>用    途</w:t>
            </w:r>
          </w:p>
        </w:tc>
        <w:tc>
          <w:tcPr>
            <w:tcW w:w="1928" w:type="dxa"/>
            <w:noWrap w:val="0"/>
            <w:vAlign w:val="center"/>
          </w:tcPr>
          <w:p>
            <w:pPr>
              <w:jc w:val="center"/>
              <w:rPr>
                <w:rFonts w:eastAsia="黑体"/>
                <w:color w:val="000000"/>
              </w:rPr>
            </w:pPr>
            <w:r>
              <w:rPr>
                <w:rFonts w:eastAsia="黑体"/>
                <w:color w:val="000000"/>
              </w:rPr>
              <w:t>面  积（ｍ</w:t>
            </w:r>
            <w:r>
              <w:rPr>
                <w:rFonts w:eastAsia="黑体"/>
                <w:color w:val="000000"/>
                <w:szCs w:val="21"/>
                <w:vertAlign w:val="superscript"/>
              </w:rPr>
              <w:t>2</w:t>
            </w:r>
            <w:r>
              <w:rPr>
                <w:rFonts w:eastAsia="黑体"/>
                <w:color w:val="000000"/>
              </w:rPr>
              <w:t>）</w:t>
            </w:r>
          </w:p>
        </w:tc>
        <w:tc>
          <w:tcPr>
            <w:tcW w:w="2132" w:type="dxa"/>
            <w:noWrap w:val="0"/>
            <w:vAlign w:val="center"/>
          </w:tcPr>
          <w:p>
            <w:pPr>
              <w:jc w:val="center"/>
              <w:rPr>
                <w:rFonts w:eastAsia="黑体"/>
                <w:color w:val="000000"/>
              </w:rPr>
            </w:pPr>
            <w:r>
              <w:rPr>
                <w:rFonts w:eastAsia="黑体"/>
                <w:color w:val="000000"/>
              </w:rPr>
              <w:t>位    置</w:t>
            </w:r>
          </w:p>
        </w:tc>
        <w:tc>
          <w:tcPr>
            <w:tcW w:w="2587" w:type="dxa"/>
            <w:noWrap w:val="0"/>
            <w:vAlign w:val="center"/>
          </w:tcPr>
          <w:p>
            <w:pPr>
              <w:jc w:val="center"/>
              <w:rPr>
                <w:rFonts w:eastAsia="黑体"/>
                <w:color w:val="000000"/>
              </w:rPr>
            </w:pPr>
            <w:r>
              <w:rPr>
                <w:rFonts w:eastAsia="黑体"/>
                <w:color w:val="000000"/>
              </w:rPr>
              <w:t>需用时间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2" w:type="dxa"/>
            <w:noWrap w:val="0"/>
            <w:vAlign w:val="center"/>
          </w:tcPr>
          <w:p>
            <w:pPr>
              <w:jc w:val="center"/>
              <w:rPr>
                <w:color w:val="000000"/>
                <w:szCs w:val="21"/>
              </w:rPr>
            </w:pPr>
          </w:p>
        </w:tc>
        <w:tc>
          <w:tcPr>
            <w:tcW w:w="1928" w:type="dxa"/>
            <w:noWrap w:val="0"/>
            <w:vAlign w:val="center"/>
          </w:tcPr>
          <w:p>
            <w:pPr>
              <w:jc w:val="center"/>
              <w:rPr>
                <w:color w:val="000000"/>
                <w:szCs w:val="21"/>
              </w:rPr>
            </w:pPr>
          </w:p>
        </w:tc>
        <w:tc>
          <w:tcPr>
            <w:tcW w:w="2132" w:type="dxa"/>
            <w:noWrap w:val="0"/>
            <w:vAlign w:val="center"/>
          </w:tcPr>
          <w:p>
            <w:pPr>
              <w:jc w:val="center"/>
              <w:rPr>
                <w:color w:val="000000"/>
                <w:szCs w:val="21"/>
              </w:rPr>
            </w:pPr>
          </w:p>
        </w:tc>
        <w:tc>
          <w:tcPr>
            <w:tcW w:w="2587" w:type="dxa"/>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2" w:type="dxa"/>
            <w:noWrap w:val="0"/>
            <w:vAlign w:val="center"/>
          </w:tcPr>
          <w:p>
            <w:pPr>
              <w:jc w:val="center"/>
              <w:rPr>
                <w:color w:val="000000"/>
                <w:szCs w:val="21"/>
              </w:rPr>
            </w:pPr>
          </w:p>
        </w:tc>
        <w:tc>
          <w:tcPr>
            <w:tcW w:w="1928" w:type="dxa"/>
            <w:noWrap w:val="0"/>
            <w:vAlign w:val="center"/>
          </w:tcPr>
          <w:p>
            <w:pPr>
              <w:jc w:val="center"/>
              <w:rPr>
                <w:color w:val="000000"/>
                <w:szCs w:val="21"/>
              </w:rPr>
            </w:pPr>
          </w:p>
        </w:tc>
        <w:tc>
          <w:tcPr>
            <w:tcW w:w="2132" w:type="dxa"/>
            <w:noWrap w:val="0"/>
            <w:vAlign w:val="center"/>
          </w:tcPr>
          <w:p>
            <w:pPr>
              <w:jc w:val="center"/>
              <w:rPr>
                <w:color w:val="000000"/>
                <w:szCs w:val="21"/>
              </w:rPr>
            </w:pPr>
          </w:p>
        </w:tc>
        <w:tc>
          <w:tcPr>
            <w:tcW w:w="2587" w:type="dxa"/>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2" w:type="dxa"/>
            <w:noWrap w:val="0"/>
            <w:vAlign w:val="center"/>
          </w:tcPr>
          <w:p>
            <w:pPr>
              <w:jc w:val="center"/>
              <w:rPr>
                <w:color w:val="000000"/>
                <w:szCs w:val="21"/>
              </w:rPr>
            </w:pPr>
          </w:p>
        </w:tc>
        <w:tc>
          <w:tcPr>
            <w:tcW w:w="1928" w:type="dxa"/>
            <w:noWrap w:val="0"/>
            <w:vAlign w:val="center"/>
          </w:tcPr>
          <w:p>
            <w:pPr>
              <w:jc w:val="center"/>
              <w:rPr>
                <w:color w:val="000000"/>
                <w:szCs w:val="21"/>
              </w:rPr>
            </w:pPr>
          </w:p>
        </w:tc>
        <w:tc>
          <w:tcPr>
            <w:tcW w:w="2132" w:type="dxa"/>
            <w:noWrap w:val="0"/>
            <w:vAlign w:val="center"/>
          </w:tcPr>
          <w:p>
            <w:pPr>
              <w:jc w:val="center"/>
              <w:rPr>
                <w:color w:val="000000"/>
                <w:szCs w:val="21"/>
              </w:rPr>
            </w:pPr>
          </w:p>
        </w:tc>
        <w:tc>
          <w:tcPr>
            <w:tcW w:w="2587" w:type="dxa"/>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2" w:type="dxa"/>
            <w:noWrap w:val="0"/>
            <w:vAlign w:val="center"/>
          </w:tcPr>
          <w:p>
            <w:pPr>
              <w:jc w:val="center"/>
              <w:rPr>
                <w:color w:val="000000"/>
                <w:szCs w:val="21"/>
              </w:rPr>
            </w:pPr>
          </w:p>
        </w:tc>
        <w:tc>
          <w:tcPr>
            <w:tcW w:w="1928" w:type="dxa"/>
            <w:noWrap w:val="0"/>
            <w:vAlign w:val="center"/>
          </w:tcPr>
          <w:p>
            <w:pPr>
              <w:jc w:val="center"/>
              <w:rPr>
                <w:color w:val="000000"/>
                <w:szCs w:val="21"/>
              </w:rPr>
            </w:pPr>
          </w:p>
        </w:tc>
        <w:tc>
          <w:tcPr>
            <w:tcW w:w="2132" w:type="dxa"/>
            <w:noWrap w:val="0"/>
            <w:vAlign w:val="center"/>
          </w:tcPr>
          <w:p>
            <w:pPr>
              <w:jc w:val="center"/>
              <w:rPr>
                <w:color w:val="000000"/>
                <w:szCs w:val="21"/>
              </w:rPr>
            </w:pPr>
          </w:p>
        </w:tc>
        <w:tc>
          <w:tcPr>
            <w:tcW w:w="2587" w:type="dxa"/>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2" w:type="dxa"/>
            <w:noWrap w:val="0"/>
            <w:vAlign w:val="center"/>
          </w:tcPr>
          <w:p>
            <w:pPr>
              <w:jc w:val="center"/>
              <w:rPr>
                <w:color w:val="000000"/>
                <w:szCs w:val="21"/>
              </w:rPr>
            </w:pPr>
          </w:p>
        </w:tc>
        <w:tc>
          <w:tcPr>
            <w:tcW w:w="1928" w:type="dxa"/>
            <w:noWrap w:val="0"/>
            <w:vAlign w:val="center"/>
          </w:tcPr>
          <w:p>
            <w:pPr>
              <w:jc w:val="center"/>
              <w:rPr>
                <w:color w:val="000000"/>
                <w:szCs w:val="21"/>
              </w:rPr>
            </w:pPr>
          </w:p>
        </w:tc>
        <w:tc>
          <w:tcPr>
            <w:tcW w:w="2132" w:type="dxa"/>
            <w:noWrap w:val="0"/>
            <w:vAlign w:val="center"/>
          </w:tcPr>
          <w:p>
            <w:pPr>
              <w:jc w:val="center"/>
              <w:rPr>
                <w:color w:val="000000"/>
                <w:szCs w:val="21"/>
              </w:rPr>
            </w:pPr>
          </w:p>
        </w:tc>
        <w:tc>
          <w:tcPr>
            <w:tcW w:w="2587" w:type="dxa"/>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2" w:type="dxa"/>
            <w:noWrap w:val="0"/>
            <w:vAlign w:val="center"/>
          </w:tcPr>
          <w:p>
            <w:pPr>
              <w:jc w:val="center"/>
              <w:rPr>
                <w:color w:val="000000"/>
                <w:szCs w:val="21"/>
              </w:rPr>
            </w:pPr>
          </w:p>
        </w:tc>
        <w:tc>
          <w:tcPr>
            <w:tcW w:w="1928" w:type="dxa"/>
            <w:noWrap w:val="0"/>
            <w:vAlign w:val="center"/>
          </w:tcPr>
          <w:p>
            <w:pPr>
              <w:jc w:val="center"/>
              <w:rPr>
                <w:color w:val="000000"/>
                <w:szCs w:val="21"/>
              </w:rPr>
            </w:pPr>
          </w:p>
        </w:tc>
        <w:tc>
          <w:tcPr>
            <w:tcW w:w="2132" w:type="dxa"/>
            <w:noWrap w:val="0"/>
            <w:vAlign w:val="center"/>
          </w:tcPr>
          <w:p>
            <w:pPr>
              <w:jc w:val="center"/>
              <w:rPr>
                <w:color w:val="000000"/>
                <w:szCs w:val="21"/>
              </w:rPr>
            </w:pPr>
          </w:p>
        </w:tc>
        <w:tc>
          <w:tcPr>
            <w:tcW w:w="2587" w:type="dxa"/>
            <w:noWrap w:val="0"/>
            <w:vAlign w:val="center"/>
          </w:tcPr>
          <w:p>
            <w:pPr>
              <w:jc w:val="center"/>
              <w:rPr>
                <w:color w:val="000000"/>
                <w:szCs w:val="21"/>
              </w:rPr>
            </w:pPr>
          </w:p>
        </w:tc>
      </w:tr>
    </w:tbl>
    <w:p>
      <w:pPr>
        <w:pStyle w:val="23"/>
        <w:spacing w:line="40" w:lineRule="exact"/>
        <w:ind w:firstLine="562" w:firstLineChars="200"/>
        <w:rPr>
          <w:b/>
          <w:color w:val="000000"/>
          <w:kern w:val="0"/>
          <w:sz w:val="28"/>
          <w:szCs w:val="28"/>
        </w:rPr>
      </w:pPr>
    </w:p>
    <w:sectPr>
      <w:footerReference r:id="rId27" w:type="default"/>
      <w:pgSz w:w="11906" w:h="16838"/>
      <w:pgMar w:top="1701" w:right="1361" w:bottom="1701" w:left="1474" w:header="1021" w:footer="1021" w:gutter="0"/>
      <w:pgNumType w:start="28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D9C6543-D2DD-4378-879D-B323002185D7}"/>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5BA94BD0-F163-4584-8C02-BE13F5B76F2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embedRegular r:id="rId3" w:fontKey="{A50EABC4-9833-4270-A460-C41E3BC56C8C}"/>
  </w:font>
  <w:font w:name="华文细黑">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方正小标宋简体">
    <w:panose1 w:val="03000509000000000000"/>
    <w:charset w:val="86"/>
    <w:family w:val="script"/>
    <w:pitch w:val="default"/>
    <w:sig w:usb0="00000001" w:usb1="080E0000" w:usb2="00000000" w:usb3="00000000" w:csb0="00040000" w:csb1="00000000"/>
    <w:embedRegular r:id="rId4" w:fontKey="{D7935A4F-0B14-4DEB-AD9A-73577661821A}"/>
  </w:font>
  <w:font w:name="仿宋">
    <w:panose1 w:val="02010609060101010101"/>
    <w:charset w:val="86"/>
    <w:family w:val="auto"/>
    <w:pitch w:val="default"/>
    <w:sig w:usb0="800002BF" w:usb1="38CF7CFA" w:usb2="00000016" w:usb3="00000000" w:csb0="00040001" w:csb1="00000000"/>
    <w:embedRegular r:id="rId5" w:fontKey="{0705BAAE-4EF3-4627-896B-292373CB12A3}"/>
  </w:font>
  <w:font w:name="方正小标宋_GBK">
    <w:panose1 w:val="02000000000000000000"/>
    <w:charset w:val="86"/>
    <w:family w:val="script"/>
    <w:pitch w:val="default"/>
    <w:sig w:usb0="A00002BF" w:usb1="38CF7CFA" w:usb2="00082016" w:usb3="00000000" w:csb0="00040001" w:csb1="00000000"/>
    <w:embedRegular r:id="rId6" w:fontKey="{823E17BD-8061-452E-A4EB-213373201B72}"/>
  </w:font>
  <w:font w:name="楷体_GB2312">
    <w:panose1 w:val="02010609030101010101"/>
    <w:charset w:val="86"/>
    <w:family w:val="modern"/>
    <w:pitch w:val="default"/>
    <w:sig w:usb0="00000001" w:usb1="080E0000" w:usb2="00000000" w:usb3="00000000" w:csb0="00040000" w:csb1="00000000"/>
    <w:embedRegular r:id="rId7" w:fontKey="{250E91F9-02AB-443B-902A-4E5E05380703}"/>
  </w:font>
  <w:font w:name="隶书">
    <w:panose1 w:val="02010509060101010101"/>
    <w:charset w:val="86"/>
    <w:family w:val="modern"/>
    <w:pitch w:val="default"/>
    <w:sig w:usb0="00000001" w:usb1="080E0000" w:usb2="00000000" w:usb3="00000000" w:csb0="00040000" w:csb1="00000000"/>
    <w:embedRegular r:id="rId8" w:fontKey="{9FF32369-D375-4243-8CC0-128C526FA500}"/>
  </w:font>
  <w:font w:name="东文宋体">
    <w:altName w:val="宋体"/>
    <w:panose1 w:val="00000000000000000000"/>
    <w:charset w:val="00"/>
    <w:family w:val="auto"/>
    <w:pitch w:val="default"/>
    <w:sig w:usb0="00000000" w:usb1="00000000" w:usb2="00000000" w:usb3="00000000" w:csb0="00040001" w:csb1="00000000"/>
    <w:embedRegular r:id="rId9" w:fontKey="{628BF182-1A1F-4187-BD11-2216CE1E8B7B}"/>
  </w:font>
  <w:font w:name="汉仪书宋二S">
    <w:altName w:val="宋体"/>
    <w:panose1 w:val="00020600040101010101"/>
    <w:charset w:val="86"/>
    <w:family w:val="auto"/>
    <w:pitch w:val="default"/>
    <w:sig w:usb0="00000010" w:usb1="18EF7CFA" w:usb2="00000016" w:usb3="00000000" w:csb0="00040000" w:csb1="00000000"/>
    <w:embedRegular r:id="rId10" w:fontKey="{D2F46553-04D9-43D5-AD07-56CFEA7A5CB0}"/>
  </w:font>
  <w:font w:name="方正仿宋_GB18030">
    <w:altName w:val="仿宋"/>
    <w:panose1 w:val="02000000000000000000"/>
    <w:charset w:val="86"/>
    <w:family w:val="auto"/>
    <w:pitch w:val="default"/>
    <w:sig w:usb0="00000000" w:usb1="08000000" w:usb2="00000000" w:usb3="00000000" w:csb0="00040000" w:csb1="00000000"/>
    <w:embedRegular r:id="rId11" w:fontKey="{06809EB5-275C-4C4D-A4FB-0112AD902773}"/>
  </w:font>
  <w:font w:name="Cambria Math">
    <w:panose1 w:val="02040503050406030204"/>
    <w:charset w:val="00"/>
    <w:family w:val="roman"/>
    <w:pitch w:val="default"/>
    <w:sig w:usb0="E00002FF" w:usb1="420024FF" w:usb2="00000000" w:usb3="00000000" w:csb0="2000019F" w:csb1="00000000"/>
    <w:embedRegular r:id="rId12" w:fontKey="{10427A2A-D571-4480-8732-B6F2F12F7E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8"/>
                          </w:pPr>
                          <w:r>
                            <w:t xml:space="preserve">第 </w:t>
                          </w:r>
                          <w:r>
                            <w:fldChar w:fldCharType="begin"/>
                          </w:r>
                          <w:r>
                            <w:instrText xml:space="preserve"> PAGE  \* MERGEFORMAT </w:instrText>
                          </w:r>
                          <w:r>
                            <w:fldChar w:fldCharType="separate"/>
                          </w:r>
                          <w:r>
                            <w:rPr>
                              <w:lang/>
                            </w:rPr>
                            <w:t>3</w:t>
                          </w:r>
                          <w:r>
                            <w:fldChar w:fldCharType="end"/>
                          </w:r>
                          <w:r>
                            <w:t xml:space="preserve"> 页</w:t>
                          </w:r>
                        </w:p>
                      </w:txbxContent>
                    </wps:txbx>
                    <wps:bodyPr wrap="none" lIns="0" tIns="0" rIns="0" bIns="0" upright="0">
                      <a:spAutoFit/>
                    </wps:bodyPr>
                  </wps:wsp>
                </a:graphicData>
              </a:graphic>
            </wp:anchor>
          </w:drawing>
        </mc:Choice>
        <mc:Fallback>
          <w:pict>
            <v:shape id="文本框 2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7WTve9IBAACkAwAADgAAAAAAAAABACAAAAAi&#10;AQAAZHJzL2Uyb0RvYy54bWxQSwUGAAAAAAYABgBZAQAAZgUAAAAA&#10;">
              <v:fill on="f" focussize="0,0"/>
              <v:stroke on="f" weight="1.25pt"/>
              <v:imagedata o:title=""/>
              <o:lock v:ext="edit" aspectratio="f"/>
              <v:textbox inset="0mm,0mm,0mm,0mm" style="mso-fit-shape-to-text:t;">
                <w:txbxContent>
                  <w:p>
                    <w:pPr>
                      <w:pStyle w:val="28"/>
                    </w:pPr>
                    <w:r>
                      <w:t xml:space="preserve">第 </w:t>
                    </w:r>
                    <w:r>
                      <w:fldChar w:fldCharType="begin"/>
                    </w:r>
                    <w:r>
                      <w:instrText xml:space="preserve"> PAGE  \* MERGEFORMAT </w:instrText>
                    </w:r>
                    <w:r>
                      <w:fldChar w:fldCharType="separate"/>
                    </w:r>
                    <w:r>
                      <w:rPr>
                        <w:lang/>
                      </w:rPr>
                      <w:t>3</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sz w:val="24"/>
        <w:szCs w:val="2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sz w:val="24"/>
        <w:szCs w:val="2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sz w:val="24"/>
        <w:szCs w:val="24"/>
      </w:rP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8"/>
                          </w:pPr>
                          <w:r>
                            <w:t xml:space="preserve">第 </w:t>
                          </w:r>
                          <w:r>
                            <w:fldChar w:fldCharType="begin"/>
                          </w:r>
                          <w:r>
                            <w:instrText xml:space="preserve"> PAGE  \* MERGEFORMAT </w:instrText>
                          </w:r>
                          <w:r>
                            <w:fldChar w:fldCharType="separate"/>
                          </w:r>
                          <w:r>
                            <w:rPr>
                              <w:lang/>
                            </w:rPr>
                            <w:t>268</w:t>
                          </w:r>
                          <w:r>
                            <w:fldChar w:fldCharType="end"/>
                          </w:r>
                          <w:r>
                            <w:t xml:space="preserve"> 页</w:t>
                          </w:r>
                        </w:p>
                      </w:txbxContent>
                    </wps:txbx>
                    <wps:bodyPr wrap="none" lIns="0" tIns="0" rIns="0" bIns="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IJsrgDTAQAApAMAAA4AAAAAAAAAAQAgAAAA&#10;IgEAAGRycy9lMm9Eb2MueG1sUEsFBgAAAAAGAAYAWQEAAGcFAAAAAA==&#10;">
              <v:fill on="f" focussize="0,0"/>
              <v:stroke on="f" weight="1.25pt"/>
              <v:imagedata o:title=""/>
              <o:lock v:ext="edit" aspectratio="f"/>
              <v:textbox inset="0mm,0mm,0mm,0mm" style="mso-fit-shape-to-text:t;">
                <w:txbxContent>
                  <w:p>
                    <w:pPr>
                      <w:pStyle w:val="28"/>
                    </w:pPr>
                    <w:r>
                      <w:t xml:space="preserve">第 </w:t>
                    </w:r>
                    <w:r>
                      <w:fldChar w:fldCharType="begin"/>
                    </w:r>
                    <w:r>
                      <w:instrText xml:space="preserve"> PAGE  \* MERGEFORMAT </w:instrText>
                    </w:r>
                    <w:r>
                      <w:fldChar w:fldCharType="separate"/>
                    </w:r>
                    <w:r>
                      <w:rPr>
                        <w:lang/>
                      </w:rPr>
                      <w:t>268</w:t>
                    </w:r>
                    <w:r>
                      <w:fldChar w:fldCharType="end"/>
                    </w:r>
                    <w:r>
                      <w:t xml:space="preserve"> 页</w:t>
                    </w:r>
                  </w:p>
                </w:txbxContent>
              </v:textbox>
            </v:shape>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332740" cy="131445"/>
              <wp:effectExtent l="0" t="0" r="0" b="0"/>
              <wp:wrapNone/>
              <wp:docPr id="5" name="文本框 12"/>
              <wp:cNvGraphicFramePr/>
              <a:graphic xmlns:a="http://schemas.openxmlformats.org/drawingml/2006/main">
                <a:graphicData uri="http://schemas.microsoft.com/office/word/2010/wordprocessingShape">
                  <wps:wsp>
                    <wps:cNvSpPr txBox="1"/>
                    <wps:spPr>
                      <a:xfrm>
                        <a:off x="0" y="0"/>
                        <a:ext cx="332740" cy="131445"/>
                      </a:xfrm>
                      <a:prstGeom prst="rect">
                        <a:avLst/>
                      </a:prstGeom>
                      <a:noFill/>
                      <a:ln w="15875">
                        <a:noFill/>
                      </a:ln>
                    </wps:spPr>
                    <wps:txbx>
                      <w:txbxContent>
                        <w:p>
                          <w:pPr>
                            <w:pStyle w:val="28"/>
                          </w:pPr>
                        </w:p>
                      </w:txbxContent>
                    </wps:txbx>
                    <wps:bodyPr wrap="square" lIns="0" tIns="0" rIns="0" bIns="0" upright="0">
                      <a:spAutoFit/>
                    </wps:bodyPr>
                  </wps:wsp>
                </a:graphicData>
              </a:graphic>
            </wp:anchor>
          </w:drawing>
        </mc:Choice>
        <mc:Fallback>
          <w:pict>
            <v:shape id="文本框 12" o:spid="_x0000_s1026" o:spt="202" type="#_x0000_t202" style="position:absolute;left:0pt;margin-top:0pt;height:10.35pt;width:26.2pt;mso-position-horizontal:center;mso-position-horizontal-relative:margin;z-index:251660288;mso-width-relative:page;mso-height-relative:page;" filled="f" stroked="f" coordsize="21600,21600" o:gfxdata="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bWlbbUAAAAAwEAAA8AAAAAAAAAAQAg&#10;AAAAIgAAAGRycy9kb3ducmV2LnhtbFBLAQIUABQAAAAIAIdO4kBZ2bbG2QEAAKQDAAAOAAAAAAAA&#10;AAEAIAAAACMBAABkcnMvZTJvRG9jLnhtbFBLBQYAAAAABgAGAFkBAABuBQAAAAA=&#10;">
              <v:fill on="f" focussize="0,0"/>
              <v:stroke on="f" weight="1.25pt"/>
              <v:imagedata o:title=""/>
              <o:lock v:ext="edit" aspectratio="f"/>
              <v:textbox inset="0mm,0mm,0mm,0mm" style="mso-fit-shape-to-text:t;">
                <w:txbxContent>
                  <w:p>
                    <w:pPr>
                      <w:pStyle w:val="28"/>
                    </w:pP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mc:AlternateContent>
        <mc:Choice Requires="wps">
          <w:drawing>
            <wp:anchor distT="0" distB="0" distL="114300" distR="114300" simplePos="0" relativeHeight="251659264" behindDoc="0" locked="0" layoutInCell="1" allowOverlap="1">
              <wp:simplePos x="0" y="0"/>
              <wp:positionH relativeFrom="margin">
                <wp:posOffset>-4445</wp:posOffset>
              </wp:positionH>
              <wp:positionV relativeFrom="paragraph">
                <wp:posOffset>-257175</wp:posOffset>
              </wp:positionV>
              <wp:extent cx="5767070" cy="353060"/>
              <wp:effectExtent l="0" t="0" r="0" b="0"/>
              <wp:wrapNone/>
              <wp:docPr id="4" name="文本框 5"/>
              <wp:cNvGraphicFramePr/>
              <a:graphic xmlns:a="http://schemas.openxmlformats.org/drawingml/2006/main">
                <a:graphicData uri="http://schemas.microsoft.com/office/word/2010/wordprocessingShape">
                  <wps:wsp>
                    <wps:cNvSpPr txBox="1"/>
                    <wps:spPr>
                      <a:xfrm>
                        <a:off x="0" y="0"/>
                        <a:ext cx="5767070" cy="353060"/>
                      </a:xfrm>
                      <a:prstGeom prst="rect">
                        <a:avLst/>
                      </a:prstGeom>
                      <a:noFill/>
                      <a:ln w="15875">
                        <a:noFill/>
                      </a:ln>
                    </wps:spPr>
                    <wps:txbx>
                      <w:txbxContent>
                        <w:p>
                          <w:pPr>
                            <w:pStyle w:val="28"/>
                            <w:jc w:val="center"/>
                            <w:rPr>
                              <w:rStyle w:val="51"/>
                              <w:sz w:val="18"/>
                              <w:szCs w:val="18"/>
                            </w:rPr>
                          </w:pPr>
                        </w:p>
                        <w:p>
                          <w:pPr>
                            <w:pStyle w:val="28"/>
                            <w:jc w:val="center"/>
                            <w:rPr>
                              <w:rStyle w:val="51"/>
                              <w:rFonts w:hint="eastAsia" w:ascii="宋体" w:hAnsi="宋体" w:eastAsia="宋体" w:cs="宋体"/>
                              <w:sz w:val="18"/>
                              <w:szCs w:val="18"/>
                            </w:rPr>
                          </w:pPr>
                          <w:r>
                            <w:rPr>
                              <w:rStyle w:val="51"/>
                              <w:rFonts w:hint="eastAsia" w:ascii="宋体" w:hAnsi="宋体" w:eastAsia="宋体" w:cs="宋体"/>
                              <w:sz w:val="18"/>
                              <w:szCs w:val="18"/>
                            </w:rPr>
                            <w:t xml:space="preserve">第 </w:t>
                          </w:r>
                          <w:r>
                            <w:rPr>
                              <w:rStyle w:val="51"/>
                              <w:rFonts w:hint="eastAsia" w:ascii="宋体" w:hAnsi="宋体" w:eastAsia="宋体" w:cs="宋体"/>
                              <w:sz w:val="18"/>
                              <w:szCs w:val="18"/>
                            </w:rPr>
                            <w:fldChar w:fldCharType="begin"/>
                          </w:r>
                          <w:r>
                            <w:rPr>
                              <w:rStyle w:val="51"/>
                              <w:rFonts w:hint="eastAsia" w:ascii="宋体" w:hAnsi="宋体" w:eastAsia="宋体" w:cs="宋体"/>
                              <w:sz w:val="18"/>
                              <w:szCs w:val="18"/>
                            </w:rPr>
                            <w:instrText xml:space="preserve"> PAGE  \* MERGEFORMAT </w:instrText>
                          </w:r>
                          <w:r>
                            <w:rPr>
                              <w:rStyle w:val="51"/>
                              <w:rFonts w:hint="eastAsia" w:ascii="宋体" w:hAnsi="宋体" w:eastAsia="宋体" w:cs="宋体"/>
                              <w:sz w:val="18"/>
                              <w:szCs w:val="18"/>
                            </w:rPr>
                            <w:fldChar w:fldCharType="separate"/>
                          </w:r>
                          <w:r>
                            <w:rPr>
                              <w:rStyle w:val="51"/>
                              <w:rFonts w:ascii="宋体" w:hAnsi="宋体" w:eastAsia="宋体" w:cs="宋体"/>
                              <w:sz w:val="18"/>
                              <w:szCs w:val="18"/>
                              <w:lang/>
                            </w:rPr>
                            <w:t>272</w:t>
                          </w:r>
                          <w:r>
                            <w:rPr>
                              <w:rStyle w:val="51"/>
                              <w:rFonts w:hint="eastAsia" w:ascii="宋体" w:hAnsi="宋体" w:eastAsia="宋体" w:cs="宋体"/>
                              <w:sz w:val="18"/>
                              <w:szCs w:val="18"/>
                            </w:rPr>
                            <w:fldChar w:fldCharType="end"/>
                          </w:r>
                          <w:r>
                            <w:rPr>
                              <w:rStyle w:val="51"/>
                              <w:rFonts w:hint="eastAsia" w:ascii="宋体" w:hAnsi="宋体" w:eastAsia="宋体" w:cs="宋体"/>
                              <w:sz w:val="18"/>
                              <w:szCs w:val="18"/>
                            </w:rPr>
                            <w:t xml:space="preserve"> 页</w:t>
                          </w:r>
                        </w:p>
                      </w:txbxContent>
                    </wps:txbx>
                    <wps:bodyPr wrap="square" lIns="0" tIns="0" rIns="0" bIns="0" upright="1"/>
                  </wps:wsp>
                </a:graphicData>
              </a:graphic>
            </wp:anchor>
          </w:drawing>
        </mc:Choice>
        <mc:Fallback>
          <w:pict>
            <v:shape id="文本框 5" o:spid="_x0000_s1026" o:spt="202" type="#_x0000_t202" style="position:absolute;left:0pt;margin-left:-0.35pt;margin-top:-20.25pt;height:27.8pt;width:454.1pt;mso-position-horizontal-relative:margin;z-index:251659264;mso-width-relative:page;mso-height-relative:page;" filled="f" stroked="f" coordsize="21600,21600" o:gfxdata="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sOrI61wAAAAgBAAAPAAAAAAAAAAEAIAAAACIAAABk&#10;cnMvZG93bnJldi54bWxQSwECFAAUAAAACACHTuJA86kuXM4BAACKAwAADgAAAAAAAAABACAAAAAm&#10;AQAAZHJzL2Uyb0RvYy54bWxQSwUGAAAAAAYABgBZAQAAZgUAAAAA&#10;">
              <v:fill on="f" focussize="0,0"/>
              <v:stroke on="f" weight="1.25pt"/>
              <v:imagedata o:title=""/>
              <o:lock v:ext="edit" aspectratio="f"/>
              <v:textbox inset="0mm,0mm,0mm,0mm">
                <w:txbxContent>
                  <w:p>
                    <w:pPr>
                      <w:pStyle w:val="28"/>
                      <w:jc w:val="center"/>
                      <w:rPr>
                        <w:rStyle w:val="51"/>
                        <w:sz w:val="18"/>
                        <w:szCs w:val="18"/>
                      </w:rPr>
                    </w:pPr>
                  </w:p>
                  <w:p>
                    <w:pPr>
                      <w:pStyle w:val="28"/>
                      <w:jc w:val="center"/>
                      <w:rPr>
                        <w:rStyle w:val="51"/>
                        <w:rFonts w:hint="eastAsia" w:ascii="宋体" w:hAnsi="宋体" w:eastAsia="宋体" w:cs="宋体"/>
                        <w:sz w:val="18"/>
                        <w:szCs w:val="18"/>
                      </w:rPr>
                    </w:pPr>
                    <w:r>
                      <w:rPr>
                        <w:rStyle w:val="51"/>
                        <w:rFonts w:hint="eastAsia" w:ascii="宋体" w:hAnsi="宋体" w:eastAsia="宋体" w:cs="宋体"/>
                        <w:sz w:val="18"/>
                        <w:szCs w:val="18"/>
                      </w:rPr>
                      <w:t xml:space="preserve">第 </w:t>
                    </w:r>
                    <w:r>
                      <w:rPr>
                        <w:rStyle w:val="51"/>
                        <w:rFonts w:hint="eastAsia" w:ascii="宋体" w:hAnsi="宋体" w:eastAsia="宋体" w:cs="宋体"/>
                        <w:sz w:val="18"/>
                        <w:szCs w:val="18"/>
                      </w:rPr>
                      <w:fldChar w:fldCharType="begin"/>
                    </w:r>
                    <w:r>
                      <w:rPr>
                        <w:rStyle w:val="51"/>
                        <w:rFonts w:hint="eastAsia" w:ascii="宋体" w:hAnsi="宋体" w:eastAsia="宋体" w:cs="宋体"/>
                        <w:sz w:val="18"/>
                        <w:szCs w:val="18"/>
                      </w:rPr>
                      <w:instrText xml:space="preserve"> PAGE  \* MERGEFORMAT </w:instrText>
                    </w:r>
                    <w:r>
                      <w:rPr>
                        <w:rStyle w:val="51"/>
                        <w:rFonts w:hint="eastAsia" w:ascii="宋体" w:hAnsi="宋体" w:eastAsia="宋体" w:cs="宋体"/>
                        <w:sz w:val="18"/>
                        <w:szCs w:val="18"/>
                      </w:rPr>
                      <w:fldChar w:fldCharType="separate"/>
                    </w:r>
                    <w:r>
                      <w:rPr>
                        <w:rStyle w:val="51"/>
                        <w:rFonts w:ascii="宋体" w:hAnsi="宋体" w:eastAsia="宋体" w:cs="宋体"/>
                        <w:sz w:val="18"/>
                        <w:szCs w:val="18"/>
                        <w:lang/>
                      </w:rPr>
                      <w:t>272</w:t>
                    </w:r>
                    <w:r>
                      <w:rPr>
                        <w:rStyle w:val="51"/>
                        <w:rFonts w:hint="eastAsia" w:ascii="宋体" w:hAnsi="宋体" w:eastAsia="宋体" w:cs="宋体"/>
                        <w:sz w:val="18"/>
                        <w:szCs w:val="18"/>
                      </w:rPr>
                      <w:fldChar w:fldCharType="end"/>
                    </w:r>
                    <w:r>
                      <w:rPr>
                        <w:rStyle w:val="51"/>
                        <w:rFonts w:hint="eastAsia" w:ascii="宋体" w:hAnsi="宋体" w:eastAsia="宋体" w:cs="宋体"/>
                        <w:sz w:val="18"/>
                        <w:szCs w:val="18"/>
                      </w:rP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mc:AlternateContent>
        <mc:Choice Requires="wps">
          <w:drawing>
            <wp:anchor distT="0" distB="0" distL="114300" distR="114300" simplePos="0" relativeHeight="251663360" behindDoc="0" locked="0" layoutInCell="1" allowOverlap="1">
              <wp:simplePos x="0" y="0"/>
              <wp:positionH relativeFrom="margin">
                <wp:posOffset>-4445</wp:posOffset>
              </wp:positionH>
              <wp:positionV relativeFrom="paragraph">
                <wp:posOffset>-257175</wp:posOffset>
              </wp:positionV>
              <wp:extent cx="5767070" cy="353060"/>
              <wp:effectExtent l="0" t="0" r="0" b="0"/>
              <wp:wrapNone/>
              <wp:docPr id="8" name="文本框 5"/>
              <wp:cNvGraphicFramePr/>
              <a:graphic xmlns:a="http://schemas.openxmlformats.org/drawingml/2006/main">
                <a:graphicData uri="http://schemas.microsoft.com/office/word/2010/wordprocessingShape">
                  <wps:wsp>
                    <wps:cNvSpPr txBox="1"/>
                    <wps:spPr>
                      <a:xfrm>
                        <a:off x="0" y="0"/>
                        <a:ext cx="5767070" cy="353060"/>
                      </a:xfrm>
                      <a:prstGeom prst="rect">
                        <a:avLst/>
                      </a:prstGeom>
                      <a:noFill/>
                      <a:ln w="15875">
                        <a:noFill/>
                      </a:ln>
                    </wps:spPr>
                    <wps:txbx>
                      <w:txbxContent>
                        <w:p>
                          <w:pPr>
                            <w:pStyle w:val="28"/>
                            <w:jc w:val="center"/>
                            <w:rPr>
                              <w:rStyle w:val="51"/>
                              <w:sz w:val="18"/>
                              <w:szCs w:val="18"/>
                            </w:rPr>
                          </w:pPr>
                        </w:p>
                        <w:p>
                          <w:pPr>
                            <w:pStyle w:val="28"/>
                            <w:jc w:val="center"/>
                            <w:rPr>
                              <w:rStyle w:val="51"/>
                              <w:rFonts w:hint="eastAsia" w:ascii="宋体" w:hAnsi="宋体" w:eastAsia="宋体" w:cs="宋体"/>
                              <w:sz w:val="18"/>
                              <w:szCs w:val="18"/>
                            </w:rPr>
                          </w:pPr>
                          <w:r>
                            <w:rPr>
                              <w:rStyle w:val="51"/>
                              <w:rFonts w:hint="eastAsia" w:ascii="宋体" w:hAnsi="宋体" w:eastAsia="宋体" w:cs="宋体"/>
                              <w:sz w:val="18"/>
                              <w:szCs w:val="18"/>
                            </w:rPr>
                            <w:t xml:space="preserve">第 </w:t>
                          </w:r>
                          <w:r>
                            <w:rPr>
                              <w:rStyle w:val="51"/>
                              <w:rFonts w:hint="eastAsia" w:ascii="宋体" w:hAnsi="宋体" w:eastAsia="宋体" w:cs="宋体"/>
                              <w:sz w:val="18"/>
                              <w:szCs w:val="18"/>
                            </w:rPr>
                            <w:fldChar w:fldCharType="begin"/>
                          </w:r>
                          <w:r>
                            <w:rPr>
                              <w:rStyle w:val="51"/>
                              <w:rFonts w:hint="eastAsia" w:ascii="宋体" w:hAnsi="宋体" w:eastAsia="宋体" w:cs="宋体"/>
                              <w:sz w:val="18"/>
                              <w:szCs w:val="18"/>
                            </w:rPr>
                            <w:instrText xml:space="preserve"> PAGE  \* MERGEFORMAT </w:instrText>
                          </w:r>
                          <w:r>
                            <w:rPr>
                              <w:rStyle w:val="51"/>
                              <w:rFonts w:hint="eastAsia" w:ascii="宋体" w:hAnsi="宋体" w:eastAsia="宋体" w:cs="宋体"/>
                              <w:sz w:val="18"/>
                              <w:szCs w:val="18"/>
                            </w:rPr>
                            <w:fldChar w:fldCharType="separate"/>
                          </w:r>
                          <w:r>
                            <w:rPr>
                              <w:rStyle w:val="51"/>
                              <w:rFonts w:ascii="宋体" w:hAnsi="宋体" w:eastAsia="宋体" w:cs="宋体"/>
                              <w:sz w:val="18"/>
                              <w:szCs w:val="18"/>
                              <w:lang/>
                            </w:rPr>
                            <w:t>275</w:t>
                          </w:r>
                          <w:r>
                            <w:rPr>
                              <w:rStyle w:val="51"/>
                              <w:rFonts w:hint="eastAsia" w:ascii="宋体" w:hAnsi="宋体" w:eastAsia="宋体" w:cs="宋体"/>
                              <w:sz w:val="18"/>
                              <w:szCs w:val="18"/>
                            </w:rPr>
                            <w:fldChar w:fldCharType="end"/>
                          </w:r>
                          <w:r>
                            <w:rPr>
                              <w:rStyle w:val="51"/>
                              <w:rFonts w:hint="eastAsia" w:ascii="宋体" w:hAnsi="宋体" w:eastAsia="宋体" w:cs="宋体"/>
                              <w:sz w:val="18"/>
                              <w:szCs w:val="18"/>
                            </w:rPr>
                            <w:t xml:space="preserve"> 页</w:t>
                          </w:r>
                        </w:p>
                      </w:txbxContent>
                    </wps:txbx>
                    <wps:bodyPr wrap="square" lIns="0" tIns="0" rIns="0" bIns="0" upright="1"/>
                  </wps:wsp>
                </a:graphicData>
              </a:graphic>
            </wp:anchor>
          </w:drawing>
        </mc:Choice>
        <mc:Fallback>
          <w:pict>
            <v:shape id="文本框 5" o:spid="_x0000_s1026" o:spt="202" type="#_x0000_t202" style="position:absolute;left:0pt;margin-left:-0.35pt;margin-top:-20.25pt;height:27.8pt;width:454.1pt;mso-position-horizontal-relative:margin;z-index:251663360;mso-width-relative:page;mso-height-relative:page;" filled="f" stroked="f" coordsize="21600,21600" o:gfxdata="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&#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sOrI61wAAAAgBAAAPAAAAAAAAAAEAIAAAACIAAABk&#10;cnMvZG93bnJldi54bWxQSwECFAAUAAAACACHTuJASH/1oM4BAACKAwAADgAAAAAAAAABACAAAAAm&#10;AQAAZHJzL2Uyb0RvYy54bWxQSwUGAAAAAAYABgBZAQAAZgUAAAAA&#10;">
              <v:fill on="f" focussize="0,0"/>
              <v:stroke on="f" weight="1.25pt"/>
              <v:imagedata o:title=""/>
              <o:lock v:ext="edit" aspectratio="f"/>
              <v:textbox inset="0mm,0mm,0mm,0mm">
                <w:txbxContent>
                  <w:p>
                    <w:pPr>
                      <w:pStyle w:val="28"/>
                      <w:jc w:val="center"/>
                      <w:rPr>
                        <w:rStyle w:val="51"/>
                        <w:sz w:val="18"/>
                        <w:szCs w:val="18"/>
                      </w:rPr>
                    </w:pPr>
                  </w:p>
                  <w:p>
                    <w:pPr>
                      <w:pStyle w:val="28"/>
                      <w:jc w:val="center"/>
                      <w:rPr>
                        <w:rStyle w:val="51"/>
                        <w:rFonts w:hint="eastAsia" w:ascii="宋体" w:hAnsi="宋体" w:eastAsia="宋体" w:cs="宋体"/>
                        <w:sz w:val="18"/>
                        <w:szCs w:val="18"/>
                      </w:rPr>
                    </w:pPr>
                    <w:r>
                      <w:rPr>
                        <w:rStyle w:val="51"/>
                        <w:rFonts w:hint="eastAsia" w:ascii="宋体" w:hAnsi="宋体" w:eastAsia="宋体" w:cs="宋体"/>
                        <w:sz w:val="18"/>
                        <w:szCs w:val="18"/>
                      </w:rPr>
                      <w:t xml:space="preserve">第 </w:t>
                    </w:r>
                    <w:r>
                      <w:rPr>
                        <w:rStyle w:val="51"/>
                        <w:rFonts w:hint="eastAsia" w:ascii="宋体" w:hAnsi="宋体" w:eastAsia="宋体" w:cs="宋体"/>
                        <w:sz w:val="18"/>
                        <w:szCs w:val="18"/>
                      </w:rPr>
                      <w:fldChar w:fldCharType="begin"/>
                    </w:r>
                    <w:r>
                      <w:rPr>
                        <w:rStyle w:val="51"/>
                        <w:rFonts w:hint="eastAsia" w:ascii="宋体" w:hAnsi="宋体" w:eastAsia="宋体" w:cs="宋体"/>
                        <w:sz w:val="18"/>
                        <w:szCs w:val="18"/>
                      </w:rPr>
                      <w:instrText xml:space="preserve"> PAGE  \* MERGEFORMAT </w:instrText>
                    </w:r>
                    <w:r>
                      <w:rPr>
                        <w:rStyle w:val="51"/>
                        <w:rFonts w:hint="eastAsia" w:ascii="宋体" w:hAnsi="宋体" w:eastAsia="宋体" w:cs="宋体"/>
                        <w:sz w:val="18"/>
                        <w:szCs w:val="18"/>
                      </w:rPr>
                      <w:fldChar w:fldCharType="separate"/>
                    </w:r>
                    <w:r>
                      <w:rPr>
                        <w:rStyle w:val="51"/>
                        <w:rFonts w:ascii="宋体" w:hAnsi="宋体" w:eastAsia="宋体" w:cs="宋体"/>
                        <w:sz w:val="18"/>
                        <w:szCs w:val="18"/>
                        <w:lang/>
                      </w:rPr>
                      <w:t>275</w:t>
                    </w:r>
                    <w:r>
                      <w:rPr>
                        <w:rStyle w:val="51"/>
                        <w:rFonts w:hint="eastAsia" w:ascii="宋体" w:hAnsi="宋体" w:eastAsia="宋体" w:cs="宋体"/>
                        <w:sz w:val="18"/>
                        <w:szCs w:val="18"/>
                      </w:rPr>
                      <w:fldChar w:fldCharType="end"/>
                    </w:r>
                    <w:r>
                      <w:rPr>
                        <w:rStyle w:val="51"/>
                        <w:rFonts w:hint="eastAsia" w:ascii="宋体" w:hAnsi="宋体" w:eastAsia="宋体" w:cs="宋体"/>
                        <w:sz w:val="18"/>
                        <w:szCs w:val="18"/>
                      </w:rPr>
                      <w:t xml:space="preserve"> 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mc:AlternateContent>
        <mc:Choice Requires="wps">
          <w:drawing>
            <wp:anchor distT="0" distB="0" distL="114300" distR="114300" simplePos="0" relativeHeight="251664384" behindDoc="0" locked="0" layoutInCell="1" allowOverlap="1">
              <wp:simplePos x="0" y="0"/>
              <wp:positionH relativeFrom="margin">
                <wp:posOffset>-4445</wp:posOffset>
              </wp:positionH>
              <wp:positionV relativeFrom="paragraph">
                <wp:posOffset>-257175</wp:posOffset>
              </wp:positionV>
              <wp:extent cx="5767070" cy="353060"/>
              <wp:effectExtent l="0" t="0" r="0" b="0"/>
              <wp:wrapNone/>
              <wp:docPr id="9" name="文本框 5"/>
              <wp:cNvGraphicFramePr/>
              <a:graphic xmlns:a="http://schemas.openxmlformats.org/drawingml/2006/main">
                <a:graphicData uri="http://schemas.microsoft.com/office/word/2010/wordprocessingShape">
                  <wps:wsp>
                    <wps:cNvSpPr txBox="1"/>
                    <wps:spPr>
                      <a:xfrm>
                        <a:off x="0" y="0"/>
                        <a:ext cx="5767070" cy="353060"/>
                      </a:xfrm>
                      <a:prstGeom prst="rect">
                        <a:avLst/>
                      </a:prstGeom>
                      <a:noFill/>
                      <a:ln w="15875">
                        <a:noFill/>
                      </a:ln>
                    </wps:spPr>
                    <wps:txbx>
                      <w:txbxContent>
                        <w:p>
                          <w:pPr>
                            <w:pStyle w:val="28"/>
                            <w:jc w:val="center"/>
                            <w:rPr>
                              <w:rStyle w:val="51"/>
                              <w:sz w:val="18"/>
                              <w:szCs w:val="18"/>
                            </w:rPr>
                          </w:pPr>
                        </w:p>
                        <w:p>
                          <w:pPr>
                            <w:pStyle w:val="28"/>
                            <w:jc w:val="center"/>
                            <w:rPr>
                              <w:rStyle w:val="51"/>
                              <w:rFonts w:hint="eastAsia" w:ascii="宋体" w:hAnsi="宋体" w:eastAsia="宋体" w:cs="宋体"/>
                              <w:sz w:val="18"/>
                              <w:szCs w:val="18"/>
                            </w:rPr>
                          </w:pPr>
                          <w:r>
                            <w:rPr>
                              <w:rStyle w:val="51"/>
                              <w:rFonts w:hint="eastAsia" w:ascii="宋体" w:hAnsi="宋体" w:eastAsia="宋体" w:cs="宋体"/>
                              <w:sz w:val="18"/>
                              <w:szCs w:val="18"/>
                            </w:rPr>
                            <w:t xml:space="preserve">第 </w:t>
                          </w:r>
                          <w:r>
                            <w:rPr>
                              <w:rStyle w:val="51"/>
                              <w:rFonts w:hint="eastAsia" w:ascii="宋体" w:hAnsi="宋体" w:eastAsia="宋体" w:cs="宋体"/>
                              <w:sz w:val="18"/>
                              <w:szCs w:val="18"/>
                            </w:rPr>
                            <w:fldChar w:fldCharType="begin"/>
                          </w:r>
                          <w:r>
                            <w:rPr>
                              <w:rStyle w:val="51"/>
                              <w:rFonts w:hint="eastAsia" w:ascii="宋体" w:hAnsi="宋体" w:eastAsia="宋体" w:cs="宋体"/>
                              <w:sz w:val="18"/>
                              <w:szCs w:val="18"/>
                            </w:rPr>
                            <w:instrText xml:space="preserve"> PAGE  \* MERGEFORMAT </w:instrText>
                          </w:r>
                          <w:r>
                            <w:rPr>
                              <w:rStyle w:val="51"/>
                              <w:rFonts w:hint="eastAsia" w:ascii="宋体" w:hAnsi="宋体" w:eastAsia="宋体" w:cs="宋体"/>
                              <w:sz w:val="18"/>
                              <w:szCs w:val="18"/>
                            </w:rPr>
                            <w:fldChar w:fldCharType="separate"/>
                          </w:r>
                          <w:r>
                            <w:rPr>
                              <w:rStyle w:val="51"/>
                              <w:rFonts w:ascii="宋体" w:hAnsi="宋体" w:eastAsia="宋体" w:cs="宋体"/>
                              <w:sz w:val="18"/>
                              <w:szCs w:val="18"/>
                              <w:lang/>
                            </w:rPr>
                            <w:t>276</w:t>
                          </w:r>
                          <w:r>
                            <w:rPr>
                              <w:rStyle w:val="51"/>
                              <w:rFonts w:hint="eastAsia" w:ascii="宋体" w:hAnsi="宋体" w:eastAsia="宋体" w:cs="宋体"/>
                              <w:sz w:val="18"/>
                              <w:szCs w:val="18"/>
                            </w:rPr>
                            <w:fldChar w:fldCharType="end"/>
                          </w:r>
                          <w:r>
                            <w:rPr>
                              <w:rStyle w:val="51"/>
                              <w:rFonts w:hint="eastAsia" w:ascii="宋体" w:hAnsi="宋体" w:eastAsia="宋体" w:cs="宋体"/>
                              <w:sz w:val="18"/>
                              <w:szCs w:val="18"/>
                            </w:rPr>
                            <w:t xml:space="preserve"> 页</w:t>
                          </w:r>
                        </w:p>
                      </w:txbxContent>
                    </wps:txbx>
                    <wps:bodyPr wrap="square" lIns="0" tIns="0" rIns="0" bIns="0" upright="1"/>
                  </wps:wsp>
                </a:graphicData>
              </a:graphic>
            </wp:anchor>
          </w:drawing>
        </mc:Choice>
        <mc:Fallback>
          <w:pict>
            <v:shape id="文本框 5" o:spid="_x0000_s1026" o:spt="202" type="#_x0000_t202" style="position:absolute;left:0pt;margin-left:-0.35pt;margin-top:-20.25pt;height:27.8pt;width:454.1pt;mso-position-horizontal-relative:margin;z-index:251664384;mso-width-relative:page;mso-height-relative:page;" filled="f" stroked="f" coordsize="21600,21600" o:gfxdata="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sOrI61wAAAAgBAAAPAAAAAAAAAAEAIAAAACIAAABk&#10;cnMvZG93bnJldi54bWxQSwECFAAUAAAACACHTuJAfZDrdc4BAACKAwAADgAAAAAAAAABACAAAAAm&#10;AQAAZHJzL2Uyb0RvYy54bWxQSwUGAAAAAAYABgBZAQAAZgUAAAAA&#10;">
              <v:fill on="f" focussize="0,0"/>
              <v:stroke on="f" weight="1.25pt"/>
              <v:imagedata o:title=""/>
              <o:lock v:ext="edit" aspectratio="f"/>
              <v:textbox inset="0mm,0mm,0mm,0mm">
                <w:txbxContent>
                  <w:p>
                    <w:pPr>
                      <w:pStyle w:val="28"/>
                      <w:jc w:val="center"/>
                      <w:rPr>
                        <w:rStyle w:val="51"/>
                        <w:sz w:val="18"/>
                        <w:szCs w:val="18"/>
                      </w:rPr>
                    </w:pPr>
                  </w:p>
                  <w:p>
                    <w:pPr>
                      <w:pStyle w:val="28"/>
                      <w:jc w:val="center"/>
                      <w:rPr>
                        <w:rStyle w:val="51"/>
                        <w:rFonts w:hint="eastAsia" w:ascii="宋体" w:hAnsi="宋体" w:eastAsia="宋体" w:cs="宋体"/>
                        <w:sz w:val="18"/>
                        <w:szCs w:val="18"/>
                      </w:rPr>
                    </w:pPr>
                    <w:r>
                      <w:rPr>
                        <w:rStyle w:val="51"/>
                        <w:rFonts w:hint="eastAsia" w:ascii="宋体" w:hAnsi="宋体" w:eastAsia="宋体" w:cs="宋体"/>
                        <w:sz w:val="18"/>
                        <w:szCs w:val="18"/>
                      </w:rPr>
                      <w:t xml:space="preserve">第 </w:t>
                    </w:r>
                    <w:r>
                      <w:rPr>
                        <w:rStyle w:val="51"/>
                        <w:rFonts w:hint="eastAsia" w:ascii="宋体" w:hAnsi="宋体" w:eastAsia="宋体" w:cs="宋体"/>
                        <w:sz w:val="18"/>
                        <w:szCs w:val="18"/>
                      </w:rPr>
                      <w:fldChar w:fldCharType="begin"/>
                    </w:r>
                    <w:r>
                      <w:rPr>
                        <w:rStyle w:val="51"/>
                        <w:rFonts w:hint="eastAsia" w:ascii="宋体" w:hAnsi="宋体" w:eastAsia="宋体" w:cs="宋体"/>
                        <w:sz w:val="18"/>
                        <w:szCs w:val="18"/>
                      </w:rPr>
                      <w:instrText xml:space="preserve"> PAGE  \* MERGEFORMAT </w:instrText>
                    </w:r>
                    <w:r>
                      <w:rPr>
                        <w:rStyle w:val="51"/>
                        <w:rFonts w:hint="eastAsia" w:ascii="宋体" w:hAnsi="宋体" w:eastAsia="宋体" w:cs="宋体"/>
                        <w:sz w:val="18"/>
                        <w:szCs w:val="18"/>
                      </w:rPr>
                      <w:fldChar w:fldCharType="separate"/>
                    </w:r>
                    <w:r>
                      <w:rPr>
                        <w:rStyle w:val="51"/>
                        <w:rFonts w:ascii="宋体" w:hAnsi="宋体" w:eastAsia="宋体" w:cs="宋体"/>
                        <w:sz w:val="18"/>
                        <w:szCs w:val="18"/>
                        <w:lang/>
                      </w:rPr>
                      <w:t>276</w:t>
                    </w:r>
                    <w:r>
                      <w:rPr>
                        <w:rStyle w:val="51"/>
                        <w:rFonts w:hint="eastAsia" w:ascii="宋体" w:hAnsi="宋体" w:eastAsia="宋体" w:cs="宋体"/>
                        <w:sz w:val="18"/>
                        <w:szCs w:val="18"/>
                      </w:rPr>
                      <w:fldChar w:fldCharType="end"/>
                    </w:r>
                    <w:r>
                      <w:rPr>
                        <w:rStyle w:val="51"/>
                        <w:rFonts w:hint="eastAsia" w:ascii="宋体" w:hAnsi="宋体" w:eastAsia="宋体" w:cs="宋体"/>
                        <w:sz w:val="18"/>
                        <w:szCs w:val="18"/>
                      </w:rPr>
                      <w:t xml:space="preserve"> 页</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mc:AlternateContent>
        <mc:Choice Requires="wps">
          <w:drawing>
            <wp:anchor distT="0" distB="0" distL="114300" distR="114300" simplePos="0" relativeHeight="251665408" behindDoc="0" locked="0" layoutInCell="1" allowOverlap="1">
              <wp:simplePos x="0" y="0"/>
              <wp:positionH relativeFrom="margin">
                <wp:posOffset>-4445</wp:posOffset>
              </wp:positionH>
              <wp:positionV relativeFrom="paragraph">
                <wp:posOffset>-257175</wp:posOffset>
              </wp:positionV>
              <wp:extent cx="5767070" cy="353060"/>
              <wp:effectExtent l="0" t="0" r="0" b="0"/>
              <wp:wrapNone/>
              <wp:docPr id="10" name="文本框 5"/>
              <wp:cNvGraphicFramePr/>
              <a:graphic xmlns:a="http://schemas.openxmlformats.org/drawingml/2006/main">
                <a:graphicData uri="http://schemas.microsoft.com/office/word/2010/wordprocessingShape">
                  <wps:wsp>
                    <wps:cNvSpPr txBox="1"/>
                    <wps:spPr>
                      <a:xfrm>
                        <a:off x="0" y="0"/>
                        <a:ext cx="5767070" cy="353060"/>
                      </a:xfrm>
                      <a:prstGeom prst="rect">
                        <a:avLst/>
                      </a:prstGeom>
                      <a:noFill/>
                      <a:ln w="15875">
                        <a:noFill/>
                      </a:ln>
                    </wps:spPr>
                    <wps:txbx>
                      <w:txbxContent>
                        <w:p>
                          <w:pPr>
                            <w:pStyle w:val="28"/>
                            <w:jc w:val="center"/>
                            <w:rPr>
                              <w:rStyle w:val="51"/>
                              <w:sz w:val="18"/>
                              <w:szCs w:val="18"/>
                            </w:rPr>
                          </w:pPr>
                        </w:p>
                        <w:p>
                          <w:pPr>
                            <w:pStyle w:val="28"/>
                            <w:jc w:val="center"/>
                            <w:rPr>
                              <w:rStyle w:val="51"/>
                              <w:rFonts w:hint="eastAsia" w:ascii="宋体" w:hAnsi="宋体" w:eastAsia="宋体" w:cs="宋体"/>
                              <w:sz w:val="18"/>
                              <w:szCs w:val="18"/>
                            </w:rPr>
                          </w:pPr>
                          <w:r>
                            <w:rPr>
                              <w:rStyle w:val="51"/>
                              <w:rFonts w:hint="eastAsia" w:ascii="宋体" w:hAnsi="宋体" w:eastAsia="宋体" w:cs="宋体"/>
                              <w:sz w:val="18"/>
                              <w:szCs w:val="18"/>
                            </w:rPr>
                            <w:t xml:space="preserve">第 </w:t>
                          </w:r>
                          <w:r>
                            <w:rPr>
                              <w:rStyle w:val="51"/>
                              <w:rFonts w:hint="eastAsia" w:ascii="宋体" w:hAnsi="宋体" w:eastAsia="宋体" w:cs="宋体"/>
                              <w:sz w:val="18"/>
                              <w:szCs w:val="18"/>
                            </w:rPr>
                            <w:fldChar w:fldCharType="begin"/>
                          </w:r>
                          <w:r>
                            <w:rPr>
                              <w:rStyle w:val="51"/>
                              <w:rFonts w:hint="eastAsia" w:ascii="宋体" w:hAnsi="宋体" w:eastAsia="宋体" w:cs="宋体"/>
                              <w:sz w:val="18"/>
                              <w:szCs w:val="18"/>
                            </w:rPr>
                            <w:instrText xml:space="preserve"> PAGE  \* MERGEFORMAT </w:instrText>
                          </w:r>
                          <w:r>
                            <w:rPr>
                              <w:rStyle w:val="51"/>
                              <w:rFonts w:hint="eastAsia" w:ascii="宋体" w:hAnsi="宋体" w:eastAsia="宋体" w:cs="宋体"/>
                              <w:sz w:val="18"/>
                              <w:szCs w:val="18"/>
                            </w:rPr>
                            <w:fldChar w:fldCharType="separate"/>
                          </w:r>
                          <w:r>
                            <w:rPr>
                              <w:rStyle w:val="51"/>
                              <w:rFonts w:ascii="宋体" w:hAnsi="宋体" w:eastAsia="宋体" w:cs="宋体"/>
                              <w:sz w:val="18"/>
                              <w:szCs w:val="18"/>
                              <w:lang/>
                            </w:rPr>
                            <w:t>279</w:t>
                          </w:r>
                          <w:r>
                            <w:rPr>
                              <w:rStyle w:val="51"/>
                              <w:rFonts w:hint="eastAsia" w:ascii="宋体" w:hAnsi="宋体" w:eastAsia="宋体" w:cs="宋体"/>
                              <w:sz w:val="18"/>
                              <w:szCs w:val="18"/>
                            </w:rPr>
                            <w:fldChar w:fldCharType="end"/>
                          </w:r>
                          <w:r>
                            <w:rPr>
                              <w:rStyle w:val="51"/>
                              <w:rFonts w:hint="eastAsia" w:ascii="宋体" w:hAnsi="宋体" w:eastAsia="宋体" w:cs="宋体"/>
                              <w:sz w:val="18"/>
                              <w:szCs w:val="18"/>
                            </w:rPr>
                            <w:t xml:space="preserve"> 页</w:t>
                          </w:r>
                        </w:p>
                      </w:txbxContent>
                    </wps:txbx>
                    <wps:bodyPr wrap="square" lIns="0" tIns="0" rIns="0" bIns="0" upright="1"/>
                  </wps:wsp>
                </a:graphicData>
              </a:graphic>
            </wp:anchor>
          </w:drawing>
        </mc:Choice>
        <mc:Fallback>
          <w:pict>
            <v:shape id="文本框 5" o:spid="_x0000_s1026" o:spt="202" type="#_x0000_t202" style="position:absolute;left:0pt;margin-left:-0.35pt;margin-top:-20.25pt;height:27.8pt;width:454.1pt;mso-position-horizontal-relative:margin;z-index:251665408;mso-width-relative:page;mso-height-relative:page;" filled="f" stroked="f" coordsize="21600,21600" o:gfxdata="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&#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sOrI61wAAAAgBAAAPAAAAAAAAAAEAIAAAACIAAABk&#10;cnMvZG93bnJldi54bWxQSwECFAAUAAAACACHTuJAly39o84BAACLAwAADgAAAAAAAAABACAAAAAm&#10;AQAAZHJzL2Uyb0RvYy54bWxQSwUGAAAAAAYABgBZAQAAZgUAAAAA&#10;">
              <v:fill on="f" focussize="0,0"/>
              <v:stroke on="f" weight="1.25pt"/>
              <v:imagedata o:title=""/>
              <o:lock v:ext="edit" aspectratio="f"/>
              <v:textbox inset="0mm,0mm,0mm,0mm">
                <w:txbxContent>
                  <w:p>
                    <w:pPr>
                      <w:pStyle w:val="28"/>
                      <w:jc w:val="center"/>
                      <w:rPr>
                        <w:rStyle w:val="51"/>
                        <w:sz w:val="18"/>
                        <w:szCs w:val="18"/>
                      </w:rPr>
                    </w:pPr>
                  </w:p>
                  <w:p>
                    <w:pPr>
                      <w:pStyle w:val="28"/>
                      <w:jc w:val="center"/>
                      <w:rPr>
                        <w:rStyle w:val="51"/>
                        <w:rFonts w:hint="eastAsia" w:ascii="宋体" w:hAnsi="宋体" w:eastAsia="宋体" w:cs="宋体"/>
                        <w:sz w:val="18"/>
                        <w:szCs w:val="18"/>
                      </w:rPr>
                    </w:pPr>
                    <w:r>
                      <w:rPr>
                        <w:rStyle w:val="51"/>
                        <w:rFonts w:hint="eastAsia" w:ascii="宋体" w:hAnsi="宋体" w:eastAsia="宋体" w:cs="宋体"/>
                        <w:sz w:val="18"/>
                        <w:szCs w:val="18"/>
                      </w:rPr>
                      <w:t xml:space="preserve">第 </w:t>
                    </w:r>
                    <w:r>
                      <w:rPr>
                        <w:rStyle w:val="51"/>
                        <w:rFonts w:hint="eastAsia" w:ascii="宋体" w:hAnsi="宋体" w:eastAsia="宋体" w:cs="宋体"/>
                        <w:sz w:val="18"/>
                        <w:szCs w:val="18"/>
                      </w:rPr>
                      <w:fldChar w:fldCharType="begin"/>
                    </w:r>
                    <w:r>
                      <w:rPr>
                        <w:rStyle w:val="51"/>
                        <w:rFonts w:hint="eastAsia" w:ascii="宋体" w:hAnsi="宋体" w:eastAsia="宋体" w:cs="宋体"/>
                        <w:sz w:val="18"/>
                        <w:szCs w:val="18"/>
                      </w:rPr>
                      <w:instrText xml:space="preserve"> PAGE  \* MERGEFORMAT </w:instrText>
                    </w:r>
                    <w:r>
                      <w:rPr>
                        <w:rStyle w:val="51"/>
                        <w:rFonts w:hint="eastAsia" w:ascii="宋体" w:hAnsi="宋体" w:eastAsia="宋体" w:cs="宋体"/>
                        <w:sz w:val="18"/>
                        <w:szCs w:val="18"/>
                      </w:rPr>
                      <w:fldChar w:fldCharType="separate"/>
                    </w:r>
                    <w:r>
                      <w:rPr>
                        <w:rStyle w:val="51"/>
                        <w:rFonts w:ascii="宋体" w:hAnsi="宋体" w:eastAsia="宋体" w:cs="宋体"/>
                        <w:sz w:val="18"/>
                        <w:szCs w:val="18"/>
                        <w:lang/>
                      </w:rPr>
                      <w:t>279</w:t>
                    </w:r>
                    <w:r>
                      <w:rPr>
                        <w:rStyle w:val="51"/>
                        <w:rFonts w:hint="eastAsia" w:ascii="宋体" w:hAnsi="宋体" w:eastAsia="宋体" w:cs="宋体"/>
                        <w:sz w:val="18"/>
                        <w:szCs w:val="18"/>
                      </w:rPr>
                      <w:fldChar w:fldCharType="end"/>
                    </w:r>
                    <w:r>
                      <w:rPr>
                        <w:rStyle w:val="51"/>
                        <w:rFonts w:hint="eastAsia" w:ascii="宋体" w:hAnsi="宋体" w:eastAsia="宋体" w:cs="宋体"/>
                        <w:sz w:val="18"/>
                        <w:szCs w:val="18"/>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p>
  <w:p>
    <w:pPr>
      <w:pStyle w:val="28"/>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mc:AlternateContent>
        <mc:Choice Requires="wps">
          <w:drawing>
            <wp:anchor distT="0" distB="0" distL="114300" distR="114300" simplePos="0" relativeHeight="251666432" behindDoc="0" locked="0" layoutInCell="1" allowOverlap="1">
              <wp:simplePos x="0" y="0"/>
              <wp:positionH relativeFrom="margin">
                <wp:posOffset>-4445</wp:posOffset>
              </wp:positionH>
              <wp:positionV relativeFrom="paragraph">
                <wp:posOffset>-257175</wp:posOffset>
              </wp:positionV>
              <wp:extent cx="5767070" cy="353060"/>
              <wp:effectExtent l="0" t="0" r="0" b="0"/>
              <wp:wrapNone/>
              <wp:docPr id="17" name="文本框 5"/>
              <wp:cNvGraphicFramePr/>
              <a:graphic xmlns:a="http://schemas.openxmlformats.org/drawingml/2006/main">
                <a:graphicData uri="http://schemas.microsoft.com/office/word/2010/wordprocessingShape">
                  <wps:wsp>
                    <wps:cNvSpPr txBox="1"/>
                    <wps:spPr>
                      <a:xfrm>
                        <a:off x="0" y="0"/>
                        <a:ext cx="5767070" cy="353060"/>
                      </a:xfrm>
                      <a:prstGeom prst="rect">
                        <a:avLst/>
                      </a:prstGeom>
                      <a:noFill/>
                      <a:ln w="15875">
                        <a:noFill/>
                      </a:ln>
                    </wps:spPr>
                    <wps:txbx>
                      <w:txbxContent>
                        <w:p>
                          <w:pPr>
                            <w:pStyle w:val="28"/>
                            <w:jc w:val="center"/>
                            <w:rPr>
                              <w:rStyle w:val="51"/>
                              <w:sz w:val="18"/>
                              <w:szCs w:val="18"/>
                            </w:rPr>
                          </w:pPr>
                        </w:p>
                        <w:p>
                          <w:pPr>
                            <w:pStyle w:val="28"/>
                            <w:jc w:val="center"/>
                            <w:rPr>
                              <w:rStyle w:val="51"/>
                              <w:rFonts w:hint="eastAsia" w:ascii="宋体" w:hAnsi="宋体" w:eastAsia="宋体" w:cs="宋体"/>
                            </w:rPr>
                          </w:pPr>
                          <w:r>
                            <w:rPr>
                              <w:rStyle w:val="51"/>
                              <w:rFonts w:hint="eastAsia" w:ascii="宋体" w:hAnsi="宋体" w:eastAsia="宋体" w:cs="宋体"/>
                            </w:rPr>
                            <w:t xml:space="preserve">第 </w:t>
                          </w:r>
                          <w:r>
                            <w:rPr>
                              <w:rStyle w:val="51"/>
                              <w:rFonts w:hint="eastAsia" w:ascii="宋体" w:hAnsi="宋体" w:eastAsia="宋体" w:cs="宋体"/>
                            </w:rPr>
                            <w:fldChar w:fldCharType="begin"/>
                          </w:r>
                          <w:r>
                            <w:rPr>
                              <w:rStyle w:val="51"/>
                              <w:rFonts w:hint="eastAsia" w:ascii="宋体" w:hAnsi="宋体" w:eastAsia="宋体" w:cs="宋体"/>
                            </w:rPr>
                            <w:instrText xml:space="preserve"> PAGE  \* MERGEFORMAT </w:instrText>
                          </w:r>
                          <w:r>
                            <w:rPr>
                              <w:rStyle w:val="51"/>
                              <w:rFonts w:hint="eastAsia" w:ascii="宋体" w:hAnsi="宋体" w:eastAsia="宋体" w:cs="宋体"/>
                            </w:rPr>
                            <w:fldChar w:fldCharType="separate"/>
                          </w:r>
                          <w:r>
                            <w:rPr>
                              <w:rStyle w:val="51"/>
                              <w:rFonts w:ascii="宋体" w:hAnsi="宋体" w:eastAsia="宋体" w:cs="宋体"/>
                              <w:lang/>
                            </w:rPr>
                            <w:t>326</w:t>
                          </w:r>
                          <w:r>
                            <w:rPr>
                              <w:rStyle w:val="51"/>
                              <w:rFonts w:hint="eastAsia" w:ascii="宋体" w:hAnsi="宋体" w:eastAsia="宋体" w:cs="宋体"/>
                            </w:rPr>
                            <w:fldChar w:fldCharType="end"/>
                          </w:r>
                          <w:r>
                            <w:rPr>
                              <w:rStyle w:val="51"/>
                              <w:rFonts w:hint="eastAsia" w:ascii="宋体" w:hAnsi="宋体" w:eastAsia="宋体" w:cs="宋体"/>
                            </w:rPr>
                            <w:t xml:space="preserve"> 页</w:t>
                          </w:r>
                        </w:p>
                      </w:txbxContent>
                    </wps:txbx>
                    <wps:bodyPr wrap="square" lIns="0" tIns="0" rIns="0" bIns="0" upright="1"/>
                  </wps:wsp>
                </a:graphicData>
              </a:graphic>
            </wp:anchor>
          </w:drawing>
        </mc:Choice>
        <mc:Fallback>
          <w:pict>
            <v:shape id="文本框 5" o:spid="_x0000_s1026" o:spt="202" type="#_x0000_t202" style="position:absolute;left:0pt;margin-left:-0.35pt;margin-top:-20.25pt;height:27.8pt;width:454.1pt;mso-position-horizontal-relative:margin;z-index:251666432;mso-width-relative:page;mso-height-relative:page;" filled="f" stroked="f" coordsize="21600,21600" o:gfxdata="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&#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w6sjrXAAAACAEAAA8AAAAAAAAAAQAgAAAAIgAAAGRy&#10;cy9kb3ducmV2LnhtbFBLAQIUABQAAAAIAIdO4kDfqjblzQEAAIsDAAAOAAAAAAAAAAEAIAAAACYB&#10;AABkcnMvZTJvRG9jLnhtbFBLBQYAAAAABgAGAFkBAABlBQAAAAA=&#10;">
              <v:fill on="f" focussize="0,0"/>
              <v:stroke on="f" weight="1.25pt"/>
              <v:imagedata o:title=""/>
              <o:lock v:ext="edit" aspectratio="f"/>
              <v:textbox inset="0mm,0mm,0mm,0mm">
                <w:txbxContent>
                  <w:p>
                    <w:pPr>
                      <w:pStyle w:val="28"/>
                      <w:jc w:val="center"/>
                      <w:rPr>
                        <w:rStyle w:val="51"/>
                        <w:sz w:val="18"/>
                        <w:szCs w:val="18"/>
                      </w:rPr>
                    </w:pPr>
                  </w:p>
                  <w:p>
                    <w:pPr>
                      <w:pStyle w:val="28"/>
                      <w:jc w:val="center"/>
                      <w:rPr>
                        <w:rStyle w:val="51"/>
                        <w:rFonts w:hint="eastAsia" w:ascii="宋体" w:hAnsi="宋体" w:eastAsia="宋体" w:cs="宋体"/>
                      </w:rPr>
                    </w:pPr>
                    <w:r>
                      <w:rPr>
                        <w:rStyle w:val="51"/>
                        <w:rFonts w:hint="eastAsia" w:ascii="宋体" w:hAnsi="宋体" w:eastAsia="宋体" w:cs="宋体"/>
                      </w:rPr>
                      <w:t xml:space="preserve">第 </w:t>
                    </w:r>
                    <w:r>
                      <w:rPr>
                        <w:rStyle w:val="51"/>
                        <w:rFonts w:hint="eastAsia" w:ascii="宋体" w:hAnsi="宋体" w:eastAsia="宋体" w:cs="宋体"/>
                      </w:rPr>
                      <w:fldChar w:fldCharType="begin"/>
                    </w:r>
                    <w:r>
                      <w:rPr>
                        <w:rStyle w:val="51"/>
                        <w:rFonts w:hint="eastAsia" w:ascii="宋体" w:hAnsi="宋体" w:eastAsia="宋体" w:cs="宋体"/>
                      </w:rPr>
                      <w:instrText xml:space="preserve"> PAGE  \* MERGEFORMAT </w:instrText>
                    </w:r>
                    <w:r>
                      <w:rPr>
                        <w:rStyle w:val="51"/>
                        <w:rFonts w:hint="eastAsia" w:ascii="宋体" w:hAnsi="宋体" w:eastAsia="宋体" w:cs="宋体"/>
                      </w:rPr>
                      <w:fldChar w:fldCharType="separate"/>
                    </w:r>
                    <w:r>
                      <w:rPr>
                        <w:rStyle w:val="51"/>
                        <w:rFonts w:ascii="宋体" w:hAnsi="宋体" w:eastAsia="宋体" w:cs="宋体"/>
                        <w:lang/>
                      </w:rPr>
                      <w:t>326</w:t>
                    </w:r>
                    <w:r>
                      <w:rPr>
                        <w:rStyle w:val="51"/>
                        <w:rFonts w:hint="eastAsia" w:ascii="宋体" w:hAnsi="宋体" w:eastAsia="宋体" w:cs="宋体"/>
                      </w:rPr>
                      <w:fldChar w:fldCharType="end"/>
                    </w:r>
                    <w:r>
                      <w:rPr>
                        <w:rStyle w:val="51"/>
                        <w:rFonts w:hint="eastAsia" w:ascii="宋体" w:hAnsi="宋体" w:eastAsia="宋体" w:cs="宋体"/>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sz w:val="24"/>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sz w:val="24"/>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sz w:val="24"/>
        <w:szCs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sz w:val="24"/>
        <w:szCs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sz w:val="24"/>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w:rPr>
        <w:rFonts w:hint="eastAsia"/>
      </w:rPr>
      <w:t>湖南省农田建设项目工程电子招标投标施工招标文件示范文本（202</w:t>
    </w:r>
    <w:r>
      <w:rPr>
        <w:rFonts w:hint="eastAsia"/>
        <w:lang w:val="en-US" w:eastAsia="zh-CN"/>
      </w:rPr>
      <w:t>2</w:t>
    </w:r>
    <w:r>
      <w:rPr>
        <w:rFonts w:hint="eastAsia"/>
      </w:rPr>
      <w:t>年版）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w:rPr>
        <w:rFonts w:hint="eastAsia"/>
      </w:rPr>
      <w:t>湖南省农田建设项目工程电子招标投标施工招标文件示范文本（2021年版）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D53FD3"/>
    <w:multiLevelType w:val="singleLevel"/>
    <w:tmpl w:val="9FD53FD3"/>
    <w:lvl w:ilvl="0" w:tentative="0">
      <w:start w:val="2"/>
      <w:numFmt w:val="decimal"/>
      <w:suff w:val="nothing"/>
      <w:lvlText w:val="（%1）"/>
      <w:lvlJc w:val="left"/>
    </w:lvl>
  </w:abstractNum>
  <w:abstractNum w:abstractNumId="1">
    <w:nsid w:val="659C5349"/>
    <w:multiLevelType w:val="singleLevel"/>
    <w:tmpl w:val="659C5349"/>
    <w:lvl w:ilvl="0" w:tentative="0">
      <w:start w:val="4"/>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Y3ZGExZjYwMTI4YmMyMDhjZTQxZmYxZDI0ZTcyMmYifQ=="/>
  </w:docVars>
  <w:rsids>
    <w:rsidRoot w:val="01975091"/>
    <w:rsid w:val="000007D5"/>
    <w:rsid w:val="000007E4"/>
    <w:rsid w:val="00000A90"/>
    <w:rsid w:val="00001F9C"/>
    <w:rsid w:val="0000245E"/>
    <w:rsid w:val="00005FEE"/>
    <w:rsid w:val="0000606A"/>
    <w:rsid w:val="0001177A"/>
    <w:rsid w:val="000146DF"/>
    <w:rsid w:val="000156E5"/>
    <w:rsid w:val="000161BD"/>
    <w:rsid w:val="0001673D"/>
    <w:rsid w:val="00024577"/>
    <w:rsid w:val="00032917"/>
    <w:rsid w:val="00033B01"/>
    <w:rsid w:val="00034AB9"/>
    <w:rsid w:val="00035283"/>
    <w:rsid w:val="000360EE"/>
    <w:rsid w:val="00036B0E"/>
    <w:rsid w:val="0003732B"/>
    <w:rsid w:val="00040867"/>
    <w:rsid w:val="00040D79"/>
    <w:rsid w:val="00041E02"/>
    <w:rsid w:val="000429DB"/>
    <w:rsid w:val="00042F63"/>
    <w:rsid w:val="0004342F"/>
    <w:rsid w:val="0004466D"/>
    <w:rsid w:val="00047B9A"/>
    <w:rsid w:val="0005224D"/>
    <w:rsid w:val="000574AD"/>
    <w:rsid w:val="00057903"/>
    <w:rsid w:val="00060A6B"/>
    <w:rsid w:val="0006791C"/>
    <w:rsid w:val="00067F87"/>
    <w:rsid w:val="00070314"/>
    <w:rsid w:val="00071CD4"/>
    <w:rsid w:val="000727C2"/>
    <w:rsid w:val="000734F0"/>
    <w:rsid w:val="00073F23"/>
    <w:rsid w:val="000753AA"/>
    <w:rsid w:val="00075B5E"/>
    <w:rsid w:val="00075DBF"/>
    <w:rsid w:val="000802FA"/>
    <w:rsid w:val="00081B15"/>
    <w:rsid w:val="00082941"/>
    <w:rsid w:val="0008299D"/>
    <w:rsid w:val="00082EF1"/>
    <w:rsid w:val="00083AA0"/>
    <w:rsid w:val="000840E4"/>
    <w:rsid w:val="0008497C"/>
    <w:rsid w:val="000876FC"/>
    <w:rsid w:val="00087C1B"/>
    <w:rsid w:val="000902C9"/>
    <w:rsid w:val="000914A9"/>
    <w:rsid w:val="00095BBD"/>
    <w:rsid w:val="000A04A9"/>
    <w:rsid w:val="000A0DA5"/>
    <w:rsid w:val="000A1BD7"/>
    <w:rsid w:val="000A4F31"/>
    <w:rsid w:val="000A67B5"/>
    <w:rsid w:val="000A7EF4"/>
    <w:rsid w:val="000B014A"/>
    <w:rsid w:val="000B0785"/>
    <w:rsid w:val="000B179F"/>
    <w:rsid w:val="000B2226"/>
    <w:rsid w:val="000B2B4F"/>
    <w:rsid w:val="000B2C86"/>
    <w:rsid w:val="000B45F5"/>
    <w:rsid w:val="000C1630"/>
    <w:rsid w:val="000C6C5E"/>
    <w:rsid w:val="000D21AD"/>
    <w:rsid w:val="000D5427"/>
    <w:rsid w:val="000D56B6"/>
    <w:rsid w:val="000D56D2"/>
    <w:rsid w:val="000D627A"/>
    <w:rsid w:val="000E0561"/>
    <w:rsid w:val="000E1420"/>
    <w:rsid w:val="000E25D0"/>
    <w:rsid w:val="000E63B0"/>
    <w:rsid w:val="000F08A7"/>
    <w:rsid w:val="000F0CAC"/>
    <w:rsid w:val="000F1665"/>
    <w:rsid w:val="000F248A"/>
    <w:rsid w:val="000F468D"/>
    <w:rsid w:val="000F52EC"/>
    <w:rsid w:val="000F6DAE"/>
    <w:rsid w:val="001016D9"/>
    <w:rsid w:val="00102ED7"/>
    <w:rsid w:val="00103537"/>
    <w:rsid w:val="001045D1"/>
    <w:rsid w:val="00107303"/>
    <w:rsid w:val="00111E07"/>
    <w:rsid w:val="00114673"/>
    <w:rsid w:val="00114F92"/>
    <w:rsid w:val="00116D87"/>
    <w:rsid w:val="00117434"/>
    <w:rsid w:val="0012105C"/>
    <w:rsid w:val="00122208"/>
    <w:rsid w:val="00122E33"/>
    <w:rsid w:val="00127AA6"/>
    <w:rsid w:val="00132137"/>
    <w:rsid w:val="00132AE7"/>
    <w:rsid w:val="001342DC"/>
    <w:rsid w:val="00136FBF"/>
    <w:rsid w:val="00137240"/>
    <w:rsid w:val="00137B85"/>
    <w:rsid w:val="00142398"/>
    <w:rsid w:val="0015144F"/>
    <w:rsid w:val="001518AE"/>
    <w:rsid w:val="0015263A"/>
    <w:rsid w:val="00152B9D"/>
    <w:rsid w:val="00155EC9"/>
    <w:rsid w:val="00156289"/>
    <w:rsid w:val="001570D0"/>
    <w:rsid w:val="00157D81"/>
    <w:rsid w:val="00161666"/>
    <w:rsid w:val="0016234D"/>
    <w:rsid w:val="00163B1A"/>
    <w:rsid w:val="00164CF9"/>
    <w:rsid w:val="001656C7"/>
    <w:rsid w:val="00167BDC"/>
    <w:rsid w:val="00172A27"/>
    <w:rsid w:val="001736BF"/>
    <w:rsid w:val="001757F6"/>
    <w:rsid w:val="00175DEB"/>
    <w:rsid w:val="00177002"/>
    <w:rsid w:val="00180647"/>
    <w:rsid w:val="0018097D"/>
    <w:rsid w:val="00180B9A"/>
    <w:rsid w:val="001816CA"/>
    <w:rsid w:val="001831F7"/>
    <w:rsid w:val="001833E5"/>
    <w:rsid w:val="00183F80"/>
    <w:rsid w:val="001846D7"/>
    <w:rsid w:val="00184AC2"/>
    <w:rsid w:val="00185ACB"/>
    <w:rsid w:val="00191642"/>
    <w:rsid w:val="00196190"/>
    <w:rsid w:val="001A0AAE"/>
    <w:rsid w:val="001A1C9D"/>
    <w:rsid w:val="001A3214"/>
    <w:rsid w:val="001A3EC9"/>
    <w:rsid w:val="001A451B"/>
    <w:rsid w:val="001B013C"/>
    <w:rsid w:val="001B0C69"/>
    <w:rsid w:val="001B13EF"/>
    <w:rsid w:val="001B1585"/>
    <w:rsid w:val="001B2B12"/>
    <w:rsid w:val="001B3D22"/>
    <w:rsid w:val="001B55AF"/>
    <w:rsid w:val="001B6EF6"/>
    <w:rsid w:val="001B70AE"/>
    <w:rsid w:val="001C0FCB"/>
    <w:rsid w:val="001C2B41"/>
    <w:rsid w:val="001C2DF4"/>
    <w:rsid w:val="001C6D1E"/>
    <w:rsid w:val="001D1137"/>
    <w:rsid w:val="001D2684"/>
    <w:rsid w:val="001D282F"/>
    <w:rsid w:val="001D2F23"/>
    <w:rsid w:val="001D3E6E"/>
    <w:rsid w:val="001D4620"/>
    <w:rsid w:val="001E0BCD"/>
    <w:rsid w:val="001E174C"/>
    <w:rsid w:val="001E3A38"/>
    <w:rsid w:val="001E3ECD"/>
    <w:rsid w:val="001E44C8"/>
    <w:rsid w:val="001E64F6"/>
    <w:rsid w:val="001F0712"/>
    <w:rsid w:val="001F203A"/>
    <w:rsid w:val="001F3002"/>
    <w:rsid w:val="001F424A"/>
    <w:rsid w:val="001F71A8"/>
    <w:rsid w:val="001F7DD6"/>
    <w:rsid w:val="00200AD3"/>
    <w:rsid w:val="002020C8"/>
    <w:rsid w:val="0020525E"/>
    <w:rsid w:val="0020552D"/>
    <w:rsid w:val="0020684D"/>
    <w:rsid w:val="00206DD0"/>
    <w:rsid w:val="00210543"/>
    <w:rsid w:val="002106D2"/>
    <w:rsid w:val="00212690"/>
    <w:rsid w:val="00214527"/>
    <w:rsid w:val="00215F37"/>
    <w:rsid w:val="0021690C"/>
    <w:rsid w:val="00216952"/>
    <w:rsid w:val="00216D72"/>
    <w:rsid w:val="00217363"/>
    <w:rsid w:val="002209D9"/>
    <w:rsid w:val="00221769"/>
    <w:rsid w:val="00221F19"/>
    <w:rsid w:val="0022209B"/>
    <w:rsid w:val="002234B1"/>
    <w:rsid w:val="00226FB4"/>
    <w:rsid w:val="002312E3"/>
    <w:rsid w:val="00233DC4"/>
    <w:rsid w:val="00234939"/>
    <w:rsid w:val="002355FE"/>
    <w:rsid w:val="002359BC"/>
    <w:rsid w:val="00236142"/>
    <w:rsid w:val="00237642"/>
    <w:rsid w:val="002400BC"/>
    <w:rsid w:val="00244629"/>
    <w:rsid w:val="002473F8"/>
    <w:rsid w:val="00247AB3"/>
    <w:rsid w:val="002539FA"/>
    <w:rsid w:val="00261297"/>
    <w:rsid w:val="00261934"/>
    <w:rsid w:val="002625AD"/>
    <w:rsid w:val="00264992"/>
    <w:rsid w:val="0026551C"/>
    <w:rsid w:val="002711EB"/>
    <w:rsid w:val="002714B9"/>
    <w:rsid w:val="002734F9"/>
    <w:rsid w:val="0027763A"/>
    <w:rsid w:val="00283490"/>
    <w:rsid w:val="002840AE"/>
    <w:rsid w:val="002865FF"/>
    <w:rsid w:val="0028748B"/>
    <w:rsid w:val="00290D70"/>
    <w:rsid w:val="00291564"/>
    <w:rsid w:val="00291C94"/>
    <w:rsid w:val="00292483"/>
    <w:rsid w:val="002943B2"/>
    <w:rsid w:val="002958BA"/>
    <w:rsid w:val="002960DE"/>
    <w:rsid w:val="00296656"/>
    <w:rsid w:val="002A068A"/>
    <w:rsid w:val="002A0F5D"/>
    <w:rsid w:val="002A14A7"/>
    <w:rsid w:val="002A45E0"/>
    <w:rsid w:val="002A4C8E"/>
    <w:rsid w:val="002A5474"/>
    <w:rsid w:val="002B1ABA"/>
    <w:rsid w:val="002B32FD"/>
    <w:rsid w:val="002B354D"/>
    <w:rsid w:val="002B377D"/>
    <w:rsid w:val="002B3929"/>
    <w:rsid w:val="002B41AA"/>
    <w:rsid w:val="002B43BB"/>
    <w:rsid w:val="002B4804"/>
    <w:rsid w:val="002B7CBA"/>
    <w:rsid w:val="002C0365"/>
    <w:rsid w:val="002C15E5"/>
    <w:rsid w:val="002C1A6C"/>
    <w:rsid w:val="002C1C20"/>
    <w:rsid w:val="002C43A5"/>
    <w:rsid w:val="002C73AD"/>
    <w:rsid w:val="002D001F"/>
    <w:rsid w:val="002D0432"/>
    <w:rsid w:val="002D2309"/>
    <w:rsid w:val="002D3583"/>
    <w:rsid w:val="002D3F16"/>
    <w:rsid w:val="002D5C2D"/>
    <w:rsid w:val="002D67EB"/>
    <w:rsid w:val="002D7D17"/>
    <w:rsid w:val="002E0E63"/>
    <w:rsid w:val="002E14A7"/>
    <w:rsid w:val="002E227D"/>
    <w:rsid w:val="002E2BDE"/>
    <w:rsid w:val="002E36F2"/>
    <w:rsid w:val="002E6B7E"/>
    <w:rsid w:val="002E73C5"/>
    <w:rsid w:val="002F01BB"/>
    <w:rsid w:val="002F1705"/>
    <w:rsid w:val="002F17C7"/>
    <w:rsid w:val="002F2690"/>
    <w:rsid w:val="002F3A00"/>
    <w:rsid w:val="002F3A2F"/>
    <w:rsid w:val="002F7C34"/>
    <w:rsid w:val="002F7D01"/>
    <w:rsid w:val="003013E2"/>
    <w:rsid w:val="003018DB"/>
    <w:rsid w:val="0030579C"/>
    <w:rsid w:val="00306E2C"/>
    <w:rsid w:val="003079A9"/>
    <w:rsid w:val="00310222"/>
    <w:rsid w:val="00317174"/>
    <w:rsid w:val="00317722"/>
    <w:rsid w:val="00320EE6"/>
    <w:rsid w:val="00321D8E"/>
    <w:rsid w:val="00322EC0"/>
    <w:rsid w:val="00323836"/>
    <w:rsid w:val="00323D7A"/>
    <w:rsid w:val="0032446C"/>
    <w:rsid w:val="00325303"/>
    <w:rsid w:val="0032534A"/>
    <w:rsid w:val="00325FBF"/>
    <w:rsid w:val="00330C9F"/>
    <w:rsid w:val="00331BE9"/>
    <w:rsid w:val="00333252"/>
    <w:rsid w:val="003344B6"/>
    <w:rsid w:val="00335BB2"/>
    <w:rsid w:val="00335F54"/>
    <w:rsid w:val="00340C10"/>
    <w:rsid w:val="00342661"/>
    <w:rsid w:val="003428E6"/>
    <w:rsid w:val="003438F1"/>
    <w:rsid w:val="00343F59"/>
    <w:rsid w:val="00345016"/>
    <w:rsid w:val="003450C0"/>
    <w:rsid w:val="003450F0"/>
    <w:rsid w:val="00345564"/>
    <w:rsid w:val="00347E40"/>
    <w:rsid w:val="003519B2"/>
    <w:rsid w:val="00352DE6"/>
    <w:rsid w:val="00353B16"/>
    <w:rsid w:val="00355C50"/>
    <w:rsid w:val="00356FB1"/>
    <w:rsid w:val="00361B30"/>
    <w:rsid w:val="003622F3"/>
    <w:rsid w:val="00362487"/>
    <w:rsid w:val="00364437"/>
    <w:rsid w:val="00365E60"/>
    <w:rsid w:val="00366C13"/>
    <w:rsid w:val="0036701C"/>
    <w:rsid w:val="003712E9"/>
    <w:rsid w:val="00371D7A"/>
    <w:rsid w:val="00372EFF"/>
    <w:rsid w:val="00374254"/>
    <w:rsid w:val="003750B4"/>
    <w:rsid w:val="00375511"/>
    <w:rsid w:val="003757CA"/>
    <w:rsid w:val="003804E1"/>
    <w:rsid w:val="00382CAD"/>
    <w:rsid w:val="00382D2C"/>
    <w:rsid w:val="00382FA7"/>
    <w:rsid w:val="003863B0"/>
    <w:rsid w:val="00391656"/>
    <w:rsid w:val="003929CF"/>
    <w:rsid w:val="00394007"/>
    <w:rsid w:val="0039637E"/>
    <w:rsid w:val="0039792A"/>
    <w:rsid w:val="003A1691"/>
    <w:rsid w:val="003A23CD"/>
    <w:rsid w:val="003A2CA5"/>
    <w:rsid w:val="003A35CB"/>
    <w:rsid w:val="003A3A41"/>
    <w:rsid w:val="003A3D51"/>
    <w:rsid w:val="003A4C76"/>
    <w:rsid w:val="003A63E6"/>
    <w:rsid w:val="003A6442"/>
    <w:rsid w:val="003A6A53"/>
    <w:rsid w:val="003A7485"/>
    <w:rsid w:val="003A796F"/>
    <w:rsid w:val="003B3AF1"/>
    <w:rsid w:val="003B592D"/>
    <w:rsid w:val="003B5DFA"/>
    <w:rsid w:val="003B6A21"/>
    <w:rsid w:val="003B703A"/>
    <w:rsid w:val="003C07C8"/>
    <w:rsid w:val="003C199B"/>
    <w:rsid w:val="003C38F7"/>
    <w:rsid w:val="003C3E55"/>
    <w:rsid w:val="003C6CAE"/>
    <w:rsid w:val="003C7582"/>
    <w:rsid w:val="003D222D"/>
    <w:rsid w:val="003D31E7"/>
    <w:rsid w:val="003D366E"/>
    <w:rsid w:val="003D51F4"/>
    <w:rsid w:val="003D55B5"/>
    <w:rsid w:val="003D6A72"/>
    <w:rsid w:val="003D74C6"/>
    <w:rsid w:val="003E0530"/>
    <w:rsid w:val="003E1735"/>
    <w:rsid w:val="003E23A3"/>
    <w:rsid w:val="003E399F"/>
    <w:rsid w:val="003E5048"/>
    <w:rsid w:val="003E7469"/>
    <w:rsid w:val="003F7C3B"/>
    <w:rsid w:val="00402BB8"/>
    <w:rsid w:val="0040333B"/>
    <w:rsid w:val="00403A98"/>
    <w:rsid w:val="004047CF"/>
    <w:rsid w:val="004056A2"/>
    <w:rsid w:val="0040640A"/>
    <w:rsid w:val="00406C6C"/>
    <w:rsid w:val="00413240"/>
    <w:rsid w:val="00413273"/>
    <w:rsid w:val="004133E6"/>
    <w:rsid w:val="00416F10"/>
    <w:rsid w:val="004178C1"/>
    <w:rsid w:val="0042087B"/>
    <w:rsid w:val="00421853"/>
    <w:rsid w:val="00426259"/>
    <w:rsid w:val="00426712"/>
    <w:rsid w:val="00427D0C"/>
    <w:rsid w:val="0043170D"/>
    <w:rsid w:val="00433A34"/>
    <w:rsid w:val="00433ACC"/>
    <w:rsid w:val="00434028"/>
    <w:rsid w:val="004347B2"/>
    <w:rsid w:val="0043617E"/>
    <w:rsid w:val="0043772D"/>
    <w:rsid w:val="004416B9"/>
    <w:rsid w:val="00443EE0"/>
    <w:rsid w:val="00443F34"/>
    <w:rsid w:val="004448D2"/>
    <w:rsid w:val="00446BF8"/>
    <w:rsid w:val="00450B3F"/>
    <w:rsid w:val="00451E7C"/>
    <w:rsid w:val="0045209E"/>
    <w:rsid w:val="00452713"/>
    <w:rsid w:val="00454285"/>
    <w:rsid w:val="00454B2D"/>
    <w:rsid w:val="00456D2C"/>
    <w:rsid w:val="00457115"/>
    <w:rsid w:val="00457AD0"/>
    <w:rsid w:val="00460376"/>
    <w:rsid w:val="00461F7E"/>
    <w:rsid w:val="004629C6"/>
    <w:rsid w:val="00463792"/>
    <w:rsid w:val="00464824"/>
    <w:rsid w:val="0046744B"/>
    <w:rsid w:val="0047058A"/>
    <w:rsid w:val="00472653"/>
    <w:rsid w:val="004730A0"/>
    <w:rsid w:val="00475442"/>
    <w:rsid w:val="004774AF"/>
    <w:rsid w:val="00484CE4"/>
    <w:rsid w:val="00486247"/>
    <w:rsid w:val="00486B55"/>
    <w:rsid w:val="00490779"/>
    <w:rsid w:val="00490795"/>
    <w:rsid w:val="0049227D"/>
    <w:rsid w:val="00493531"/>
    <w:rsid w:val="00494C74"/>
    <w:rsid w:val="00495130"/>
    <w:rsid w:val="0049525D"/>
    <w:rsid w:val="004A0E04"/>
    <w:rsid w:val="004A2B8E"/>
    <w:rsid w:val="004A58DA"/>
    <w:rsid w:val="004A6017"/>
    <w:rsid w:val="004A611C"/>
    <w:rsid w:val="004A6A45"/>
    <w:rsid w:val="004A6D14"/>
    <w:rsid w:val="004A7283"/>
    <w:rsid w:val="004B201F"/>
    <w:rsid w:val="004B2F4A"/>
    <w:rsid w:val="004B46F8"/>
    <w:rsid w:val="004B5610"/>
    <w:rsid w:val="004B6DD5"/>
    <w:rsid w:val="004C0EEB"/>
    <w:rsid w:val="004C10A0"/>
    <w:rsid w:val="004C20CA"/>
    <w:rsid w:val="004C317D"/>
    <w:rsid w:val="004C548E"/>
    <w:rsid w:val="004C567C"/>
    <w:rsid w:val="004C6EF7"/>
    <w:rsid w:val="004D3245"/>
    <w:rsid w:val="004D5095"/>
    <w:rsid w:val="004E4A8D"/>
    <w:rsid w:val="004E4F0D"/>
    <w:rsid w:val="004E5AFB"/>
    <w:rsid w:val="004E607A"/>
    <w:rsid w:val="004E6A3A"/>
    <w:rsid w:val="004E6CA6"/>
    <w:rsid w:val="004E71AA"/>
    <w:rsid w:val="004F2355"/>
    <w:rsid w:val="004F3B43"/>
    <w:rsid w:val="004F533B"/>
    <w:rsid w:val="004F602E"/>
    <w:rsid w:val="004F7958"/>
    <w:rsid w:val="005015B2"/>
    <w:rsid w:val="005024BC"/>
    <w:rsid w:val="005025C3"/>
    <w:rsid w:val="005048F3"/>
    <w:rsid w:val="00510FEB"/>
    <w:rsid w:val="00511044"/>
    <w:rsid w:val="0051133D"/>
    <w:rsid w:val="00511EB5"/>
    <w:rsid w:val="00514B64"/>
    <w:rsid w:val="005164A2"/>
    <w:rsid w:val="0051686F"/>
    <w:rsid w:val="00520128"/>
    <w:rsid w:val="00520E3E"/>
    <w:rsid w:val="00522C61"/>
    <w:rsid w:val="0052355C"/>
    <w:rsid w:val="00525608"/>
    <w:rsid w:val="00530300"/>
    <w:rsid w:val="00531318"/>
    <w:rsid w:val="00531F7A"/>
    <w:rsid w:val="0053545B"/>
    <w:rsid w:val="00535B16"/>
    <w:rsid w:val="00536168"/>
    <w:rsid w:val="005375DF"/>
    <w:rsid w:val="00543450"/>
    <w:rsid w:val="005436F8"/>
    <w:rsid w:val="005451E6"/>
    <w:rsid w:val="00546930"/>
    <w:rsid w:val="0054777E"/>
    <w:rsid w:val="00550A95"/>
    <w:rsid w:val="00551195"/>
    <w:rsid w:val="00551399"/>
    <w:rsid w:val="00551633"/>
    <w:rsid w:val="005617EF"/>
    <w:rsid w:val="00562013"/>
    <w:rsid w:val="005657CC"/>
    <w:rsid w:val="00567235"/>
    <w:rsid w:val="00571D26"/>
    <w:rsid w:val="00572B9A"/>
    <w:rsid w:val="00574F34"/>
    <w:rsid w:val="005750C1"/>
    <w:rsid w:val="00576F56"/>
    <w:rsid w:val="005776CE"/>
    <w:rsid w:val="00577C9C"/>
    <w:rsid w:val="00582BD3"/>
    <w:rsid w:val="00582E4D"/>
    <w:rsid w:val="005831F8"/>
    <w:rsid w:val="00583B57"/>
    <w:rsid w:val="00583FFA"/>
    <w:rsid w:val="005858EC"/>
    <w:rsid w:val="00585D0B"/>
    <w:rsid w:val="00587F9B"/>
    <w:rsid w:val="005900B5"/>
    <w:rsid w:val="005906F5"/>
    <w:rsid w:val="0059087D"/>
    <w:rsid w:val="00592CFD"/>
    <w:rsid w:val="005948FB"/>
    <w:rsid w:val="00594CF1"/>
    <w:rsid w:val="00596CE3"/>
    <w:rsid w:val="005A075B"/>
    <w:rsid w:val="005A372A"/>
    <w:rsid w:val="005A40B6"/>
    <w:rsid w:val="005A4802"/>
    <w:rsid w:val="005A6812"/>
    <w:rsid w:val="005B02DB"/>
    <w:rsid w:val="005B25C0"/>
    <w:rsid w:val="005B3456"/>
    <w:rsid w:val="005B3C2C"/>
    <w:rsid w:val="005B3D86"/>
    <w:rsid w:val="005B4681"/>
    <w:rsid w:val="005B4E50"/>
    <w:rsid w:val="005B6929"/>
    <w:rsid w:val="005B7EB8"/>
    <w:rsid w:val="005C0609"/>
    <w:rsid w:val="005C149A"/>
    <w:rsid w:val="005C4515"/>
    <w:rsid w:val="005C585E"/>
    <w:rsid w:val="005C5BDD"/>
    <w:rsid w:val="005C61D3"/>
    <w:rsid w:val="005D259E"/>
    <w:rsid w:val="005D290A"/>
    <w:rsid w:val="005D342B"/>
    <w:rsid w:val="005D40D5"/>
    <w:rsid w:val="005D63D8"/>
    <w:rsid w:val="005D735E"/>
    <w:rsid w:val="005E105D"/>
    <w:rsid w:val="005E13FC"/>
    <w:rsid w:val="005E2414"/>
    <w:rsid w:val="005E47B5"/>
    <w:rsid w:val="005E6313"/>
    <w:rsid w:val="005E72B6"/>
    <w:rsid w:val="005E7FD2"/>
    <w:rsid w:val="005F4248"/>
    <w:rsid w:val="005F61E2"/>
    <w:rsid w:val="005F6226"/>
    <w:rsid w:val="005F6925"/>
    <w:rsid w:val="0060092C"/>
    <w:rsid w:val="00600A18"/>
    <w:rsid w:val="00602DAE"/>
    <w:rsid w:val="00603D3E"/>
    <w:rsid w:val="006055F8"/>
    <w:rsid w:val="00605CB1"/>
    <w:rsid w:val="00606E82"/>
    <w:rsid w:val="00607C81"/>
    <w:rsid w:val="006126E9"/>
    <w:rsid w:val="00612FDD"/>
    <w:rsid w:val="006136C6"/>
    <w:rsid w:val="006160F9"/>
    <w:rsid w:val="0061665E"/>
    <w:rsid w:val="00620A99"/>
    <w:rsid w:val="00625973"/>
    <w:rsid w:val="00625B06"/>
    <w:rsid w:val="00625BE3"/>
    <w:rsid w:val="00627F71"/>
    <w:rsid w:val="00631C25"/>
    <w:rsid w:val="006323CB"/>
    <w:rsid w:val="00633889"/>
    <w:rsid w:val="00633ED3"/>
    <w:rsid w:val="0063421F"/>
    <w:rsid w:val="00640139"/>
    <w:rsid w:val="006411E1"/>
    <w:rsid w:val="00643513"/>
    <w:rsid w:val="00643557"/>
    <w:rsid w:val="00646F49"/>
    <w:rsid w:val="006477A2"/>
    <w:rsid w:val="006521C2"/>
    <w:rsid w:val="00660E06"/>
    <w:rsid w:val="00660FF1"/>
    <w:rsid w:val="006616B7"/>
    <w:rsid w:val="006628B2"/>
    <w:rsid w:val="00662B58"/>
    <w:rsid w:val="00662E74"/>
    <w:rsid w:val="00664D1C"/>
    <w:rsid w:val="00671A2B"/>
    <w:rsid w:val="0067351E"/>
    <w:rsid w:val="006757C2"/>
    <w:rsid w:val="00677291"/>
    <w:rsid w:val="00677F38"/>
    <w:rsid w:val="006813EF"/>
    <w:rsid w:val="00683E04"/>
    <w:rsid w:val="00684134"/>
    <w:rsid w:val="006841C3"/>
    <w:rsid w:val="006842F0"/>
    <w:rsid w:val="006857E2"/>
    <w:rsid w:val="00691861"/>
    <w:rsid w:val="00691AB1"/>
    <w:rsid w:val="00691F33"/>
    <w:rsid w:val="00691F7F"/>
    <w:rsid w:val="00692AFA"/>
    <w:rsid w:val="00692C7D"/>
    <w:rsid w:val="0069537F"/>
    <w:rsid w:val="00695CDC"/>
    <w:rsid w:val="00697060"/>
    <w:rsid w:val="006A0B9B"/>
    <w:rsid w:val="006A0CF7"/>
    <w:rsid w:val="006A2DDC"/>
    <w:rsid w:val="006A3997"/>
    <w:rsid w:val="006A4D3B"/>
    <w:rsid w:val="006B0D94"/>
    <w:rsid w:val="006B274D"/>
    <w:rsid w:val="006B2D17"/>
    <w:rsid w:val="006B4171"/>
    <w:rsid w:val="006B7F2C"/>
    <w:rsid w:val="006C05FD"/>
    <w:rsid w:val="006C08E8"/>
    <w:rsid w:val="006C244C"/>
    <w:rsid w:val="006C36C5"/>
    <w:rsid w:val="006C5495"/>
    <w:rsid w:val="006C7A2E"/>
    <w:rsid w:val="006D0DA2"/>
    <w:rsid w:val="006D1947"/>
    <w:rsid w:val="006D21C5"/>
    <w:rsid w:val="006D30D3"/>
    <w:rsid w:val="006D3E24"/>
    <w:rsid w:val="006D59CD"/>
    <w:rsid w:val="006D6B08"/>
    <w:rsid w:val="006D6F78"/>
    <w:rsid w:val="006D74E4"/>
    <w:rsid w:val="006E0056"/>
    <w:rsid w:val="006E162E"/>
    <w:rsid w:val="006E1B72"/>
    <w:rsid w:val="006E67C1"/>
    <w:rsid w:val="006E7318"/>
    <w:rsid w:val="006F09A1"/>
    <w:rsid w:val="006F4684"/>
    <w:rsid w:val="006F504A"/>
    <w:rsid w:val="006F54BC"/>
    <w:rsid w:val="00700347"/>
    <w:rsid w:val="007015F2"/>
    <w:rsid w:val="0070194F"/>
    <w:rsid w:val="007032F4"/>
    <w:rsid w:val="007069CF"/>
    <w:rsid w:val="00707C9D"/>
    <w:rsid w:val="00710F86"/>
    <w:rsid w:val="00712948"/>
    <w:rsid w:val="0071321C"/>
    <w:rsid w:val="00713798"/>
    <w:rsid w:val="007148B2"/>
    <w:rsid w:val="007163F6"/>
    <w:rsid w:val="00716AF2"/>
    <w:rsid w:val="007214BD"/>
    <w:rsid w:val="00721AFA"/>
    <w:rsid w:val="00722ABE"/>
    <w:rsid w:val="00723F00"/>
    <w:rsid w:val="0072593A"/>
    <w:rsid w:val="0072601A"/>
    <w:rsid w:val="00726D14"/>
    <w:rsid w:val="007275FB"/>
    <w:rsid w:val="00730E9E"/>
    <w:rsid w:val="00732006"/>
    <w:rsid w:val="00732E23"/>
    <w:rsid w:val="007333B0"/>
    <w:rsid w:val="0073367F"/>
    <w:rsid w:val="00734BF5"/>
    <w:rsid w:val="00735778"/>
    <w:rsid w:val="0074052D"/>
    <w:rsid w:val="00740A40"/>
    <w:rsid w:val="00740D82"/>
    <w:rsid w:val="00740DE2"/>
    <w:rsid w:val="007414B0"/>
    <w:rsid w:val="00742C10"/>
    <w:rsid w:val="00746BC8"/>
    <w:rsid w:val="00747A14"/>
    <w:rsid w:val="00756AD2"/>
    <w:rsid w:val="007600AE"/>
    <w:rsid w:val="0076077F"/>
    <w:rsid w:val="00760826"/>
    <w:rsid w:val="00760F8F"/>
    <w:rsid w:val="0076178C"/>
    <w:rsid w:val="007632C7"/>
    <w:rsid w:val="00763853"/>
    <w:rsid w:val="00763A52"/>
    <w:rsid w:val="0076415E"/>
    <w:rsid w:val="00766208"/>
    <w:rsid w:val="007665E7"/>
    <w:rsid w:val="00766BF9"/>
    <w:rsid w:val="00766E37"/>
    <w:rsid w:val="00767116"/>
    <w:rsid w:val="00767D9F"/>
    <w:rsid w:val="00770EBB"/>
    <w:rsid w:val="0077354D"/>
    <w:rsid w:val="00774FB7"/>
    <w:rsid w:val="00780BB0"/>
    <w:rsid w:val="007816F7"/>
    <w:rsid w:val="00781AFB"/>
    <w:rsid w:val="00784D02"/>
    <w:rsid w:val="007854FD"/>
    <w:rsid w:val="00786938"/>
    <w:rsid w:val="00786F27"/>
    <w:rsid w:val="007877E1"/>
    <w:rsid w:val="00793D5C"/>
    <w:rsid w:val="007958EA"/>
    <w:rsid w:val="007A1A6C"/>
    <w:rsid w:val="007A1B39"/>
    <w:rsid w:val="007A2138"/>
    <w:rsid w:val="007B0EA2"/>
    <w:rsid w:val="007B27B8"/>
    <w:rsid w:val="007B30C3"/>
    <w:rsid w:val="007B31BD"/>
    <w:rsid w:val="007B387E"/>
    <w:rsid w:val="007B38E3"/>
    <w:rsid w:val="007B3BC3"/>
    <w:rsid w:val="007B4E1B"/>
    <w:rsid w:val="007B7D28"/>
    <w:rsid w:val="007C0D02"/>
    <w:rsid w:val="007C1551"/>
    <w:rsid w:val="007C1DB9"/>
    <w:rsid w:val="007C2421"/>
    <w:rsid w:val="007C2CBE"/>
    <w:rsid w:val="007C2DE3"/>
    <w:rsid w:val="007C2F90"/>
    <w:rsid w:val="007C3732"/>
    <w:rsid w:val="007C446C"/>
    <w:rsid w:val="007C58C8"/>
    <w:rsid w:val="007C5FAE"/>
    <w:rsid w:val="007C65ED"/>
    <w:rsid w:val="007D0DC2"/>
    <w:rsid w:val="007D1445"/>
    <w:rsid w:val="007D26AB"/>
    <w:rsid w:val="007D3E19"/>
    <w:rsid w:val="007D46D3"/>
    <w:rsid w:val="007D476E"/>
    <w:rsid w:val="007D67AC"/>
    <w:rsid w:val="007D68B8"/>
    <w:rsid w:val="007D7777"/>
    <w:rsid w:val="007D7966"/>
    <w:rsid w:val="007E1A23"/>
    <w:rsid w:val="007E2FB8"/>
    <w:rsid w:val="007E4C51"/>
    <w:rsid w:val="007F11D1"/>
    <w:rsid w:val="007F1300"/>
    <w:rsid w:val="007F17D8"/>
    <w:rsid w:val="007F20EC"/>
    <w:rsid w:val="007F38AA"/>
    <w:rsid w:val="007F3FAC"/>
    <w:rsid w:val="007F44D3"/>
    <w:rsid w:val="007F6EF2"/>
    <w:rsid w:val="00802699"/>
    <w:rsid w:val="00803570"/>
    <w:rsid w:val="0080417D"/>
    <w:rsid w:val="008051FF"/>
    <w:rsid w:val="00806281"/>
    <w:rsid w:val="00810102"/>
    <w:rsid w:val="00814E0A"/>
    <w:rsid w:val="00815CD5"/>
    <w:rsid w:val="008164E2"/>
    <w:rsid w:val="00817647"/>
    <w:rsid w:val="00820E28"/>
    <w:rsid w:val="00824A05"/>
    <w:rsid w:val="008262B4"/>
    <w:rsid w:val="0082721B"/>
    <w:rsid w:val="00831765"/>
    <w:rsid w:val="00833B29"/>
    <w:rsid w:val="00834727"/>
    <w:rsid w:val="00836C1E"/>
    <w:rsid w:val="00836E6C"/>
    <w:rsid w:val="00837104"/>
    <w:rsid w:val="0083729D"/>
    <w:rsid w:val="00840B06"/>
    <w:rsid w:val="00844601"/>
    <w:rsid w:val="00845810"/>
    <w:rsid w:val="00846F1B"/>
    <w:rsid w:val="0085027A"/>
    <w:rsid w:val="0085087C"/>
    <w:rsid w:val="00850F29"/>
    <w:rsid w:val="00854B4B"/>
    <w:rsid w:val="00854DE2"/>
    <w:rsid w:val="008574AC"/>
    <w:rsid w:val="00860739"/>
    <w:rsid w:val="00862E8A"/>
    <w:rsid w:val="00863C9B"/>
    <w:rsid w:val="00863D9B"/>
    <w:rsid w:val="00864048"/>
    <w:rsid w:val="00865C7A"/>
    <w:rsid w:val="00867DE3"/>
    <w:rsid w:val="00872AEA"/>
    <w:rsid w:val="00873600"/>
    <w:rsid w:val="008760B6"/>
    <w:rsid w:val="00877104"/>
    <w:rsid w:val="0088103A"/>
    <w:rsid w:val="008827C0"/>
    <w:rsid w:val="0089033A"/>
    <w:rsid w:val="0089176C"/>
    <w:rsid w:val="00892B3A"/>
    <w:rsid w:val="00893CAD"/>
    <w:rsid w:val="00894340"/>
    <w:rsid w:val="008952ED"/>
    <w:rsid w:val="00896D82"/>
    <w:rsid w:val="0089786C"/>
    <w:rsid w:val="00897D32"/>
    <w:rsid w:val="008A0303"/>
    <w:rsid w:val="008A17DC"/>
    <w:rsid w:val="008A4B34"/>
    <w:rsid w:val="008A6389"/>
    <w:rsid w:val="008A6FC9"/>
    <w:rsid w:val="008A74DF"/>
    <w:rsid w:val="008B15B9"/>
    <w:rsid w:val="008B283F"/>
    <w:rsid w:val="008B36C9"/>
    <w:rsid w:val="008B381D"/>
    <w:rsid w:val="008B405C"/>
    <w:rsid w:val="008B789F"/>
    <w:rsid w:val="008C10E0"/>
    <w:rsid w:val="008C1C87"/>
    <w:rsid w:val="008C3A4D"/>
    <w:rsid w:val="008C3D5E"/>
    <w:rsid w:val="008C4199"/>
    <w:rsid w:val="008C52DF"/>
    <w:rsid w:val="008D1698"/>
    <w:rsid w:val="008D1DA2"/>
    <w:rsid w:val="008D4DFD"/>
    <w:rsid w:val="008D7234"/>
    <w:rsid w:val="008E7772"/>
    <w:rsid w:val="008E7C7A"/>
    <w:rsid w:val="008F0191"/>
    <w:rsid w:val="008F13AD"/>
    <w:rsid w:val="008F21BA"/>
    <w:rsid w:val="008F3C57"/>
    <w:rsid w:val="008F5729"/>
    <w:rsid w:val="008F5EC6"/>
    <w:rsid w:val="008F744F"/>
    <w:rsid w:val="00902512"/>
    <w:rsid w:val="00902F1C"/>
    <w:rsid w:val="00905061"/>
    <w:rsid w:val="009060C1"/>
    <w:rsid w:val="009064CE"/>
    <w:rsid w:val="00906843"/>
    <w:rsid w:val="0090729F"/>
    <w:rsid w:val="00907714"/>
    <w:rsid w:val="009124D3"/>
    <w:rsid w:val="00912C15"/>
    <w:rsid w:val="00912E6D"/>
    <w:rsid w:val="00914F65"/>
    <w:rsid w:val="00915734"/>
    <w:rsid w:val="00915E9E"/>
    <w:rsid w:val="00917884"/>
    <w:rsid w:val="0092142C"/>
    <w:rsid w:val="009238B3"/>
    <w:rsid w:val="00924431"/>
    <w:rsid w:val="00925156"/>
    <w:rsid w:val="009264D2"/>
    <w:rsid w:val="00926ACD"/>
    <w:rsid w:val="009275B5"/>
    <w:rsid w:val="00927614"/>
    <w:rsid w:val="00931F41"/>
    <w:rsid w:val="009335B4"/>
    <w:rsid w:val="00935109"/>
    <w:rsid w:val="009356DB"/>
    <w:rsid w:val="0093753C"/>
    <w:rsid w:val="00941A27"/>
    <w:rsid w:val="00944F5E"/>
    <w:rsid w:val="00947420"/>
    <w:rsid w:val="00947C4A"/>
    <w:rsid w:val="00947E4A"/>
    <w:rsid w:val="009502B8"/>
    <w:rsid w:val="00950DFE"/>
    <w:rsid w:val="009567B1"/>
    <w:rsid w:val="00956A57"/>
    <w:rsid w:val="00961718"/>
    <w:rsid w:val="0096307D"/>
    <w:rsid w:val="0096451F"/>
    <w:rsid w:val="009677AA"/>
    <w:rsid w:val="00967C97"/>
    <w:rsid w:val="00973443"/>
    <w:rsid w:val="00973943"/>
    <w:rsid w:val="00974A3B"/>
    <w:rsid w:val="00975811"/>
    <w:rsid w:val="00975B97"/>
    <w:rsid w:val="009760D3"/>
    <w:rsid w:val="009831A6"/>
    <w:rsid w:val="009834F2"/>
    <w:rsid w:val="009864E6"/>
    <w:rsid w:val="0098691E"/>
    <w:rsid w:val="00987F60"/>
    <w:rsid w:val="009912EE"/>
    <w:rsid w:val="00991B64"/>
    <w:rsid w:val="00994291"/>
    <w:rsid w:val="00995780"/>
    <w:rsid w:val="009A071C"/>
    <w:rsid w:val="009A071E"/>
    <w:rsid w:val="009A1602"/>
    <w:rsid w:val="009A1879"/>
    <w:rsid w:val="009A300F"/>
    <w:rsid w:val="009A67DA"/>
    <w:rsid w:val="009A6B74"/>
    <w:rsid w:val="009B0139"/>
    <w:rsid w:val="009B0294"/>
    <w:rsid w:val="009B14C0"/>
    <w:rsid w:val="009B1786"/>
    <w:rsid w:val="009B206C"/>
    <w:rsid w:val="009B327E"/>
    <w:rsid w:val="009B57D0"/>
    <w:rsid w:val="009B6142"/>
    <w:rsid w:val="009B7AE7"/>
    <w:rsid w:val="009C0AA3"/>
    <w:rsid w:val="009C0AE7"/>
    <w:rsid w:val="009C0D45"/>
    <w:rsid w:val="009C145F"/>
    <w:rsid w:val="009C51A7"/>
    <w:rsid w:val="009C52BF"/>
    <w:rsid w:val="009D08C2"/>
    <w:rsid w:val="009D0A54"/>
    <w:rsid w:val="009D0B90"/>
    <w:rsid w:val="009D3305"/>
    <w:rsid w:val="009D47F3"/>
    <w:rsid w:val="009E2210"/>
    <w:rsid w:val="009E22E9"/>
    <w:rsid w:val="009E2DC6"/>
    <w:rsid w:val="009E3E82"/>
    <w:rsid w:val="009E417C"/>
    <w:rsid w:val="009E5AED"/>
    <w:rsid w:val="009E5D1F"/>
    <w:rsid w:val="009E601F"/>
    <w:rsid w:val="009E618B"/>
    <w:rsid w:val="009E6944"/>
    <w:rsid w:val="009E78C5"/>
    <w:rsid w:val="009F0D5C"/>
    <w:rsid w:val="009F112A"/>
    <w:rsid w:val="009F1E57"/>
    <w:rsid w:val="009F3C05"/>
    <w:rsid w:val="009F41DE"/>
    <w:rsid w:val="009F52ED"/>
    <w:rsid w:val="009F6AA6"/>
    <w:rsid w:val="009F6D5F"/>
    <w:rsid w:val="00A0004C"/>
    <w:rsid w:val="00A005F7"/>
    <w:rsid w:val="00A00A6D"/>
    <w:rsid w:val="00A01C34"/>
    <w:rsid w:val="00A03EEA"/>
    <w:rsid w:val="00A04D0A"/>
    <w:rsid w:val="00A05F19"/>
    <w:rsid w:val="00A067FA"/>
    <w:rsid w:val="00A0778C"/>
    <w:rsid w:val="00A07A10"/>
    <w:rsid w:val="00A103C0"/>
    <w:rsid w:val="00A106A5"/>
    <w:rsid w:val="00A12B67"/>
    <w:rsid w:val="00A15727"/>
    <w:rsid w:val="00A15DBE"/>
    <w:rsid w:val="00A16B14"/>
    <w:rsid w:val="00A20E4C"/>
    <w:rsid w:val="00A21D7D"/>
    <w:rsid w:val="00A241D9"/>
    <w:rsid w:val="00A2430E"/>
    <w:rsid w:val="00A24BC1"/>
    <w:rsid w:val="00A3184A"/>
    <w:rsid w:val="00A31FAC"/>
    <w:rsid w:val="00A33358"/>
    <w:rsid w:val="00A3347E"/>
    <w:rsid w:val="00A34A54"/>
    <w:rsid w:val="00A34D67"/>
    <w:rsid w:val="00A36C3A"/>
    <w:rsid w:val="00A40F8A"/>
    <w:rsid w:val="00A42CAA"/>
    <w:rsid w:val="00A43D8B"/>
    <w:rsid w:val="00A45768"/>
    <w:rsid w:val="00A472EA"/>
    <w:rsid w:val="00A50009"/>
    <w:rsid w:val="00A507E4"/>
    <w:rsid w:val="00A55B6E"/>
    <w:rsid w:val="00A578D8"/>
    <w:rsid w:val="00A60FA9"/>
    <w:rsid w:val="00A63E43"/>
    <w:rsid w:val="00A66E0A"/>
    <w:rsid w:val="00A744E8"/>
    <w:rsid w:val="00A74B50"/>
    <w:rsid w:val="00A74EFA"/>
    <w:rsid w:val="00A800EB"/>
    <w:rsid w:val="00A80B90"/>
    <w:rsid w:val="00A81420"/>
    <w:rsid w:val="00A81D1E"/>
    <w:rsid w:val="00A826AC"/>
    <w:rsid w:val="00A83E46"/>
    <w:rsid w:val="00A84096"/>
    <w:rsid w:val="00A845B0"/>
    <w:rsid w:val="00A86466"/>
    <w:rsid w:val="00A86604"/>
    <w:rsid w:val="00A870A8"/>
    <w:rsid w:val="00A901C1"/>
    <w:rsid w:val="00A9209A"/>
    <w:rsid w:val="00A94263"/>
    <w:rsid w:val="00A97475"/>
    <w:rsid w:val="00A974B5"/>
    <w:rsid w:val="00AA1EBB"/>
    <w:rsid w:val="00AA4855"/>
    <w:rsid w:val="00AA5306"/>
    <w:rsid w:val="00AA57BD"/>
    <w:rsid w:val="00AA64C7"/>
    <w:rsid w:val="00AB02EE"/>
    <w:rsid w:val="00AB06ED"/>
    <w:rsid w:val="00AB16F4"/>
    <w:rsid w:val="00AB75C3"/>
    <w:rsid w:val="00AC2263"/>
    <w:rsid w:val="00AC3559"/>
    <w:rsid w:val="00AC446A"/>
    <w:rsid w:val="00AC4AE7"/>
    <w:rsid w:val="00AC5D39"/>
    <w:rsid w:val="00AC6876"/>
    <w:rsid w:val="00AC703B"/>
    <w:rsid w:val="00AC73C2"/>
    <w:rsid w:val="00AC73C3"/>
    <w:rsid w:val="00AC7431"/>
    <w:rsid w:val="00AD0719"/>
    <w:rsid w:val="00AD078C"/>
    <w:rsid w:val="00AD0E50"/>
    <w:rsid w:val="00AD148D"/>
    <w:rsid w:val="00AD16F6"/>
    <w:rsid w:val="00AD1E0E"/>
    <w:rsid w:val="00AD281A"/>
    <w:rsid w:val="00AD2971"/>
    <w:rsid w:val="00AD4E0F"/>
    <w:rsid w:val="00AD7A69"/>
    <w:rsid w:val="00AE3FBF"/>
    <w:rsid w:val="00AE7174"/>
    <w:rsid w:val="00AE738D"/>
    <w:rsid w:val="00AF579C"/>
    <w:rsid w:val="00AF68C6"/>
    <w:rsid w:val="00B00000"/>
    <w:rsid w:val="00B01C0B"/>
    <w:rsid w:val="00B03950"/>
    <w:rsid w:val="00B0537F"/>
    <w:rsid w:val="00B058FE"/>
    <w:rsid w:val="00B07961"/>
    <w:rsid w:val="00B10319"/>
    <w:rsid w:val="00B10E6A"/>
    <w:rsid w:val="00B11A87"/>
    <w:rsid w:val="00B12194"/>
    <w:rsid w:val="00B13C62"/>
    <w:rsid w:val="00B13EEA"/>
    <w:rsid w:val="00B13FBA"/>
    <w:rsid w:val="00B140CA"/>
    <w:rsid w:val="00B15EAC"/>
    <w:rsid w:val="00B16A3A"/>
    <w:rsid w:val="00B17273"/>
    <w:rsid w:val="00B22029"/>
    <w:rsid w:val="00B26EF5"/>
    <w:rsid w:val="00B270FA"/>
    <w:rsid w:val="00B27BD1"/>
    <w:rsid w:val="00B30C4D"/>
    <w:rsid w:val="00B327F1"/>
    <w:rsid w:val="00B33D00"/>
    <w:rsid w:val="00B411DD"/>
    <w:rsid w:val="00B454CF"/>
    <w:rsid w:val="00B4650E"/>
    <w:rsid w:val="00B4717E"/>
    <w:rsid w:val="00B47807"/>
    <w:rsid w:val="00B52921"/>
    <w:rsid w:val="00B5425C"/>
    <w:rsid w:val="00B54AF7"/>
    <w:rsid w:val="00B5530F"/>
    <w:rsid w:val="00B556F2"/>
    <w:rsid w:val="00B67C38"/>
    <w:rsid w:val="00B70A2A"/>
    <w:rsid w:val="00B70E90"/>
    <w:rsid w:val="00B71101"/>
    <w:rsid w:val="00B74B8F"/>
    <w:rsid w:val="00B7694F"/>
    <w:rsid w:val="00B76DD2"/>
    <w:rsid w:val="00B774EA"/>
    <w:rsid w:val="00B82F05"/>
    <w:rsid w:val="00B9012D"/>
    <w:rsid w:val="00B90554"/>
    <w:rsid w:val="00B9067B"/>
    <w:rsid w:val="00B9117D"/>
    <w:rsid w:val="00B916DD"/>
    <w:rsid w:val="00B93458"/>
    <w:rsid w:val="00B934CF"/>
    <w:rsid w:val="00B947D7"/>
    <w:rsid w:val="00B977A7"/>
    <w:rsid w:val="00B979E6"/>
    <w:rsid w:val="00BA16A1"/>
    <w:rsid w:val="00BA16FC"/>
    <w:rsid w:val="00BA28AA"/>
    <w:rsid w:val="00BA39BE"/>
    <w:rsid w:val="00BA68A9"/>
    <w:rsid w:val="00BA7F06"/>
    <w:rsid w:val="00BB0157"/>
    <w:rsid w:val="00BB19CD"/>
    <w:rsid w:val="00BB2EDF"/>
    <w:rsid w:val="00BB358C"/>
    <w:rsid w:val="00BB3D74"/>
    <w:rsid w:val="00BB55CC"/>
    <w:rsid w:val="00BB589D"/>
    <w:rsid w:val="00BB5AD2"/>
    <w:rsid w:val="00BB5EB6"/>
    <w:rsid w:val="00BB6129"/>
    <w:rsid w:val="00BC1571"/>
    <w:rsid w:val="00BC1892"/>
    <w:rsid w:val="00BC1A32"/>
    <w:rsid w:val="00BC39EF"/>
    <w:rsid w:val="00BC41F1"/>
    <w:rsid w:val="00BC6999"/>
    <w:rsid w:val="00BC7A54"/>
    <w:rsid w:val="00BD5BFA"/>
    <w:rsid w:val="00BD7DFE"/>
    <w:rsid w:val="00BE19D4"/>
    <w:rsid w:val="00BE1C4C"/>
    <w:rsid w:val="00BE5321"/>
    <w:rsid w:val="00BF11C1"/>
    <w:rsid w:val="00BF2F09"/>
    <w:rsid w:val="00BF32F6"/>
    <w:rsid w:val="00BF5C98"/>
    <w:rsid w:val="00BF60FD"/>
    <w:rsid w:val="00BF676C"/>
    <w:rsid w:val="00BF7EF6"/>
    <w:rsid w:val="00C0566F"/>
    <w:rsid w:val="00C056DB"/>
    <w:rsid w:val="00C05B17"/>
    <w:rsid w:val="00C05F98"/>
    <w:rsid w:val="00C06644"/>
    <w:rsid w:val="00C12B43"/>
    <w:rsid w:val="00C14C9D"/>
    <w:rsid w:val="00C15F7B"/>
    <w:rsid w:val="00C15FF7"/>
    <w:rsid w:val="00C16929"/>
    <w:rsid w:val="00C16D7F"/>
    <w:rsid w:val="00C16EC2"/>
    <w:rsid w:val="00C20B84"/>
    <w:rsid w:val="00C21817"/>
    <w:rsid w:val="00C22F0A"/>
    <w:rsid w:val="00C23EA8"/>
    <w:rsid w:val="00C2527D"/>
    <w:rsid w:val="00C274EF"/>
    <w:rsid w:val="00C27DF8"/>
    <w:rsid w:val="00C32EA7"/>
    <w:rsid w:val="00C343BE"/>
    <w:rsid w:val="00C34651"/>
    <w:rsid w:val="00C41439"/>
    <w:rsid w:val="00C41976"/>
    <w:rsid w:val="00C4229D"/>
    <w:rsid w:val="00C43566"/>
    <w:rsid w:val="00C4797A"/>
    <w:rsid w:val="00C47B18"/>
    <w:rsid w:val="00C500BB"/>
    <w:rsid w:val="00C500C7"/>
    <w:rsid w:val="00C522C6"/>
    <w:rsid w:val="00C52D2E"/>
    <w:rsid w:val="00C5639B"/>
    <w:rsid w:val="00C566FC"/>
    <w:rsid w:val="00C57CA7"/>
    <w:rsid w:val="00C605B9"/>
    <w:rsid w:val="00C62344"/>
    <w:rsid w:val="00C6314C"/>
    <w:rsid w:val="00C64BE0"/>
    <w:rsid w:val="00C65973"/>
    <w:rsid w:val="00C65995"/>
    <w:rsid w:val="00C673E0"/>
    <w:rsid w:val="00C676DB"/>
    <w:rsid w:val="00C67A04"/>
    <w:rsid w:val="00C7090E"/>
    <w:rsid w:val="00C70D41"/>
    <w:rsid w:val="00C71030"/>
    <w:rsid w:val="00C72515"/>
    <w:rsid w:val="00C7268A"/>
    <w:rsid w:val="00C72FCD"/>
    <w:rsid w:val="00C73219"/>
    <w:rsid w:val="00C74ACD"/>
    <w:rsid w:val="00C76274"/>
    <w:rsid w:val="00C81112"/>
    <w:rsid w:val="00C81F58"/>
    <w:rsid w:val="00C82F8C"/>
    <w:rsid w:val="00C90F33"/>
    <w:rsid w:val="00C9134E"/>
    <w:rsid w:val="00C917BA"/>
    <w:rsid w:val="00C96349"/>
    <w:rsid w:val="00CA3388"/>
    <w:rsid w:val="00CA71EA"/>
    <w:rsid w:val="00CA7B3F"/>
    <w:rsid w:val="00CB13BF"/>
    <w:rsid w:val="00CB222D"/>
    <w:rsid w:val="00CB7AF1"/>
    <w:rsid w:val="00CC1A1D"/>
    <w:rsid w:val="00CC27F6"/>
    <w:rsid w:val="00CC323C"/>
    <w:rsid w:val="00CC5118"/>
    <w:rsid w:val="00CC5548"/>
    <w:rsid w:val="00CD1CAE"/>
    <w:rsid w:val="00CD328A"/>
    <w:rsid w:val="00CD35AD"/>
    <w:rsid w:val="00CD3D3F"/>
    <w:rsid w:val="00CD637D"/>
    <w:rsid w:val="00CD7AF4"/>
    <w:rsid w:val="00CE0CEA"/>
    <w:rsid w:val="00CE1865"/>
    <w:rsid w:val="00CE32BA"/>
    <w:rsid w:val="00CE67AD"/>
    <w:rsid w:val="00CE704A"/>
    <w:rsid w:val="00CE7587"/>
    <w:rsid w:val="00CF0344"/>
    <w:rsid w:val="00CF0EDD"/>
    <w:rsid w:val="00CF2B7F"/>
    <w:rsid w:val="00CF408E"/>
    <w:rsid w:val="00CF44B2"/>
    <w:rsid w:val="00CF6D21"/>
    <w:rsid w:val="00CF7217"/>
    <w:rsid w:val="00CF7C9D"/>
    <w:rsid w:val="00D009FE"/>
    <w:rsid w:val="00D00C91"/>
    <w:rsid w:val="00D028F1"/>
    <w:rsid w:val="00D02C5D"/>
    <w:rsid w:val="00D03996"/>
    <w:rsid w:val="00D04066"/>
    <w:rsid w:val="00D0407E"/>
    <w:rsid w:val="00D04660"/>
    <w:rsid w:val="00D07E8F"/>
    <w:rsid w:val="00D1011D"/>
    <w:rsid w:val="00D124D6"/>
    <w:rsid w:val="00D125B5"/>
    <w:rsid w:val="00D136EA"/>
    <w:rsid w:val="00D15390"/>
    <w:rsid w:val="00D174BF"/>
    <w:rsid w:val="00D176A0"/>
    <w:rsid w:val="00D202E1"/>
    <w:rsid w:val="00D20E2E"/>
    <w:rsid w:val="00D22C71"/>
    <w:rsid w:val="00D23222"/>
    <w:rsid w:val="00D23480"/>
    <w:rsid w:val="00D2356D"/>
    <w:rsid w:val="00D264AE"/>
    <w:rsid w:val="00D26F07"/>
    <w:rsid w:val="00D27340"/>
    <w:rsid w:val="00D30E32"/>
    <w:rsid w:val="00D32E9A"/>
    <w:rsid w:val="00D32F43"/>
    <w:rsid w:val="00D353A4"/>
    <w:rsid w:val="00D3600D"/>
    <w:rsid w:val="00D37AD1"/>
    <w:rsid w:val="00D403E2"/>
    <w:rsid w:val="00D404F4"/>
    <w:rsid w:val="00D410C5"/>
    <w:rsid w:val="00D41C83"/>
    <w:rsid w:val="00D439DF"/>
    <w:rsid w:val="00D45F14"/>
    <w:rsid w:val="00D47FA4"/>
    <w:rsid w:val="00D52677"/>
    <w:rsid w:val="00D52DD1"/>
    <w:rsid w:val="00D53583"/>
    <w:rsid w:val="00D53684"/>
    <w:rsid w:val="00D54512"/>
    <w:rsid w:val="00D54942"/>
    <w:rsid w:val="00D54A3C"/>
    <w:rsid w:val="00D550BB"/>
    <w:rsid w:val="00D55C11"/>
    <w:rsid w:val="00D5764E"/>
    <w:rsid w:val="00D576EE"/>
    <w:rsid w:val="00D57C02"/>
    <w:rsid w:val="00D609F4"/>
    <w:rsid w:val="00D6198C"/>
    <w:rsid w:val="00D63387"/>
    <w:rsid w:val="00D64CED"/>
    <w:rsid w:val="00D64E24"/>
    <w:rsid w:val="00D64E3B"/>
    <w:rsid w:val="00D66846"/>
    <w:rsid w:val="00D67345"/>
    <w:rsid w:val="00D71604"/>
    <w:rsid w:val="00D731CA"/>
    <w:rsid w:val="00D7492C"/>
    <w:rsid w:val="00D80804"/>
    <w:rsid w:val="00D812E7"/>
    <w:rsid w:val="00D83BF6"/>
    <w:rsid w:val="00D85061"/>
    <w:rsid w:val="00D85452"/>
    <w:rsid w:val="00D859C0"/>
    <w:rsid w:val="00D8716A"/>
    <w:rsid w:val="00D87B18"/>
    <w:rsid w:val="00D9089D"/>
    <w:rsid w:val="00D93C9B"/>
    <w:rsid w:val="00D96786"/>
    <w:rsid w:val="00DA0FCB"/>
    <w:rsid w:val="00DA1C05"/>
    <w:rsid w:val="00DA255F"/>
    <w:rsid w:val="00DA58D7"/>
    <w:rsid w:val="00DB0196"/>
    <w:rsid w:val="00DB13F4"/>
    <w:rsid w:val="00DB170B"/>
    <w:rsid w:val="00DB19F4"/>
    <w:rsid w:val="00DB1F5E"/>
    <w:rsid w:val="00DB2797"/>
    <w:rsid w:val="00DB3792"/>
    <w:rsid w:val="00DB3F1D"/>
    <w:rsid w:val="00DC323B"/>
    <w:rsid w:val="00DC3F57"/>
    <w:rsid w:val="00DC466A"/>
    <w:rsid w:val="00DC5314"/>
    <w:rsid w:val="00DC71E6"/>
    <w:rsid w:val="00DC78B7"/>
    <w:rsid w:val="00DC7F77"/>
    <w:rsid w:val="00DD1F6A"/>
    <w:rsid w:val="00DD2420"/>
    <w:rsid w:val="00DD2C77"/>
    <w:rsid w:val="00DD40FB"/>
    <w:rsid w:val="00DD4623"/>
    <w:rsid w:val="00DD7D5E"/>
    <w:rsid w:val="00DE0F47"/>
    <w:rsid w:val="00DE2B83"/>
    <w:rsid w:val="00DE41B8"/>
    <w:rsid w:val="00DE45ED"/>
    <w:rsid w:val="00DE69A2"/>
    <w:rsid w:val="00DE7DF4"/>
    <w:rsid w:val="00DF1388"/>
    <w:rsid w:val="00DF6BE9"/>
    <w:rsid w:val="00DF7EB3"/>
    <w:rsid w:val="00E0085D"/>
    <w:rsid w:val="00E01B22"/>
    <w:rsid w:val="00E01E18"/>
    <w:rsid w:val="00E12138"/>
    <w:rsid w:val="00E129F5"/>
    <w:rsid w:val="00E1533D"/>
    <w:rsid w:val="00E15EF9"/>
    <w:rsid w:val="00E1609E"/>
    <w:rsid w:val="00E16A64"/>
    <w:rsid w:val="00E200EF"/>
    <w:rsid w:val="00E21742"/>
    <w:rsid w:val="00E23044"/>
    <w:rsid w:val="00E23C29"/>
    <w:rsid w:val="00E244C5"/>
    <w:rsid w:val="00E31DF8"/>
    <w:rsid w:val="00E32628"/>
    <w:rsid w:val="00E33CD0"/>
    <w:rsid w:val="00E348D0"/>
    <w:rsid w:val="00E3516C"/>
    <w:rsid w:val="00E408EB"/>
    <w:rsid w:val="00E417B8"/>
    <w:rsid w:val="00E43C8B"/>
    <w:rsid w:val="00E44127"/>
    <w:rsid w:val="00E45FD4"/>
    <w:rsid w:val="00E4604A"/>
    <w:rsid w:val="00E46FC6"/>
    <w:rsid w:val="00E51E18"/>
    <w:rsid w:val="00E532DB"/>
    <w:rsid w:val="00E54644"/>
    <w:rsid w:val="00E54EDB"/>
    <w:rsid w:val="00E557B2"/>
    <w:rsid w:val="00E55E46"/>
    <w:rsid w:val="00E56520"/>
    <w:rsid w:val="00E572D2"/>
    <w:rsid w:val="00E60373"/>
    <w:rsid w:val="00E61140"/>
    <w:rsid w:val="00E61AF1"/>
    <w:rsid w:val="00E63DBA"/>
    <w:rsid w:val="00E640BA"/>
    <w:rsid w:val="00E66E3D"/>
    <w:rsid w:val="00E66EE3"/>
    <w:rsid w:val="00E71DEE"/>
    <w:rsid w:val="00E71E37"/>
    <w:rsid w:val="00E72C21"/>
    <w:rsid w:val="00E73F65"/>
    <w:rsid w:val="00E74E63"/>
    <w:rsid w:val="00E752FF"/>
    <w:rsid w:val="00E755CF"/>
    <w:rsid w:val="00E758B0"/>
    <w:rsid w:val="00E91DA8"/>
    <w:rsid w:val="00E92011"/>
    <w:rsid w:val="00E9357A"/>
    <w:rsid w:val="00E9529A"/>
    <w:rsid w:val="00E95B5E"/>
    <w:rsid w:val="00E96A3F"/>
    <w:rsid w:val="00E96B65"/>
    <w:rsid w:val="00EA11BE"/>
    <w:rsid w:val="00EA2214"/>
    <w:rsid w:val="00EA222D"/>
    <w:rsid w:val="00EA5F3E"/>
    <w:rsid w:val="00EA68BC"/>
    <w:rsid w:val="00EB0D19"/>
    <w:rsid w:val="00EB12DC"/>
    <w:rsid w:val="00EB2A2A"/>
    <w:rsid w:val="00EB3E1B"/>
    <w:rsid w:val="00EB3EDB"/>
    <w:rsid w:val="00EB5E6E"/>
    <w:rsid w:val="00EB6046"/>
    <w:rsid w:val="00EB7306"/>
    <w:rsid w:val="00EB7E1E"/>
    <w:rsid w:val="00EC49CA"/>
    <w:rsid w:val="00EC6FB0"/>
    <w:rsid w:val="00EC754E"/>
    <w:rsid w:val="00EC7826"/>
    <w:rsid w:val="00EC7C11"/>
    <w:rsid w:val="00ED202A"/>
    <w:rsid w:val="00ED442A"/>
    <w:rsid w:val="00ED61A5"/>
    <w:rsid w:val="00ED6A6B"/>
    <w:rsid w:val="00ED72BE"/>
    <w:rsid w:val="00EE0958"/>
    <w:rsid w:val="00EE1337"/>
    <w:rsid w:val="00EE16C9"/>
    <w:rsid w:val="00EE3718"/>
    <w:rsid w:val="00EE4165"/>
    <w:rsid w:val="00EF1693"/>
    <w:rsid w:val="00EF16B7"/>
    <w:rsid w:val="00EF1D08"/>
    <w:rsid w:val="00EF2E9D"/>
    <w:rsid w:val="00EF5F87"/>
    <w:rsid w:val="00EF6C1F"/>
    <w:rsid w:val="00F02C11"/>
    <w:rsid w:val="00F056C9"/>
    <w:rsid w:val="00F06238"/>
    <w:rsid w:val="00F07D57"/>
    <w:rsid w:val="00F07E7C"/>
    <w:rsid w:val="00F1127D"/>
    <w:rsid w:val="00F13006"/>
    <w:rsid w:val="00F13231"/>
    <w:rsid w:val="00F1626C"/>
    <w:rsid w:val="00F179EC"/>
    <w:rsid w:val="00F22E89"/>
    <w:rsid w:val="00F23840"/>
    <w:rsid w:val="00F24459"/>
    <w:rsid w:val="00F25027"/>
    <w:rsid w:val="00F272D5"/>
    <w:rsid w:val="00F27B40"/>
    <w:rsid w:val="00F31E82"/>
    <w:rsid w:val="00F323CE"/>
    <w:rsid w:val="00F350CC"/>
    <w:rsid w:val="00F35963"/>
    <w:rsid w:val="00F367E0"/>
    <w:rsid w:val="00F36AC9"/>
    <w:rsid w:val="00F36DF1"/>
    <w:rsid w:val="00F375AB"/>
    <w:rsid w:val="00F37DC4"/>
    <w:rsid w:val="00F43361"/>
    <w:rsid w:val="00F44F9A"/>
    <w:rsid w:val="00F500C6"/>
    <w:rsid w:val="00F5069B"/>
    <w:rsid w:val="00F5086C"/>
    <w:rsid w:val="00F50FF9"/>
    <w:rsid w:val="00F51735"/>
    <w:rsid w:val="00F5222E"/>
    <w:rsid w:val="00F52EAC"/>
    <w:rsid w:val="00F54179"/>
    <w:rsid w:val="00F54F6C"/>
    <w:rsid w:val="00F55600"/>
    <w:rsid w:val="00F56712"/>
    <w:rsid w:val="00F5799A"/>
    <w:rsid w:val="00F57C11"/>
    <w:rsid w:val="00F62BBE"/>
    <w:rsid w:val="00F63B71"/>
    <w:rsid w:val="00F65764"/>
    <w:rsid w:val="00F66E31"/>
    <w:rsid w:val="00F66EDE"/>
    <w:rsid w:val="00F6751D"/>
    <w:rsid w:val="00F70075"/>
    <w:rsid w:val="00F71158"/>
    <w:rsid w:val="00F71C31"/>
    <w:rsid w:val="00F734FA"/>
    <w:rsid w:val="00F73E47"/>
    <w:rsid w:val="00F73FD0"/>
    <w:rsid w:val="00F747E8"/>
    <w:rsid w:val="00F76846"/>
    <w:rsid w:val="00F8210A"/>
    <w:rsid w:val="00F8261F"/>
    <w:rsid w:val="00F82918"/>
    <w:rsid w:val="00F82ADD"/>
    <w:rsid w:val="00F85287"/>
    <w:rsid w:val="00F85A9A"/>
    <w:rsid w:val="00F87436"/>
    <w:rsid w:val="00F90B06"/>
    <w:rsid w:val="00F9599D"/>
    <w:rsid w:val="00F9601D"/>
    <w:rsid w:val="00FA4774"/>
    <w:rsid w:val="00FA4F64"/>
    <w:rsid w:val="00FA77FB"/>
    <w:rsid w:val="00FB0C4C"/>
    <w:rsid w:val="00FB36F9"/>
    <w:rsid w:val="00FB39E2"/>
    <w:rsid w:val="00FB4880"/>
    <w:rsid w:val="00FB61E3"/>
    <w:rsid w:val="00FC10BD"/>
    <w:rsid w:val="00FC46D9"/>
    <w:rsid w:val="00FC4CF7"/>
    <w:rsid w:val="00FC4FE6"/>
    <w:rsid w:val="00FC6049"/>
    <w:rsid w:val="00FC742B"/>
    <w:rsid w:val="00FD0378"/>
    <w:rsid w:val="00FD16AD"/>
    <w:rsid w:val="00FD3117"/>
    <w:rsid w:val="00FD3EEB"/>
    <w:rsid w:val="00FD457F"/>
    <w:rsid w:val="00FD5D87"/>
    <w:rsid w:val="00FD634A"/>
    <w:rsid w:val="00FD6B81"/>
    <w:rsid w:val="00FD71AC"/>
    <w:rsid w:val="00FE05A9"/>
    <w:rsid w:val="00FE1E86"/>
    <w:rsid w:val="00FE21A3"/>
    <w:rsid w:val="00FE2A5A"/>
    <w:rsid w:val="00FE3852"/>
    <w:rsid w:val="00FE4E55"/>
    <w:rsid w:val="00FE5809"/>
    <w:rsid w:val="00FE5B58"/>
    <w:rsid w:val="00FF5DBE"/>
    <w:rsid w:val="00FF6CC2"/>
    <w:rsid w:val="00FF7549"/>
    <w:rsid w:val="00FF771F"/>
    <w:rsid w:val="01001B66"/>
    <w:rsid w:val="01041160"/>
    <w:rsid w:val="01447238"/>
    <w:rsid w:val="015D7E35"/>
    <w:rsid w:val="01784EFD"/>
    <w:rsid w:val="01975091"/>
    <w:rsid w:val="01A31374"/>
    <w:rsid w:val="01B87250"/>
    <w:rsid w:val="01D45DE5"/>
    <w:rsid w:val="023F1B72"/>
    <w:rsid w:val="02CF1F71"/>
    <w:rsid w:val="02D80EE5"/>
    <w:rsid w:val="0356048A"/>
    <w:rsid w:val="035B0714"/>
    <w:rsid w:val="03882EF1"/>
    <w:rsid w:val="03B77229"/>
    <w:rsid w:val="03E879F8"/>
    <w:rsid w:val="03EC294A"/>
    <w:rsid w:val="0428677F"/>
    <w:rsid w:val="04443895"/>
    <w:rsid w:val="04733292"/>
    <w:rsid w:val="049254AF"/>
    <w:rsid w:val="049914A5"/>
    <w:rsid w:val="049B1CDF"/>
    <w:rsid w:val="05207E5A"/>
    <w:rsid w:val="05BD3C00"/>
    <w:rsid w:val="06367759"/>
    <w:rsid w:val="063A35A7"/>
    <w:rsid w:val="069227DA"/>
    <w:rsid w:val="06B403CE"/>
    <w:rsid w:val="06DA321A"/>
    <w:rsid w:val="06EB7D5E"/>
    <w:rsid w:val="07A06B82"/>
    <w:rsid w:val="07AE4FCF"/>
    <w:rsid w:val="07C82CA9"/>
    <w:rsid w:val="07E36002"/>
    <w:rsid w:val="08015409"/>
    <w:rsid w:val="08BC1D62"/>
    <w:rsid w:val="08D35F9F"/>
    <w:rsid w:val="08EC0017"/>
    <w:rsid w:val="09095163"/>
    <w:rsid w:val="09324CF1"/>
    <w:rsid w:val="093315EE"/>
    <w:rsid w:val="09511A59"/>
    <w:rsid w:val="09AD4399"/>
    <w:rsid w:val="09AE43B9"/>
    <w:rsid w:val="09B44B1A"/>
    <w:rsid w:val="09D05E45"/>
    <w:rsid w:val="09F67383"/>
    <w:rsid w:val="0A154580"/>
    <w:rsid w:val="0A346A3C"/>
    <w:rsid w:val="0A430FAA"/>
    <w:rsid w:val="0A494240"/>
    <w:rsid w:val="0A5212BA"/>
    <w:rsid w:val="0A5A6B25"/>
    <w:rsid w:val="0A6304BD"/>
    <w:rsid w:val="0A821DCB"/>
    <w:rsid w:val="0ABD5FB6"/>
    <w:rsid w:val="0B2E5767"/>
    <w:rsid w:val="0B5502C1"/>
    <w:rsid w:val="0B69525C"/>
    <w:rsid w:val="0B826B29"/>
    <w:rsid w:val="0BD5565D"/>
    <w:rsid w:val="0BFD8027"/>
    <w:rsid w:val="0C1171D0"/>
    <w:rsid w:val="0C4B5D89"/>
    <w:rsid w:val="0C7460E1"/>
    <w:rsid w:val="0D3B71EC"/>
    <w:rsid w:val="0DD01AF7"/>
    <w:rsid w:val="0DEE1C35"/>
    <w:rsid w:val="0E611E22"/>
    <w:rsid w:val="0E647BBC"/>
    <w:rsid w:val="0EBE34FA"/>
    <w:rsid w:val="0EDD4C12"/>
    <w:rsid w:val="0EEE4D3B"/>
    <w:rsid w:val="0EFA91F9"/>
    <w:rsid w:val="0F0E0BE2"/>
    <w:rsid w:val="0F173042"/>
    <w:rsid w:val="0F3C5CE3"/>
    <w:rsid w:val="0F4946D0"/>
    <w:rsid w:val="0F4E6AE4"/>
    <w:rsid w:val="0F533CF7"/>
    <w:rsid w:val="0F643A51"/>
    <w:rsid w:val="0F7E5B93"/>
    <w:rsid w:val="0FA45FAB"/>
    <w:rsid w:val="0FB760B6"/>
    <w:rsid w:val="0FDFAC2D"/>
    <w:rsid w:val="0FFDFC22"/>
    <w:rsid w:val="10326988"/>
    <w:rsid w:val="103D4019"/>
    <w:rsid w:val="10BB280B"/>
    <w:rsid w:val="10EB4498"/>
    <w:rsid w:val="11036C31"/>
    <w:rsid w:val="11322C8D"/>
    <w:rsid w:val="1145025B"/>
    <w:rsid w:val="1177795E"/>
    <w:rsid w:val="117E74D6"/>
    <w:rsid w:val="11F46230"/>
    <w:rsid w:val="12064B24"/>
    <w:rsid w:val="122575F6"/>
    <w:rsid w:val="12416A92"/>
    <w:rsid w:val="12D47947"/>
    <w:rsid w:val="12EC3F26"/>
    <w:rsid w:val="12EC4046"/>
    <w:rsid w:val="1379419B"/>
    <w:rsid w:val="13DB4A82"/>
    <w:rsid w:val="143A4CD0"/>
    <w:rsid w:val="146E249E"/>
    <w:rsid w:val="14A94E42"/>
    <w:rsid w:val="1502339B"/>
    <w:rsid w:val="150563EA"/>
    <w:rsid w:val="15242DBE"/>
    <w:rsid w:val="15C5294C"/>
    <w:rsid w:val="15DE0A5E"/>
    <w:rsid w:val="16021DB1"/>
    <w:rsid w:val="163C7A54"/>
    <w:rsid w:val="16AE0F6C"/>
    <w:rsid w:val="16C02CF1"/>
    <w:rsid w:val="16CA0459"/>
    <w:rsid w:val="17611D1F"/>
    <w:rsid w:val="1765773A"/>
    <w:rsid w:val="17936635"/>
    <w:rsid w:val="17BBB983"/>
    <w:rsid w:val="17DDBDBA"/>
    <w:rsid w:val="17E17290"/>
    <w:rsid w:val="17FB3613"/>
    <w:rsid w:val="17FE5404"/>
    <w:rsid w:val="17FF2DD6"/>
    <w:rsid w:val="18501FF1"/>
    <w:rsid w:val="18FE4B5E"/>
    <w:rsid w:val="193B9F2C"/>
    <w:rsid w:val="19E04D09"/>
    <w:rsid w:val="1A1B619A"/>
    <w:rsid w:val="1A225E11"/>
    <w:rsid w:val="1A376B8F"/>
    <w:rsid w:val="1A765D41"/>
    <w:rsid w:val="1A845EF1"/>
    <w:rsid w:val="1B1C06E5"/>
    <w:rsid w:val="1B4871D4"/>
    <w:rsid w:val="1BEF80C0"/>
    <w:rsid w:val="1C0E76D8"/>
    <w:rsid w:val="1C453A04"/>
    <w:rsid w:val="1C6B7AC9"/>
    <w:rsid w:val="1C730814"/>
    <w:rsid w:val="1CCD534E"/>
    <w:rsid w:val="1CD903F4"/>
    <w:rsid w:val="1D3791BE"/>
    <w:rsid w:val="1D6402F7"/>
    <w:rsid w:val="1D7703EE"/>
    <w:rsid w:val="1D8E6EDF"/>
    <w:rsid w:val="1D9406DA"/>
    <w:rsid w:val="1DBE2064"/>
    <w:rsid w:val="1E6263E2"/>
    <w:rsid w:val="1EA64BD4"/>
    <w:rsid w:val="1EED658F"/>
    <w:rsid w:val="1EFA4A0C"/>
    <w:rsid w:val="1F42169A"/>
    <w:rsid w:val="1F556C30"/>
    <w:rsid w:val="1F6ECF70"/>
    <w:rsid w:val="1F89550D"/>
    <w:rsid w:val="1FEDD04E"/>
    <w:rsid w:val="1FF96050"/>
    <w:rsid w:val="1FFF96EC"/>
    <w:rsid w:val="20314430"/>
    <w:rsid w:val="208352F5"/>
    <w:rsid w:val="20A4759B"/>
    <w:rsid w:val="20D94EF4"/>
    <w:rsid w:val="20E1416F"/>
    <w:rsid w:val="20ED053C"/>
    <w:rsid w:val="21103D8A"/>
    <w:rsid w:val="21624DC4"/>
    <w:rsid w:val="217B175F"/>
    <w:rsid w:val="21A45DD9"/>
    <w:rsid w:val="21FC15D5"/>
    <w:rsid w:val="22265013"/>
    <w:rsid w:val="22562811"/>
    <w:rsid w:val="227E471B"/>
    <w:rsid w:val="23042C81"/>
    <w:rsid w:val="232E610D"/>
    <w:rsid w:val="23365B91"/>
    <w:rsid w:val="23426493"/>
    <w:rsid w:val="235E0116"/>
    <w:rsid w:val="23684976"/>
    <w:rsid w:val="23830CA8"/>
    <w:rsid w:val="23BA8177"/>
    <w:rsid w:val="23C52A79"/>
    <w:rsid w:val="23CC7B6B"/>
    <w:rsid w:val="23DD32CE"/>
    <w:rsid w:val="23FF3955"/>
    <w:rsid w:val="24033FD4"/>
    <w:rsid w:val="2448484E"/>
    <w:rsid w:val="24747E1D"/>
    <w:rsid w:val="24BA06E4"/>
    <w:rsid w:val="25A30350"/>
    <w:rsid w:val="25DC4371"/>
    <w:rsid w:val="26306CDC"/>
    <w:rsid w:val="267140C1"/>
    <w:rsid w:val="26DE0FD1"/>
    <w:rsid w:val="270D72F9"/>
    <w:rsid w:val="27133AE9"/>
    <w:rsid w:val="276E106B"/>
    <w:rsid w:val="27AFB26B"/>
    <w:rsid w:val="27BA3920"/>
    <w:rsid w:val="27CB631D"/>
    <w:rsid w:val="281409F8"/>
    <w:rsid w:val="283C78EF"/>
    <w:rsid w:val="28934A0F"/>
    <w:rsid w:val="28C1279A"/>
    <w:rsid w:val="28FE54D8"/>
    <w:rsid w:val="292C4105"/>
    <w:rsid w:val="294778E4"/>
    <w:rsid w:val="29590BFD"/>
    <w:rsid w:val="29A70895"/>
    <w:rsid w:val="29EC66D5"/>
    <w:rsid w:val="2A891C0B"/>
    <w:rsid w:val="2AD7192A"/>
    <w:rsid w:val="2AED656E"/>
    <w:rsid w:val="2BC556BE"/>
    <w:rsid w:val="2BE57C91"/>
    <w:rsid w:val="2BF7B883"/>
    <w:rsid w:val="2BFFAD70"/>
    <w:rsid w:val="2C3F36A7"/>
    <w:rsid w:val="2C3F737B"/>
    <w:rsid w:val="2C4326B1"/>
    <w:rsid w:val="2C794671"/>
    <w:rsid w:val="2C840FE5"/>
    <w:rsid w:val="2CA71E9D"/>
    <w:rsid w:val="2CAC6259"/>
    <w:rsid w:val="2CB80691"/>
    <w:rsid w:val="2CC578B3"/>
    <w:rsid w:val="2D7012D4"/>
    <w:rsid w:val="2D95202C"/>
    <w:rsid w:val="2DEB086B"/>
    <w:rsid w:val="2DF70770"/>
    <w:rsid w:val="2E2B797A"/>
    <w:rsid w:val="2E6A7D67"/>
    <w:rsid w:val="2E983D04"/>
    <w:rsid w:val="2EA06414"/>
    <w:rsid w:val="2F171BA7"/>
    <w:rsid w:val="2F1FA225"/>
    <w:rsid w:val="2F563C39"/>
    <w:rsid w:val="2F59BD0A"/>
    <w:rsid w:val="2F644FB3"/>
    <w:rsid w:val="2F67740D"/>
    <w:rsid w:val="2F78BEE6"/>
    <w:rsid w:val="2FB72788"/>
    <w:rsid w:val="2FD74D7C"/>
    <w:rsid w:val="2FE44E7E"/>
    <w:rsid w:val="2FEF245D"/>
    <w:rsid w:val="30336925"/>
    <w:rsid w:val="30647573"/>
    <w:rsid w:val="30852B1F"/>
    <w:rsid w:val="30D354B8"/>
    <w:rsid w:val="30D53333"/>
    <w:rsid w:val="30E57BC8"/>
    <w:rsid w:val="314FF567"/>
    <w:rsid w:val="3153555D"/>
    <w:rsid w:val="31565DF9"/>
    <w:rsid w:val="316455F4"/>
    <w:rsid w:val="316A70C3"/>
    <w:rsid w:val="319F606B"/>
    <w:rsid w:val="31DD4418"/>
    <w:rsid w:val="321E7E7E"/>
    <w:rsid w:val="323A4C76"/>
    <w:rsid w:val="32812E6C"/>
    <w:rsid w:val="332F7196"/>
    <w:rsid w:val="333256E9"/>
    <w:rsid w:val="334261D3"/>
    <w:rsid w:val="3358370B"/>
    <w:rsid w:val="336FBCC3"/>
    <w:rsid w:val="338F5BCC"/>
    <w:rsid w:val="339662A8"/>
    <w:rsid w:val="33F3BF84"/>
    <w:rsid w:val="33FE248F"/>
    <w:rsid w:val="345A0AEB"/>
    <w:rsid w:val="34650A83"/>
    <w:rsid w:val="349E2623"/>
    <w:rsid w:val="34A5249B"/>
    <w:rsid w:val="352213F3"/>
    <w:rsid w:val="35740C40"/>
    <w:rsid w:val="358D72C2"/>
    <w:rsid w:val="35977568"/>
    <w:rsid w:val="35D554FF"/>
    <w:rsid w:val="35EB765A"/>
    <w:rsid w:val="35EF4F71"/>
    <w:rsid w:val="366977CF"/>
    <w:rsid w:val="366C76A3"/>
    <w:rsid w:val="36A173C8"/>
    <w:rsid w:val="36A864C7"/>
    <w:rsid w:val="36CB7E45"/>
    <w:rsid w:val="36FC11D9"/>
    <w:rsid w:val="37167E9A"/>
    <w:rsid w:val="375940DD"/>
    <w:rsid w:val="37635D00"/>
    <w:rsid w:val="37794AAB"/>
    <w:rsid w:val="37A556E9"/>
    <w:rsid w:val="37B48A00"/>
    <w:rsid w:val="37B6623B"/>
    <w:rsid w:val="37EF9428"/>
    <w:rsid w:val="37F1437C"/>
    <w:rsid w:val="37F9411E"/>
    <w:rsid w:val="37FFFCC5"/>
    <w:rsid w:val="38213D20"/>
    <w:rsid w:val="38380408"/>
    <w:rsid w:val="38786F35"/>
    <w:rsid w:val="38CA6036"/>
    <w:rsid w:val="38F063C8"/>
    <w:rsid w:val="38FF3AA0"/>
    <w:rsid w:val="39313C40"/>
    <w:rsid w:val="39647A8A"/>
    <w:rsid w:val="39820A82"/>
    <w:rsid w:val="399025AE"/>
    <w:rsid w:val="39914023"/>
    <w:rsid w:val="399F68FC"/>
    <w:rsid w:val="39F63D0F"/>
    <w:rsid w:val="3A753214"/>
    <w:rsid w:val="3A98265A"/>
    <w:rsid w:val="3AF834CA"/>
    <w:rsid w:val="3B2D5F23"/>
    <w:rsid w:val="3B453FB4"/>
    <w:rsid w:val="3B965917"/>
    <w:rsid w:val="3BAA45F3"/>
    <w:rsid w:val="3BB17823"/>
    <w:rsid w:val="3BBDB174"/>
    <w:rsid w:val="3BCA036A"/>
    <w:rsid w:val="3BCC118B"/>
    <w:rsid w:val="3BDC7E95"/>
    <w:rsid w:val="3BF7EBFA"/>
    <w:rsid w:val="3BFDD331"/>
    <w:rsid w:val="3C095EC8"/>
    <w:rsid w:val="3C145BD7"/>
    <w:rsid w:val="3C1B50F3"/>
    <w:rsid w:val="3C5C06E3"/>
    <w:rsid w:val="3C8C4525"/>
    <w:rsid w:val="3CA57B7C"/>
    <w:rsid w:val="3CB50E85"/>
    <w:rsid w:val="3CE75F37"/>
    <w:rsid w:val="3CFE5B07"/>
    <w:rsid w:val="3D3F477C"/>
    <w:rsid w:val="3D59150C"/>
    <w:rsid w:val="3D6016BC"/>
    <w:rsid w:val="3D660AD7"/>
    <w:rsid w:val="3D6F3E55"/>
    <w:rsid w:val="3D77B4C8"/>
    <w:rsid w:val="3D7D43FC"/>
    <w:rsid w:val="3D7E47A3"/>
    <w:rsid w:val="3DA86637"/>
    <w:rsid w:val="3DF5A55A"/>
    <w:rsid w:val="3DFF5410"/>
    <w:rsid w:val="3E1743C4"/>
    <w:rsid w:val="3E257E28"/>
    <w:rsid w:val="3E3647EC"/>
    <w:rsid w:val="3E4332E0"/>
    <w:rsid w:val="3E444679"/>
    <w:rsid w:val="3E6E1BB9"/>
    <w:rsid w:val="3E7FDA8B"/>
    <w:rsid w:val="3EB071D4"/>
    <w:rsid w:val="3EBD5EF6"/>
    <w:rsid w:val="3EBEF0DE"/>
    <w:rsid w:val="3EFF94A3"/>
    <w:rsid w:val="3F230FEA"/>
    <w:rsid w:val="3F34573B"/>
    <w:rsid w:val="3F6BA194"/>
    <w:rsid w:val="3F6E79BF"/>
    <w:rsid w:val="3F937F99"/>
    <w:rsid w:val="3F960F9D"/>
    <w:rsid w:val="3F9F4E76"/>
    <w:rsid w:val="3F9F5F38"/>
    <w:rsid w:val="3FBC4C22"/>
    <w:rsid w:val="3FBEB0D5"/>
    <w:rsid w:val="3FBF3571"/>
    <w:rsid w:val="3FBFC52B"/>
    <w:rsid w:val="3FCCD04A"/>
    <w:rsid w:val="3FDD387D"/>
    <w:rsid w:val="3FE6DAD9"/>
    <w:rsid w:val="3FEF099A"/>
    <w:rsid w:val="3FEF5B84"/>
    <w:rsid w:val="3FF180C8"/>
    <w:rsid w:val="3FF2AF69"/>
    <w:rsid w:val="3FF300C6"/>
    <w:rsid w:val="3FF8B6FB"/>
    <w:rsid w:val="3FFB66F2"/>
    <w:rsid w:val="3FFD4071"/>
    <w:rsid w:val="3FFEA610"/>
    <w:rsid w:val="3FFEF127"/>
    <w:rsid w:val="40495CDF"/>
    <w:rsid w:val="409779D4"/>
    <w:rsid w:val="412070D7"/>
    <w:rsid w:val="414213F7"/>
    <w:rsid w:val="41B9640B"/>
    <w:rsid w:val="41F74C65"/>
    <w:rsid w:val="423D0D19"/>
    <w:rsid w:val="424023AF"/>
    <w:rsid w:val="425D23C7"/>
    <w:rsid w:val="42A80514"/>
    <w:rsid w:val="42C23AD9"/>
    <w:rsid w:val="42CE4B82"/>
    <w:rsid w:val="42E961EB"/>
    <w:rsid w:val="437C05AC"/>
    <w:rsid w:val="439E547C"/>
    <w:rsid w:val="43AE2EF3"/>
    <w:rsid w:val="43BF5851"/>
    <w:rsid w:val="440536AD"/>
    <w:rsid w:val="44460295"/>
    <w:rsid w:val="448501F9"/>
    <w:rsid w:val="44976233"/>
    <w:rsid w:val="44A7223D"/>
    <w:rsid w:val="44B70D6A"/>
    <w:rsid w:val="44C02694"/>
    <w:rsid w:val="44C74FBB"/>
    <w:rsid w:val="44FF02E3"/>
    <w:rsid w:val="45283AF9"/>
    <w:rsid w:val="45A32CAB"/>
    <w:rsid w:val="45FF482A"/>
    <w:rsid w:val="46214274"/>
    <w:rsid w:val="470641E7"/>
    <w:rsid w:val="47810EA6"/>
    <w:rsid w:val="479659B4"/>
    <w:rsid w:val="479E7DB1"/>
    <w:rsid w:val="47A374CD"/>
    <w:rsid w:val="47A76142"/>
    <w:rsid w:val="47BF49C2"/>
    <w:rsid w:val="47FC345F"/>
    <w:rsid w:val="486E3549"/>
    <w:rsid w:val="48B01352"/>
    <w:rsid w:val="48CC7A48"/>
    <w:rsid w:val="48D67AD9"/>
    <w:rsid w:val="48F6660A"/>
    <w:rsid w:val="48FF8B07"/>
    <w:rsid w:val="4912156D"/>
    <w:rsid w:val="492F484E"/>
    <w:rsid w:val="49E84D0B"/>
    <w:rsid w:val="49FDF7CE"/>
    <w:rsid w:val="4A4FEC48"/>
    <w:rsid w:val="4A813FDC"/>
    <w:rsid w:val="4A8F78AE"/>
    <w:rsid w:val="4A9174E4"/>
    <w:rsid w:val="4A961F3E"/>
    <w:rsid w:val="4ABDA0E3"/>
    <w:rsid w:val="4B223F08"/>
    <w:rsid w:val="4B596F2D"/>
    <w:rsid w:val="4B711675"/>
    <w:rsid w:val="4BA018A0"/>
    <w:rsid w:val="4BBF16C7"/>
    <w:rsid w:val="4BD96F39"/>
    <w:rsid w:val="4BEEB818"/>
    <w:rsid w:val="4BF7F76E"/>
    <w:rsid w:val="4C0E6FAB"/>
    <w:rsid w:val="4C3D6D8F"/>
    <w:rsid w:val="4C4C303E"/>
    <w:rsid w:val="4D026242"/>
    <w:rsid w:val="4D6166D6"/>
    <w:rsid w:val="4D7D0C04"/>
    <w:rsid w:val="4D970B9F"/>
    <w:rsid w:val="4D994A99"/>
    <w:rsid w:val="4DB3B32C"/>
    <w:rsid w:val="4DB70F70"/>
    <w:rsid w:val="4DC029F6"/>
    <w:rsid w:val="4DCF6286"/>
    <w:rsid w:val="4DE82CF0"/>
    <w:rsid w:val="4E6649F3"/>
    <w:rsid w:val="4E7B7271"/>
    <w:rsid w:val="4E8C4222"/>
    <w:rsid w:val="4EA732CB"/>
    <w:rsid w:val="4EF06604"/>
    <w:rsid w:val="4F0E3A00"/>
    <w:rsid w:val="4F73475B"/>
    <w:rsid w:val="4F746ED7"/>
    <w:rsid w:val="4F7F1C06"/>
    <w:rsid w:val="4F7FDA37"/>
    <w:rsid w:val="4F871A04"/>
    <w:rsid w:val="4F9F39DC"/>
    <w:rsid w:val="4FB445F8"/>
    <w:rsid w:val="4FBD16E0"/>
    <w:rsid w:val="4FC20F3C"/>
    <w:rsid w:val="4FE1326C"/>
    <w:rsid w:val="4FF1039E"/>
    <w:rsid w:val="4FFA0A0A"/>
    <w:rsid w:val="4FFF080C"/>
    <w:rsid w:val="507C27ED"/>
    <w:rsid w:val="50C36633"/>
    <w:rsid w:val="5110570A"/>
    <w:rsid w:val="51124215"/>
    <w:rsid w:val="515F9EF7"/>
    <w:rsid w:val="519B78A3"/>
    <w:rsid w:val="51EE6435"/>
    <w:rsid w:val="51F50F7F"/>
    <w:rsid w:val="5228743F"/>
    <w:rsid w:val="523E6809"/>
    <w:rsid w:val="52B56BB4"/>
    <w:rsid w:val="52BE3F31"/>
    <w:rsid w:val="52EA0C77"/>
    <w:rsid w:val="530652BD"/>
    <w:rsid w:val="53BB8FBD"/>
    <w:rsid w:val="53CE29C2"/>
    <w:rsid w:val="53EC0A15"/>
    <w:rsid w:val="54B3481F"/>
    <w:rsid w:val="54CC15EC"/>
    <w:rsid w:val="55463852"/>
    <w:rsid w:val="5566149A"/>
    <w:rsid w:val="55DC4D39"/>
    <w:rsid w:val="55F37397"/>
    <w:rsid w:val="562B5955"/>
    <w:rsid w:val="563C757D"/>
    <w:rsid w:val="56733C18"/>
    <w:rsid w:val="56BA00E7"/>
    <w:rsid w:val="56F68BC1"/>
    <w:rsid w:val="57172725"/>
    <w:rsid w:val="576C72FD"/>
    <w:rsid w:val="5786DFD9"/>
    <w:rsid w:val="57A63B5A"/>
    <w:rsid w:val="57B67DBA"/>
    <w:rsid w:val="57C27F27"/>
    <w:rsid w:val="57DFDAEF"/>
    <w:rsid w:val="57E6509B"/>
    <w:rsid w:val="57EE3B3B"/>
    <w:rsid w:val="58090F2B"/>
    <w:rsid w:val="581C5D17"/>
    <w:rsid w:val="58214584"/>
    <w:rsid w:val="583A1FD9"/>
    <w:rsid w:val="58494152"/>
    <w:rsid w:val="58EF14EC"/>
    <w:rsid w:val="59046073"/>
    <w:rsid w:val="590A16F4"/>
    <w:rsid w:val="591026E5"/>
    <w:rsid w:val="592928E7"/>
    <w:rsid w:val="59772BA1"/>
    <w:rsid w:val="599439E5"/>
    <w:rsid w:val="59E00B01"/>
    <w:rsid w:val="59EE51C6"/>
    <w:rsid w:val="59FF631C"/>
    <w:rsid w:val="5A860575"/>
    <w:rsid w:val="5AAD0254"/>
    <w:rsid w:val="5ABC0A1F"/>
    <w:rsid w:val="5AC26484"/>
    <w:rsid w:val="5AF96CFA"/>
    <w:rsid w:val="5B190E21"/>
    <w:rsid w:val="5B264534"/>
    <w:rsid w:val="5B370F17"/>
    <w:rsid w:val="5B566750"/>
    <w:rsid w:val="5B5BBD76"/>
    <w:rsid w:val="5B8B5273"/>
    <w:rsid w:val="5B9B1FCE"/>
    <w:rsid w:val="5B9D587A"/>
    <w:rsid w:val="5BA33E29"/>
    <w:rsid w:val="5BD76D55"/>
    <w:rsid w:val="5BFE2E76"/>
    <w:rsid w:val="5BFFC990"/>
    <w:rsid w:val="5C047963"/>
    <w:rsid w:val="5C092082"/>
    <w:rsid w:val="5C1A2683"/>
    <w:rsid w:val="5C2D06B3"/>
    <w:rsid w:val="5C3A3488"/>
    <w:rsid w:val="5C5C0D0E"/>
    <w:rsid w:val="5C8D3A53"/>
    <w:rsid w:val="5CBF6274"/>
    <w:rsid w:val="5CF1699B"/>
    <w:rsid w:val="5D097E19"/>
    <w:rsid w:val="5D235B2D"/>
    <w:rsid w:val="5D7DC00D"/>
    <w:rsid w:val="5DAE2E01"/>
    <w:rsid w:val="5DB86A11"/>
    <w:rsid w:val="5DD781F4"/>
    <w:rsid w:val="5DDB4EB1"/>
    <w:rsid w:val="5DDE3BC3"/>
    <w:rsid w:val="5DEEE053"/>
    <w:rsid w:val="5DF9C48B"/>
    <w:rsid w:val="5DFE18AA"/>
    <w:rsid w:val="5E3F191B"/>
    <w:rsid w:val="5E3F4161"/>
    <w:rsid w:val="5E4F700F"/>
    <w:rsid w:val="5E651D80"/>
    <w:rsid w:val="5E6A0E7B"/>
    <w:rsid w:val="5E9567CF"/>
    <w:rsid w:val="5EA246DD"/>
    <w:rsid w:val="5EEF20F6"/>
    <w:rsid w:val="5F2EBDD5"/>
    <w:rsid w:val="5F3FCCA8"/>
    <w:rsid w:val="5F706299"/>
    <w:rsid w:val="5F7361FC"/>
    <w:rsid w:val="5F774D89"/>
    <w:rsid w:val="5F7836B0"/>
    <w:rsid w:val="5F7D066F"/>
    <w:rsid w:val="5F7FE249"/>
    <w:rsid w:val="5F7FF33E"/>
    <w:rsid w:val="5F9D2FAA"/>
    <w:rsid w:val="5FAC2D98"/>
    <w:rsid w:val="5FB9411A"/>
    <w:rsid w:val="5FBF216C"/>
    <w:rsid w:val="5FBF4F05"/>
    <w:rsid w:val="5FD7650A"/>
    <w:rsid w:val="5FE23791"/>
    <w:rsid w:val="5FEF4BC9"/>
    <w:rsid w:val="5FEFFF00"/>
    <w:rsid w:val="5FF9D9D8"/>
    <w:rsid w:val="5FFC7C40"/>
    <w:rsid w:val="5FFD2917"/>
    <w:rsid w:val="5FFE0DC8"/>
    <w:rsid w:val="5FFF0E96"/>
    <w:rsid w:val="5FFF3657"/>
    <w:rsid w:val="5FFF5C27"/>
    <w:rsid w:val="6015299D"/>
    <w:rsid w:val="60436242"/>
    <w:rsid w:val="60502974"/>
    <w:rsid w:val="60791D1E"/>
    <w:rsid w:val="60C03BB6"/>
    <w:rsid w:val="61023384"/>
    <w:rsid w:val="610A2C3A"/>
    <w:rsid w:val="61255A7C"/>
    <w:rsid w:val="612F6ACC"/>
    <w:rsid w:val="614F6CD6"/>
    <w:rsid w:val="61A82A39"/>
    <w:rsid w:val="6215586C"/>
    <w:rsid w:val="62216FA3"/>
    <w:rsid w:val="62577FCC"/>
    <w:rsid w:val="626010D8"/>
    <w:rsid w:val="62695C4E"/>
    <w:rsid w:val="62785DE5"/>
    <w:rsid w:val="6297835F"/>
    <w:rsid w:val="629D5A73"/>
    <w:rsid w:val="62AD6227"/>
    <w:rsid w:val="62BB9345"/>
    <w:rsid w:val="62C17915"/>
    <w:rsid w:val="62CC4AD3"/>
    <w:rsid w:val="62D85A33"/>
    <w:rsid w:val="62EF9B37"/>
    <w:rsid w:val="633B08AF"/>
    <w:rsid w:val="635B321C"/>
    <w:rsid w:val="6388493C"/>
    <w:rsid w:val="639F667F"/>
    <w:rsid w:val="63B5885D"/>
    <w:rsid w:val="63CD8F6E"/>
    <w:rsid w:val="63F62A98"/>
    <w:rsid w:val="64022DBD"/>
    <w:rsid w:val="644A24DB"/>
    <w:rsid w:val="64A846E2"/>
    <w:rsid w:val="64BF1959"/>
    <w:rsid w:val="655402B1"/>
    <w:rsid w:val="657213FC"/>
    <w:rsid w:val="65B7B17C"/>
    <w:rsid w:val="65D446F1"/>
    <w:rsid w:val="65EF7ACC"/>
    <w:rsid w:val="65FF1648"/>
    <w:rsid w:val="663C26B1"/>
    <w:rsid w:val="665D0801"/>
    <w:rsid w:val="668037BA"/>
    <w:rsid w:val="66C867B6"/>
    <w:rsid w:val="66DF340F"/>
    <w:rsid w:val="66FFD346"/>
    <w:rsid w:val="670476DD"/>
    <w:rsid w:val="6731264A"/>
    <w:rsid w:val="67360856"/>
    <w:rsid w:val="674D1906"/>
    <w:rsid w:val="67504402"/>
    <w:rsid w:val="677D4231"/>
    <w:rsid w:val="679F4431"/>
    <w:rsid w:val="679FD3F5"/>
    <w:rsid w:val="67B6C8C2"/>
    <w:rsid w:val="67B7E5B4"/>
    <w:rsid w:val="67BD623C"/>
    <w:rsid w:val="67C64164"/>
    <w:rsid w:val="67C65A33"/>
    <w:rsid w:val="67D5B1E0"/>
    <w:rsid w:val="67DA9265"/>
    <w:rsid w:val="67DDDE57"/>
    <w:rsid w:val="67FF4AA1"/>
    <w:rsid w:val="68046600"/>
    <w:rsid w:val="68060D49"/>
    <w:rsid w:val="68250783"/>
    <w:rsid w:val="683251A6"/>
    <w:rsid w:val="685778CC"/>
    <w:rsid w:val="685A74FF"/>
    <w:rsid w:val="687B05B8"/>
    <w:rsid w:val="68DC70E2"/>
    <w:rsid w:val="69402B6C"/>
    <w:rsid w:val="69685632"/>
    <w:rsid w:val="69D91DE7"/>
    <w:rsid w:val="69EB321C"/>
    <w:rsid w:val="6A086DE1"/>
    <w:rsid w:val="6A6A5264"/>
    <w:rsid w:val="6A9F14FB"/>
    <w:rsid w:val="6ABD3F83"/>
    <w:rsid w:val="6AD40D37"/>
    <w:rsid w:val="6B1B6A36"/>
    <w:rsid w:val="6B2E6767"/>
    <w:rsid w:val="6B475804"/>
    <w:rsid w:val="6B702301"/>
    <w:rsid w:val="6BCE4FEF"/>
    <w:rsid w:val="6BD01861"/>
    <w:rsid w:val="6C3E03D9"/>
    <w:rsid w:val="6C773D39"/>
    <w:rsid w:val="6C7945CA"/>
    <w:rsid w:val="6C7F5824"/>
    <w:rsid w:val="6C8C40E7"/>
    <w:rsid w:val="6CA91A3B"/>
    <w:rsid w:val="6CD966B9"/>
    <w:rsid w:val="6D3A6807"/>
    <w:rsid w:val="6D3CB211"/>
    <w:rsid w:val="6D4408A8"/>
    <w:rsid w:val="6D4D3DB2"/>
    <w:rsid w:val="6D67EE83"/>
    <w:rsid w:val="6D700D60"/>
    <w:rsid w:val="6DAC0CFD"/>
    <w:rsid w:val="6DAF19E7"/>
    <w:rsid w:val="6DB426C2"/>
    <w:rsid w:val="6DE40D59"/>
    <w:rsid w:val="6DEAEA1F"/>
    <w:rsid w:val="6DEF9EAC"/>
    <w:rsid w:val="6DFD993B"/>
    <w:rsid w:val="6E0F86C8"/>
    <w:rsid w:val="6E1340F2"/>
    <w:rsid w:val="6E35B1B9"/>
    <w:rsid w:val="6E4F4757"/>
    <w:rsid w:val="6E8D74EC"/>
    <w:rsid w:val="6EFB09D8"/>
    <w:rsid w:val="6F0E27DF"/>
    <w:rsid w:val="6F28275A"/>
    <w:rsid w:val="6F3F37E1"/>
    <w:rsid w:val="6F57709E"/>
    <w:rsid w:val="6F5FA04B"/>
    <w:rsid w:val="6F788A14"/>
    <w:rsid w:val="6F7D61A4"/>
    <w:rsid w:val="6FB815AE"/>
    <w:rsid w:val="6FBEEC4B"/>
    <w:rsid w:val="6FBF159C"/>
    <w:rsid w:val="6FDC92FC"/>
    <w:rsid w:val="6FDF17DF"/>
    <w:rsid w:val="6FF30269"/>
    <w:rsid w:val="6FF75E96"/>
    <w:rsid w:val="6FFDC2A4"/>
    <w:rsid w:val="6FFDF813"/>
    <w:rsid w:val="703C5B81"/>
    <w:rsid w:val="705F96A6"/>
    <w:rsid w:val="706808FB"/>
    <w:rsid w:val="706F3B03"/>
    <w:rsid w:val="709F968F"/>
    <w:rsid w:val="70DE4D10"/>
    <w:rsid w:val="71368869"/>
    <w:rsid w:val="71536069"/>
    <w:rsid w:val="7165315E"/>
    <w:rsid w:val="71832BDC"/>
    <w:rsid w:val="71AF9CE6"/>
    <w:rsid w:val="71B7F495"/>
    <w:rsid w:val="71C757B5"/>
    <w:rsid w:val="71D026C6"/>
    <w:rsid w:val="71D849A0"/>
    <w:rsid w:val="72041140"/>
    <w:rsid w:val="72536388"/>
    <w:rsid w:val="726C094E"/>
    <w:rsid w:val="72750DC0"/>
    <w:rsid w:val="729420BD"/>
    <w:rsid w:val="72962F02"/>
    <w:rsid w:val="729DFD96"/>
    <w:rsid w:val="72CA03EF"/>
    <w:rsid w:val="72FF8B18"/>
    <w:rsid w:val="73033173"/>
    <w:rsid w:val="735E0E28"/>
    <w:rsid w:val="7360348B"/>
    <w:rsid w:val="737F457C"/>
    <w:rsid w:val="737FB674"/>
    <w:rsid w:val="73B54294"/>
    <w:rsid w:val="73B850EB"/>
    <w:rsid w:val="73DAB8E3"/>
    <w:rsid w:val="73DE44B5"/>
    <w:rsid w:val="73DF29B6"/>
    <w:rsid w:val="73FE0F7F"/>
    <w:rsid w:val="7415295F"/>
    <w:rsid w:val="7440019A"/>
    <w:rsid w:val="747D002B"/>
    <w:rsid w:val="74C105D1"/>
    <w:rsid w:val="74DC7DED"/>
    <w:rsid w:val="74F9FF00"/>
    <w:rsid w:val="75047469"/>
    <w:rsid w:val="75917FC6"/>
    <w:rsid w:val="759C7D21"/>
    <w:rsid w:val="75A300BA"/>
    <w:rsid w:val="75ADB799"/>
    <w:rsid w:val="75D731CB"/>
    <w:rsid w:val="75E85DFC"/>
    <w:rsid w:val="75EF3742"/>
    <w:rsid w:val="75FE7A88"/>
    <w:rsid w:val="76012AAB"/>
    <w:rsid w:val="76675EA0"/>
    <w:rsid w:val="769EFD60"/>
    <w:rsid w:val="76B45A29"/>
    <w:rsid w:val="76B521F7"/>
    <w:rsid w:val="76BF7506"/>
    <w:rsid w:val="76EB20EC"/>
    <w:rsid w:val="76F2005E"/>
    <w:rsid w:val="76F72D5E"/>
    <w:rsid w:val="76F77C2E"/>
    <w:rsid w:val="76FB4D8D"/>
    <w:rsid w:val="76FEE900"/>
    <w:rsid w:val="76FFA7A9"/>
    <w:rsid w:val="76FFEC7C"/>
    <w:rsid w:val="770A183A"/>
    <w:rsid w:val="770A56D8"/>
    <w:rsid w:val="773E13F9"/>
    <w:rsid w:val="775F0A3F"/>
    <w:rsid w:val="779F132C"/>
    <w:rsid w:val="77B959DA"/>
    <w:rsid w:val="77BD83BA"/>
    <w:rsid w:val="77BEC3FD"/>
    <w:rsid w:val="77C7E884"/>
    <w:rsid w:val="77DBFD69"/>
    <w:rsid w:val="77EBACB4"/>
    <w:rsid w:val="77ED39AC"/>
    <w:rsid w:val="77F5220F"/>
    <w:rsid w:val="780D606B"/>
    <w:rsid w:val="782E088A"/>
    <w:rsid w:val="783F739E"/>
    <w:rsid w:val="786F073B"/>
    <w:rsid w:val="78C0798C"/>
    <w:rsid w:val="78E69A97"/>
    <w:rsid w:val="7900052B"/>
    <w:rsid w:val="79065DBD"/>
    <w:rsid w:val="793A6FD4"/>
    <w:rsid w:val="7954ECC5"/>
    <w:rsid w:val="7969BF45"/>
    <w:rsid w:val="796B2B87"/>
    <w:rsid w:val="796C6B92"/>
    <w:rsid w:val="799892F5"/>
    <w:rsid w:val="79E050FC"/>
    <w:rsid w:val="79E44F47"/>
    <w:rsid w:val="7A4F5823"/>
    <w:rsid w:val="7A542B3B"/>
    <w:rsid w:val="7AFFCF20"/>
    <w:rsid w:val="7B391587"/>
    <w:rsid w:val="7B5D15F3"/>
    <w:rsid w:val="7B5E0C34"/>
    <w:rsid w:val="7B77B652"/>
    <w:rsid w:val="7B7A7F6C"/>
    <w:rsid w:val="7BA3477D"/>
    <w:rsid w:val="7BADDFF8"/>
    <w:rsid w:val="7BC7FC69"/>
    <w:rsid w:val="7BD525E2"/>
    <w:rsid w:val="7BD7B1F9"/>
    <w:rsid w:val="7BDE4A3D"/>
    <w:rsid w:val="7BE3E2B0"/>
    <w:rsid w:val="7BF76593"/>
    <w:rsid w:val="7BF7DD2C"/>
    <w:rsid w:val="7BFDE73D"/>
    <w:rsid w:val="7BFF91D2"/>
    <w:rsid w:val="7C065C83"/>
    <w:rsid w:val="7C7859F8"/>
    <w:rsid w:val="7C7F0958"/>
    <w:rsid w:val="7CA72A65"/>
    <w:rsid w:val="7CAC6720"/>
    <w:rsid w:val="7CACBBAF"/>
    <w:rsid w:val="7CAD90F1"/>
    <w:rsid w:val="7CDC68C5"/>
    <w:rsid w:val="7D3B0787"/>
    <w:rsid w:val="7D5EBB5F"/>
    <w:rsid w:val="7D6EBC0E"/>
    <w:rsid w:val="7D7BED1C"/>
    <w:rsid w:val="7DBD1441"/>
    <w:rsid w:val="7DBE61C6"/>
    <w:rsid w:val="7DBF1011"/>
    <w:rsid w:val="7DCB9FDA"/>
    <w:rsid w:val="7DCC8FB8"/>
    <w:rsid w:val="7DD51D5B"/>
    <w:rsid w:val="7DDA20B5"/>
    <w:rsid w:val="7DDEAA84"/>
    <w:rsid w:val="7DDF6DE0"/>
    <w:rsid w:val="7DE14150"/>
    <w:rsid w:val="7DE85C50"/>
    <w:rsid w:val="7DED09A7"/>
    <w:rsid w:val="7DEF5EEE"/>
    <w:rsid w:val="7DEF9845"/>
    <w:rsid w:val="7DEFCB1A"/>
    <w:rsid w:val="7DF82C4F"/>
    <w:rsid w:val="7DFD3295"/>
    <w:rsid w:val="7DFE67E6"/>
    <w:rsid w:val="7DFE9D01"/>
    <w:rsid w:val="7DFFE459"/>
    <w:rsid w:val="7E8F23B6"/>
    <w:rsid w:val="7E9C42FA"/>
    <w:rsid w:val="7EA7C1FD"/>
    <w:rsid w:val="7EB4907D"/>
    <w:rsid w:val="7EBAF573"/>
    <w:rsid w:val="7EBF2AF7"/>
    <w:rsid w:val="7ED77ECE"/>
    <w:rsid w:val="7ED96A11"/>
    <w:rsid w:val="7ED9A0B2"/>
    <w:rsid w:val="7EDF55A4"/>
    <w:rsid w:val="7EF900D5"/>
    <w:rsid w:val="7EFBB5F5"/>
    <w:rsid w:val="7EFBEB1C"/>
    <w:rsid w:val="7EFF5337"/>
    <w:rsid w:val="7F0E756C"/>
    <w:rsid w:val="7F17FEC8"/>
    <w:rsid w:val="7F5FC57E"/>
    <w:rsid w:val="7F672A6F"/>
    <w:rsid w:val="7F69B7EB"/>
    <w:rsid w:val="7F6BDDCC"/>
    <w:rsid w:val="7F7E58BB"/>
    <w:rsid w:val="7F8F2231"/>
    <w:rsid w:val="7F928283"/>
    <w:rsid w:val="7F937752"/>
    <w:rsid w:val="7F96A0F2"/>
    <w:rsid w:val="7F9CAB9B"/>
    <w:rsid w:val="7FA602D0"/>
    <w:rsid w:val="7FBCD0D4"/>
    <w:rsid w:val="7FBF1696"/>
    <w:rsid w:val="7FCA09DC"/>
    <w:rsid w:val="7FCBE521"/>
    <w:rsid w:val="7FDE9B54"/>
    <w:rsid w:val="7FDF8CDD"/>
    <w:rsid w:val="7FED5D3F"/>
    <w:rsid w:val="7FEDA02E"/>
    <w:rsid w:val="7FEDF99B"/>
    <w:rsid w:val="7FEE25CC"/>
    <w:rsid w:val="7FEE83DA"/>
    <w:rsid w:val="7FEFE898"/>
    <w:rsid w:val="7FFB4DA5"/>
    <w:rsid w:val="7FFB5ACD"/>
    <w:rsid w:val="7FFBEA51"/>
    <w:rsid w:val="7FFBF052"/>
    <w:rsid w:val="7FFD15DE"/>
    <w:rsid w:val="7FFE8B12"/>
    <w:rsid w:val="7FFF3DED"/>
    <w:rsid w:val="831F8B38"/>
    <w:rsid w:val="8B67A5B4"/>
    <w:rsid w:val="8F1FF65B"/>
    <w:rsid w:val="95FF752F"/>
    <w:rsid w:val="967D4F70"/>
    <w:rsid w:val="977FB05A"/>
    <w:rsid w:val="97FF6550"/>
    <w:rsid w:val="985C00D4"/>
    <w:rsid w:val="99DB9DAB"/>
    <w:rsid w:val="99FFE303"/>
    <w:rsid w:val="9CDEB13D"/>
    <w:rsid w:val="9D9FD60F"/>
    <w:rsid w:val="9DA71A55"/>
    <w:rsid w:val="9DBE9724"/>
    <w:rsid w:val="9DDF8DC1"/>
    <w:rsid w:val="9E599B46"/>
    <w:rsid w:val="9F48B472"/>
    <w:rsid w:val="9FF9FCCF"/>
    <w:rsid w:val="A3F7D46B"/>
    <w:rsid w:val="A5D3F104"/>
    <w:rsid w:val="ABDF55D7"/>
    <w:rsid w:val="ABFB08E6"/>
    <w:rsid w:val="AC6FB8C7"/>
    <w:rsid w:val="ADFD64CC"/>
    <w:rsid w:val="AF7A182A"/>
    <w:rsid w:val="AFEBFD25"/>
    <w:rsid w:val="AFF754A2"/>
    <w:rsid w:val="AFF97BEA"/>
    <w:rsid w:val="B1FEDC3F"/>
    <w:rsid w:val="B1FEE77C"/>
    <w:rsid w:val="B37F76D7"/>
    <w:rsid w:val="B3BDD769"/>
    <w:rsid w:val="B3CFD551"/>
    <w:rsid w:val="B4771E15"/>
    <w:rsid w:val="B47B10D5"/>
    <w:rsid w:val="B75CBBD9"/>
    <w:rsid w:val="B7B511DB"/>
    <w:rsid w:val="B7D79431"/>
    <w:rsid w:val="B7DE9AB3"/>
    <w:rsid w:val="B7F743AE"/>
    <w:rsid w:val="B9BA3A5E"/>
    <w:rsid w:val="B9FEF55A"/>
    <w:rsid w:val="BAFD603F"/>
    <w:rsid w:val="BB774A98"/>
    <w:rsid w:val="BBADC71C"/>
    <w:rsid w:val="BBBFE06E"/>
    <w:rsid w:val="BBCC906D"/>
    <w:rsid w:val="BBE8FC3A"/>
    <w:rsid w:val="BBF770EC"/>
    <w:rsid w:val="BBFB157A"/>
    <w:rsid w:val="BCFE869A"/>
    <w:rsid w:val="BD8D552B"/>
    <w:rsid w:val="BDBEE2CC"/>
    <w:rsid w:val="BDE640C2"/>
    <w:rsid w:val="BDEFCFD1"/>
    <w:rsid w:val="BE2F506F"/>
    <w:rsid w:val="BE4FC0BE"/>
    <w:rsid w:val="BEBBCB51"/>
    <w:rsid w:val="BEEA18E1"/>
    <w:rsid w:val="BF879B39"/>
    <w:rsid w:val="BFAD409C"/>
    <w:rsid w:val="BFAF2001"/>
    <w:rsid w:val="BFC51087"/>
    <w:rsid w:val="BFDDB784"/>
    <w:rsid w:val="BFEDFC6D"/>
    <w:rsid w:val="BFF37F34"/>
    <w:rsid w:val="BFFB800C"/>
    <w:rsid w:val="BFFDE72E"/>
    <w:rsid w:val="BFFFBE97"/>
    <w:rsid w:val="C1CD38DE"/>
    <w:rsid w:val="C1EF6FB4"/>
    <w:rsid w:val="C7F4BB1B"/>
    <w:rsid w:val="C8E7B5A3"/>
    <w:rsid w:val="C9FFA471"/>
    <w:rsid w:val="CB2D1D80"/>
    <w:rsid w:val="CB7E8614"/>
    <w:rsid w:val="CBEBB33A"/>
    <w:rsid w:val="CCEF3AC6"/>
    <w:rsid w:val="CF9C652D"/>
    <w:rsid w:val="CF9E33AC"/>
    <w:rsid w:val="CFD7E2A7"/>
    <w:rsid w:val="CFEEFC0C"/>
    <w:rsid w:val="CFEF6462"/>
    <w:rsid w:val="D34FA83A"/>
    <w:rsid w:val="D3C67639"/>
    <w:rsid w:val="D3DF70D1"/>
    <w:rsid w:val="D3F77F9B"/>
    <w:rsid w:val="D3FFEE96"/>
    <w:rsid w:val="D67E082A"/>
    <w:rsid w:val="D6BB6DC0"/>
    <w:rsid w:val="D6EF7461"/>
    <w:rsid w:val="D6EF9570"/>
    <w:rsid w:val="D6F6C3ED"/>
    <w:rsid w:val="D6F75266"/>
    <w:rsid w:val="D6FF969D"/>
    <w:rsid w:val="D77BCB7C"/>
    <w:rsid w:val="D77FFEA9"/>
    <w:rsid w:val="D7BD66D1"/>
    <w:rsid w:val="D7BF8D52"/>
    <w:rsid w:val="D7D6768B"/>
    <w:rsid w:val="D7DBD530"/>
    <w:rsid w:val="D7FE781C"/>
    <w:rsid w:val="D9C717F6"/>
    <w:rsid w:val="DAFBC544"/>
    <w:rsid w:val="DBE7DD58"/>
    <w:rsid w:val="DBF256F5"/>
    <w:rsid w:val="DBF38A1F"/>
    <w:rsid w:val="DBFBD0A6"/>
    <w:rsid w:val="DCB7A989"/>
    <w:rsid w:val="DD1A6FDE"/>
    <w:rsid w:val="DD7A391F"/>
    <w:rsid w:val="DD7F807C"/>
    <w:rsid w:val="DD9E75C3"/>
    <w:rsid w:val="DDBF0AC4"/>
    <w:rsid w:val="DDDE9ED6"/>
    <w:rsid w:val="DDDFCD40"/>
    <w:rsid w:val="DE7D83B2"/>
    <w:rsid w:val="DE7ED2C9"/>
    <w:rsid w:val="DEBF6DFA"/>
    <w:rsid w:val="DEC59993"/>
    <w:rsid w:val="DEEE08C5"/>
    <w:rsid w:val="DEEF607F"/>
    <w:rsid w:val="DEF743D7"/>
    <w:rsid w:val="DF7E358E"/>
    <w:rsid w:val="DF7FE369"/>
    <w:rsid w:val="DF7FFCE7"/>
    <w:rsid w:val="DF97A2CE"/>
    <w:rsid w:val="DFBB5F69"/>
    <w:rsid w:val="DFBE0B27"/>
    <w:rsid w:val="DFBF0B8F"/>
    <w:rsid w:val="DFCF0EE5"/>
    <w:rsid w:val="DFDF2ECE"/>
    <w:rsid w:val="DFFDA1AC"/>
    <w:rsid w:val="E2BE3DF2"/>
    <w:rsid w:val="E3574CB0"/>
    <w:rsid w:val="E3EDC71C"/>
    <w:rsid w:val="E5EF2AD4"/>
    <w:rsid w:val="E6372D6B"/>
    <w:rsid w:val="E67FF4C3"/>
    <w:rsid w:val="E76BCE38"/>
    <w:rsid w:val="E77B6A6D"/>
    <w:rsid w:val="E7EE12F3"/>
    <w:rsid w:val="E7FD7B70"/>
    <w:rsid w:val="E7FE0AA0"/>
    <w:rsid w:val="E7FE6D00"/>
    <w:rsid w:val="E7FEC0C0"/>
    <w:rsid w:val="E87AF180"/>
    <w:rsid w:val="E96B03C0"/>
    <w:rsid w:val="E9EF39C5"/>
    <w:rsid w:val="E9FA962C"/>
    <w:rsid w:val="E9FF9E1A"/>
    <w:rsid w:val="EA3EA4D5"/>
    <w:rsid w:val="EA87AD6D"/>
    <w:rsid w:val="EAF869D6"/>
    <w:rsid w:val="EB39F585"/>
    <w:rsid w:val="EB4E184F"/>
    <w:rsid w:val="EBB7577C"/>
    <w:rsid w:val="EBBF55F5"/>
    <w:rsid w:val="EBD6E351"/>
    <w:rsid w:val="EBFEBAE7"/>
    <w:rsid w:val="EBFF29DF"/>
    <w:rsid w:val="EBFFB874"/>
    <w:rsid w:val="ECBFEA4E"/>
    <w:rsid w:val="ECEB74FF"/>
    <w:rsid w:val="ED5C3214"/>
    <w:rsid w:val="ED9F1AEA"/>
    <w:rsid w:val="EDD7BF90"/>
    <w:rsid w:val="EDED48C0"/>
    <w:rsid w:val="EDEFFFD7"/>
    <w:rsid w:val="EDFB2E64"/>
    <w:rsid w:val="EE7B8180"/>
    <w:rsid w:val="EEF78A37"/>
    <w:rsid w:val="EEFF1BB3"/>
    <w:rsid w:val="EEFF9782"/>
    <w:rsid w:val="EF5DAE4B"/>
    <w:rsid w:val="EF67A8FA"/>
    <w:rsid w:val="EF7B949B"/>
    <w:rsid w:val="EF976485"/>
    <w:rsid w:val="EFBF0448"/>
    <w:rsid w:val="EFD8588D"/>
    <w:rsid w:val="EFDEE116"/>
    <w:rsid w:val="EFDFB3A6"/>
    <w:rsid w:val="EFEBECC6"/>
    <w:rsid w:val="EFF71B18"/>
    <w:rsid w:val="EFF7B87E"/>
    <w:rsid w:val="EFFD326F"/>
    <w:rsid w:val="EFFE6AEE"/>
    <w:rsid w:val="F2FF1956"/>
    <w:rsid w:val="F39D1904"/>
    <w:rsid w:val="F3FF537D"/>
    <w:rsid w:val="F3FF8AB7"/>
    <w:rsid w:val="F4B1AECA"/>
    <w:rsid w:val="F4EB315C"/>
    <w:rsid w:val="F5EBCBBB"/>
    <w:rsid w:val="F5FFDB42"/>
    <w:rsid w:val="F62FA423"/>
    <w:rsid w:val="F66659C5"/>
    <w:rsid w:val="F6673780"/>
    <w:rsid w:val="F6DC9746"/>
    <w:rsid w:val="F73AC153"/>
    <w:rsid w:val="F76EB409"/>
    <w:rsid w:val="F78F6447"/>
    <w:rsid w:val="F79F3517"/>
    <w:rsid w:val="F79F99F9"/>
    <w:rsid w:val="F7BECD99"/>
    <w:rsid w:val="F7C1366E"/>
    <w:rsid w:val="F7D9ADBD"/>
    <w:rsid w:val="F7DF248C"/>
    <w:rsid w:val="F7DF97F9"/>
    <w:rsid w:val="F7F18A7D"/>
    <w:rsid w:val="F7F296DF"/>
    <w:rsid w:val="F7FB4590"/>
    <w:rsid w:val="F7FEE4D9"/>
    <w:rsid w:val="F87D8851"/>
    <w:rsid w:val="F87E56C8"/>
    <w:rsid w:val="F95F929E"/>
    <w:rsid w:val="F98F90F8"/>
    <w:rsid w:val="F9BF1431"/>
    <w:rsid w:val="F9E9CF4D"/>
    <w:rsid w:val="F9EB197B"/>
    <w:rsid w:val="FAAEC077"/>
    <w:rsid w:val="FB566A00"/>
    <w:rsid w:val="FB5FD81F"/>
    <w:rsid w:val="FB7F5D80"/>
    <w:rsid w:val="FB9F9082"/>
    <w:rsid w:val="FBA2EB72"/>
    <w:rsid w:val="FBBB7F27"/>
    <w:rsid w:val="FBBC5228"/>
    <w:rsid w:val="FBBF7FE5"/>
    <w:rsid w:val="FBCF2519"/>
    <w:rsid w:val="FBCF2D65"/>
    <w:rsid w:val="FBDFF5E0"/>
    <w:rsid w:val="FBE27B34"/>
    <w:rsid w:val="FBEB8A1F"/>
    <w:rsid w:val="FBEF05A8"/>
    <w:rsid w:val="FBEF4E8E"/>
    <w:rsid w:val="FBFC2D57"/>
    <w:rsid w:val="FBFDEF6D"/>
    <w:rsid w:val="FBFFC7FD"/>
    <w:rsid w:val="FC6F79B2"/>
    <w:rsid w:val="FCC8FEB8"/>
    <w:rsid w:val="FCCECBB5"/>
    <w:rsid w:val="FCDFE90B"/>
    <w:rsid w:val="FCEF4AE0"/>
    <w:rsid w:val="FD27E78F"/>
    <w:rsid w:val="FD364AAE"/>
    <w:rsid w:val="FD3BA216"/>
    <w:rsid w:val="FD3DA136"/>
    <w:rsid w:val="FD3E60B0"/>
    <w:rsid w:val="FD5F0F1D"/>
    <w:rsid w:val="FD7F3610"/>
    <w:rsid w:val="FD9B958E"/>
    <w:rsid w:val="FDBBF48E"/>
    <w:rsid w:val="FDD42B95"/>
    <w:rsid w:val="FDDDE2EB"/>
    <w:rsid w:val="FDE15E91"/>
    <w:rsid w:val="FDEA3698"/>
    <w:rsid w:val="FDEEB726"/>
    <w:rsid w:val="FDFF13F3"/>
    <w:rsid w:val="FE39C1DD"/>
    <w:rsid w:val="FE5BBAC4"/>
    <w:rsid w:val="FEDAABAE"/>
    <w:rsid w:val="FEEB1385"/>
    <w:rsid w:val="FEEF5DEF"/>
    <w:rsid w:val="FEF3E337"/>
    <w:rsid w:val="FEFB3AC1"/>
    <w:rsid w:val="FEFD18DF"/>
    <w:rsid w:val="FEFF23CD"/>
    <w:rsid w:val="FEFFEA4E"/>
    <w:rsid w:val="FF19380D"/>
    <w:rsid w:val="FF32D8F8"/>
    <w:rsid w:val="FF4DE2D0"/>
    <w:rsid w:val="FF5E1DE9"/>
    <w:rsid w:val="FF683609"/>
    <w:rsid w:val="FF6FAC93"/>
    <w:rsid w:val="FF7BA5EA"/>
    <w:rsid w:val="FF7C76F3"/>
    <w:rsid w:val="FF7D33CB"/>
    <w:rsid w:val="FF7F2BB8"/>
    <w:rsid w:val="FF8FEB5D"/>
    <w:rsid w:val="FF966DB1"/>
    <w:rsid w:val="FF9D1813"/>
    <w:rsid w:val="FF9FE05A"/>
    <w:rsid w:val="FFBF686F"/>
    <w:rsid w:val="FFBF6F5D"/>
    <w:rsid w:val="FFBFC62E"/>
    <w:rsid w:val="FFCA682D"/>
    <w:rsid w:val="FFD9AD26"/>
    <w:rsid w:val="FFDB2E57"/>
    <w:rsid w:val="FFDC8A6A"/>
    <w:rsid w:val="FFDF3FF8"/>
    <w:rsid w:val="FFDF626F"/>
    <w:rsid w:val="FFDFFFCF"/>
    <w:rsid w:val="FFE70B04"/>
    <w:rsid w:val="FFE75A4B"/>
    <w:rsid w:val="FFF58DD2"/>
    <w:rsid w:val="FFF69521"/>
    <w:rsid w:val="FFF713D3"/>
    <w:rsid w:val="FFF77131"/>
    <w:rsid w:val="FFFB0505"/>
    <w:rsid w:val="FFFBBD11"/>
    <w:rsid w:val="FFFBC6F6"/>
    <w:rsid w:val="FFFE31EA"/>
    <w:rsid w:val="FFFF5F63"/>
    <w:rsid w:val="FFFF74B2"/>
    <w:rsid w:val="FFFF88D5"/>
    <w:rsid w:val="FFFF8B18"/>
    <w:rsid w:val="FFFFD53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qFormat="1" w:unhideWhenUsed="0" w:uiPriority="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kern w:val="2"/>
      <w:sz w:val="21"/>
      <w:szCs w:val="24"/>
      <w:lang w:val="en-US" w:eastAsia="zh-CN" w:bidi="ar-SA"/>
    </w:rPr>
  </w:style>
  <w:style w:type="paragraph" w:styleId="3">
    <w:name w:val="heading 1"/>
    <w:basedOn w:val="1"/>
    <w:next w:val="1"/>
    <w:link w:val="57"/>
    <w:qFormat/>
    <w:uiPriority w:val="0"/>
    <w:pPr>
      <w:keepNext/>
      <w:keepLines/>
      <w:spacing w:before="340" w:after="330" w:line="578" w:lineRule="auto"/>
      <w:jc w:val="center"/>
      <w:outlineLvl w:val="0"/>
    </w:pPr>
    <w:rPr>
      <w:b/>
      <w:bCs/>
      <w:kern w:val="44"/>
      <w:sz w:val="44"/>
      <w:szCs w:val="44"/>
    </w:rPr>
  </w:style>
  <w:style w:type="paragraph" w:styleId="4">
    <w:name w:val="heading 2"/>
    <w:basedOn w:val="1"/>
    <w:next w:val="5"/>
    <w:link w:val="58"/>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59"/>
    <w:qFormat/>
    <w:uiPriority w:val="0"/>
    <w:pPr>
      <w:keepNext/>
      <w:keepLines/>
      <w:spacing w:before="120" w:after="120"/>
      <w:outlineLvl w:val="2"/>
    </w:pPr>
    <w:rPr>
      <w:rFonts w:ascii="宋体" w:hAnsi="宋体"/>
      <w:b/>
      <w:bCs/>
      <w:color w:val="FF0000"/>
      <w:sz w:val="24"/>
    </w:rPr>
  </w:style>
  <w:style w:type="paragraph" w:styleId="7">
    <w:name w:val="heading 4"/>
    <w:basedOn w:val="1"/>
    <w:next w:val="1"/>
    <w:link w:val="60"/>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1"/>
    <w:qFormat/>
    <w:uiPriority w:val="0"/>
    <w:pPr>
      <w:keepNext/>
      <w:keepLines/>
      <w:spacing w:before="280" w:after="290" w:line="372" w:lineRule="auto"/>
      <w:outlineLvl w:val="4"/>
    </w:pPr>
    <w:rPr>
      <w:b/>
      <w:bCs/>
      <w:sz w:val="28"/>
      <w:szCs w:val="28"/>
    </w:rPr>
  </w:style>
  <w:style w:type="paragraph" w:styleId="9">
    <w:name w:val="heading 6"/>
    <w:basedOn w:val="1"/>
    <w:next w:val="1"/>
    <w:link w:val="61"/>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sz w:val="24"/>
    </w:rPr>
  </w:style>
  <w:style w:type="paragraph" w:styleId="10">
    <w:name w:val="heading 7"/>
    <w:basedOn w:val="1"/>
    <w:next w:val="1"/>
    <w:link w:val="62"/>
    <w:qFormat/>
    <w:uiPriority w:val="0"/>
    <w:pPr>
      <w:keepNext/>
      <w:keepLines/>
      <w:widowControl/>
      <w:tabs>
        <w:tab w:val="left" w:pos="2520"/>
      </w:tabs>
      <w:spacing w:before="240" w:after="64" w:line="320" w:lineRule="auto"/>
      <w:ind w:left="1296" w:hanging="1296"/>
      <w:jc w:val="left"/>
      <w:outlineLvl w:val="6"/>
    </w:pPr>
    <w:rPr>
      <w:b/>
      <w:bCs/>
      <w:kern w:val="0"/>
      <w:sz w:val="24"/>
    </w:rPr>
  </w:style>
  <w:style w:type="paragraph" w:styleId="11">
    <w:name w:val="heading 8"/>
    <w:basedOn w:val="1"/>
    <w:next w:val="1"/>
    <w:link w:val="63"/>
    <w:qFormat/>
    <w:uiPriority w:val="0"/>
    <w:pPr>
      <w:keepNext/>
      <w:keepLines/>
      <w:widowControl/>
      <w:tabs>
        <w:tab w:val="left" w:pos="1440"/>
      </w:tabs>
      <w:spacing w:before="240" w:after="64" w:line="320" w:lineRule="auto"/>
      <w:ind w:left="1440" w:hanging="1440"/>
      <w:jc w:val="left"/>
      <w:outlineLvl w:val="7"/>
    </w:pPr>
    <w:rPr>
      <w:rFonts w:ascii="Arial" w:hAnsi="Arial" w:eastAsia="黑体"/>
      <w:kern w:val="0"/>
      <w:sz w:val="24"/>
    </w:rPr>
  </w:style>
  <w:style w:type="paragraph" w:styleId="12">
    <w:name w:val="heading 9"/>
    <w:basedOn w:val="1"/>
    <w:next w:val="1"/>
    <w:link w:val="64"/>
    <w:qFormat/>
    <w:uiPriority w:val="0"/>
    <w:pPr>
      <w:keepNext/>
      <w:keepLines/>
      <w:widowControl/>
      <w:tabs>
        <w:tab w:val="left" w:pos="1584"/>
      </w:tabs>
      <w:spacing w:before="240" w:after="64" w:line="320" w:lineRule="auto"/>
      <w:ind w:left="1584" w:hanging="1584"/>
      <w:jc w:val="left"/>
      <w:outlineLvl w:val="8"/>
    </w:pPr>
    <w:rPr>
      <w:rFonts w:ascii="Arial" w:hAnsi="Arial" w:eastAsia="黑体"/>
      <w:kern w:val="0"/>
      <w:szCs w:val="21"/>
    </w:rPr>
  </w:style>
  <w:style w:type="character" w:default="1" w:styleId="49">
    <w:name w:val="Default Paragraph Font"/>
    <w:unhideWhenUsed/>
    <w:qFormat/>
    <w:uiPriority w:val="1"/>
  </w:style>
  <w:style w:type="table" w:default="1" w:styleId="47">
    <w:name w:val="Normal Table"/>
    <w:unhideWhenUsed/>
    <w:qFormat/>
    <w:uiPriority w:val="99"/>
    <w:tblPr>
      <w:tblStyle w:val="47"/>
      <w:tblCellMar>
        <w:top w:w="0" w:type="dxa"/>
        <w:left w:w="108" w:type="dxa"/>
        <w:bottom w:w="0" w:type="dxa"/>
        <w:right w:w="108" w:type="dxa"/>
      </w:tblCellMar>
    </w:tblPr>
  </w:style>
  <w:style w:type="paragraph" w:styleId="2">
    <w:name w:val="Body Text"/>
    <w:basedOn w:val="1"/>
    <w:link w:val="56"/>
    <w:qFormat/>
    <w:uiPriority w:val="0"/>
    <w:pPr>
      <w:spacing w:after="120"/>
    </w:pPr>
  </w:style>
  <w:style w:type="paragraph" w:customStyle="1" w:styleId="5">
    <w:name w:val="样式4"/>
    <w:basedOn w:val="1"/>
    <w:qFormat/>
    <w:uiPriority w:val="0"/>
    <w:pPr>
      <w:keepNext/>
      <w:keepLines/>
      <w:spacing w:before="120" w:afterLines="50" w:line="400" w:lineRule="exact"/>
    </w:pPr>
    <w:rPr>
      <w:rFonts w:hint="eastAsia" w:cs="宋体"/>
      <w:sz w:val="20"/>
      <w:szCs w:val="20"/>
    </w:rPr>
  </w:style>
  <w:style w:type="paragraph" w:styleId="13">
    <w:name w:val="List 3"/>
    <w:basedOn w:val="1"/>
    <w:qFormat/>
    <w:uiPriority w:val="0"/>
    <w:pPr>
      <w:ind w:left="100" w:leftChars="400" w:hanging="200" w:hangingChars="200"/>
    </w:pPr>
  </w:style>
  <w:style w:type="paragraph" w:styleId="14">
    <w:name w:val="toc 7"/>
    <w:basedOn w:val="1"/>
    <w:next w:val="1"/>
    <w:qFormat/>
    <w:uiPriority w:val="39"/>
    <w:pPr>
      <w:ind w:left="1260"/>
      <w:jc w:val="left"/>
    </w:pPr>
    <w:rPr>
      <w:sz w:val="18"/>
      <w:szCs w:val="18"/>
    </w:rPr>
  </w:style>
  <w:style w:type="paragraph" w:styleId="15">
    <w:name w:val="Normal Indent"/>
    <w:basedOn w:val="1"/>
    <w:qFormat/>
    <w:uiPriority w:val="0"/>
    <w:pPr>
      <w:ind w:firstLine="420" w:firstLineChars="200"/>
    </w:pPr>
  </w:style>
  <w:style w:type="paragraph" w:styleId="16">
    <w:name w:val="Document Map"/>
    <w:basedOn w:val="1"/>
    <w:link w:val="65"/>
    <w:qFormat/>
    <w:uiPriority w:val="0"/>
    <w:pPr>
      <w:shd w:val="clear" w:color="auto" w:fill="000080"/>
    </w:pPr>
  </w:style>
  <w:style w:type="paragraph" w:styleId="17">
    <w:name w:val="annotation text"/>
    <w:basedOn w:val="1"/>
    <w:link w:val="66"/>
    <w:qFormat/>
    <w:uiPriority w:val="0"/>
    <w:pPr>
      <w:jc w:val="left"/>
    </w:pPr>
  </w:style>
  <w:style w:type="paragraph" w:styleId="18">
    <w:name w:val="Body Text 3"/>
    <w:basedOn w:val="1"/>
    <w:link w:val="67"/>
    <w:qFormat/>
    <w:uiPriority w:val="0"/>
    <w:rPr>
      <w:rFonts w:ascii="宋体"/>
      <w:sz w:val="24"/>
      <w:szCs w:val="20"/>
    </w:rPr>
  </w:style>
  <w:style w:type="paragraph" w:styleId="19">
    <w:name w:val="Body Text Indent"/>
    <w:basedOn w:val="1"/>
    <w:link w:val="68"/>
    <w:qFormat/>
    <w:uiPriority w:val="0"/>
    <w:pPr>
      <w:spacing w:after="120"/>
      <w:ind w:left="420" w:leftChars="200"/>
    </w:pPr>
  </w:style>
  <w:style w:type="paragraph" w:styleId="20">
    <w:name w:val="List 2"/>
    <w:basedOn w:val="1"/>
    <w:qFormat/>
    <w:uiPriority w:val="0"/>
    <w:pPr>
      <w:ind w:left="100" w:leftChars="200" w:hanging="200" w:hangingChars="200"/>
    </w:pPr>
  </w:style>
  <w:style w:type="paragraph" w:styleId="21">
    <w:name w:val="toc 5"/>
    <w:basedOn w:val="1"/>
    <w:next w:val="1"/>
    <w:qFormat/>
    <w:uiPriority w:val="39"/>
    <w:pPr>
      <w:ind w:left="840"/>
      <w:jc w:val="left"/>
    </w:pPr>
    <w:rPr>
      <w:sz w:val="18"/>
      <w:szCs w:val="18"/>
    </w:rPr>
  </w:style>
  <w:style w:type="paragraph" w:styleId="22">
    <w:name w:val="toc 3"/>
    <w:basedOn w:val="1"/>
    <w:next w:val="1"/>
    <w:qFormat/>
    <w:uiPriority w:val="39"/>
    <w:pPr>
      <w:ind w:left="420"/>
      <w:jc w:val="left"/>
    </w:pPr>
    <w:rPr>
      <w:i/>
      <w:iCs/>
      <w:sz w:val="20"/>
      <w:szCs w:val="20"/>
    </w:rPr>
  </w:style>
  <w:style w:type="paragraph" w:styleId="23">
    <w:name w:val="Plain Text"/>
    <w:basedOn w:val="1"/>
    <w:link w:val="69"/>
    <w:qFormat/>
    <w:uiPriority w:val="0"/>
    <w:rPr>
      <w:rFonts w:ascii="Courier New" w:hAnsi="Courier New"/>
      <w:szCs w:val="20"/>
    </w:rPr>
  </w:style>
  <w:style w:type="paragraph" w:styleId="24">
    <w:name w:val="toc 8"/>
    <w:basedOn w:val="1"/>
    <w:next w:val="1"/>
    <w:qFormat/>
    <w:uiPriority w:val="39"/>
    <w:pPr>
      <w:ind w:left="1470"/>
      <w:jc w:val="left"/>
    </w:pPr>
    <w:rPr>
      <w:sz w:val="18"/>
      <w:szCs w:val="18"/>
    </w:rPr>
  </w:style>
  <w:style w:type="paragraph" w:styleId="25">
    <w:name w:val="Date"/>
    <w:basedOn w:val="1"/>
    <w:next w:val="1"/>
    <w:link w:val="70"/>
    <w:qFormat/>
    <w:uiPriority w:val="0"/>
    <w:rPr>
      <w:sz w:val="24"/>
      <w:szCs w:val="20"/>
    </w:rPr>
  </w:style>
  <w:style w:type="paragraph" w:styleId="26">
    <w:name w:val="Body Text Indent 2"/>
    <w:basedOn w:val="1"/>
    <w:link w:val="71"/>
    <w:qFormat/>
    <w:uiPriority w:val="0"/>
    <w:pPr>
      <w:spacing w:after="120" w:line="480" w:lineRule="auto"/>
      <w:ind w:left="420" w:leftChars="200"/>
    </w:pPr>
  </w:style>
  <w:style w:type="paragraph" w:styleId="27">
    <w:name w:val="Balloon Text"/>
    <w:basedOn w:val="1"/>
    <w:link w:val="72"/>
    <w:qFormat/>
    <w:uiPriority w:val="0"/>
    <w:rPr>
      <w:sz w:val="18"/>
      <w:szCs w:val="18"/>
    </w:rPr>
  </w:style>
  <w:style w:type="paragraph" w:styleId="28">
    <w:name w:val="footer"/>
    <w:basedOn w:val="1"/>
    <w:link w:val="73"/>
    <w:qFormat/>
    <w:uiPriority w:val="99"/>
    <w:pPr>
      <w:tabs>
        <w:tab w:val="center" w:pos="4153"/>
        <w:tab w:val="right" w:pos="8306"/>
      </w:tabs>
      <w:snapToGrid w:val="0"/>
      <w:jc w:val="left"/>
    </w:pPr>
    <w:rPr>
      <w:sz w:val="18"/>
      <w:szCs w:val="18"/>
    </w:rPr>
  </w:style>
  <w:style w:type="paragraph" w:styleId="29">
    <w:name w:val="header"/>
    <w:basedOn w:val="1"/>
    <w:link w:val="74"/>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39"/>
    <w:pPr>
      <w:spacing w:before="120" w:after="120"/>
      <w:jc w:val="left"/>
    </w:pPr>
    <w:rPr>
      <w:b/>
      <w:bCs/>
      <w:caps/>
      <w:sz w:val="20"/>
      <w:szCs w:val="20"/>
    </w:rPr>
  </w:style>
  <w:style w:type="paragraph" w:styleId="31">
    <w:name w:val="toc 4"/>
    <w:basedOn w:val="1"/>
    <w:next w:val="1"/>
    <w:qFormat/>
    <w:uiPriority w:val="39"/>
    <w:pPr>
      <w:ind w:left="630"/>
      <w:jc w:val="left"/>
    </w:pPr>
    <w:rPr>
      <w:sz w:val="18"/>
      <w:szCs w:val="18"/>
    </w:rPr>
  </w:style>
  <w:style w:type="paragraph" w:styleId="32">
    <w:name w:val="List"/>
    <w:basedOn w:val="1"/>
    <w:qFormat/>
    <w:uiPriority w:val="0"/>
    <w:pPr>
      <w:ind w:left="200" w:hanging="200" w:hangingChars="200"/>
    </w:pPr>
  </w:style>
  <w:style w:type="paragraph" w:styleId="33">
    <w:name w:val="footnote text"/>
    <w:basedOn w:val="1"/>
    <w:link w:val="75"/>
    <w:unhideWhenUsed/>
    <w:qFormat/>
    <w:uiPriority w:val="99"/>
    <w:pPr>
      <w:snapToGrid w:val="0"/>
      <w:jc w:val="left"/>
    </w:pPr>
    <w:rPr>
      <w:sz w:val="18"/>
      <w:szCs w:val="18"/>
    </w:rPr>
  </w:style>
  <w:style w:type="paragraph" w:styleId="34">
    <w:name w:val="toc 6"/>
    <w:basedOn w:val="1"/>
    <w:next w:val="1"/>
    <w:qFormat/>
    <w:uiPriority w:val="39"/>
    <w:pPr>
      <w:ind w:left="1050"/>
      <w:jc w:val="left"/>
    </w:pPr>
    <w:rPr>
      <w:sz w:val="18"/>
      <w:szCs w:val="18"/>
    </w:rPr>
  </w:style>
  <w:style w:type="paragraph" w:styleId="35">
    <w:name w:val="Body Text Indent 3"/>
    <w:basedOn w:val="1"/>
    <w:link w:val="76"/>
    <w:qFormat/>
    <w:uiPriority w:val="0"/>
    <w:pPr>
      <w:spacing w:after="120"/>
      <w:ind w:left="420" w:leftChars="200"/>
    </w:pPr>
    <w:rPr>
      <w:sz w:val="16"/>
      <w:szCs w:val="16"/>
    </w:rPr>
  </w:style>
  <w:style w:type="paragraph" w:styleId="36">
    <w:name w:val="toc 2"/>
    <w:basedOn w:val="1"/>
    <w:next w:val="1"/>
    <w:link w:val="77"/>
    <w:qFormat/>
    <w:uiPriority w:val="39"/>
    <w:pPr>
      <w:ind w:left="210"/>
      <w:jc w:val="left"/>
    </w:pPr>
    <w:rPr>
      <w:smallCaps/>
      <w:kern w:val="0"/>
      <w:sz w:val="20"/>
      <w:szCs w:val="20"/>
    </w:rPr>
  </w:style>
  <w:style w:type="paragraph" w:styleId="37">
    <w:name w:val="toc 9"/>
    <w:basedOn w:val="1"/>
    <w:next w:val="1"/>
    <w:qFormat/>
    <w:uiPriority w:val="39"/>
    <w:pPr>
      <w:ind w:left="1680"/>
      <w:jc w:val="left"/>
    </w:pPr>
    <w:rPr>
      <w:sz w:val="18"/>
      <w:szCs w:val="18"/>
    </w:rPr>
  </w:style>
  <w:style w:type="paragraph" w:styleId="38">
    <w:name w:val="Body Text 2"/>
    <w:basedOn w:val="1"/>
    <w:link w:val="78"/>
    <w:qFormat/>
    <w:uiPriority w:val="0"/>
    <w:pPr>
      <w:spacing w:after="120" w:line="480" w:lineRule="auto"/>
    </w:pPr>
  </w:style>
  <w:style w:type="paragraph" w:styleId="39">
    <w:name w:val="List 4"/>
    <w:basedOn w:val="1"/>
    <w:semiHidden/>
    <w:qFormat/>
    <w:uiPriority w:val="0"/>
    <w:pPr>
      <w:ind w:left="100" w:leftChars="600" w:hanging="200" w:hangingChars="200"/>
    </w:pPr>
  </w:style>
  <w:style w:type="paragraph" w:styleId="40">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1">
    <w:name w:val="List Continue 3"/>
    <w:basedOn w:val="1"/>
    <w:semiHidden/>
    <w:qFormat/>
    <w:uiPriority w:val="0"/>
    <w:pPr>
      <w:spacing w:after="120"/>
      <w:ind w:left="1260" w:leftChars="600"/>
    </w:pPr>
  </w:style>
  <w:style w:type="paragraph" w:styleId="42">
    <w:name w:val="index 1"/>
    <w:basedOn w:val="1"/>
    <w:next w:val="1"/>
    <w:qFormat/>
    <w:uiPriority w:val="0"/>
    <w:pPr>
      <w:spacing w:line="220" w:lineRule="exact"/>
      <w:jc w:val="center"/>
    </w:pPr>
    <w:rPr>
      <w:rFonts w:ascii="仿宋_GB2312" w:eastAsia="仿宋_GB2312"/>
      <w:szCs w:val="21"/>
    </w:rPr>
  </w:style>
  <w:style w:type="paragraph" w:styleId="43">
    <w:name w:val="Title"/>
    <w:basedOn w:val="1"/>
    <w:link w:val="79"/>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44">
    <w:name w:val="annotation subject"/>
    <w:basedOn w:val="17"/>
    <w:next w:val="17"/>
    <w:link w:val="80"/>
    <w:qFormat/>
    <w:uiPriority w:val="0"/>
    <w:rPr>
      <w:b/>
      <w:bCs/>
    </w:rPr>
  </w:style>
  <w:style w:type="paragraph" w:styleId="45">
    <w:name w:val="Body Text First Indent"/>
    <w:basedOn w:val="2"/>
    <w:qFormat/>
    <w:uiPriority w:val="0"/>
    <w:pPr>
      <w:ind w:firstLine="420" w:firstLineChars="100"/>
    </w:pPr>
  </w:style>
  <w:style w:type="paragraph" w:styleId="46">
    <w:name w:val="Body Text First Indent 2"/>
    <w:basedOn w:val="19"/>
    <w:unhideWhenUsed/>
    <w:qFormat/>
    <w:uiPriority w:val="0"/>
    <w:pPr>
      <w:ind w:firstLine="420" w:firstLineChars="200"/>
    </w:pPr>
    <w:rPr>
      <w:kern w:val="0"/>
      <w:sz w:val="20"/>
    </w:rPr>
  </w:style>
  <w:style w:type="table" w:styleId="48">
    <w:name w:val="Table Grid"/>
    <w:basedOn w:val="47"/>
    <w:qFormat/>
    <w:uiPriority w:val="0"/>
    <w:pPr>
      <w:widowControl w:val="0"/>
      <w:jc w:val="both"/>
    </w:pPr>
    <w:tblPr>
      <w:tblStyle w:val="4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0">
    <w:name w:val="Strong"/>
    <w:qFormat/>
    <w:uiPriority w:val="0"/>
    <w:rPr>
      <w:b/>
      <w:bCs/>
    </w:rPr>
  </w:style>
  <w:style w:type="character" w:styleId="51">
    <w:name w:val="page number"/>
    <w:qFormat/>
    <w:uiPriority w:val="0"/>
    <w:rPr>
      <w:rFonts w:ascii="Arial" w:hAnsi="Arial" w:eastAsia="黑体"/>
      <w:kern w:val="2"/>
      <w:sz w:val="21"/>
      <w:szCs w:val="21"/>
      <w:lang w:val="en-US" w:eastAsia="zh-CN" w:bidi="ar-SA"/>
    </w:rPr>
  </w:style>
  <w:style w:type="character" w:styleId="52">
    <w:name w:val="FollowedHyperlink"/>
    <w:qFormat/>
    <w:uiPriority w:val="0"/>
    <w:rPr>
      <w:rFonts w:ascii="Arial" w:hAnsi="Arial" w:eastAsia="黑体"/>
      <w:color w:val="800080"/>
      <w:kern w:val="2"/>
      <w:sz w:val="21"/>
      <w:szCs w:val="21"/>
      <w:u w:val="single"/>
      <w:lang w:val="en-US" w:eastAsia="zh-CN" w:bidi="ar-SA"/>
    </w:rPr>
  </w:style>
  <w:style w:type="character" w:styleId="53">
    <w:name w:val="Hyperlink"/>
    <w:qFormat/>
    <w:uiPriority w:val="99"/>
    <w:rPr>
      <w:rFonts w:ascii="Arial" w:hAnsi="Arial" w:eastAsia="黑体"/>
      <w:color w:val="0000FF"/>
      <w:kern w:val="2"/>
      <w:sz w:val="21"/>
      <w:szCs w:val="21"/>
      <w:u w:val="single"/>
      <w:lang w:val="en-US" w:eastAsia="zh-CN" w:bidi="ar-SA"/>
    </w:rPr>
  </w:style>
  <w:style w:type="character" w:styleId="54">
    <w:name w:val="annotation reference"/>
    <w:qFormat/>
    <w:uiPriority w:val="0"/>
    <w:rPr>
      <w:sz w:val="21"/>
      <w:szCs w:val="21"/>
    </w:rPr>
  </w:style>
  <w:style w:type="character" w:styleId="55">
    <w:name w:val="footnote reference"/>
    <w:unhideWhenUsed/>
    <w:qFormat/>
    <w:uiPriority w:val="99"/>
    <w:rPr>
      <w:vertAlign w:val="superscript"/>
    </w:rPr>
  </w:style>
  <w:style w:type="character" w:customStyle="1" w:styleId="56">
    <w:name w:val="正文文本 Char"/>
    <w:link w:val="2"/>
    <w:qFormat/>
    <w:uiPriority w:val="0"/>
    <w:rPr>
      <w:rFonts w:eastAsia="宋体"/>
      <w:kern w:val="2"/>
      <w:sz w:val="21"/>
      <w:szCs w:val="24"/>
      <w:lang w:bidi="ar-SA"/>
    </w:rPr>
  </w:style>
  <w:style w:type="character" w:customStyle="1" w:styleId="57">
    <w:name w:val="标题 1 Char"/>
    <w:link w:val="3"/>
    <w:qFormat/>
    <w:uiPriority w:val="0"/>
    <w:rPr>
      <w:rFonts w:eastAsia="宋体"/>
      <w:b/>
      <w:bCs/>
      <w:kern w:val="44"/>
      <w:sz w:val="44"/>
      <w:szCs w:val="44"/>
      <w:lang w:val="en-US" w:eastAsia="zh-CN" w:bidi="ar-SA"/>
    </w:rPr>
  </w:style>
  <w:style w:type="character" w:customStyle="1" w:styleId="58">
    <w:name w:val="标题 2 Char"/>
    <w:link w:val="4"/>
    <w:qFormat/>
    <w:uiPriority w:val="0"/>
    <w:rPr>
      <w:rFonts w:ascii="Arial" w:hAnsi="Arial" w:eastAsia="黑体"/>
      <w:b/>
      <w:bCs/>
      <w:kern w:val="2"/>
      <w:sz w:val="32"/>
      <w:szCs w:val="32"/>
      <w:lang w:val="en-US" w:eastAsia="zh-CN" w:bidi="ar-SA"/>
    </w:rPr>
  </w:style>
  <w:style w:type="character" w:customStyle="1" w:styleId="59">
    <w:name w:val="标题 3 Char"/>
    <w:link w:val="6"/>
    <w:qFormat/>
    <w:uiPriority w:val="0"/>
    <w:rPr>
      <w:rFonts w:ascii="宋体" w:hAnsi="宋体" w:eastAsia="宋体"/>
      <w:b/>
      <w:bCs/>
      <w:color w:val="FF0000"/>
      <w:kern w:val="2"/>
      <w:sz w:val="24"/>
      <w:szCs w:val="24"/>
      <w:lang w:bidi="ar-SA"/>
    </w:rPr>
  </w:style>
  <w:style w:type="character" w:customStyle="1" w:styleId="60">
    <w:name w:val="标题 4 Char"/>
    <w:link w:val="7"/>
    <w:qFormat/>
    <w:uiPriority w:val="0"/>
    <w:rPr>
      <w:rFonts w:ascii="Arial" w:hAnsi="Arial" w:eastAsia="黑体"/>
      <w:b/>
      <w:bCs/>
      <w:kern w:val="2"/>
      <w:sz w:val="28"/>
      <w:szCs w:val="28"/>
      <w:lang w:bidi="ar-SA"/>
    </w:rPr>
  </w:style>
  <w:style w:type="character" w:customStyle="1" w:styleId="61">
    <w:name w:val="标题 6 Char"/>
    <w:link w:val="9"/>
    <w:qFormat/>
    <w:uiPriority w:val="0"/>
    <w:rPr>
      <w:rFonts w:ascii="Arial" w:hAnsi="Arial" w:eastAsia="黑体"/>
      <w:b/>
      <w:bCs/>
      <w:sz w:val="24"/>
      <w:szCs w:val="24"/>
      <w:lang w:bidi="ar-SA"/>
    </w:rPr>
  </w:style>
  <w:style w:type="character" w:customStyle="1" w:styleId="62">
    <w:name w:val="标题 7 Char"/>
    <w:link w:val="10"/>
    <w:qFormat/>
    <w:uiPriority w:val="0"/>
    <w:rPr>
      <w:rFonts w:eastAsia="宋体"/>
      <w:b/>
      <w:bCs/>
      <w:sz w:val="24"/>
      <w:szCs w:val="24"/>
      <w:lang w:bidi="ar-SA"/>
    </w:rPr>
  </w:style>
  <w:style w:type="character" w:customStyle="1" w:styleId="63">
    <w:name w:val="标题 8 Char"/>
    <w:link w:val="11"/>
    <w:qFormat/>
    <w:uiPriority w:val="0"/>
    <w:rPr>
      <w:rFonts w:ascii="Arial" w:hAnsi="Arial" w:eastAsia="黑体"/>
      <w:sz w:val="24"/>
      <w:szCs w:val="24"/>
      <w:lang w:bidi="ar-SA"/>
    </w:rPr>
  </w:style>
  <w:style w:type="character" w:customStyle="1" w:styleId="64">
    <w:name w:val="标题 9 Char"/>
    <w:link w:val="12"/>
    <w:qFormat/>
    <w:uiPriority w:val="0"/>
    <w:rPr>
      <w:rFonts w:ascii="Arial" w:hAnsi="Arial" w:eastAsia="黑体"/>
      <w:sz w:val="21"/>
      <w:szCs w:val="21"/>
      <w:lang w:bidi="ar-SA"/>
    </w:rPr>
  </w:style>
  <w:style w:type="character" w:customStyle="1" w:styleId="65">
    <w:name w:val="文档结构图 Char"/>
    <w:link w:val="16"/>
    <w:qFormat/>
    <w:uiPriority w:val="0"/>
    <w:rPr>
      <w:rFonts w:eastAsia="宋体"/>
      <w:kern w:val="2"/>
      <w:sz w:val="21"/>
      <w:szCs w:val="24"/>
      <w:lang w:bidi="ar-SA"/>
    </w:rPr>
  </w:style>
  <w:style w:type="character" w:customStyle="1" w:styleId="66">
    <w:name w:val="批注文字 Char"/>
    <w:link w:val="17"/>
    <w:qFormat/>
    <w:uiPriority w:val="0"/>
    <w:rPr>
      <w:rFonts w:eastAsia="宋体"/>
      <w:kern w:val="2"/>
      <w:sz w:val="21"/>
      <w:szCs w:val="24"/>
      <w:lang w:bidi="ar-SA"/>
    </w:rPr>
  </w:style>
  <w:style w:type="character" w:customStyle="1" w:styleId="67">
    <w:name w:val="正文文本 3 Char"/>
    <w:link w:val="18"/>
    <w:qFormat/>
    <w:uiPriority w:val="0"/>
    <w:rPr>
      <w:rFonts w:ascii="宋体" w:eastAsia="宋体"/>
      <w:kern w:val="2"/>
      <w:sz w:val="24"/>
      <w:lang w:bidi="ar-SA"/>
    </w:rPr>
  </w:style>
  <w:style w:type="character" w:customStyle="1" w:styleId="68">
    <w:name w:val="正文文本缩进 Char"/>
    <w:link w:val="19"/>
    <w:qFormat/>
    <w:uiPriority w:val="0"/>
    <w:rPr>
      <w:rFonts w:eastAsia="宋体"/>
      <w:kern w:val="2"/>
      <w:sz w:val="21"/>
      <w:szCs w:val="24"/>
      <w:lang w:bidi="ar-SA"/>
    </w:rPr>
  </w:style>
  <w:style w:type="character" w:customStyle="1" w:styleId="69">
    <w:name w:val="纯文本 Char"/>
    <w:link w:val="23"/>
    <w:qFormat/>
    <w:uiPriority w:val="0"/>
    <w:rPr>
      <w:rFonts w:ascii="Courier New" w:hAnsi="Courier New" w:eastAsia="宋体"/>
      <w:kern w:val="2"/>
      <w:sz w:val="21"/>
      <w:lang w:bidi="ar-SA"/>
    </w:rPr>
  </w:style>
  <w:style w:type="character" w:customStyle="1" w:styleId="70">
    <w:name w:val="日期 Char"/>
    <w:link w:val="25"/>
    <w:qFormat/>
    <w:uiPriority w:val="0"/>
    <w:rPr>
      <w:rFonts w:eastAsia="宋体"/>
      <w:kern w:val="2"/>
      <w:sz w:val="24"/>
      <w:lang w:bidi="ar-SA"/>
    </w:rPr>
  </w:style>
  <w:style w:type="character" w:customStyle="1" w:styleId="71">
    <w:name w:val="正文文本缩进 2 Char"/>
    <w:link w:val="26"/>
    <w:qFormat/>
    <w:uiPriority w:val="0"/>
    <w:rPr>
      <w:rFonts w:eastAsia="宋体"/>
      <w:kern w:val="2"/>
      <w:sz w:val="21"/>
      <w:szCs w:val="24"/>
      <w:lang w:bidi="ar-SA"/>
    </w:rPr>
  </w:style>
  <w:style w:type="character" w:customStyle="1" w:styleId="72">
    <w:name w:val="批注框文本 Char"/>
    <w:link w:val="27"/>
    <w:qFormat/>
    <w:uiPriority w:val="0"/>
    <w:rPr>
      <w:rFonts w:eastAsia="宋体"/>
      <w:kern w:val="2"/>
      <w:sz w:val="18"/>
      <w:szCs w:val="18"/>
      <w:lang w:bidi="ar-SA"/>
    </w:rPr>
  </w:style>
  <w:style w:type="character" w:customStyle="1" w:styleId="73">
    <w:name w:val="页脚 Char"/>
    <w:link w:val="28"/>
    <w:qFormat/>
    <w:uiPriority w:val="99"/>
    <w:rPr>
      <w:rFonts w:eastAsia="宋体"/>
      <w:kern w:val="2"/>
      <w:sz w:val="18"/>
      <w:szCs w:val="18"/>
      <w:lang w:bidi="ar-SA"/>
    </w:rPr>
  </w:style>
  <w:style w:type="character" w:customStyle="1" w:styleId="74">
    <w:name w:val="页眉 Char"/>
    <w:link w:val="29"/>
    <w:qFormat/>
    <w:uiPriority w:val="0"/>
    <w:rPr>
      <w:rFonts w:eastAsia="宋体"/>
      <w:kern w:val="2"/>
      <w:sz w:val="18"/>
      <w:szCs w:val="18"/>
      <w:lang w:bidi="ar-SA"/>
    </w:rPr>
  </w:style>
  <w:style w:type="character" w:customStyle="1" w:styleId="75">
    <w:name w:val="脚注文本 Char"/>
    <w:link w:val="33"/>
    <w:semiHidden/>
    <w:qFormat/>
    <w:uiPriority w:val="99"/>
    <w:rPr>
      <w:kern w:val="2"/>
      <w:sz w:val="18"/>
      <w:szCs w:val="18"/>
    </w:rPr>
  </w:style>
  <w:style w:type="character" w:customStyle="1" w:styleId="76">
    <w:name w:val="正文文本缩进 3 Char"/>
    <w:link w:val="35"/>
    <w:qFormat/>
    <w:uiPriority w:val="0"/>
    <w:rPr>
      <w:rFonts w:eastAsia="宋体"/>
      <w:kern w:val="2"/>
      <w:sz w:val="16"/>
      <w:szCs w:val="16"/>
      <w:lang w:bidi="ar-SA"/>
    </w:rPr>
  </w:style>
  <w:style w:type="character" w:customStyle="1" w:styleId="77">
    <w:name w:val="目录 2 Char"/>
    <w:link w:val="36"/>
    <w:qFormat/>
    <w:uiPriority w:val="39"/>
    <w:rPr>
      <w:rFonts w:eastAsia="宋体"/>
      <w:smallCaps/>
      <w:sz w:val="20"/>
      <w:szCs w:val="20"/>
    </w:rPr>
  </w:style>
  <w:style w:type="character" w:customStyle="1" w:styleId="78">
    <w:name w:val="正文文本 2 Char"/>
    <w:link w:val="38"/>
    <w:qFormat/>
    <w:uiPriority w:val="0"/>
    <w:rPr>
      <w:rFonts w:eastAsia="宋体"/>
      <w:kern w:val="2"/>
      <w:sz w:val="21"/>
      <w:szCs w:val="24"/>
      <w:lang w:bidi="ar-SA"/>
    </w:rPr>
  </w:style>
  <w:style w:type="character" w:customStyle="1" w:styleId="79">
    <w:name w:val="标题 Char"/>
    <w:link w:val="43"/>
    <w:qFormat/>
    <w:uiPriority w:val="0"/>
    <w:rPr>
      <w:rFonts w:ascii="Arial" w:hAnsi="Arial" w:eastAsia="宋体"/>
      <w:b/>
      <w:sz w:val="32"/>
      <w:lang w:bidi="ar-SA"/>
    </w:rPr>
  </w:style>
  <w:style w:type="character" w:customStyle="1" w:styleId="80">
    <w:name w:val="批注主题 Char"/>
    <w:link w:val="44"/>
    <w:qFormat/>
    <w:uiPriority w:val="0"/>
    <w:rPr>
      <w:rFonts w:eastAsia="宋体"/>
      <w:b/>
      <w:bCs/>
      <w:kern w:val="2"/>
      <w:sz w:val="21"/>
      <w:szCs w:val="24"/>
      <w:lang w:bidi="ar-SA"/>
    </w:rPr>
  </w:style>
  <w:style w:type="character" w:customStyle="1" w:styleId="81">
    <w:name w:val="批注文字 Char1"/>
    <w:qFormat/>
    <w:uiPriority w:val="0"/>
    <w:rPr>
      <w:rFonts w:eastAsia="宋体"/>
      <w:kern w:val="2"/>
      <w:sz w:val="21"/>
      <w:szCs w:val="24"/>
      <w:lang w:val="en-US" w:eastAsia="zh-CN" w:bidi="ar-SA"/>
    </w:rPr>
  </w:style>
  <w:style w:type="character" w:customStyle="1" w:styleId="82">
    <w:name w:val="标题 2 Char1"/>
    <w:qFormat/>
    <w:uiPriority w:val="0"/>
    <w:rPr>
      <w:rFonts w:ascii="Arial" w:hAnsi="Arial" w:eastAsia="黑体"/>
      <w:b/>
      <w:bCs/>
      <w:kern w:val="2"/>
      <w:sz w:val="32"/>
      <w:szCs w:val="32"/>
    </w:rPr>
  </w:style>
  <w:style w:type="character" w:customStyle="1" w:styleId="83">
    <w:name w:val="页脚 字符"/>
    <w:qFormat/>
    <w:uiPriority w:val="99"/>
  </w:style>
  <w:style w:type="character" w:customStyle="1" w:styleId="84">
    <w:name w:val="样式 标题 1 + 黑体 三号 非加粗 居中 段前: 6 磅 段后: 6 磅 行距: 固定值 20 磅 Char"/>
    <w:link w:val="85"/>
    <w:qFormat/>
    <w:uiPriority w:val="0"/>
    <w:rPr>
      <w:rFonts w:ascii="黑体" w:hAnsi="黑体" w:eastAsia="黑体" w:cs="宋体"/>
      <w:b/>
      <w:bCs/>
      <w:sz w:val="32"/>
      <w:szCs w:val="20"/>
    </w:rPr>
  </w:style>
  <w:style w:type="paragraph" w:customStyle="1" w:styleId="85">
    <w:name w:val="样式 标题 1 + 黑体 三号 非加粗 居中 段前: 6 磅 段后: 6 磅 行距: 固定值 20 磅"/>
    <w:basedOn w:val="3"/>
    <w:link w:val="84"/>
    <w:qFormat/>
    <w:uiPriority w:val="0"/>
    <w:pPr>
      <w:spacing w:before="120" w:after="120" w:line="400" w:lineRule="exact"/>
    </w:pPr>
    <w:rPr>
      <w:rFonts w:ascii="黑体" w:hAnsi="黑体" w:eastAsia="黑体"/>
      <w:kern w:val="0"/>
      <w:sz w:val="32"/>
      <w:szCs w:val="20"/>
    </w:rPr>
  </w:style>
  <w:style w:type="character" w:customStyle="1" w:styleId="86">
    <w:name w:val="样式 标题 3 + (中文) 黑体 小四 非加粗 段前: 7.8 磅 段后: 0 磅 行距: 固定值 20 磅 Char"/>
    <w:link w:val="87"/>
    <w:qFormat/>
    <w:uiPriority w:val="0"/>
    <w:rPr>
      <w:rFonts w:eastAsia="黑体" w:cs="宋体"/>
      <w:b/>
      <w:bCs/>
      <w:color w:val="000000"/>
      <w:szCs w:val="20"/>
    </w:rPr>
  </w:style>
  <w:style w:type="paragraph" w:customStyle="1" w:styleId="87">
    <w:name w:val="样式 标题 3 + (中文) 黑体 小四 非加粗 段前: 7.8 磅 段后: 0 磅 行距: 固定值 20 磅"/>
    <w:basedOn w:val="6"/>
    <w:link w:val="86"/>
    <w:qFormat/>
    <w:uiPriority w:val="0"/>
    <w:pPr>
      <w:spacing w:before="0" w:after="0" w:line="400" w:lineRule="exact"/>
    </w:pPr>
    <w:rPr>
      <w:rFonts w:ascii="Times New Roman" w:hAnsi="Times New Roman" w:eastAsia="黑体"/>
      <w:color w:val="000000"/>
      <w:kern w:val="0"/>
      <w:sz w:val="20"/>
      <w:szCs w:val="20"/>
    </w:rPr>
  </w:style>
  <w:style w:type="character" w:customStyle="1" w:styleId="88">
    <w:name w:val="Char Char Char"/>
    <w:qFormat/>
    <w:uiPriority w:val="0"/>
    <w:rPr>
      <w:rFonts w:ascii="Arial" w:hAnsi="Arial" w:eastAsia="黑体"/>
      <w:b/>
      <w:bCs/>
      <w:kern w:val="2"/>
      <w:sz w:val="32"/>
      <w:szCs w:val="32"/>
      <w:lang w:val="en-US" w:eastAsia="zh-CN" w:bidi="ar-SA"/>
    </w:rPr>
  </w:style>
  <w:style w:type="character" w:customStyle="1" w:styleId="89">
    <w:name w:val="title_info1"/>
    <w:qFormat/>
    <w:uiPriority w:val="0"/>
    <w:rPr>
      <w:rFonts w:hint="eastAsia" w:ascii="黑体" w:eastAsia="黑体"/>
      <w:b/>
      <w:bCs/>
      <w:sz w:val="36"/>
      <w:szCs w:val="36"/>
    </w:rPr>
  </w:style>
  <w:style w:type="character" w:customStyle="1" w:styleId="90">
    <w:name w:val="Intense Emphasis"/>
    <w:qFormat/>
    <w:uiPriority w:val="0"/>
    <w:rPr>
      <w:rFonts w:eastAsia="仿宋_GB2312"/>
      <w:bCs/>
      <w:iCs/>
      <w:color w:val="auto"/>
      <w:sz w:val="32"/>
    </w:rPr>
  </w:style>
  <w:style w:type="character" w:customStyle="1" w:styleId="91">
    <w:name w:val="font5 Char Char"/>
    <w:link w:val="92"/>
    <w:qFormat/>
    <w:uiPriority w:val="0"/>
    <w:rPr>
      <w:rFonts w:ascii="宋体" w:hAnsi="宋体" w:eastAsia="宋体"/>
      <w:sz w:val="24"/>
      <w:szCs w:val="24"/>
      <w:lang w:val="en-US" w:eastAsia="zh-CN" w:bidi="ar-SA"/>
    </w:rPr>
  </w:style>
  <w:style w:type="paragraph" w:customStyle="1" w:styleId="92">
    <w:name w:val="font5"/>
    <w:basedOn w:val="1"/>
    <w:link w:val="91"/>
    <w:qFormat/>
    <w:uiPriority w:val="0"/>
    <w:pPr>
      <w:widowControl/>
      <w:spacing w:before="100" w:beforeAutospacing="1" w:after="100" w:afterAutospacing="1"/>
      <w:jc w:val="left"/>
    </w:pPr>
    <w:rPr>
      <w:rFonts w:ascii="宋体" w:hAnsi="宋体"/>
      <w:kern w:val="0"/>
      <w:sz w:val="24"/>
    </w:rPr>
  </w:style>
  <w:style w:type="character" w:customStyle="1" w:styleId="93">
    <w:name w:val="wg正文 仿宋_GB2312 四号"/>
    <w:qFormat/>
    <w:uiPriority w:val="0"/>
    <w:rPr>
      <w:rFonts w:ascii="仿宋_GB2312" w:hAnsi="仿宋_GB2312" w:eastAsia="仿宋_GB2312"/>
      <w:sz w:val="28"/>
    </w:rPr>
  </w:style>
  <w:style w:type="character" w:customStyle="1" w:styleId="94">
    <w:name w:val="正文文字4 Char"/>
    <w:qFormat/>
    <w:uiPriority w:val="0"/>
    <w:rPr>
      <w:rFonts w:eastAsia="宋体"/>
      <w:kern w:val="2"/>
      <w:sz w:val="21"/>
      <w:szCs w:val="24"/>
      <w:lang w:bidi="ar-SA"/>
    </w:rPr>
  </w:style>
  <w:style w:type="character" w:customStyle="1" w:styleId="95">
    <w:name w:val="font161"/>
    <w:qFormat/>
    <w:uiPriority w:val="0"/>
    <w:rPr>
      <w:rFonts w:ascii="Arial" w:hAnsi="Arial" w:eastAsia="黑体"/>
      <w:b/>
      <w:bCs/>
      <w:kern w:val="2"/>
      <w:sz w:val="32"/>
      <w:szCs w:val="32"/>
      <w:lang w:val="en-US" w:eastAsia="zh-CN" w:bidi="ar-SA"/>
    </w:rPr>
  </w:style>
  <w:style w:type="character" w:customStyle="1" w:styleId="96">
    <w:name w:val="表头 Char Char Char"/>
    <w:link w:val="97"/>
    <w:qFormat/>
    <w:uiPriority w:val="0"/>
    <w:rPr>
      <w:rFonts w:ascii="黑体" w:eastAsia="黑体"/>
      <w:kern w:val="2"/>
      <w:sz w:val="28"/>
      <w:szCs w:val="24"/>
      <w:lang w:val="en-US" w:eastAsia="zh-CN" w:bidi="ar-SA"/>
    </w:rPr>
  </w:style>
  <w:style w:type="paragraph" w:customStyle="1" w:styleId="97">
    <w:name w:val="表头 Char"/>
    <w:basedOn w:val="1"/>
    <w:link w:val="96"/>
    <w:qFormat/>
    <w:uiPriority w:val="0"/>
    <w:pPr>
      <w:adjustRightInd w:val="0"/>
      <w:spacing w:beforeLines="30"/>
      <w:ind w:firstLine="100" w:firstLineChars="100"/>
    </w:pPr>
    <w:rPr>
      <w:rFonts w:ascii="黑体" w:eastAsia="黑体"/>
      <w:sz w:val="28"/>
    </w:rPr>
  </w:style>
  <w:style w:type="character" w:customStyle="1" w:styleId="98">
    <w:name w:val="Char Char23"/>
    <w:qFormat/>
    <w:uiPriority w:val="0"/>
    <w:rPr>
      <w:rFonts w:eastAsia="宋体"/>
      <w:b/>
      <w:bCs/>
      <w:kern w:val="44"/>
      <w:sz w:val="44"/>
      <w:szCs w:val="44"/>
      <w:lang w:val="en-US" w:eastAsia="zh-CN" w:bidi="ar-SA"/>
    </w:rPr>
  </w:style>
  <w:style w:type="character" w:customStyle="1" w:styleId="99">
    <w:name w:val="样式 标题 2 + Times New Roman 四号 非加粗 段前: 5 磅 段后: 0 磅 行距: 固定值 20... Char"/>
    <w:link w:val="100"/>
    <w:qFormat/>
    <w:uiPriority w:val="0"/>
    <w:rPr>
      <w:rFonts w:ascii="Times New Roman" w:hAnsi="Times New Roman" w:cs="宋体"/>
      <w:b/>
      <w:bCs/>
      <w:sz w:val="28"/>
      <w:szCs w:val="20"/>
    </w:rPr>
  </w:style>
  <w:style w:type="paragraph" w:customStyle="1" w:styleId="100">
    <w:name w:val="样式 标题 2 + Times New Roman 四号 非加粗 段前: 5 磅 段后: 0 磅 行距: 固定值 20..."/>
    <w:basedOn w:val="4"/>
    <w:link w:val="99"/>
    <w:qFormat/>
    <w:uiPriority w:val="0"/>
    <w:pPr>
      <w:spacing w:before="100" w:after="0" w:line="400" w:lineRule="exact"/>
    </w:pPr>
    <w:rPr>
      <w:rFonts w:ascii="Times New Roman" w:hAnsi="Times New Roman" w:eastAsia="宋体"/>
      <w:kern w:val="0"/>
      <w:sz w:val="28"/>
      <w:szCs w:val="20"/>
    </w:rPr>
  </w:style>
  <w:style w:type="paragraph" w:customStyle="1" w:styleId="101">
    <w:name w:val="custom_unionstyle"/>
    <w:basedOn w:val="1"/>
    <w:qFormat/>
    <w:uiPriority w:val="0"/>
    <w:pPr>
      <w:widowControl/>
      <w:spacing w:before="100" w:beforeAutospacing="1" w:after="100" w:afterAutospacing="1"/>
      <w:jc w:val="left"/>
    </w:pPr>
    <w:rPr>
      <w:rFonts w:ascii="宋体" w:hAnsi="宋体" w:cs="宋体"/>
      <w:kern w:val="0"/>
      <w:sz w:val="24"/>
    </w:rPr>
  </w:style>
  <w:style w:type="paragraph" w:customStyle="1" w:styleId="102">
    <w:name w:val="样式30"/>
    <w:basedOn w:val="1"/>
    <w:next w:val="1"/>
    <w:qFormat/>
    <w:uiPriority w:val="0"/>
    <w:pPr>
      <w:keepNext/>
      <w:keepLines/>
      <w:spacing w:before="120" w:after="120" w:line="400" w:lineRule="exact"/>
      <w:ind w:firstLine="420" w:firstLineChars="175"/>
      <w:outlineLvl w:val="3"/>
    </w:pPr>
    <w:rPr>
      <w:rFonts w:hint="eastAsia" w:eastAsia="黑体" w:cs="宋体"/>
      <w:sz w:val="24"/>
      <w:szCs w:val="20"/>
    </w:rPr>
  </w:style>
  <w:style w:type="paragraph" w:customStyle="1" w:styleId="103">
    <w:name w:val="xl31"/>
    <w:basedOn w:val="1"/>
    <w:qFormat/>
    <w:uiPriority w:val="0"/>
    <w:pPr>
      <w:widowControl/>
      <w:spacing w:before="100" w:beforeAutospacing="1" w:after="100" w:afterAutospacing="1"/>
      <w:jc w:val="center"/>
    </w:pPr>
    <w:rPr>
      <w:rFonts w:ascii="宋体" w:hAnsi="宋体"/>
      <w:kern w:val="0"/>
      <w:sz w:val="24"/>
    </w:rPr>
  </w:style>
  <w:style w:type="paragraph" w:customStyle="1" w:styleId="104">
    <w:name w:val="样式3"/>
    <w:basedOn w:val="1"/>
    <w:qFormat/>
    <w:uiPriority w:val="0"/>
    <w:rPr>
      <w:sz w:val="28"/>
    </w:rPr>
  </w:style>
  <w:style w:type="paragraph" w:customStyle="1" w:styleId="105">
    <w:name w:val="CM80"/>
    <w:basedOn w:val="106"/>
    <w:next w:val="106"/>
    <w:qFormat/>
    <w:uiPriority w:val="0"/>
    <w:pPr>
      <w:spacing w:line="440" w:lineRule="atLeast"/>
    </w:pPr>
    <w:rPr>
      <w:color w:val="auto"/>
    </w:rPr>
  </w:style>
  <w:style w:type="paragraph" w:customStyle="1" w:styleId="106">
    <w:name w:val="Default"/>
    <w:qFormat/>
    <w:uiPriority w:val="0"/>
    <w:pPr>
      <w:widowControl w:val="0"/>
      <w:autoSpaceDE w:val="0"/>
      <w:autoSpaceDN w:val="0"/>
      <w:adjustRightInd w:val="0"/>
    </w:pPr>
    <w:rPr>
      <w:rFonts w:ascii="宋体" w:hAnsi="宋体" w:cs="宋体"/>
      <w:color w:val="000000"/>
      <w:sz w:val="24"/>
      <w:szCs w:val="24"/>
      <w:lang w:val="en-US" w:eastAsia="zh-CN" w:bidi="ar-SA"/>
    </w:rPr>
  </w:style>
  <w:style w:type="paragraph" w:customStyle="1" w:styleId="107">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108">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09">
    <w:name w:val="表格文字"/>
    <w:basedOn w:val="1"/>
    <w:qFormat/>
    <w:uiPriority w:val="0"/>
    <w:pPr>
      <w:adjustRightInd w:val="0"/>
      <w:spacing w:line="420" w:lineRule="atLeast"/>
      <w:jc w:val="left"/>
      <w:textAlignment w:val="baseline"/>
    </w:pPr>
    <w:rPr>
      <w:kern w:val="0"/>
      <w:szCs w:val="20"/>
    </w:rPr>
  </w:style>
  <w:style w:type="paragraph" w:customStyle="1" w:styleId="110">
    <w:name w:val="表格"/>
    <w:basedOn w:val="1"/>
    <w:qFormat/>
    <w:uiPriority w:val="0"/>
    <w:pPr>
      <w:jc w:val="center"/>
      <w:textAlignment w:val="center"/>
    </w:pPr>
    <w:rPr>
      <w:rFonts w:ascii="华文细黑" w:hAnsi="华文细黑"/>
      <w:kern w:val="0"/>
      <w:szCs w:val="20"/>
    </w:rPr>
  </w:style>
  <w:style w:type="paragraph" w:customStyle="1" w:styleId="111">
    <w:name w:val="font7"/>
    <w:basedOn w:val="1"/>
    <w:qFormat/>
    <w:uiPriority w:val="0"/>
    <w:pPr>
      <w:widowControl/>
      <w:spacing w:before="100" w:beforeAutospacing="1" w:after="100" w:afterAutospacing="1"/>
      <w:jc w:val="left"/>
    </w:pPr>
    <w:rPr>
      <w:rFonts w:hint="eastAsia" w:ascii="宋体" w:hAnsi="宋体"/>
      <w:kern w:val="0"/>
      <w:sz w:val="28"/>
      <w:szCs w:val="28"/>
    </w:rPr>
  </w:style>
  <w:style w:type="paragraph" w:customStyle="1" w:styleId="112">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113">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cs="Arial"/>
      <w:kern w:val="0"/>
      <w:sz w:val="20"/>
      <w:szCs w:val="20"/>
    </w:rPr>
  </w:style>
  <w:style w:type="paragraph" w:customStyle="1" w:styleId="114">
    <w:name w:val="样式28"/>
    <w:basedOn w:val="1"/>
    <w:qFormat/>
    <w:uiPriority w:val="0"/>
    <w:pPr>
      <w:keepNext/>
      <w:keepLines/>
      <w:spacing w:before="100" w:line="400" w:lineRule="exact"/>
      <w:jc w:val="center"/>
      <w:outlineLvl w:val="1"/>
    </w:pPr>
    <w:rPr>
      <w:rFonts w:hint="eastAsia" w:eastAsia="黑体" w:cs="宋体"/>
      <w:sz w:val="32"/>
      <w:szCs w:val="20"/>
    </w:rPr>
  </w:style>
  <w:style w:type="paragraph" w:customStyle="1" w:styleId="115">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116">
    <w:name w:val="样式22"/>
    <w:basedOn w:val="1"/>
    <w:qFormat/>
    <w:uiPriority w:val="0"/>
    <w:pPr>
      <w:keepNext/>
      <w:keepLines/>
      <w:spacing w:before="100" w:line="400" w:lineRule="exact"/>
      <w:outlineLvl w:val="1"/>
    </w:pPr>
    <w:rPr>
      <w:rFonts w:eastAsia="黑体" w:cs="宋体"/>
      <w:sz w:val="24"/>
      <w:szCs w:val="20"/>
    </w:rPr>
  </w:style>
  <w:style w:type="paragraph" w:customStyle="1" w:styleId="117">
    <w:name w:val="样式14"/>
    <w:basedOn w:val="1"/>
    <w:qFormat/>
    <w:uiPriority w:val="0"/>
    <w:pPr>
      <w:keepNext/>
      <w:keepLines/>
      <w:spacing w:line="360" w:lineRule="auto"/>
      <w:outlineLvl w:val="2"/>
    </w:pPr>
    <w:rPr>
      <w:rFonts w:hint="eastAsia" w:eastAsia="黑体" w:cs="宋体"/>
      <w:sz w:val="24"/>
      <w:szCs w:val="20"/>
    </w:rPr>
  </w:style>
  <w:style w:type="paragraph" w:customStyle="1" w:styleId="118">
    <w:name w:val="p18"/>
    <w:basedOn w:val="1"/>
    <w:qFormat/>
    <w:uiPriority w:val="0"/>
    <w:pPr>
      <w:widowControl/>
    </w:pPr>
    <w:rPr>
      <w:kern w:val="0"/>
      <w:sz w:val="24"/>
    </w:rPr>
  </w:style>
  <w:style w:type="paragraph" w:customStyle="1" w:styleId="119">
    <w:name w:val="样式6"/>
    <w:basedOn w:val="1"/>
    <w:next w:val="1"/>
    <w:qFormat/>
    <w:uiPriority w:val="0"/>
    <w:pPr>
      <w:keepNext/>
      <w:keepLines/>
      <w:spacing w:before="120" w:afterLines="50" w:line="416" w:lineRule="auto"/>
      <w:outlineLvl w:val="1"/>
    </w:pPr>
    <w:rPr>
      <w:rFonts w:ascii="Arial" w:hAnsi="Arial" w:eastAsia="黑体"/>
      <w:b/>
      <w:bCs/>
      <w:sz w:val="24"/>
    </w:rPr>
  </w:style>
  <w:style w:type="paragraph" w:customStyle="1" w:styleId="120">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21">
    <w:name w:val="xl4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22">
    <w:name w:val="Char1"/>
    <w:basedOn w:val="1"/>
    <w:qFormat/>
    <w:uiPriority w:val="0"/>
    <w:pPr>
      <w:snapToGrid w:val="0"/>
      <w:spacing w:line="360" w:lineRule="auto"/>
      <w:ind w:firstLine="200" w:firstLineChars="200"/>
    </w:pPr>
    <w:rPr>
      <w:rFonts w:ascii="Arial" w:hAnsi="Arial" w:eastAsia="黑体"/>
      <w:szCs w:val="21"/>
    </w:rPr>
  </w:style>
  <w:style w:type="paragraph" w:customStyle="1" w:styleId="123">
    <w:name w:val="CM99"/>
    <w:basedOn w:val="106"/>
    <w:next w:val="106"/>
    <w:qFormat/>
    <w:uiPriority w:val="0"/>
    <w:pPr>
      <w:spacing w:after="443"/>
    </w:pPr>
    <w:rPr>
      <w:color w:val="auto"/>
    </w:rPr>
  </w:style>
  <w:style w:type="paragraph" w:customStyle="1" w:styleId="124">
    <w:name w:val="样式20"/>
    <w:basedOn w:val="1"/>
    <w:next w:val="1"/>
    <w:qFormat/>
    <w:uiPriority w:val="0"/>
    <w:pPr>
      <w:spacing w:line="460" w:lineRule="exact"/>
      <w:ind w:firstLine="900" w:firstLineChars="300"/>
      <w:outlineLvl w:val="0"/>
    </w:pPr>
    <w:rPr>
      <w:rFonts w:eastAsia="黑体"/>
      <w:sz w:val="30"/>
      <w:szCs w:val="30"/>
      <w:u w:val="single"/>
    </w:rPr>
  </w:style>
  <w:style w:type="paragraph" w:customStyle="1" w:styleId="125">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26">
    <w:name w:val="样式5"/>
    <w:basedOn w:val="1"/>
    <w:next w:val="1"/>
    <w:qFormat/>
    <w:uiPriority w:val="0"/>
    <w:pPr>
      <w:keepNext/>
      <w:keepLines/>
      <w:spacing w:before="120" w:afterLines="50" w:line="416" w:lineRule="auto"/>
      <w:outlineLvl w:val="1"/>
    </w:pPr>
    <w:rPr>
      <w:rFonts w:hint="eastAsia" w:ascii="Arial" w:hAnsi="Arial" w:eastAsia="黑体"/>
      <w:b/>
      <w:bCs/>
      <w:sz w:val="24"/>
    </w:rPr>
  </w:style>
  <w:style w:type="paragraph" w:customStyle="1" w:styleId="127">
    <w:name w:val="_Style 11"/>
    <w:basedOn w:val="3"/>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28">
    <w:name w:val="TOC Heading"/>
    <w:basedOn w:val="3"/>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29">
    <w:name w:val="样式15"/>
    <w:basedOn w:val="1"/>
    <w:next w:val="117"/>
    <w:qFormat/>
    <w:uiPriority w:val="0"/>
    <w:pPr>
      <w:keepNext/>
      <w:keepLines/>
      <w:spacing w:before="120" w:after="120"/>
      <w:jc w:val="center"/>
      <w:outlineLvl w:val="2"/>
    </w:pPr>
    <w:rPr>
      <w:rFonts w:hint="eastAsia" w:eastAsia="黑体"/>
      <w:sz w:val="24"/>
    </w:rPr>
  </w:style>
  <w:style w:type="paragraph" w:customStyle="1" w:styleId="130">
    <w:name w:val="样式12"/>
    <w:basedOn w:val="1"/>
    <w:next w:val="87"/>
    <w:qFormat/>
    <w:uiPriority w:val="0"/>
    <w:pPr>
      <w:spacing w:beforeLines="50" w:afterLines="50" w:line="460" w:lineRule="exact"/>
      <w:jc w:val="center"/>
    </w:pPr>
    <w:rPr>
      <w:rFonts w:hint="eastAsia"/>
    </w:rPr>
  </w:style>
  <w:style w:type="paragraph" w:customStyle="1" w:styleId="131">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cs="Arial"/>
      <w:kern w:val="0"/>
      <w:sz w:val="20"/>
      <w:szCs w:val="20"/>
    </w:rPr>
  </w:style>
  <w:style w:type="paragraph" w:customStyle="1" w:styleId="132">
    <w:name w:val="font6"/>
    <w:basedOn w:val="1"/>
    <w:qFormat/>
    <w:uiPriority w:val="0"/>
    <w:pPr>
      <w:widowControl/>
      <w:spacing w:before="100" w:beforeAutospacing="1" w:after="100" w:afterAutospacing="1"/>
      <w:jc w:val="left"/>
    </w:pPr>
    <w:rPr>
      <w:rFonts w:ascii="Arial" w:hAnsi="Arial" w:cs="Arial"/>
      <w:kern w:val="0"/>
      <w:sz w:val="20"/>
      <w:szCs w:val="20"/>
    </w:rPr>
  </w:style>
  <w:style w:type="paragraph" w:customStyle="1" w:styleId="133">
    <w:name w:val="1"/>
    <w:basedOn w:val="1"/>
    <w:next w:val="1"/>
    <w:qFormat/>
    <w:uiPriority w:val="0"/>
  </w:style>
  <w:style w:type="paragraph" w:customStyle="1" w:styleId="134">
    <w:name w:val="_Style 7"/>
    <w:basedOn w:val="3"/>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35">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36">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37">
    <w:name w:val="默认段落字体 Para Char Char Char Char"/>
    <w:basedOn w:val="1"/>
    <w:qFormat/>
    <w:uiPriority w:val="0"/>
    <w:pPr>
      <w:snapToGrid w:val="0"/>
    </w:pPr>
    <w:rPr>
      <w:rFonts w:ascii="Arial" w:hAnsi="Arial"/>
      <w:szCs w:val="21"/>
    </w:rPr>
  </w:style>
  <w:style w:type="paragraph" w:customStyle="1" w:styleId="138">
    <w:name w:val="CM49"/>
    <w:basedOn w:val="106"/>
    <w:next w:val="106"/>
    <w:qFormat/>
    <w:uiPriority w:val="0"/>
    <w:pPr>
      <w:spacing w:line="440" w:lineRule="atLeast"/>
    </w:pPr>
    <w:rPr>
      <w:color w:val="auto"/>
    </w:rPr>
  </w:style>
  <w:style w:type="paragraph" w:customStyle="1" w:styleId="139">
    <w:name w:val="样式8"/>
    <w:basedOn w:val="1"/>
    <w:qFormat/>
    <w:uiPriority w:val="0"/>
    <w:pPr>
      <w:keepNext/>
      <w:keepLines/>
      <w:snapToGrid w:val="0"/>
      <w:spacing w:before="120" w:after="120"/>
      <w:jc w:val="center"/>
      <w:outlineLvl w:val="2"/>
    </w:pPr>
    <w:rPr>
      <w:rFonts w:hint="eastAsia" w:ascii="宋体" w:hAnsi="宋体" w:eastAsia="黑体"/>
      <w:b/>
      <w:bCs/>
      <w:sz w:val="20"/>
    </w:rPr>
  </w:style>
  <w:style w:type="paragraph" w:customStyle="1" w:styleId="140">
    <w:name w:val="样式9"/>
    <w:basedOn w:val="1"/>
    <w:qFormat/>
    <w:uiPriority w:val="0"/>
    <w:pPr>
      <w:keepNext/>
      <w:keepLines/>
      <w:spacing w:before="120" w:afterLines="50" w:line="416" w:lineRule="auto"/>
      <w:jc w:val="center"/>
      <w:outlineLvl w:val="1"/>
    </w:pPr>
    <w:rPr>
      <w:rFonts w:hint="eastAsia" w:ascii="Arial" w:hAnsi="Arial" w:eastAsia="黑体"/>
      <w:b/>
      <w:bCs/>
      <w:sz w:val="32"/>
      <w:szCs w:val="32"/>
    </w:rPr>
  </w:style>
  <w:style w:type="paragraph" w:customStyle="1" w:styleId="141">
    <w:name w:val="样式11"/>
    <w:basedOn w:val="1"/>
    <w:next w:val="87"/>
    <w:qFormat/>
    <w:uiPriority w:val="0"/>
    <w:pPr>
      <w:keepNext/>
      <w:keepLines/>
      <w:spacing w:before="120" w:after="120"/>
      <w:jc w:val="center"/>
      <w:outlineLvl w:val="2"/>
    </w:pPr>
    <w:rPr>
      <w:rFonts w:hint="eastAsia" w:eastAsia="黑体"/>
      <w:sz w:val="24"/>
    </w:rPr>
  </w:style>
  <w:style w:type="paragraph" w:customStyle="1" w:styleId="142">
    <w:name w:val="WPSOffice手动目录 2"/>
    <w:qFormat/>
    <w:uiPriority w:val="0"/>
    <w:pPr>
      <w:ind w:left="200" w:leftChars="200"/>
    </w:pPr>
    <w:rPr>
      <w:lang w:val="en-US" w:eastAsia="zh-CN" w:bidi="ar-SA"/>
    </w:rPr>
  </w:style>
  <w:style w:type="paragraph" w:customStyle="1" w:styleId="143">
    <w:name w:val="WPSOffice手动目录 3"/>
    <w:qFormat/>
    <w:uiPriority w:val="0"/>
    <w:pPr>
      <w:ind w:left="400" w:leftChars="400"/>
    </w:pPr>
    <w:rPr>
      <w:lang w:val="en-US" w:eastAsia="zh-CN" w:bidi="ar-SA"/>
    </w:rPr>
  </w:style>
  <w:style w:type="paragraph" w:customStyle="1" w:styleId="144">
    <w:name w:val="样式16"/>
    <w:basedOn w:val="1"/>
    <w:next w:val="117"/>
    <w:qFormat/>
    <w:uiPriority w:val="0"/>
    <w:pPr>
      <w:spacing w:beforeLines="50" w:afterLines="50" w:line="460" w:lineRule="exact"/>
      <w:jc w:val="center"/>
    </w:pPr>
    <w:rPr>
      <w:rFonts w:hint="eastAsia"/>
    </w:rPr>
  </w:style>
  <w:style w:type="paragraph" w:customStyle="1" w:styleId="145">
    <w:name w:val="_Style 10"/>
    <w:basedOn w:val="3"/>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46">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47">
    <w:name w:val="Char Char Char Char"/>
    <w:basedOn w:val="1"/>
    <w:qFormat/>
    <w:uiPriority w:val="0"/>
    <w:pPr>
      <w:adjustRightInd w:val="0"/>
      <w:spacing w:line="360" w:lineRule="atLeast"/>
    </w:pPr>
    <w:rPr>
      <w:szCs w:val="21"/>
    </w:rPr>
  </w:style>
  <w:style w:type="paragraph" w:customStyle="1" w:styleId="148">
    <w:name w:val="样式25"/>
    <w:basedOn w:val="1"/>
    <w:qFormat/>
    <w:uiPriority w:val="0"/>
    <w:pPr>
      <w:keepNext/>
      <w:keepLines/>
      <w:snapToGrid w:val="0"/>
      <w:spacing w:before="120" w:after="120"/>
      <w:jc w:val="left"/>
      <w:outlineLvl w:val="2"/>
    </w:pPr>
    <w:rPr>
      <w:rFonts w:hint="eastAsia" w:ascii="宋体" w:hAnsi="宋体"/>
      <w:b/>
      <w:bCs/>
      <w:color w:val="000000"/>
      <w:sz w:val="24"/>
    </w:rPr>
  </w:style>
  <w:style w:type="paragraph" w:customStyle="1" w:styleId="149">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50">
    <w:name w:val="样式7"/>
    <w:basedOn w:val="1"/>
    <w:qFormat/>
    <w:uiPriority w:val="0"/>
    <w:pPr>
      <w:tabs>
        <w:tab w:val="right" w:leader="dot" w:pos="8312"/>
      </w:tabs>
      <w:ind w:left="210"/>
      <w:jc w:val="left"/>
    </w:pPr>
    <w:rPr>
      <w:rFonts w:hint="eastAsia"/>
      <w:smallCaps/>
      <w:sz w:val="20"/>
    </w:rPr>
  </w:style>
  <w:style w:type="paragraph" w:customStyle="1" w:styleId="151">
    <w:name w:val="xl47"/>
    <w:basedOn w:val="1"/>
    <w:qFormat/>
    <w:uiPriority w:val="0"/>
    <w:pPr>
      <w:widowControl/>
      <w:spacing w:before="100" w:beforeAutospacing="1" w:after="100" w:afterAutospacing="1"/>
      <w:jc w:val="center"/>
    </w:pPr>
    <w:rPr>
      <w:rFonts w:ascii="宋体" w:hAnsi="宋体"/>
      <w:kern w:val="0"/>
      <w:sz w:val="28"/>
      <w:szCs w:val="28"/>
    </w:rPr>
  </w:style>
  <w:style w:type="paragraph" w:customStyle="1" w:styleId="152">
    <w:name w:val="样式17"/>
    <w:basedOn w:val="1"/>
    <w:next w:val="87"/>
    <w:qFormat/>
    <w:uiPriority w:val="0"/>
    <w:pPr>
      <w:spacing w:beforeLines="50" w:afterLines="50" w:line="460" w:lineRule="exact"/>
      <w:jc w:val="center"/>
    </w:pPr>
    <w:rPr>
      <w:rFonts w:hint="eastAsia"/>
    </w:rPr>
  </w:style>
  <w:style w:type="paragraph" w:customStyle="1" w:styleId="153">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54">
    <w:name w:val="CM34"/>
    <w:basedOn w:val="106"/>
    <w:next w:val="106"/>
    <w:qFormat/>
    <w:uiPriority w:val="0"/>
    <w:pPr>
      <w:spacing w:line="398" w:lineRule="atLeast"/>
    </w:pPr>
    <w:rPr>
      <w:color w:val="auto"/>
    </w:rPr>
  </w:style>
  <w:style w:type="paragraph" w:customStyle="1" w:styleId="155">
    <w:name w:val="样式27"/>
    <w:basedOn w:val="1"/>
    <w:qFormat/>
    <w:uiPriority w:val="0"/>
    <w:pPr>
      <w:keepNext/>
      <w:keepLines/>
      <w:spacing w:before="100" w:line="400" w:lineRule="exact"/>
      <w:jc w:val="center"/>
      <w:outlineLvl w:val="1"/>
    </w:pPr>
    <w:rPr>
      <w:rFonts w:hint="eastAsia" w:eastAsia="黑体" w:cs="宋体"/>
      <w:sz w:val="32"/>
      <w:szCs w:val="20"/>
    </w:rPr>
  </w:style>
  <w:style w:type="paragraph" w:customStyle="1" w:styleId="156">
    <w:name w:val="样式31"/>
    <w:basedOn w:val="1"/>
    <w:next w:val="1"/>
    <w:qFormat/>
    <w:uiPriority w:val="0"/>
    <w:pPr>
      <w:keepNext/>
      <w:keepLines/>
      <w:spacing w:before="120" w:after="120" w:line="400" w:lineRule="exact"/>
      <w:ind w:firstLine="420" w:firstLineChars="175"/>
      <w:outlineLvl w:val="3"/>
    </w:pPr>
    <w:rPr>
      <w:rFonts w:hint="eastAsia" w:eastAsia="黑体" w:cs="宋体"/>
      <w:sz w:val="24"/>
      <w:szCs w:val="20"/>
    </w:rPr>
  </w:style>
  <w:style w:type="paragraph" w:customStyle="1" w:styleId="157">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 w:val="24"/>
    </w:rPr>
  </w:style>
  <w:style w:type="paragraph" w:customStyle="1" w:styleId="158">
    <w:name w:val="样式19"/>
    <w:basedOn w:val="1"/>
    <w:qFormat/>
    <w:uiPriority w:val="0"/>
    <w:pPr>
      <w:keepNext/>
      <w:keepLines/>
      <w:snapToGrid w:val="0"/>
      <w:spacing w:before="120" w:after="120"/>
      <w:jc w:val="center"/>
      <w:outlineLvl w:val="2"/>
    </w:pPr>
    <w:rPr>
      <w:rFonts w:hint="eastAsia" w:ascii="宋体" w:hAnsi="宋体"/>
      <w:b/>
      <w:bCs/>
      <w:color w:val="FF0000"/>
      <w:sz w:val="24"/>
    </w:rPr>
  </w:style>
  <w:style w:type="paragraph" w:customStyle="1" w:styleId="159">
    <w:name w:val="默认段落字体 Para Char Char Char Char Char Char Char"/>
    <w:basedOn w:val="1"/>
    <w:qFormat/>
    <w:uiPriority w:val="0"/>
    <w:pPr>
      <w:adjustRightInd w:val="0"/>
      <w:spacing w:line="360" w:lineRule="auto"/>
      <w:ind w:left="200" w:hanging="200" w:hangingChars="200"/>
    </w:pPr>
    <w:rPr>
      <w:kern w:val="0"/>
      <w:sz w:val="24"/>
      <w:szCs w:val="20"/>
    </w:rPr>
  </w:style>
  <w:style w:type="paragraph" w:customStyle="1" w:styleId="160">
    <w:name w:val="样式 WG标题3居中 + 行距: 固定值 18 磅"/>
    <w:basedOn w:val="1"/>
    <w:qFormat/>
    <w:uiPriority w:val="0"/>
    <w:pPr>
      <w:spacing w:before="100" w:beforeAutospacing="1" w:after="100" w:afterAutospacing="1" w:line="360" w:lineRule="exact"/>
      <w:jc w:val="center"/>
      <w:outlineLvl w:val="2"/>
    </w:pPr>
    <w:rPr>
      <w:rFonts w:cs="宋体"/>
      <w:b/>
      <w:bCs/>
      <w:sz w:val="32"/>
      <w:szCs w:val="20"/>
    </w:rPr>
  </w:style>
  <w:style w:type="paragraph" w:customStyle="1" w:styleId="161">
    <w:name w:val="WPSOffice手动目录 1"/>
    <w:qFormat/>
    <w:uiPriority w:val="0"/>
    <w:rPr>
      <w:lang w:val="en-US" w:eastAsia="zh-CN" w:bidi="ar-SA"/>
    </w:rPr>
  </w:style>
  <w:style w:type="paragraph" w:customStyle="1" w:styleId="162">
    <w:name w:val="样式29"/>
    <w:basedOn w:val="1"/>
    <w:next w:val="1"/>
    <w:qFormat/>
    <w:uiPriority w:val="0"/>
    <w:pPr>
      <w:keepNext/>
      <w:keepLines/>
      <w:spacing w:before="260" w:after="260" w:line="416" w:lineRule="auto"/>
      <w:jc w:val="center"/>
      <w:outlineLvl w:val="1"/>
    </w:pPr>
    <w:rPr>
      <w:rFonts w:ascii="Arial" w:hAnsi="Arial" w:eastAsia="黑体"/>
      <w:b/>
      <w:bCs/>
      <w:sz w:val="24"/>
    </w:rPr>
  </w:style>
  <w:style w:type="paragraph" w:customStyle="1" w:styleId="163">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164">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165">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66">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167">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168">
    <w:name w:val="样式26"/>
    <w:basedOn w:val="1"/>
    <w:next w:val="1"/>
    <w:qFormat/>
    <w:uiPriority w:val="0"/>
    <w:pPr>
      <w:keepNext/>
      <w:keepLines/>
      <w:spacing w:before="260" w:after="260" w:line="416" w:lineRule="auto"/>
      <w:jc w:val="center"/>
      <w:outlineLvl w:val="1"/>
    </w:pPr>
    <w:rPr>
      <w:rFonts w:hint="eastAsia" w:ascii="Arial" w:hAnsi="Arial" w:eastAsia="黑体"/>
      <w:sz w:val="32"/>
      <w:szCs w:val="32"/>
    </w:rPr>
  </w:style>
  <w:style w:type="paragraph" w:customStyle="1" w:styleId="169">
    <w:name w:val="样式21"/>
    <w:basedOn w:val="1"/>
    <w:next w:val="1"/>
    <w:qFormat/>
    <w:uiPriority w:val="0"/>
    <w:pPr>
      <w:keepNext/>
      <w:keepLines/>
      <w:spacing w:before="260" w:after="260" w:line="416" w:lineRule="auto"/>
      <w:outlineLvl w:val="1"/>
    </w:pPr>
    <w:rPr>
      <w:rFonts w:ascii="Arial" w:hAnsi="Arial" w:eastAsia="黑体"/>
      <w:b/>
      <w:bCs/>
      <w:sz w:val="24"/>
      <w:szCs w:val="32"/>
    </w:rPr>
  </w:style>
  <w:style w:type="paragraph" w:customStyle="1" w:styleId="170">
    <w:name w:val="样式1"/>
    <w:basedOn w:val="4"/>
    <w:qFormat/>
    <w:uiPriority w:val="0"/>
    <w:pPr>
      <w:spacing w:before="120" w:after="120" w:line="400" w:lineRule="exact"/>
    </w:pPr>
    <w:rPr>
      <w:rFonts w:ascii="黑体" w:hAnsi="黑体"/>
      <w:b w:val="0"/>
      <w:bCs w:val="0"/>
    </w:rPr>
  </w:style>
  <w:style w:type="paragraph" w:customStyle="1" w:styleId="171">
    <w:name w:val="标题2"/>
    <w:basedOn w:val="4"/>
    <w:next w:val="1"/>
    <w:qFormat/>
    <w:uiPriority w:val="0"/>
    <w:pPr>
      <w:snapToGrid w:val="0"/>
      <w:spacing w:before="120" w:after="120" w:line="240" w:lineRule="auto"/>
      <w:jc w:val="left"/>
    </w:pPr>
    <w:rPr>
      <w:b w:val="0"/>
      <w:bCs w:val="0"/>
      <w:sz w:val="21"/>
      <w:szCs w:val="21"/>
    </w:rPr>
  </w:style>
  <w:style w:type="paragraph" w:customStyle="1" w:styleId="172">
    <w:name w:val="CM1"/>
    <w:basedOn w:val="106"/>
    <w:next w:val="106"/>
    <w:qFormat/>
    <w:uiPriority w:val="0"/>
    <w:rPr>
      <w:color w:val="auto"/>
    </w:rPr>
  </w:style>
  <w:style w:type="paragraph" w:customStyle="1" w:styleId="173">
    <w:name w:val="样式2"/>
    <w:basedOn w:val="104"/>
    <w:qFormat/>
    <w:uiPriority w:val="0"/>
    <w:rPr>
      <w:kern w:val="0"/>
    </w:rPr>
  </w:style>
  <w:style w:type="paragraph" w:customStyle="1" w:styleId="174">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75">
    <w:name w:val="样式18"/>
    <w:basedOn w:val="1"/>
    <w:next w:val="1"/>
    <w:qFormat/>
    <w:uiPriority w:val="0"/>
    <w:pPr>
      <w:keepNext/>
      <w:keepLines/>
      <w:spacing w:before="120" w:after="120" w:line="400" w:lineRule="exact"/>
      <w:jc w:val="center"/>
      <w:outlineLvl w:val="0"/>
    </w:pPr>
    <w:rPr>
      <w:rFonts w:hint="eastAsia" w:eastAsia="黑体" w:cs="宋体"/>
      <w:kern w:val="44"/>
      <w:sz w:val="24"/>
      <w:szCs w:val="20"/>
    </w:rPr>
  </w:style>
  <w:style w:type="paragraph" w:customStyle="1" w:styleId="176">
    <w:name w:val="5正文 Char"/>
    <w:basedOn w:val="1"/>
    <w:next w:val="1"/>
    <w:qFormat/>
    <w:uiPriority w:val="0"/>
    <w:pPr>
      <w:spacing w:line="360" w:lineRule="auto"/>
      <w:ind w:firstLine="480" w:firstLineChars="200"/>
      <w:jc w:val="left"/>
    </w:pPr>
    <w:rPr>
      <w:rFonts w:eastAsia="仿宋_GB2312"/>
      <w:sz w:val="24"/>
    </w:rPr>
  </w:style>
  <w:style w:type="paragraph" w:customStyle="1" w:styleId="177">
    <w:name w:val="(1)"/>
    <w:basedOn w:val="1"/>
    <w:next w:val="1"/>
    <w:qFormat/>
    <w:uiPriority w:val="0"/>
    <w:pPr>
      <w:tabs>
        <w:tab w:val="left" w:pos="780"/>
      </w:tabs>
      <w:ind w:left="780" w:leftChars="200" w:hanging="360" w:hangingChars="200"/>
    </w:pPr>
    <w:rPr>
      <w:sz w:val="24"/>
      <w:szCs w:val="20"/>
    </w:rPr>
  </w:style>
  <w:style w:type="paragraph" w:customStyle="1" w:styleId="178">
    <w:name w:val="样式23"/>
    <w:basedOn w:val="1"/>
    <w:qFormat/>
    <w:uiPriority w:val="0"/>
    <w:pPr>
      <w:keepNext/>
      <w:keepLines/>
      <w:snapToGrid w:val="0"/>
      <w:spacing w:before="120" w:after="120"/>
      <w:jc w:val="center"/>
      <w:outlineLvl w:val="2"/>
    </w:pPr>
    <w:rPr>
      <w:rFonts w:hint="eastAsia" w:ascii="宋体" w:hAnsi="宋体"/>
      <w:b/>
      <w:bCs/>
      <w:color w:val="000000"/>
      <w:sz w:val="24"/>
    </w:rPr>
  </w:style>
  <w:style w:type="paragraph" w:customStyle="1" w:styleId="179">
    <w:name w:val="Revision"/>
    <w:unhideWhenUsed/>
    <w:qFormat/>
    <w:uiPriority w:val="99"/>
    <w:rPr>
      <w:kern w:val="2"/>
      <w:sz w:val="21"/>
      <w:szCs w:val="24"/>
      <w:lang w:val="en-US" w:eastAsia="zh-CN" w:bidi="ar-SA"/>
    </w:rPr>
  </w:style>
  <w:style w:type="paragraph" w:customStyle="1" w:styleId="180">
    <w:name w:val="样式13"/>
    <w:basedOn w:val="1"/>
    <w:next w:val="6"/>
    <w:qFormat/>
    <w:uiPriority w:val="0"/>
    <w:pPr>
      <w:keepNext/>
      <w:keepLines/>
      <w:spacing w:before="120" w:after="120"/>
      <w:jc w:val="center"/>
      <w:outlineLvl w:val="2"/>
    </w:pPr>
    <w:rPr>
      <w:rFonts w:hint="eastAsia" w:eastAsia="黑体"/>
      <w:sz w:val="24"/>
    </w:rPr>
  </w:style>
  <w:style w:type="paragraph" w:customStyle="1" w:styleId="181">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82">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cs="Arial"/>
      <w:kern w:val="0"/>
      <w:sz w:val="20"/>
      <w:szCs w:val="20"/>
    </w:rPr>
  </w:style>
  <w:style w:type="paragraph" w:customStyle="1" w:styleId="183">
    <w:name w:val="样式10"/>
    <w:basedOn w:val="1"/>
    <w:qFormat/>
    <w:uiPriority w:val="0"/>
    <w:pPr>
      <w:keepNext/>
      <w:keepLines/>
      <w:snapToGrid w:val="0"/>
      <w:spacing w:before="120" w:after="120"/>
      <w:jc w:val="center"/>
      <w:outlineLvl w:val="2"/>
    </w:pPr>
    <w:rPr>
      <w:rFonts w:hint="eastAsia" w:ascii="宋体" w:hAnsi="宋体"/>
      <w:b/>
      <w:bCs/>
      <w:sz w:val="32"/>
    </w:rPr>
  </w:style>
  <w:style w:type="paragraph" w:customStyle="1" w:styleId="184">
    <w:name w:val="Char"/>
    <w:basedOn w:val="1"/>
    <w:qFormat/>
    <w:uiPriority w:val="0"/>
    <w:pPr>
      <w:snapToGrid w:val="0"/>
      <w:spacing w:line="360" w:lineRule="auto"/>
      <w:ind w:firstLine="200" w:firstLineChars="200"/>
    </w:pPr>
    <w:rPr>
      <w:rFonts w:ascii="Arial" w:hAnsi="Arial" w:eastAsia="黑体"/>
      <w:szCs w:val="21"/>
    </w:rPr>
  </w:style>
  <w:style w:type="paragraph" w:customStyle="1" w:styleId="185">
    <w:name w:val="表格2"/>
    <w:basedOn w:val="1"/>
    <w:qFormat/>
    <w:uiPriority w:val="0"/>
    <w:pPr>
      <w:adjustRightInd w:val="0"/>
      <w:spacing w:before="60" w:after="60"/>
      <w:jc w:val="center"/>
    </w:pPr>
    <w:rPr>
      <w:rFonts w:ascii="宋体"/>
      <w:color w:val="000000"/>
      <w:kern w:val="0"/>
      <w:sz w:val="24"/>
      <w:szCs w:val="20"/>
    </w:rPr>
  </w:style>
  <w:style w:type="paragraph" w:customStyle="1" w:styleId="186">
    <w:name w:val="样式24"/>
    <w:basedOn w:val="1"/>
    <w:qFormat/>
    <w:uiPriority w:val="0"/>
    <w:pPr>
      <w:keepNext/>
      <w:keepLines/>
      <w:snapToGrid w:val="0"/>
      <w:spacing w:before="120" w:after="120"/>
      <w:jc w:val="left"/>
      <w:outlineLvl w:val="2"/>
    </w:pPr>
    <w:rPr>
      <w:rFonts w:hint="eastAsia" w:ascii="宋体" w:hAnsi="宋体"/>
      <w:b/>
      <w:bCs/>
      <w:color w:val="000000"/>
      <w:sz w:val="24"/>
    </w:rPr>
  </w:style>
  <w:style w:type="paragraph" w:customStyle="1" w:styleId="187">
    <w:name w:val="CM91"/>
    <w:basedOn w:val="1"/>
    <w:next w:val="1"/>
    <w:qFormat/>
    <w:uiPriority w:val="0"/>
    <w:pPr>
      <w:autoSpaceDE w:val="0"/>
      <w:autoSpaceDN w:val="0"/>
      <w:adjustRightInd w:val="0"/>
      <w:spacing w:after="160"/>
      <w:jc w:val="left"/>
    </w:pPr>
    <w:rPr>
      <w:rFonts w:ascii="宋体" w:cs="宋体"/>
      <w:kern w:val="0"/>
      <w:sz w:val="24"/>
    </w:rPr>
  </w:style>
  <w:style w:type="paragraph" w:customStyle="1" w:styleId="188">
    <w:name w:val="Body text|1"/>
    <w:basedOn w:val="1"/>
    <w:qFormat/>
    <w:uiPriority w:val="0"/>
    <w:pPr>
      <w:widowControl w:val="0"/>
      <w:shd w:val="clear" w:color="auto" w:fill="auto"/>
      <w:spacing w:line="470" w:lineRule="auto"/>
      <w:ind w:firstLine="400"/>
    </w:pPr>
    <w:rPr>
      <w:rFonts w:ascii="宋体" w:hAnsi="宋体" w:eastAsia="宋体" w:cs="宋体"/>
      <w:sz w:val="28"/>
      <w:szCs w:val="28"/>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4.emf"/><Relationship Id="rId32" Type="http://schemas.openxmlformats.org/officeDocument/2006/relationships/image" Target="media/image3.jpeg"/><Relationship Id="rId31" Type="http://schemas.openxmlformats.org/officeDocument/2006/relationships/image" Target="media/image2.wmf"/><Relationship Id="rId30" Type="http://schemas.openxmlformats.org/officeDocument/2006/relationships/oleObject" Target="embeddings/oleObject1.bin"/><Relationship Id="rId3" Type="http://schemas.openxmlformats.org/officeDocument/2006/relationships/header" Target="header1.xml"/><Relationship Id="rId29" Type="http://schemas.openxmlformats.org/officeDocument/2006/relationships/image" Target="media/image1.png"/><Relationship Id="rId28" Type="http://schemas.openxmlformats.org/officeDocument/2006/relationships/theme" Target="theme/theme1.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header" Target="header4.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home\greatwall\E:\&#31034;&#33539;&#25991;&#26412;32G-U&#22791;&#20221;&#36164;&#26009;\20220221&#29256;%20&#12298;&#31034;&#33539;&#25991;&#26412;&#65288;2021&#24180;&#29256;&#65289;&#12299;&#65288;&#36865;&#23457;&#31295;&#65289;&#26368;&#32456;&#29256;.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20220221版 《示范文本（2021年版）》（送审稿）最终版.dot</Template>
  <Company>Microsoft</Company>
  <Pages>347</Pages>
  <Words>149939</Words>
  <Characters>159966</Characters>
  <Lines>1432</Lines>
  <Paragraphs>403</Paragraphs>
  <TotalTime>3</TotalTime>
  <ScaleCrop>false</ScaleCrop>
  <LinksUpToDate>false</LinksUpToDate>
  <CharactersWithSpaces>178499</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2022-07-18T08:57:00Z</dcterms:created>
  <dc:creator>微信用户</dc:creator>
  <cp:lastModifiedBy>万全鹏</cp:lastModifiedBy>
  <cp:lastPrinted>2022-06-16T09:45:00Z</cp:lastPrinted>
  <dcterms:modified xsi:type="dcterms:W3CDTF">2022-08-16T01:01:17Z</dcterms:modified>
  <dc:title>湖北省水利水电工程施工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4CE7E70D59244D0A9DB3DEC13D2C8C73</vt:lpwstr>
  </property>
</Properties>
</file>