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  <w:lang w:bidi="ar"/>
        </w:rPr>
        <w:t>附件3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szCs w:val="32"/>
          <w:lang w:bidi="ar"/>
        </w:rPr>
      </w:pPr>
      <w:bookmarkStart w:id="0" w:name="_GoBack"/>
      <w:r>
        <w:rPr>
          <w:rFonts w:eastAsia="方正小标宋简体"/>
          <w:szCs w:val="32"/>
          <w:lang w:bidi="ar"/>
        </w:rPr>
        <w:t>第三次全国土壤普查理化性状检测主要仪器设备</w:t>
      </w:r>
      <w:bookmarkEnd w:id="0"/>
    </w:p>
    <w:tbl>
      <w:tblPr>
        <w:tblStyle w:val="2"/>
        <w:tblW w:w="96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443"/>
        <w:gridCol w:w="1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类  别</w:t>
            </w:r>
          </w:p>
        </w:tc>
        <w:tc>
          <w:tcPr>
            <w:tcW w:w="64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名  称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数量（台/套）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制样设备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视频监控设备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研磨设备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筛分设备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称样设备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百分之一电子天平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万分之一电子天平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物理指标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测定仪器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设备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颗粒分析自控吸液仪或土壤颗粒分析吸管仪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或土壤比重计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直径20cm，高5cm，孔径为10mm、7mm、5mm、3mm、1mm、0.5mm、0.25mm的土壤筛组和孔径为5mm、3mm、2mm、1mm、0.5mm、0.25mm的土壤筛组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样品前处理设备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微波消解仪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可控温电热消解仪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恒温油浴箱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恒温振荡器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马弗炉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铂金坩埚（30mL）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化学性质及重金属检测仪器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定氮仪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酸度计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电导率仪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分光光度计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火焰光度计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原子荧光光谱仪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火焰原子吸收分光光度计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石墨炉原子吸收分光光度计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电感耦合等离子体发射光谱仪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Cs w:val="2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电感耦合等离子体质谱仪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≥1</w:t>
            </w:r>
          </w:p>
        </w:tc>
      </w:tr>
    </w:tbl>
    <w:p>
      <w:pPr>
        <w:ind w:firstLine="632"/>
        <w:rPr>
          <w:rFonts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3F27832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3F27832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2022-09-27T00:42:00Z</dcterms:created>
  <dc:creator>万全鹏</dc:creator>
  <cp:lastModifiedBy>万全鹏</cp:lastModifiedBy>
  <dcterms:modified xsi:type="dcterms:W3CDTF">2022-09-27T00:42:27Z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9FEF1121FE214EABBDF98487988D6C28</vt:lpwstr>
  </property>
</Properties>
</file>