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jc w:val="both"/>
        <w:textAlignment w:val="auto"/>
        <w:rPr>
          <w:rFonts w:ascii="方正仿宋_GB2312" w:hAnsi="方正仿宋_GB2312" w:eastAsia="方正仿宋_GB2312" w:cs="方正仿宋_GB2312"/>
          <w:sz w:val="32"/>
          <w:szCs w:val="32"/>
          <w:shd w:val="clear" w:color="auto" w:fill="FFFFFF"/>
        </w:rPr>
      </w:pPr>
      <w:bookmarkStart w:id="0" w:name="_GoBack"/>
      <w:bookmarkEnd w:id="0"/>
      <w:r>
        <w:rPr>
          <w:rFonts w:hint="eastAsia" w:ascii="黑体" w:hAnsi="宋体" w:eastAsia="黑体" w:cs="黑体"/>
          <w:sz w:val="32"/>
          <w:szCs w:val="32"/>
        </w:rPr>
        <w:t>附件：</w:t>
      </w:r>
    </w:p>
    <w:p>
      <w:pPr>
        <w:keepNext w:val="0"/>
        <w:keepLines w:val="0"/>
        <w:pageBreakBefore w:val="0"/>
        <w:kinsoku/>
        <w:wordWrap/>
        <w:overflowPunct/>
        <w:topLinePunct w:val="0"/>
        <w:autoSpaceDE/>
        <w:autoSpaceDN/>
        <w:bidi w:val="0"/>
        <w:adjustRightInd/>
        <w:snapToGrid/>
        <w:spacing w:line="360" w:lineRule="auto"/>
        <w:jc w:val="center"/>
        <w:textAlignment w:val="auto"/>
        <w:rPr>
          <w:rStyle w:val="13"/>
          <w:rFonts w:hint="eastAsia" w:ascii="方正小标宋_GBK" w:hAnsi="方正小标宋_GBK" w:eastAsia="方正小标宋_GBK" w:cs="方正小标宋_GBK"/>
          <w:color w:val="auto"/>
          <w:sz w:val="36"/>
          <w:szCs w:val="36"/>
        </w:rPr>
      </w:pPr>
      <w:r>
        <w:rPr>
          <w:rStyle w:val="13"/>
          <w:rFonts w:hint="eastAsia" w:ascii="方正小标宋_GBK" w:hAnsi="方正小标宋_GBK" w:eastAsia="方正小标宋_GBK" w:cs="方正小标宋_GBK"/>
          <w:color w:val="auto"/>
          <w:sz w:val="36"/>
          <w:szCs w:val="36"/>
        </w:rPr>
        <w:t>《湖南省高标准农田建设设计、施工、监理合同履约考核评价办法（试行）》</w:t>
      </w:r>
    </w:p>
    <w:p>
      <w:pPr>
        <w:keepNext w:val="0"/>
        <w:keepLines w:val="0"/>
        <w:pageBreakBefore w:val="0"/>
        <w:kinsoku/>
        <w:wordWrap/>
        <w:overflowPunct/>
        <w:topLinePunct w:val="0"/>
        <w:autoSpaceDE/>
        <w:autoSpaceDN/>
        <w:bidi w:val="0"/>
        <w:adjustRightInd/>
        <w:snapToGrid/>
        <w:spacing w:line="360" w:lineRule="auto"/>
        <w:jc w:val="center"/>
        <w:textAlignment w:val="auto"/>
        <w:rPr>
          <w:rStyle w:val="13"/>
          <w:rFonts w:hint="eastAsia" w:ascii="方正小标宋_GBK" w:hAnsi="方正小标宋_GBK" w:eastAsia="方正小标宋_GBK" w:cs="方正小标宋_GBK"/>
          <w:color w:val="auto"/>
          <w:sz w:val="36"/>
          <w:szCs w:val="36"/>
        </w:rPr>
      </w:pPr>
      <w:r>
        <w:rPr>
          <w:rStyle w:val="13"/>
          <w:rFonts w:hint="eastAsia" w:ascii="方正小标宋_GBK" w:hAnsi="方正小标宋_GBK" w:eastAsia="方正小标宋_GBK" w:cs="方正小标宋_GBK"/>
          <w:color w:val="auto"/>
          <w:sz w:val="36"/>
          <w:szCs w:val="36"/>
        </w:rPr>
        <w:t>（征求意见稿）——听证会意见采纳情况</w:t>
      </w:r>
    </w:p>
    <w:tbl>
      <w:tblPr>
        <w:tblStyle w:val="10"/>
        <w:tblW w:w="153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1"/>
        <w:gridCol w:w="961"/>
        <w:gridCol w:w="2089"/>
        <w:gridCol w:w="5313"/>
        <w:gridCol w:w="1088"/>
        <w:gridCol w:w="5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序号</w:t>
            </w:r>
          </w:p>
        </w:tc>
        <w:tc>
          <w:tcPr>
            <w:tcW w:w="96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听证代表及单位</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章节编号</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意见</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采纳情况</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default" w:ascii="Times New Roman" w:hAnsi="Times New Roman" w:eastAsia="仿宋" w:cs="Times New Roman"/>
                <w:color w:val="auto"/>
                <w:sz w:val="21"/>
                <w:szCs w:val="21"/>
                <w:highlight w:val="none"/>
              </w:rPr>
              <w:t>1</w:t>
            </w:r>
          </w:p>
        </w:tc>
        <w:tc>
          <w:tcPr>
            <w:tcW w:w="96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2"/>
                <w:sz w:val="21"/>
                <w:szCs w:val="21"/>
                <w:highlight w:val="none"/>
                <w:lang w:val="en-US" w:eastAsia="zh-CN"/>
              </w:rPr>
            </w:pPr>
            <w:r>
              <w:rPr>
                <w:rFonts w:hint="default" w:ascii="Times New Roman" w:hAnsi="Times New Roman" w:eastAsia="仿宋" w:cs="Times New Roman"/>
                <w:color w:val="auto"/>
                <w:kern w:val="2"/>
                <w:sz w:val="21"/>
                <w:szCs w:val="21"/>
                <w:highlight w:val="none"/>
                <w:lang w:val="en-US" w:eastAsia="zh-CN"/>
              </w:rPr>
              <w:t>唐倩</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eastAsia="zh-CN"/>
              </w:rPr>
              <w:t>第二章</w:t>
            </w:r>
            <w:r>
              <w:rPr>
                <w:rFonts w:hint="eastAsia" w:ascii="Times New Roman" w:hAnsi="Times New Roman" w:eastAsia="仿宋" w:cs="Times New Roman"/>
                <w:color w:val="auto"/>
                <w:sz w:val="21"/>
                <w:szCs w:val="21"/>
                <w:highlight w:val="none"/>
                <w:lang w:eastAsia="zh-CN"/>
              </w:rPr>
              <w:t>考核评价</w:t>
            </w:r>
            <w:r>
              <w:rPr>
                <w:rFonts w:hint="default" w:ascii="Times New Roman" w:hAnsi="Times New Roman" w:eastAsia="仿宋" w:cs="Times New Roman"/>
                <w:color w:val="auto"/>
                <w:sz w:val="21"/>
                <w:szCs w:val="21"/>
                <w:highlight w:val="none"/>
                <w:lang w:val="en-US" w:eastAsia="zh-CN"/>
              </w:rPr>
              <w:t xml:space="preserve"> 第七条</w:t>
            </w:r>
            <w:r>
              <w:rPr>
                <w:rFonts w:hint="eastAsia" w:ascii="Times New Roman" w:hAnsi="Times New Roman" w:eastAsia="仿宋" w:cs="Times New Roman"/>
                <w:color w:val="auto"/>
                <w:sz w:val="21"/>
                <w:szCs w:val="21"/>
                <w:highlight w:val="none"/>
                <w:lang w:val="en-US" w:eastAsia="zh-CN"/>
              </w:rPr>
              <w:t xml:space="preserve"> 考核评价主体</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作为监管部门，看到了考核评价办法依据、评价标准，建议明确农业农村厅各个部门的职责，由哪个部门具体牵头组织进行评价</w:t>
            </w:r>
            <w:r>
              <w:rPr>
                <w:rFonts w:hint="eastAsia" w:ascii="Times New Roman" w:hAnsi="Times New Roman" w:eastAsia="仿宋" w:cs="Times New Roman"/>
                <w:color w:val="auto"/>
                <w:sz w:val="21"/>
                <w:szCs w:val="21"/>
                <w:highlight w:val="none"/>
                <w:lang w:eastAsia="zh-CN"/>
              </w:rPr>
              <w:t>。</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县级人民政府农业农村部门为考核评价主体，组织考核评价，市级人民政府农业农村部门负责对考核评价结果复核和确定，省农业农村厅负责监管。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2</w:t>
            </w:r>
          </w:p>
        </w:tc>
        <w:tc>
          <w:tcPr>
            <w:tcW w:w="96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颜卫</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eastAsia="zh-CN"/>
              </w:rPr>
              <w:t>第三章</w:t>
            </w:r>
            <w:r>
              <w:rPr>
                <w:rFonts w:hint="eastAsia" w:ascii="Times New Roman" w:hAnsi="Times New Roman" w:eastAsia="仿宋" w:cs="Times New Roman"/>
                <w:color w:val="auto"/>
                <w:sz w:val="21"/>
                <w:szCs w:val="21"/>
                <w:highlight w:val="none"/>
                <w:lang w:eastAsia="zh-CN"/>
              </w:rPr>
              <w:t>结果运用</w:t>
            </w:r>
            <w:r>
              <w:rPr>
                <w:rFonts w:hint="default" w:ascii="Times New Roman" w:hAnsi="Times New Roman" w:eastAsia="仿宋" w:cs="Times New Roman"/>
                <w:color w:val="auto"/>
                <w:sz w:val="21"/>
                <w:szCs w:val="21"/>
                <w:highlight w:val="none"/>
                <w:lang w:val="en-US" w:eastAsia="zh-CN"/>
              </w:rPr>
              <w:t xml:space="preserve"> 第十八条</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应考虑如何更好的应用到实际项目中，能否更好的保留好的施工队伍，好的施工队伍能否保证中标，是否能够提供在招标过程中的加分，更有利于高标准农田建设的工作开展。</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第三章</w:t>
            </w:r>
            <w:r>
              <w:rPr>
                <w:rFonts w:hint="eastAsia" w:ascii="Times New Roman" w:hAnsi="Times New Roman" w:eastAsia="仿宋" w:cs="Times New Roman"/>
                <w:color w:val="auto"/>
                <w:sz w:val="21"/>
                <w:szCs w:val="21"/>
                <w:highlight w:val="none"/>
                <w:lang w:val="en-US" w:eastAsia="zh-CN"/>
              </w:rPr>
              <w:t xml:space="preserve"> 结果运用 第十八条已明确按照</w:t>
            </w:r>
            <w:r>
              <w:rPr>
                <w:rFonts w:hint="default" w:ascii="Times New Roman" w:hAnsi="Times New Roman" w:eastAsia="仿宋" w:cs="Times New Roman"/>
                <w:color w:val="auto"/>
                <w:sz w:val="21"/>
                <w:szCs w:val="21"/>
                <w:highlight w:val="none"/>
                <w:lang w:val="en-US" w:eastAsia="zh-CN"/>
              </w:rPr>
              <w:t>《湖南省农业农村厅 湖南省发展和改革委员会 关于印发&lt;湖南省农田建设项目工程电子招标投标施工招标文件示范文本（2022年版）&gt;的通知》（湘农联﹝2022﹞24号）的规定对施工单位给予信誉评分。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3</w:t>
            </w:r>
          </w:p>
        </w:tc>
        <w:tc>
          <w:tcPr>
            <w:tcW w:w="961" w:type="dxa"/>
            <w:vMerge w:val="restart"/>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黄浪</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第十条 （一）设计合同履约考核评价程序</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作为设计单位，对质量评分表的评价内容，单纯从业主的角度出发很难体现出公平性。在设计过程中，有很多因素受到影响，由市级参与是否更好。</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办法中明确设计质量考核由县级人民政府农业农村主管部门组织初设评审会专家进行打分，并不是业主打分，市级对考核评价结果进行复核，已参与考核评价。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4</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第三章</w:t>
            </w:r>
            <w:r>
              <w:rPr>
                <w:rFonts w:hint="eastAsia" w:ascii="Times New Roman" w:hAnsi="Times New Roman" w:eastAsia="仿宋" w:cs="Times New Roman"/>
                <w:color w:val="auto"/>
                <w:sz w:val="21"/>
                <w:szCs w:val="21"/>
                <w:highlight w:val="none"/>
                <w:lang w:val="en-US" w:eastAsia="zh-CN"/>
              </w:rPr>
              <w:t xml:space="preserve"> 结果运用</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打分结果的作用，是否可以依据结果编制一个打分台账，作为一个招投标阶段的准入门槛。</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已在第三章</w:t>
            </w:r>
            <w:r>
              <w:rPr>
                <w:rFonts w:hint="eastAsia" w:ascii="Times New Roman" w:hAnsi="Times New Roman" w:eastAsia="仿宋" w:cs="Times New Roman"/>
                <w:color w:val="auto"/>
                <w:sz w:val="21"/>
                <w:szCs w:val="21"/>
                <w:highlight w:val="none"/>
                <w:lang w:val="en-US" w:eastAsia="zh-CN"/>
              </w:rPr>
              <w:t xml:space="preserve"> 结果运用 第二十一条中补充</w:t>
            </w:r>
            <w:r>
              <w:rPr>
                <w:rFonts w:hint="default" w:ascii="Times New Roman" w:hAnsi="Times New Roman" w:eastAsia="仿宋" w:cs="Times New Roman"/>
                <w:color w:val="auto"/>
                <w:sz w:val="21"/>
                <w:szCs w:val="21"/>
                <w:highlight w:val="none"/>
                <w:lang w:eastAsia="zh-CN"/>
              </w:rPr>
              <w:t>编制一个打分台账</w:t>
            </w:r>
            <w:r>
              <w:rPr>
                <w:rFonts w:hint="eastAsia" w:ascii="Times New Roman" w:hAnsi="Times New Roman" w:eastAsia="仿宋" w:cs="Times New Roman"/>
                <w:color w:val="auto"/>
                <w:sz w:val="21"/>
                <w:szCs w:val="21"/>
                <w:highlight w:val="none"/>
                <w:lang w:eastAsia="zh-CN"/>
              </w:rPr>
              <w:t>并进行细化。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5</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1-1 设计合同履约评分表 人员配置1</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省内高标设计单位存在投标人与实际工作单位不一致的情况，目前高标准农田建设的体量较大，设计团队能否参考施工</w:t>
            </w:r>
            <w:r>
              <w:rPr>
                <w:rFonts w:hint="eastAsia" w:ascii="Times New Roman" w:hAnsi="Times New Roman" w:eastAsia="仿宋" w:cs="Times New Roman"/>
                <w:color w:val="auto"/>
                <w:sz w:val="21"/>
                <w:szCs w:val="21"/>
                <w:highlight w:val="none"/>
                <w:lang w:eastAsia="zh-CN"/>
              </w:rPr>
              <w:t>、</w:t>
            </w:r>
            <w:r>
              <w:rPr>
                <w:rFonts w:hint="default" w:ascii="Times New Roman" w:hAnsi="Times New Roman" w:eastAsia="仿宋" w:cs="Times New Roman"/>
                <w:color w:val="auto"/>
                <w:sz w:val="21"/>
                <w:szCs w:val="21"/>
                <w:highlight w:val="none"/>
                <w:lang w:eastAsia="zh-CN"/>
              </w:rPr>
              <w:t>监理的</w:t>
            </w:r>
            <w:r>
              <w:rPr>
                <w:rFonts w:hint="eastAsia" w:ascii="Times New Roman" w:hAnsi="Times New Roman" w:eastAsia="仿宋" w:cs="Times New Roman"/>
                <w:color w:val="auto"/>
                <w:sz w:val="21"/>
                <w:szCs w:val="21"/>
                <w:highlight w:val="none"/>
                <w:lang w:eastAsia="zh-CN"/>
              </w:rPr>
              <w:t>考勤</w:t>
            </w:r>
            <w:r>
              <w:rPr>
                <w:rFonts w:hint="default" w:ascii="Times New Roman" w:hAnsi="Times New Roman" w:eastAsia="仿宋" w:cs="Times New Roman"/>
                <w:color w:val="auto"/>
                <w:sz w:val="21"/>
                <w:szCs w:val="21"/>
                <w:highlight w:val="none"/>
                <w:lang w:eastAsia="zh-CN"/>
              </w:rPr>
              <w:t>制度，实行打卡，更好的监督设计单位的人员</w:t>
            </w:r>
            <w:r>
              <w:rPr>
                <w:rFonts w:hint="eastAsia" w:ascii="Times New Roman" w:hAnsi="Times New Roman" w:eastAsia="仿宋" w:cs="Times New Roman"/>
                <w:color w:val="auto"/>
                <w:sz w:val="21"/>
                <w:szCs w:val="21"/>
                <w:highlight w:val="none"/>
                <w:lang w:eastAsia="zh-CN"/>
              </w:rPr>
              <w:t>，确保</w:t>
            </w:r>
            <w:r>
              <w:rPr>
                <w:rFonts w:hint="default" w:ascii="Times New Roman" w:hAnsi="Times New Roman" w:eastAsia="仿宋" w:cs="Times New Roman"/>
                <w:color w:val="auto"/>
                <w:sz w:val="21"/>
                <w:szCs w:val="21"/>
                <w:highlight w:val="none"/>
                <w:lang w:eastAsia="zh-CN"/>
              </w:rPr>
              <w:t>质量落实和提升。</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将与省厅对接是否在后续出台设计单位管理办法中设置设计单位的人员考勤打卡制度。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6</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1-1 设计合同履约评分表 人员配置2</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项目负责人</w:t>
            </w:r>
            <w:r>
              <w:rPr>
                <w:rFonts w:hint="eastAsia" w:ascii="Times New Roman" w:hAnsi="Times New Roman" w:eastAsia="仿宋" w:cs="Times New Roman"/>
                <w:color w:val="auto"/>
                <w:sz w:val="21"/>
                <w:szCs w:val="21"/>
                <w:highlight w:val="none"/>
                <w:lang w:eastAsia="zh-CN"/>
              </w:rPr>
              <w:t>须</w:t>
            </w:r>
            <w:r>
              <w:rPr>
                <w:rFonts w:hint="default" w:ascii="Times New Roman" w:hAnsi="Times New Roman" w:eastAsia="仿宋" w:cs="Times New Roman"/>
                <w:color w:val="auto"/>
                <w:sz w:val="21"/>
                <w:szCs w:val="21"/>
                <w:highlight w:val="none"/>
                <w:lang w:eastAsia="zh-CN"/>
              </w:rPr>
              <w:t>参</w:t>
            </w:r>
            <w:r>
              <w:rPr>
                <w:rFonts w:hint="eastAsia" w:ascii="Times New Roman" w:hAnsi="Times New Roman" w:eastAsia="仿宋" w:cs="Times New Roman"/>
                <w:color w:val="auto"/>
                <w:sz w:val="21"/>
                <w:szCs w:val="21"/>
                <w:highlight w:val="none"/>
                <w:lang w:eastAsia="zh-CN"/>
              </w:rPr>
              <w:t>加</w:t>
            </w:r>
            <w:r>
              <w:rPr>
                <w:rFonts w:hint="default" w:ascii="Times New Roman" w:hAnsi="Times New Roman" w:eastAsia="仿宋" w:cs="Times New Roman"/>
                <w:color w:val="auto"/>
                <w:sz w:val="21"/>
                <w:szCs w:val="21"/>
                <w:highlight w:val="none"/>
                <w:lang w:eastAsia="zh-CN"/>
              </w:rPr>
              <w:t>各种会议的打分，建议</w:t>
            </w:r>
            <w:r>
              <w:rPr>
                <w:rFonts w:hint="eastAsia" w:ascii="Times New Roman" w:hAnsi="Times New Roman" w:eastAsia="仿宋" w:cs="Times New Roman"/>
                <w:color w:val="auto"/>
                <w:sz w:val="21"/>
                <w:szCs w:val="21"/>
                <w:highlight w:val="none"/>
                <w:lang w:eastAsia="zh-CN"/>
              </w:rPr>
              <w:t>修改为评审等设计相关重要会议</w:t>
            </w:r>
            <w:r>
              <w:rPr>
                <w:rFonts w:hint="default" w:ascii="Times New Roman" w:hAnsi="Times New Roman" w:eastAsia="仿宋" w:cs="Times New Roman"/>
                <w:color w:val="auto"/>
                <w:sz w:val="21"/>
                <w:szCs w:val="21"/>
                <w:highlight w:val="none"/>
                <w:lang w:eastAsia="zh-CN"/>
              </w:rPr>
              <w:t>。</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已在附件</w:t>
            </w:r>
            <w:r>
              <w:rPr>
                <w:rFonts w:hint="eastAsia" w:ascii="Times New Roman" w:hAnsi="Times New Roman" w:eastAsia="仿宋" w:cs="Times New Roman"/>
                <w:color w:val="auto"/>
                <w:sz w:val="21"/>
                <w:szCs w:val="21"/>
                <w:highlight w:val="none"/>
                <w:lang w:val="en-US" w:eastAsia="zh-CN"/>
              </w:rPr>
              <w:t>1-1 设计合同履约评分表 人员配置2中修改为初步设计评审会等设计相关的重要会议。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7</w:t>
            </w:r>
          </w:p>
        </w:tc>
        <w:tc>
          <w:tcPr>
            <w:tcW w:w="96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王修春</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第十三条 考核评价结果确定</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建议</w:t>
            </w:r>
            <w:r>
              <w:rPr>
                <w:rFonts w:hint="default" w:ascii="Times New Roman" w:hAnsi="Times New Roman" w:eastAsia="仿宋" w:cs="Times New Roman"/>
                <w:color w:val="auto"/>
                <w:sz w:val="21"/>
                <w:szCs w:val="21"/>
                <w:highlight w:val="none"/>
                <w:lang w:eastAsia="zh-CN"/>
              </w:rPr>
              <w:t>考核评价结果全省</w:t>
            </w:r>
            <w:r>
              <w:rPr>
                <w:rFonts w:hint="eastAsia" w:ascii="Times New Roman" w:hAnsi="Times New Roman" w:eastAsia="仿宋" w:cs="Times New Roman"/>
                <w:color w:val="auto"/>
                <w:sz w:val="21"/>
                <w:szCs w:val="21"/>
                <w:highlight w:val="none"/>
                <w:lang w:eastAsia="zh-CN"/>
              </w:rPr>
              <w:t>范围</w:t>
            </w:r>
            <w:r>
              <w:rPr>
                <w:rFonts w:hint="default" w:ascii="Times New Roman" w:hAnsi="Times New Roman" w:eastAsia="仿宋" w:cs="Times New Roman"/>
                <w:color w:val="auto"/>
                <w:sz w:val="21"/>
                <w:szCs w:val="21"/>
                <w:highlight w:val="none"/>
                <w:lang w:eastAsia="zh-CN"/>
              </w:rPr>
              <w:t>统一确定</w:t>
            </w:r>
            <w:r>
              <w:rPr>
                <w:rFonts w:hint="eastAsia" w:ascii="Times New Roman" w:hAnsi="Times New Roman" w:eastAsia="仿宋" w:cs="Times New Roman"/>
                <w:color w:val="auto"/>
                <w:sz w:val="21"/>
                <w:szCs w:val="21"/>
                <w:highlight w:val="none"/>
                <w:lang w:eastAsia="zh-CN"/>
              </w:rPr>
              <w:t>。</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办法中已明确考核评价结果的确定和运用范围在项目所在市级和县级。各市高标准农田建设情况和日常管理有别，如全省范围内统一确定考核评价结果不便于操作。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8</w:t>
            </w:r>
          </w:p>
        </w:tc>
        <w:tc>
          <w:tcPr>
            <w:tcW w:w="96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廖润葵</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第十条 考核评价程序 （三）监理合同履约考核评价程序</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对</w:t>
            </w:r>
            <w:r>
              <w:rPr>
                <w:rFonts w:hint="eastAsia" w:ascii="Times New Roman" w:hAnsi="Times New Roman" w:eastAsia="仿宋" w:cs="Times New Roman"/>
                <w:color w:val="auto"/>
                <w:sz w:val="21"/>
                <w:szCs w:val="21"/>
                <w:highlight w:val="none"/>
                <w:lang w:eastAsia="zh-CN"/>
              </w:rPr>
              <w:t>监理</w:t>
            </w:r>
            <w:r>
              <w:rPr>
                <w:rFonts w:hint="default" w:ascii="Times New Roman" w:hAnsi="Times New Roman" w:eastAsia="仿宋" w:cs="Times New Roman"/>
                <w:color w:val="auto"/>
                <w:sz w:val="21"/>
                <w:szCs w:val="21"/>
                <w:highlight w:val="none"/>
                <w:lang w:eastAsia="zh-CN"/>
              </w:rPr>
              <w:t>考核</w:t>
            </w:r>
            <w:r>
              <w:rPr>
                <w:rFonts w:hint="eastAsia" w:ascii="Times New Roman" w:hAnsi="Times New Roman" w:eastAsia="仿宋" w:cs="Times New Roman"/>
                <w:color w:val="auto"/>
                <w:sz w:val="21"/>
                <w:szCs w:val="21"/>
                <w:highlight w:val="none"/>
                <w:lang w:eastAsia="zh-CN"/>
              </w:rPr>
              <w:t>评价</w:t>
            </w:r>
            <w:r>
              <w:rPr>
                <w:rFonts w:hint="default" w:ascii="Times New Roman" w:hAnsi="Times New Roman" w:eastAsia="仿宋" w:cs="Times New Roman"/>
                <w:color w:val="auto"/>
                <w:sz w:val="21"/>
                <w:szCs w:val="21"/>
                <w:highlight w:val="none"/>
                <w:lang w:eastAsia="zh-CN"/>
              </w:rPr>
              <w:t>主体的建议，考核主体没有建设单位和检测单位，建设单位是工程建设的主导，检测单位是质量检测的重要环节。</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default" w:ascii="Times New Roman" w:hAnsi="Times New Roman" w:eastAsia="仿宋" w:cs="Times New Roman"/>
                <w:color w:val="auto"/>
                <w:sz w:val="21"/>
                <w:szCs w:val="21"/>
                <w:highlight w:val="none"/>
                <w:lang w:val="en" w:eastAsia="zh-CN"/>
              </w:rPr>
            </w:pPr>
            <w:r>
              <w:rPr>
                <w:rFonts w:hint="eastAsia" w:ascii="Times New Roman" w:hAnsi="Times New Roman" w:eastAsia="仿宋" w:cs="Times New Roman"/>
                <w:color w:val="auto"/>
                <w:sz w:val="21"/>
                <w:szCs w:val="21"/>
                <w:highlight w:val="none"/>
                <w:lang w:eastAsia="zh-CN"/>
              </w:rPr>
              <w:t>办法第十条</w:t>
            </w:r>
            <w:r>
              <w:rPr>
                <w:rFonts w:hint="eastAsia" w:ascii="Times New Roman" w:hAnsi="Times New Roman" w:eastAsia="仿宋" w:cs="Times New Roman"/>
                <w:color w:val="auto"/>
                <w:sz w:val="21"/>
                <w:szCs w:val="21"/>
                <w:highlight w:val="none"/>
                <w:lang w:val="en-US" w:eastAsia="zh-CN"/>
              </w:rPr>
              <w:t xml:space="preserve"> （三）监理合同履约考核评价程序中明确由县级人民政府农业农村部门组织，即考核主体为建设单位。相关质量主要依据检测单位的报告结果。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9</w:t>
            </w:r>
          </w:p>
        </w:tc>
        <w:tc>
          <w:tcPr>
            <w:tcW w:w="961" w:type="dxa"/>
            <w:vMerge w:val="restart"/>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张</w:t>
            </w:r>
            <w:r>
              <w:rPr>
                <w:rFonts w:hint="default" w:ascii="Times New Roman" w:hAnsi="Times New Roman" w:eastAsia="仿宋" w:cs="Times New Roman"/>
                <w:color w:val="auto"/>
                <w:sz w:val="21"/>
                <w:szCs w:val="21"/>
                <w:highlight w:val="none"/>
                <w:lang w:val="en-US" w:eastAsia="zh-CN"/>
              </w:rPr>
              <w:t xml:space="preserve">  </w:t>
            </w:r>
            <w:r>
              <w:rPr>
                <w:rFonts w:hint="default" w:ascii="Times New Roman" w:hAnsi="Times New Roman" w:eastAsia="仿宋" w:cs="Times New Roman"/>
                <w:color w:val="auto"/>
                <w:sz w:val="21"/>
                <w:szCs w:val="21"/>
                <w:highlight w:val="none"/>
                <w:lang w:eastAsia="zh-CN"/>
              </w:rPr>
              <w:t>飞</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《办法》</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系统性，衔接性。湖南省高标准农田目前已经出台招标投标示范文本、目前正在编写设计规程、验收规程、国家层面有2022通则和农业部质量管理办法，办法应作为对所有文件的一个归纳、总结。</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将进一步修改完善《办法》，与已出台的</w:t>
            </w:r>
            <w:r>
              <w:rPr>
                <w:rFonts w:hint="default" w:ascii="Times New Roman" w:hAnsi="Times New Roman" w:eastAsia="仿宋" w:cs="Times New Roman"/>
                <w:color w:val="auto"/>
                <w:sz w:val="21"/>
                <w:szCs w:val="21"/>
                <w:highlight w:val="none"/>
                <w:lang w:val="en-US" w:eastAsia="zh-CN"/>
              </w:rPr>
              <w:t>招标投标示范文本、目前正在编写设计规程、验收规程、国家层面有2022通则和农业部质量管理办法</w:t>
            </w:r>
            <w:r>
              <w:rPr>
                <w:rFonts w:hint="eastAsia" w:ascii="Times New Roman" w:hAnsi="Times New Roman" w:eastAsia="仿宋" w:cs="Times New Roman"/>
                <w:color w:val="auto"/>
                <w:sz w:val="21"/>
                <w:szCs w:val="21"/>
                <w:highlight w:val="none"/>
                <w:lang w:val="en-US" w:eastAsia="zh-CN"/>
              </w:rPr>
              <w:t>等衔接，确保《办法》的系统性和衔接性。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10</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第十条 考核评价程序</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可操作性。参与人员均为县纪检监察部门代表、审计部门代表、财政部门代表、行业专家、群众代表和监理单位代表，需要细化让参与人员看明白，通俗易懂，容易上手。</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val="en-US" w:eastAsia="zh-CN"/>
              </w:rPr>
              <w:t>参与人员考虑了项目建设的实际，由县级人民政府农业农村部门邀请参加。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rPr>
              <w:t>1</w:t>
            </w:r>
            <w:r>
              <w:rPr>
                <w:rFonts w:hint="default" w:ascii="Times New Roman" w:hAnsi="Times New Roman" w:eastAsia="仿宋" w:cs="Times New Roman"/>
                <w:color w:val="auto"/>
                <w:sz w:val="21"/>
                <w:szCs w:val="21"/>
                <w:highlight w:val="none"/>
                <w:lang w:val="en-US" w:eastAsia="zh-CN"/>
              </w:rPr>
              <w:t>1</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《办法》</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前瞻性，不能只是解决有无问题，应该是对整体的一个提升。</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《办法》的起草与出台是主要目的是为了填补当前规范设计、施工、监理合同履约行为的措施空缺，优先解决有无问题，在试行后随着有关政策的变化进行进一步优化完善。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rPr>
              <w:t>1</w:t>
            </w:r>
            <w:r>
              <w:rPr>
                <w:rFonts w:hint="default" w:ascii="Times New Roman" w:hAnsi="Times New Roman" w:eastAsia="仿宋" w:cs="Times New Roman"/>
                <w:color w:val="auto"/>
                <w:sz w:val="21"/>
                <w:szCs w:val="21"/>
                <w:highlight w:val="none"/>
                <w:lang w:val="en-US" w:eastAsia="zh-CN"/>
              </w:rPr>
              <w:t>2</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第九条 考核评价时间</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考核时间应从招投标开始至竣工验收，办法应该将招投标过程中的问题考虑进来，系统解决</w:t>
            </w:r>
            <w:r>
              <w:rPr>
                <w:rFonts w:hint="eastAsia" w:ascii="Times New Roman" w:hAnsi="Times New Roman" w:eastAsia="仿宋" w:cs="Times New Roman"/>
                <w:color w:val="auto"/>
                <w:sz w:val="21"/>
                <w:szCs w:val="21"/>
                <w:highlight w:val="none"/>
                <w:lang w:val="en-US" w:eastAsia="zh-CN"/>
              </w:rPr>
              <w:t>。</w:t>
            </w:r>
          </w:p>
        </w:tc>
        <w:tc>
          <w:tcPr>
            <w:tcW w:w="1088"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imes New Roman" w:hAnsi="Times New Roman" w:eastAsia="仿宋" w:cs="Times New Roman"/>
                <w:color w:val="auto"/>
                <w:kern w:val="0"/>
                <w:sz w:val="21"/>
                <w:szCs w:val="21"/>
                <w:highlight w:val="none"/>
                <w:lang w:eastAsia="zh-CN"/>
              </w:rPr>
            </w:pPr>
            <w:r>
              <w:rPr>
                <w:rFonts w:hint="eastAsia" w:ascii="Times New Roman" w:hAnsi="Times New Roman" w:eastAsia="仿宋" w:cs="Times New Roman"/>
                <w:color w:val="auto"/>
                <w:kern w:val="0"/>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《办法》是对设计、施工、监理合同履约即结果的考核评价，而招投标过程为前置阶段，因此不考虑。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13</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第十条 考核评价程序 （一）设计合同履约考核评价程序</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设计合同履约评价建议增加竣工验收环节</w:t>
            </w:r>
            <w:r>
              <w:rPr>
                <w:rFonts w:hint="eastAsia" w:ascii="Times New Roman" w:hAnsi="Times New Roman" w:eastAsia="仿宋" w:cs="Times New Roman"/>
                <w:color w:val="auto"/>
                <w:sz w:val="21"/>
                <w:szCs w:val="21"/>
                <w:highlight w:val="none"/>
                <w:lang w:val="en-US" w:eastAsia="zh-CN"/>
              </w:rPr>
              <w:t>。</w:t>
            </w:r>
          </w:p>
        </w:tc>
        <w:tc>
          <w:tcPr>
            <w:tcW w:w="1088"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Times New Roman" w:hAnsi="Times New Roman" w:eastAsia="仿宋" w:cs="Times New Roman"/>
                <w:color w:val="auto"/>
                <w:kern w:val="0"/>
                <w:sz w:val="21"/>
                <w:szCs w:val="21"/>
                <w:highlight w:val="none"/>
                <w:lang w:eastAsia="zh-CN"/>
              </w:rPr>
            </w:pPr>
            <w:r>
              <w:rPr>
                <w:rFonts w:hint="eastAsia" w:ascii="Times New Roman" w:hAnsi="Times New Roman" w:eastAsia="仿宋" w:cs="Times New Roman"/>
                <w:color w:val="auto"/>
                <w:kern w:val="0"/>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设计合同履约考核评价程序是与设计合同履约评分表对应设置，第二阶段（建设过程服务阶段）考评评价内容包含了施工现场服务，而设计合同履约评分表中施工现场服务已明确包含了工程竣工验收中设计单位配合情况的考核评价，且市级人民政府将在竣工验收时对考核评价结果进行复核，因此无需再增加竣工验收环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1</w:t>
            </w:r>
            <w:r>
              <w:rPr>
                <w:rFonts w:hint="eastAsia" w:ascii="Times New Roman" w:hAnsi="Times New Roman" w:eastAsia="仿宋" w:cs="Times New Roman"/>
                <w:color w:val="auto"/>
                <w:sz w:val="21"/>
                <w:szCs w:val="21"/>
                <w:highlight w:val="none"/>
                <w:lang w:val="en-US" w:eastAsia="zh-CN"/>
              </w:rPr>
              <w:t>4</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第十条 考核评价程序 （二）施工合同履约考核评价程序</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整个履约考核应该是三次结果汇总，第一、二次在项目实施过程中进行，第三次在验收时进行</w:t>
            </w:r>
            <w:r>
              <w:rPr>
                <w:rFonts w:hint="eastAsia" w:ascii="Times New Roman" w:hAnsi="Times New Roman" w:eastAsia="仿宋" w:cs="Times New Roman"/>
                <w:color w:val="auto"/>
                <w:sz w:val="21"/>
                <w:szCs w:val="21"/>
                <w:highlight w:val="none"/>
                <w:lang w:val="en-US" w:eastAsia="zh-CN"/>
              </w:rPr>
              <w:t>。</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kern w:val="0"/>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根据前期调研情况，如整个履约考核分为三次，时间和人员上难以匹配、难以组织、不便于操作。因此《办法》中明确将建设单位、各级人民政府农业农村主管部门等监督检查情况作为重点纳入考核评价，且附件中拟定了资料模版，加强了对过程资料的考核评价，结合这两点来实现对实施过程的考核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1</w:t>
            </w:r>
            <w:r>
              <w:rPr>
                <w:rFonts w:hint="eastAsia" w:ascii="Times New Roman" w:hAnsi="Times New Roman" w:eastAsia="仿宋" w:cs="Times New Roman"/>
                <w:color w:val="auto"/>
                <w:sz w:val="21"/>
                <w:szCs w:val="21"/>
                <w:highlight w:val="none"/>
                <w:lang w:val="en-US" w:eastAsia="zh-CN"/>
              </w:rPr>
              <w:t>5</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第三章结果运用</w:t>
            </w:r>
            <w:r>
              <w:rPr>
                <w:rFonts w:hint="eastAsia" w:ascii="Times New Roman" w:hAnsi="Times New Roman" w:eastAsia="仿宋" w:cs="Times New Roman"/>
                <w:color w:val="auto"/>
                <w:sz w:val="21"/>
                <w:szCs w:val="21"/>
                <w:highlight w:val="none"/>
                <w:lang w:val="en-US" w:eastAsia="zh-CN"/>
              </w:rPr>
              <w:t xml:space="preserve"> 第十五条</w:t>
            </w:r>
          </w:p>
        </w:tc>
        <w:tc>
          <w:tcPr>
            <w:tcW w:w="5313"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val="en-US" w:eastAsia="zh-CN"/>
              </w:rPr>
              <w:t>第十五条，应该规定未在10月25日完成开工的区县，当年的考核评价结果不得应用于下一年度招标的信誉加分；考核前三名的单位必须完成4月份完成初步验收、5月份财评资料进窗，8月份出具财评审核结果；8月底前通过市级竣工验收；</w:t>
            </w:r>
            <w:r>
              <w:rPr>
                <w:rFonts w:hint="default" w:ascii="Times New Roman" w:hAnsi="Times New Roman" w:eastAsia="仿宋" w:cs="Times New Roman"/>
                <w:sz w:val="21"/>
                <w:szCs w:val="21"/>
                <w:lang w:val="en-US" w:eastAsia="zh-CN"/>
              </w:rPr>
              <w:t>评定为不合格的条款，应该更细化、明确相关标准，便于后期操作，按部门、处罚程度等，增加市局竣工验收不通过的处罚。</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部分采纳</w:t>
            </w:r>
          </w:p>
        </w:tc>
        <w:tc>
          <w:tcPr>
            <w:tcW w:w="5305" w:type="dxa"/>
            <w:vAlign w:val="center"/>
          </w:tcPr>
          <w:p>
            <w:pPr>
              <w:pStyle w:val="3"/>
              <w:keepNext w:val="0"/>
              <w:keepLines w:val="0"/>
              <w:pageBreakBefore w:val="0"/>
              <w:numPr>
                <w:ilvl w:val="0"/>
                <w:numId w:val="0"/>
              </w:numPr>
              <w:kinsoku/>
              <w:wordWrap/>
              <w:overflowPunct/>
              <w:topLinePunct w:val="0"/>
              <w:autoSpaceDE/>
              <w:autoSpaceDN/>
              <w:bidi w:val="0"/>
              <w:adjustRightInd/>
              <w:snapToGrid/>
              <w:spacing w:after="0" w:line="240" w:lineRule="auto"/>
              <w:ind w:left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val="en-US" w:eastAsia="zh-CN"/>
              </w:rPr>
              <w:t>1、</w:t>
            </w:r>
            <w:r>
              <w:rPr>
                <w:rFonts w:hint="eastAsia" w:ascii="Times New Roman" w:hAnsi="Times New Roman" w:eastAsia="仿宋" w:cs="Times New Roman"/>
                <w:color w:val="auto"/>
                <w:sz w:val="21"/>
                <w:szCs w:val="21"/>
                <w:highlight w:val="none"/>
                <w:lang w:eastAsia="zh-CN"/>
              </w:rPr>
              <w:t>关于相关时间节点的约束，因为各县（市、区）在高标准农田建设财评和施工招标外部影响因素不同，时间节点的延误可能不是施工单位的原因，因此将相关时间节点作为考核评价排名的硬性条件不妥。</w:t>
            </w:r>
          </w:p>
          <w:p>
            <w:pPr>
              <w:pStyle w:val="3"/>
              <w:keepNext w:val="0"/>
              <w:keepLines w:val="0"/>
              <w:pageBreakBefore w:val="0"/>
              <w:numPr>
                <w:ilvl w:val="0"/>
                <w:numId w:val="0"/>
              </w:numPr>
              <w:kinsoku/>
              <w:wordWrap/>
              <w:overflowPunct/>
              <w:topLinePunct w:val="0"/>
              <w:autoSpaceDE/>
              <w:autoSpaceDN/>
              <w:bidi w:val="0"/>
              <w:adjustRightInd/>
              <w:snapToGrid/>
              <w:spacing w:after="0" w:line="240" w:lineRule="auto"/>
              <w:ind w:leftChars="0"/>
              <w:jc w:val="both"/>
              <w:textAlignment w:val="auto"/>
              <w:rPr>
                <w:rFonts w:hint="default"/>
                <w:lang w:val="en-US" w:eastAsia="zh-CN"/>
              </w:rPr>
            </w:pPr>
            <w:r>
              <w:rPr>
                <w:rFonts w:hint="default" w:ascii="Times New Roman" w:hAnsi="Times New Roman" w:eastAsia="仿宋" w:cs="Times New Roman"/>
                <w:lang w:val="en-US" w:eastAsia="zh-CN"/>
              </w:rPr>
              <w:t>2、评</w:t>
            </w:r>
            <w:r>
              <w:rPr>
                <w:rFonts w:hint="eastAsia" w:ascii="Times New Roman" w:hAnsi="Times New Roman" w:eastAsia="仿宋" w:cs="Times New Roman"/>
                <w:lang w:val="en-US" w:eastAsia="zh-CN"/>
              </w:rPr>
              <w:t>定为不合格的条款已进一步细化。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1</w:t>
            </w:r>
            <w:r>
              <w:rPr>
                <w:rFonts w:hint="eastAsia" w:ascii="Times New Roman" w:hAnsi="Times New Roman" w:eastAsia="仿宋" w:cs="Times New Roman"/>
                <w:color w:val="auto"/>
                <w:sz w:val="21"/>
                <w:szCs w:val="21"/>
                <w:highlight w:val="none"/>
                <w:lang w:val="en-US" w:eastAsia="zh-CN"/>
              </w:rPr>
              <w:t>6</w:t>
            </w:r>
          </w:p>
        </w:tc>
        <w:tc>
          <w:tcPr>
            <w:tcW w:w="961"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1-1 设计合同履约评分表 人员配置</w:t>
            </w:r>
          </w:p>
        </w:tc>
        <w:tc>
          <w:tcPr>
            <w:tcW w:w="5313"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设计合同履约评分表人员配置部分条款需针对解决项目设计中人员履约不到位、人证不对等设计人员的问题；</w:t>
            </w:r>
          </w:p>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设计进度条款需要进一步细化有可操作性；</w:t>
            </w:r>
          </w:p>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设计质量条款需要进一步细化有可操作性；</w:t>
            </w:r>
          </w:p>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sz w:val="21"/>
                <w:szCs w:val="21"/>
                <w:lang w:val="en-US" w:eastAsia="zh-CN"/>
              </w:rPr>
              <w:t>设计概预算的精度、准确度要有专门的条款</w:t>
            </w:r>
            <w:r>
              <w:rPr>
                <w:rFonts w:hint="eastAsia" w:ascii="Times New Roman" w:hAnsi="Times New Roman" w:eastAsia="仿宋" w:cs="Times New Roman"/>
                <w:sz w:val="21"/>
                <w:szCs w:val="21"/>
                <w:lang w:val="en-US" w:eastAsia="zh-CN"/>
              </w:rPr>
              <w:t>。</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lang w:val="en-US"/>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1-1 设计合同履约评分表 人员配置第1、2点中已明确；设计质量条款均是根据初设评审过程中专家提及的高频问题；设计概预算明确考核错项、漏项即是对精度、准确度的考核评价。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1</w:t>
            </w:r>
            <w:r>
              <w:rPr>
                <w:rFonts w:hint="eastAsia" w:ascii="Times New Roman" w:hAnsi="Times New Roman" w:eastAsia="仿宋" w:cs="Times New Roman"/>
                <w:color w:val="auto"/>
                <w:sz w:val="21"/>
                <w:szCs w:val="21"/>
                <w:highlight w:val="none"/>
                <w:lang w:val="en-US" w:eastAsia="zh-CN"/>
              </w:rPr>
              <w:t>7</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1-2 施工合同履约评分表</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sz w:val="21"/>
                <w:szCs w:val="21"/>
                <w:lang w:val="en-US" w:eastAsia="zh-CN"/>
              </w:rPr>
              <w:t>施工单位的条款建议参考农业部质量管理办法、省厅及将出台的验收规程进行有针对性的细化；对于进度款支付等条款，建议再考虑</w:t>
            </w:r>
            <w:r>
              <w:rPr>
                <w:rFonts w:hint="eastAsia" w:ascii="Times New Roman" w:hAnsi="Times New Roman" w:eastAsia="仿宋" w:cs="Times New Roman"/>
                <w:sz w:val="21"/>
                <w:szCs w:val="21"/>
                <w:lang w:val="en-US" w:eastAsia="zh-CN"/>
              </w:rPr>
              <w:t>。</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已参考农业部质量管理办法等规程规范进行细化，进度支付条款考核评价保留。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1</w:t>
            </w:r>
            <w:r>
              <w:rPr>
                <w:rFonts w:hint="eastAsia" w:ascii="Times New Roman" w:hAnsi="Times New Roman" w:eastAsia="仿宋" w:cs="Times New Roman"/>
                <w:color w:val="auto"/>
                <w:sz w:val="21"/>
                <w:szCs w:val="21"/>
                <w:highlight w:val="none"/>
                <w:lang w:val="en-US" w:eastAsia="zh-CN"/>
              </w:rPr>
              <w:t>8</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1-2 施工合同履约评分表</w:t>
            </w: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1-3 监理合同履约评分表</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sz w:val="21"/>
                <w:szCs w:val="21"/>
                <w:lang w:val="en-US" w:eastAsia="zh-CN"/>
              </w:rPr>
              <w:t>监理单位的条款建议参考农业部质量管理办法、省厅及将出台的验收规程、监理规范SL288-2014等文件进行有针对性的细化；需要与前面的条款相互关联，形成闭环。</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sz w:val="21"/>
                <w:szCs w:val="21"/>
                <w:lang w:val="en-US" w:eastAsia="zh-CN"/>
              </w:rPr>
              <w:t>已</w:t>
            </w:r>
            <w:r>
              <w:rPr>
                <w:rFonts w:hint="default" w:ascii="Times New Roman" w:hAnsi="Times New Roman" w:eastAsia="仿宋" w:cs="Times New Roman"/>
                <w:sz w:val="21"/>
                <w:szCs w:val="21"/>
                <w:lang w:val="en-US" w:eastAsia="zh-CN"/>
              </w:rPr>
              <w:t>参考农业部质量管理办法、监理规范SL288-2014等文件进行有针对性的细化；</w:t>
            </w:r>
            <w:r>
              <w:rPr>
                <w:rFonts w:hint="eastAsia" w:ascii="Times New Roman" w:hAnsi="Times New Roman" w:eastAsia="仿宋" w:cs="Times New Roman"/>
                <w:sz w:val="21"/>
                <w:szCs w:val="21"/>
                <w:lang w:val="en-US" w:eastAsia="zh-CN"/>
              </w:rPr>
              <w:t>并</w:t>
            </w:r>
            <w:r>
              <w:rPr>
                <w:rFonts w:hint="default" w:ascii="Times New Roman" w:hAnsi="Times New Roman" w:eastAsia="仿宋" w:cs="Times New Roman"/>
                <w:sz w:val="21"/>
                <w:szCs w:val="21"/>
                <w:lang w:val="en-US" w:eastAsia="zh-CN"/>
              </w:rPr>
              <w:t>与前面的条款相互关联，形成闭环。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val="en-US" w:eastAsia="zh-CN"/>
              </w:rPr>
              <w:t>19</w:t>
            </w:r>
          </w:p>
        </w:tc>
        <w:tc>
          <w:tcPr>
            <w:tcW w:w="961" w:type="dxa"/>
            <w:vMerge w:val="restart"/>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王爱莲</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1-1 设计合同履约评分表 设计进度</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评分表</w:t>
            </w:r>
            <w:r>
              <w:rPr>
                <w:rFonts w:hint="eastAsia" w:ascii="Times New Roman" w:hAnsi="Times New Roman" w:eastAsia="仿宋" w:cs="Times New Roman"/>
                <w:sz w:val="21"/>
                <w:szCs w:val="21"/>
                <w:lang w:val="en-US" w:eastAsia="zh-CN"/>
              </w:rPr>
              <w:t>每小点评分</w:t>
            </w:r>
            <w:r>
              <w:rPr>
                <w:rFonts w:hint="default" w:ascii="Times New Roman" w:hAnsi="Times New Roman" w:eastAsia="仿宋" w:cs="Times New Roman"/>
                <w:sz w:val="21"/>
                <w:szCs w:val="21"/>
                <w:lang w:val="en-US" w:eastAsia="zh-CN"/>
              </w:rPr>
              <w:t>没有</w:t>
            </w:r>
            <w:r>
              <w:rPr>
                <w:rFonts w:hint="eastAsia" w:ascii="Times New Roman" w:hAnsi="Times New Roman" w:eastAsia="仿宋" w:cs="Times New Roman"/>
                <w:sz w:val="21"/>
                <w:szCs w:val="21"/>
                <w:lang w:val="en-US" w:eastAsia="zh-CN"/>
              </w:rPr>
              <w:t>设置上限及比重</w:t>
            </w:r>
            <w:r>
              <w:rPr>
                <w:rFonts w:hint="default" w:ascii="Times New Roman" w:hAnsi="Times New Roman" w:eastAsia="仿宋" w:cs="Times New Roman"/>
                <w:sz w:val="21"/>
                <w:szCs w:val="21"/>
                <w:lang w:val="en-US" w:eastAsia="zh-CN"/>
              </w:rPr>
              <w:t>，比如设计进度，没有对每一个小项进行细化分数，可能出现负分情况。例如第三点分值配比要明确。</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评分表每小点评分设置上限及比重，为了防止该点分值扣完后不再进行相应履约，出现负分的情况已写明按</w:t>
            </w:r>
            <w:r>
              <w:rPr>
                <w:rFonts w:hint="eastAsia" w:ascii="Times New Roman" w:hAnsi="Times New Roman" w:eastAsia="仿宋" w:cs="Times New Roman"/>
                <w:color w:val="auto"/>
                <w:sz w:val="21"/>
                <w:szCs w:val="21"/>
                <w:highlight w:val="none"/>
                <w:lang w:val="en-US" w:eastAsia="zh-CN"/>
              </w:rPr>
              <w:t>0分记。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20</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1-1、1-2、1-3 评分表</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建议增加加分项，例如设计项目获得奖项，是否可以进行加分，能够更好的激励各单位。</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目前的相关规定不允许设置加分向。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s="Times New Roman"/>
                <w:color w:val="auto"/>
                <w:sz w:val="21"/>
                <w:szCs w:val="21"/>
                <w:highlight w:val="none"/>
                <w:lang w:val="en-US" w:eastAsia="zh-CN"/>
              </w:rPr>
              <w:t>21</w:t>
            </w:r>
          </w:p>
        </w:tc>
        <w:tc>
          <w:tcPr>
            <w:tcW w:w="961" w:type="dxa"/>
            <w:vMerge w:val="restart"/>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郭</w:t>
            </w:r>
            <w:r>
              <w:rPr>
                <w:rFonts w:hint="default" w:ascii="Times New Roman" w:hAnsi="Times New Roman" w:eastAsia="仿宋" w:cs="Times New Roman"/>
                <w:color w:val="auto"/>
                <w:sz w:val="21"/>
                <w:szCs w:val="21"/>
                <w:highlight w:val="none"/>
                <w:lang w:val="en-US" w:eastAsia="zh-CN"/>
              </w:rPr>
              <w:t xml:space="preserve">  </w:t>
            </w:r>
            <w:r>
              <w:rPr>
                <w:rFonts w:hint="default" w:ascii="Times New Roman" w:hAnsi="Times New Roman" w:eastAsia="仿宋" w:cs="Times New Roman"/>
                <w:color w:val="auto"/>
                <w:sz w:val="21"/>
                <w:szCs w:val="21"/>
                <w:highlight w:val="none"/>
                <w:lang w:eastAsia="zh-CN"/>
              </w:rPr>
              <w:t>杨</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rPr>
            </w:pPr>
            <w:r>
              <w:rPr>
                <w:rFonts w:hint="default" w:ascii="Times New Roman" w:hAnsi="Times New Roman" w:eastAsia="仿宋" w:cs="Times New Roman"/>
                <w:sz w:val="21"/>
                <w:szCs w:val="21"/>
                <w:lang w:val="en-US" w:eastAsia="zh-CN"/>
              </w:rPr>
              <w:t>第二章</w:t>
            </w:r>
            <w:r>
              <w:rPr>
                <w:rFonts w:hint="eastAsia" w:ascii="Times New Roman" w:hAnsi="Times New Roman" w:eastAsia="仿宋" w:cs="Times New Roman"/>
                <w:color w:val="auto"/>
                <w:sz w:val="21"/>
                <w:szCs w:val="21"/>
                <w:highlight w:val="none"/>
                <w:lang w:eastAsia="zh-CN"/>
              </w:rPr>
              <w:t>考核评价</w:t>
            </w:r>
            <w:r>
              <w:rPr>
                <w:rFonts w:hint="eastAsia" w:ascii="Times New Roman" w:hAnsi="Times New Roman" w:eastAsia="仿宋" w:cs="Times New Roman"/>
                <w:sz w:val="21"/>
                <w:szCs w:val="21"/>
                <w:lang w:val="en-US" w:eastAsia="zh-CN"/>
              </w:rPr>
              <w:t xml:space="preserve"> </w:t>
            </w:r>
            <w:r>
              <w:rPr>
                <w:rFonts w:hint="default" w:ascii="Times New Roman" w:hAnsi="Times New Roman" w:eastAsia="仿宋" w:cs="Times New Roman"/>
                <w:sz w:val="21"/>
                <w:szCs w:val="21"/>
                <w:lang w:val="en-US" w:eastAsia="zh-CN"/>
              </w:rPr>
              <w:t>第七条</w:t>
            </w:r>
            <w:r>
              <w:rPr>
                <w:rFonts w:hint="eastAsia" w:ascii="Times New Roman" w:hAnsi="Times New Roman" w:eastAsia="仿宋" w:cs="Times New Roman"/>
                <w:sz w:val="21"/>
                <w:szCs w:val="21"/>
                <w:lang w:val="en-US" w:eastAsia="zh-CN"/>
              </w:rPr>
              <w:t xml:space="preserve"> 考核评价主体</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第二章考核评价第七条，考核组织主体以及打分主体，能否引入专业第三方机构，提高考核评价办法的公信力，更好的发现问题</w:t>
            </w:r>
            <w:r>
              <w:rPr>
                <w:rFonts w:hint="eastAsia" w:ascii="Times New Roman" w:hAnsi="Times New Roman" w:eastAsia="仿宋" w:cs="Times New Roman"/>
                <w:sz w:val="21"/>
                <w:szCs w:val="21"/>
                <w:lang w:val="en-US" w:eastAsia="zh-CN"/>
              </w:rPr>
              <w:t>并</w:t>
            </w:r>
            <w:r>
              <w:rPr>
                <w:rFonts w:hint="default" w:ascii="Times New Roman" w:hAnsi="Times New Roman" w:eastAsia="仿宋" w:cs="Times New Roman"/>
                <w:sz w:val="21"/>
                <w:szCs w:val="21"/>
                <w:lang w:val="en-US" w:eastAsia="zh-CN"/>
              </w:rPr>
              <w:t>改进。</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考核评价组织主体为县级人民政府农业农村部门，可自行委托</w:t>
            </w:r>
            <w:r>
              <w:rPr>
                <w:rFonts w:hint="default" w:ascii="Times New Roman" w:hAnsi="Times New Roman" w:eastAsia="仿宋" w:cs="Times New Roman"/>
                <w:sz w:val="21"/>
                <w:szCs w:val="21"/>
                <w:lang w:val="en-US" w:eastAsia="zh-CN"/>
              </w:rPr>
              <w:t>专业第三方机构</w:t>
            </w:r>
            <w:r>
              <w:rPr>
                <w:rFonts w:hint="eastAsia" w:ascii="Times New Roman" w:hAnsi="Times New Roman" w:eastAsia="仿宋" w:cs="Times New Roman"/>
                <w:sz w:val="21"/>
                <w:szCs w:val="21"/>
                <w:lang w:val="en-US" w:eastAsia="zh-CN"/>
              </w:rPr>
              <w:t>进行考核评价。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s="Times New Roman"/>
                <w:color w:val="auto"/>
                <w:kern w:val="0"/>
                <w:sz w:val="21"/>
                <w:szCs w:val="21"/>
                <w:highlight w:val="none"/>
                <w:lang w:val="en-US" w:eastAsia="zh-CN" w:bidi="ar-SA"/>
              </w:rPr>
              <w:t>22</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rPr>
            </w:pPr>
            <w:r>
              <w:rPr>
                <w:rFonts w:hint="default" w:ascii="Times New Roman" w:hAnsi="Times New Roman" w:eastAsia="仿宋" w:cs="Times New Roman"/>
                <w:sz w:val="21"/>
                <w:szCs w:val="21"/>
                <w:lang w:val="en-US" w:eastAsia="zh-CN"/>
              </w:rPr>
              <w:t>第二章</w:t>
            </w:r>
            <w:r>
              <w:rPr>
                <w:rFonts w:hint="eastAsia" w:ascii="Times New Roman" w:hAnsi="Times New Roman" w:eastAsia="仿宋" w:cs="Times New Roman"/>
                <w:color w:val="auto"/>
                <w:sz w:val="21"/>
                <w:szCs w:val="21"/>
                <w:highlight w:val="none"/>
                <w:lang w:eastAsia="zh-CN"/>
              </w:rPr>
              <w:t>考核评价</w:t>
            </w:r>
            <w:r>
              <w:rPr>
                <w:rFonts w:hint="eastAsia" w:ascii="Times New Roman" w:hAnsi="Times New Roman" w:eastAsia="仿宋" w:cs="Times New Roman"/>
                <w:sz w:val="21"/>
                <w:szCs w:val="21"/>
                <w:lang w:val="en-US" w:eastAsia="zh-CN"/>
              </w:rPr>
              <w:t xml:space="preserve"> </w:t>
            </w:r>
            <w:r>
              <w:rPr>
                <w:rFonts w:hint="default" w:ascii="Times New Roman" w:hAnsi="Times New Roman" w:eastAsia="仿宋" w:cs="Times New Roman"/>
                <w:sz w:val="21"/>
                <w:szCs w:val="21"/>
                <w:lang w:val="en-US" w:eastAsia="zh-CN"/>
              </w:rPr>
              <w:t>第十三条</w:t>
            </w:r>
            <w:r>
              <w:rPr>
                <w:rFonts w:hint="eastAsia" w:ascii="Times New Roman" w:hAnsi="Times New Roman" w:eastAsia="仿宋" w:cs="Times New Roman"/>
                <w:sz w:val="21"/>
                <w:szCs w:val="21"/>
                <w:lang w:val="en-US" w:eastAsia="zh-CN"/>
              </w:rPr>
              <w:t xml:space="preserve"> 考核评价结果确定</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第二章考核评价第十三条，县级农业上报市级农业部门，再进行公示。建议结果确定的过程加入交叉核查的机制，例如加入其他市级单位的人员，保证充分的交叉，保证评价结果的客观和公正性。</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不采纳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各市考核评价情况不同，且跨市交叉核查可操作性不强。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23</w:t>
            </w:r>
          </w:p>
        </w:tc>
        <w:tc>
          <w:tcPr>
            <w:tcW w:w="961" w:type="dxa"/>
            <w:vMerge w:val="restart"/>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李</w:t>
            </w:r>
            <w:r>
              <w:rPr>
                <w:rFonts w:hint="default" w:ascii="Times New Roman" w:hAnsi="Times New Roman" w:eastAsia="仿宋" w:cs="Times New Roman"/>
                <w:color w:val="auto"/>
                <w:sz w:val="21"/>
                <w:szCs w:val="21"/>
                <w:highlight w:val="none"/>
                <w:lang w:val="en-US" w:eastAsia="zh-CN"/>
              </w:rPr>
              <w:t xml:space="preserve">  </w:t>
            </w:r>
            <w:r>
              <w:rPr>
                <w:rFonts w:hint="default" w:ascii="Times New Roman" w:hAnsi="Times New Roman" w:eastAsia="仿宋" w:cs="Times New Roman"/>
                <w:color w:val="auto"/>
                <w:sz w:val="21"/>
                <w:szCs w:val="21"/>
                <w:highlight w:val="none"/>
                <w:lang w:eastAsia="zh-CN"/>
              </w:rPr>
              <w:t>灿</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第三章结果运用</w:t>
            </w:r>
            <w:r>
              <w:rPr>
                <w:rFonts w:hint="eastAsia" w:ascii="Times New Roman" w:hAnsi="Times New Roman" w:eastAsia="仿宋" w:cs="Times New Roman"/>
                <w:color w:val="auto"/>
                <w:sz w:val="21"/>
                <w:szCs w:val="21"/>
                <w:highlight w:val="none"/>
                <w:lang w:val="en-US" w:eastAsia="zh-CN"/>
              </w:rPr>
              <w:t xml:space="preserve"> 第二十条</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第</w:t>
            </w:r>
            <w:r>
              <w:rPr>
                <w:rFonts w:hint="eastAsia" w:ascii="Times New Roman" w:hAnsi="Times New Roman" w:eastAsia="仿宋" w:cs="Times New Roman"/>
                <w:sz w:val="21"/>
                <w:szCs w:val="21"/>
                <w:lang w:val="en-US" w:eastAsia="zh-CN"/>
              </w:rPr>
              <w:t>二十</w:t>
            </w:r>
            <w:r>
              <w:rPr>
                <w:rFonts w:hint="default" w:ascii="Times New Roman" w:hAnsi="Times New Roman" w:eastAsia="仿宋" w:cs="Times New Roman"/>
                <w:sz w:val="21"/>
                <w:szCs w:val="21"/>
                <w:lang w:val="en-US" w:eastAsia="zh-CN"/>
              </w:rPr>
              <w:t>条，</w:t>
            </w:r>
            <w:r>
              <w:rPr>
                <w:rFonts w:hint="eastAsia" w:ascii="Times New Roman" w:hAnsi="Times New Roman" w:eastAsia="仿宋" w:cs="Times New Roman"/>
                <w:sz w:val="21"/>
                <w:szCs w:val="21"/>
                <w:lang w:val="en-US" w:eastAsia="zh-CN"/>
              </w:rPr>
              <w:t>建议</w:t>
            </w:r>
            <w:r>
              <w:rPr>
                <w:rFonts w:hint="default" w:ascii="Times New Roman" w:hAnsi="Times New Roman" w:eastAsia="仿宋" w:cs="Times New Roman"/>
                <w:sz w:val="21"/>
                <w:szCs w:val="21"/>
                <w:lang w:val="en-US" w:eastAsia="zh-CN"/>
              </w:rPr>
              <w:t>将企业信用</w:t>
            </w:r>
            <w:r>
              <w:rPr>
                <w:rFonts w:hint="eastAsia" w:ascii="Times New Roman" w:hAnsi="Times New Roman" w:eastAsia="仿宋" w:cs="Times New Roman"/>
                <w:sz w:val="21"/>
                <w:szCs w:val="21"/>
                <w:lang w:val="en-US" w:eastAsia="zh-CN"/>
              </w:rPr>
              <w:t>等级</w:t>
            </w:r>
            <w:r>
              <w:rPr>
                <w:rFonts w:hint="default" w:ascii="Times New Roman" w:hAnsi="Times New Roman" w:eastAsia="仿宋" w:cs="Times New Roman"/>
                <w:sz w:val="21"/>
                <w:szCs w:val="21"/>
                <w:lang w:val="en-US" w:eastAsia="zh-CN"/>
              </w:rPr>
              <w:t>信息与公共资源中心对接，本考核办法是否能够将结果推送至公共资源交易中心，便于公共资源中心在招投标阶段的评分。</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已在第三章结果运用</w:t>
            </w:r>
            <w:r>
              <w:rPr>
                <w:rFonts w:hint="eastAsia" w:ascii="Times New Roman" w:hAnsi="Times New Roman" w:eastAsia="仿宋" w:cs="Times New Roman"/>
                <w:color w:val="auto"/>
                <w:sz w:val="21"/>
                <w:szCs w:val="21"/>
                <w:highlight w:val="none"/>
                <w:lang w:val="en-US" w:eastAsia="zh-CN"/>
              </w:rPr>
              <w:t xml:space="preserve"> 第二十条进行补充。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24</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第三章结果运用</w:t>
            </w:r>
            <w:r>
              <w:rPr>
                <w:rFonts w:hint="eastAsia" w:ascii="Times New Roman" w:hAnsi="Times New Roman" w:eastAsia="仿宋" w:cs="Times New Roman"/>
                <w:color w:val="auto"/>
                <w:sz w:val="21"/>
                <w:szCs w:val="21"/>
                <w:highlight w:val="none"/>
                <w:lang w:val="en-US" w:eastAsia="zh-CN"/>
              </w:rPr>
              <w:t xml:space="preserve"> 第二十一条</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第</w:t>
            </w:r>
            <w:r>
              <w:rPr>
                <w:rFonts w:hint="eastAsia" w:ascii="Times New Roman" w:hAnsi="Times New Roman" w:eastAsia="仿宋" w:cs="Times New Roman"/>
                <w:sz w:val="21"/>
                <w:szCs w:val="21"/>
                <w:lang w:val="en-US" w:eastAsia="zh-CN"/>
              </w:rPr>
              <w:t>二十一</w:t>
            </w:r>
            <w:r>
              <w:rPr>
                <w:rFonts w:hint="default" w:ascii="Times New Roman" w:hAnsi="Times New Roman" w:eastAsia="仿宋" w:cs="Times New Roman"/>
                <w:sz w:val="21"/>
                <w:szCs w:val="21"/>
                <w:lang w:val="en-US" w:eastAsia="zh-CN"/>
              </w:rPr>
              <w:t>条，建议在招标文件的示范文本中</w:t>
            </w:r>
            <w:r>
              <w:rPr>
                <w:rFonts w:hint="eastAsia" w:ascii="Times New Roman" w:hAnsi="Times New Roman" w:eastAsia="仿宋" w:cs="Times New Roman"/>
                <w:sz w:val="21"/>
                <w:szCs w:val="21"/>
                <w:lang w:val="en-US" w:eastAsia="zh-CN"/>
              </w:rPr>
              <w:t>科学、</w:t>
            </w:r>
            <w:r>
              <w:rPr>
                <w:rFonts w:hint="default" w:ascii="Times New Roman" w:hAnsi="Times New Roman" w:eastAsia="仿宋" w:cs="Times New Roman"/>
                <w:sz w:val="21"/>
                <w:szCs w:val="21"/>
                <w:lang w:val="en-US" w:eastAsia="zh-CN"/>
              </w:rPr>
              <w:t>合理</w:t>
            </w:r>
            <w:r>
              <w:rPr>
                <w:rFonts w:hint="eastAsia" w:ascii="Times New Roman" w:hAnsi="Times New Roman" w:eastAsia="仿宋" w:cs="Times New Roman"/>
                <w:sz w:val="21"/>
                <w:szCs w:val="21"/>
                <w:lang w:val="en-US" w:eastAsia="zh-CN"/>
              </w:rPr>
              <w:t>、设置</w:t>
            </w:r>
            <w:r>
              <w:rPr>
                <w:rFonts w:hint="default" w:ascii="Times New Roman" w:hAnsi="Times New Roman" w:eastAsia="仿宋" w:cs="Times New Roman"/>
                <w:sz w:val="21"/>
                <w:szCs w:val="21"/>
                <w:lang w:val="en-US" w:eastAsia="zh-CN"/>
              </w:rPr>
              <w:t>加分条件</w:t>
            </w:r>
            <w:r>
              <w:rPr>
                <w:rFonts w:hint="eastAsia" w:ascii="Times New Roman" w:hAnsi="Times New Roman" w:eastAsia="仿宋" w:cs="Times New Roman"/>
                <w:sz w:val="21"/>
                <w:szCs w:val="21"/>
                <w:lang w:val="en-US" w:eastAsia="zh-CN"/>
              </w:rPr>
              <w:t>。</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将与正在起草的设计、监理招标文件示范文本衔接，科学、合理设置评分条件。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25</w:t>
            </w:r>
          </w:p>
        </w:tc>
        <w:tc>
          <w:tcPr>
            <w:tcW w:w="961" w:type="dxa"/>
            <w:vMerge w:val="restart"/>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李政早</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第十四条</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第六页第14条，80分&lt;=考核评价得分&gt;90分应为80分&lt;=考核评价得分&lt;90分。</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26</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1-1 设计合同履约评分表 设计质量</w:t>
            </w:r>
          </w:p>
        </w:tc>
        <w:tc>
          <w:tcPr>
            <w:tcW w:w="5313"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sz w:val="21"/>
                <w:szCs w:val="21"/>
                <w:lang w:val="en-US" w:eastAsia="zh-CN"/>
              </w:rPr>
            </w:pPr>
            <w:r>
              <w:rPr>
                <w:rFonts w:hint="default" w:ascii="Times New Roman" w:hAnsi="Times New Roman" w:eastAsia="仿宋" w:cs="Times New Roman"/>
                <w:sz w:val="21"/>
                <w:szCs w:val="21"/>
                <w:lang w:val="en-US" w:eastAsia="zh-CN"/>
              </w:rPr>
              <w:t>第12页，勘察测量情况，总则只是总体要求，不能够具体到哪一条，是否是直接引用全部或者是</w:t>
            </w:r>
            <w:r>
              <w:rPr>
                <w:rFonts w:hint="eastAsia" w:ascii="Times New Roman" w:hAnsi="Times New Roman" w:eastAsia="仿宋" w:cs="Times New Roman"/>
                <w:sz w:val="21"/>
                <w:szCs w:val="21"/>
                <w:lang w:val="en-US" w:eastAsia="zh-CN"/>
              </w:rPr>
              <w:t>具体</w:t>
            </w:r>
            <w:r>
              <w:rPr>
                <w:rFonts w:hint="default" w:ascii="Times New Roman" w:hAnsi="Times New Roman" w:eastAsia="仿宋" w:cs="Times New Roman"/>
                <w:sz w:val="21"/>
                <w:szCs w:val="21"/>
                <w:lang w:val="en-US" w:eastAsia="zh-CN"/>
              </w:rPr>
              <w:t>对应</w:t>
            </w:r>
            <w:r>
              <w:rPr>
                <w:rFonts w:hint="eastAsia" w:ascii="Times New Roman" w:hAnsi="Times New Roman" w:eastAsia="仿宋" w:cs="Times New Roman"/>
                <w:sz w:val="21"/>
                <w:szCs w:val="21"/>
                <w:lang w:val="en-US" w:eastAsia="zh-CN"/>
              </w:rPr>
              <w:t>的</w:t>
            </w:r>
            <w:r>
              <w:rPr>
                <w:rFonts w:hint="default" w:ascii="Times New Roman" w:hAnsi="Times New Roman" w:eastAsia="仿宋" w:cs="Times New Roman"/>
                <w:sz w:val="21"/>
                <w:szCs w:val="21"/>
                <w:lang w:val="en-US" w:eastAsia="zh-CN"/>
              </w:rPr>
              <w:t>哪块内容。</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已明确引用的具体内容。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27</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附件</w:t>
            </w:r>
            <w:r>
              <w:rPr>
                <w:rFonts w:hint="eastAsia" w:ascii="Times New Roman" w:hAnsi="Times New Roman" w:eastAsia="仿宋" w:cs="Times New Roman"/>
                <w:color w:val="auto"/>
                <w:sz w:val="21"/>
                <w:szCs w:val="21"/>
                <w:highlight w:val="none"/>
                <w:lang w:val="en-US" w:eastAsia="zh-CN"/>
              </w:rPr>
              <w:t>1-1、1-2、1-3 评分表</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sz w:val="21"/>
                <w:szCs w:val="21"/>
              </w:rPr>
            </w:pPr>
            <w:r>
              <w:rPr>
                <w:rFonts w:hint="default" w:ascii="Times New Roman" w:hAnsi="Times New Roman" w:eastAsia="仿宋" w:cs="Times New Roman"/>
                <w:kern w:val="0"/>
                <w:sz w:val="21"/>
                <w:szCs w:val="21"/>
                <w:lang w:val="en-US" w:eastAsia="zh-CN" w:bidi="ar-SA"/>
              </w:rPr>
              <w:t>GBT50319-2013加个斜线</w:t>
            </w:r>
            <w:r>
              <w:rPr>
                <w:rFonts w:hint="eastAsia" w:ascii="Times New Roman" w:hAnsi="Times New Roman" w:eastAsia="仿宋" w:cs="Times New Roman"/>
                <w:kern w:val="0"/>
                <w:sz w:val="21"/>
                <w:szCs w:val="21"/>
                <w:lang w:val="en-US" w:eastAsia="zh-CN" w:bidi="ar-SA"/>
              </w:rPr>
              <w:t>（</w:t>
            </w:r>
            <w:r>
              <w:rPr>
                <w:rFonts w:hint="default" w:ascii="Times New Roman" w:hAnsi="Times New Roman" w:eastAsia="仿宋" w:cs="Times New Roman"/>
                <w:kern w:val="0"/>
                <w:sz w:val="21"/>
                <w:szCs w:val="21"/>
                <w:lang w:val="en-US" w:eastAsia="zh-CN" w:bidi="ar-SA"/>
              </w:rPr>
              <w:t>GB</w:t>
            </w:r>
            <w:r>
              <w:rPr>
                <w:rFonts w:hint="eastAsia" w:ascii="Times New Roman" w:hAnsi="Times New Roman" w:eastAsia="仿宋" w:cs="Times New Roman"/>
                <w:kern w:val="0"/>
                <w:sz w:val="21"/>
                <w:szCs w:val="21"/>
                <w:lang w:val="en-US" w:eastAsia="zh-CN" w:bidi="ar-SA"/>
              </w:rPr>
              <w:t>/</w:t>
            </w:r>
            <w:r>
              <w:rPr>
                <w:rFonts w:hint="default" w:ascii="Times New Roman" w:hAnsi="Times New Roman" w:eastAsia="仿宋" w:cs="Times New Roman"/>
                <w:kern w:val="0"/>
                <w:sz w:val="21"/>
                <w:szCs w:val="21"/>
                <w:lang w:val="en-US" w:eastAsia="zh-CN" w:bidi="ar-SA"/>
              </w:rPr>
              <w:t>T</w:t>
            </w:r>
            <w:r>
              <w:rPr>
                <w:rFonts w:hint="eastAsia" w:ascii="Times New Roman" w:hAnsi="Times New Roman" w:eastAsia="仿宋" w:cs="Times New Roman"/>
                <w:kern w:val="0"/>
                <w:sz w:val="21"/>
                <w:szCs w:val="21"/>
                <w:lang w:val="en-US" w:eastAsia="zh-CN" w:bidi="ar-SA"/>
              </w:rPr>
              <w:t>）</w:t>
            </w:r>
            <w:r>
              <w:rPr>
                <w:rFonts w:hint="default" w:ascii="Times New Roman" w:hAnsi="Times New Roman" w:eastAsia="仿宋" w:cs="Times New Roman"/>
                <w:kern w:val="0"/>
                <w:sz w:val="21"/>
                <w:szCs w:val="21"/>
                <w:lang w:val="en-US" w:eastAsia="zh-CN" w:bidi="ar-SA"/>
              </w:rPr>
              <w:t>，格式调整。</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28</w:t>
            </w:r>
          </w:p>
        </w:tc>
        <w:tc>
          <w:tcPr>
            <w:tcW w:w="961" w:type="dxa"/>
            <w:vMerge w:val="restart"/>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default" w:ascii="Times New Roman" w:hAnsi="Times New Roman" w:eastAsia="仿宋" w:cs="Times New Roman"/>
                <w:color w:val="auto"/>
                <w:sz w:val="21"/>
                <w:szCs w:val="21"/>
                <w:highlight w:val="none"/>
                <w:lang w:val="en-US" w:eastAsia="zh-CN"/>
              </w:rPr>
              <w:t>董洁平</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第一章总则</w:t>
            </w:r>
            <w:r>
              <w:rPr>
                <w:rFonts w:hint="eastAsia" w:ascii="Times New Roman" w:hAnsi="Times New Roman" w:eastAsia="仿宋" w:cs="Times New Roman"/>
                <w:color w:val="auto"/>
                <w:sz w:val="21"/>
                <w:szCs w:val="21"/>
                <w:highlight w:val="none"/>
                <w:lang w:val="en-US" w:eastAsia="zh-CN"/>
              </w:rPr>
              <w:t xml:space="preserve"> 第一条</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编制依据中增加合同法。</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已增加。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29</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《办法》规范文字表述、格式</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要参考标准编制的规范性文件要求进行编制，如第二页第7条，规范性文件中没有条款标题，建议完善办法条款编写格式。</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已对《办法》文字表述、格式进行校对和优化。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30</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第十五条</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第7页第</w:t>
            </w:r>
            <w:r>
              <w:rPr>
                <w:rFonts w:hint="eastAsia" w:ascii="Times New Roman" w:hAnsi="Times New Roman" w:eastAsia="仿宋" w:cs="Times New Roman"/>
                <w:kern w:val="0"/>
                <w:sz w:val="21"/>
                <w:szCs w:val="21"/>
                <w:lang w:val="en-US" w:eastAsia="zh-CN" w:bidi="ar-SA"/>
              </w:rPr>
              <w:t>十五</w:t>
            </w:r>
            <w:r>
              <w:rPr>
                <w:rFonts w:hint="default" w:ascii="Times New Roman" w:hAnsi="Times New Roman" w:eastAsia="仿宋" w:cs="Times New Roman"/>
                <w:kern w:val="0"/>
                <w:sz w:val="21"/>
                <w:szCs w:val="21"/>
                <w:lang w:val="en-US" w:eastAsia="zh-CN" w:bidi="ar-SA"/>
              </w:rPr>
              <w:t>条设计单位第二小点，建议“存在其他违法行为且行为严重的”调整至最后一条，作为兜底条款。施工、监理都相应调整。</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31</w:t>
            </w:r>
          </w:p>
        </w:tc>
        <w:tc>
          <w:tcPr>
            <w:tcW w:w="96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严月霞</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第十五条</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办法中一票否决条款建议将“存在其他违法行为且行为严重的”调整至最后一条，作为兜底条款。</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s="Times New Roman"/>
                <w:color w:val="auto"/>
                <w:sz w:val="21"/>
                <w:szCs w:val="21"/>
                <w:highlight w:val="none"/>
                <w:lang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32</w:t>
            </w:r>
          </w:p>
        </w:tc>
        <w:tc>
          <w:tcPr>
            <w:tcW w:w="961" w:type="dxa"/>
            <w:vMerge w:val="restart"/>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r>
              <w:rPr>
                <w:rFonts w:hint="default" w:ascii="Times New Roman" w:hAnsi="Times New Roman" w:eastAsia="仿宋" w:cs="Times New Roman"/>
                <w:color w:val="auto"/>
                <w:sz w:val="21"/>
                <w:szCs w:val="21"/>
                <w:highlight w:val="none"/>
                <w:lang w:eastAsia="zh-CN"/>
              </w:rPr>
              <w:t>孟庆科</w:t>
            </w: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《办法》考核评价主体描述</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关于“县级人民政府农业农村部门”和“县级人民政府农业农村主管部门”的表述，建议规范统一。</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s="Times New Roman"/>
                <w:color w:val="auto"/>
                <w:sz w:val="21"/>
                <w:szCs w:val="21"/>
                <w:highlight w:val="none"/>
                <w:lang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33</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第八条</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第八条“本年度内”是否应该为“年度内”？</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kern w:val="0"/>
                <w:sz w:val="21"/>
                <w:szCs w:val="21"/>
                <w:highlight w:val="none"/>
                <w:lang w:val="en-US" w:eastAsia="zh-CN" w:bidi="ar-SA"/>
              </w:rPr>
            </w:pPr>
            <w:r>
              <w:rPr>
                <w:rFonts w:hint="eastAsia" w:ascii="Times New Roman" w:hAnsi="Times New Roman" w:eastAsia="仿宋" w:cs="Times New Roman"/>
                <w:color w:val="auto"/>
                <w:sz w:val="21"/>
                <w:szCs w:val="21"/>
                <w:highlight w:val="none"/>
                <w:lang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34</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第二章考核评价</w:t>
            </w:r>
            <w:r>
              <w:rPr>
                <w:rFonts w:hint="eastAsia" w:ascii="Times New Roman" w:hAnsi="Times New Roman" w:eastAsia="仿宋" w:cs="Times New Roman"/>
                <w:color w:val="auto"/>
                <w:sz w:val="21"/>
                <w:szCs w:val="21"/>
                <w:highlight w:val="none"/>
                <w:lang w:val="en-US" w:eastAsia="zh-CN"/>
              </w:rPr>
              <w:t xml:space="preserve"> 第十四条</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第十四条（二）中1与2的12家及以下（含12）和13家以上（含13）表述不一致。</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已修改为</w:t>
            </w:r>
            <w:r>
              <w:rPr>
                <w:rFonts w:hint="default" w:ascii="Times New Roman" w:hAnsi="Times New Roman" w:eastAsia="仿宋" w:cs="Times New Roman"/>
                <w:kern w:val="0"/>
                <w:sz w:val="21"/>
                <w:szCs w:val="21"/>
                <w:lang w:val="en-US" w:eastAsia="zh-CN" w:bidi="ar-SA"/>
              </w:rPr>
              <w:t>12家及以下（含12）和1</w:t>
            </w:r>
            <w:r>
              <w:rPr>
                <w:rFonts w:hint="eastAsia" w:ascii="Times New Roman" w:hAnsi="Times New Roman" w:eastAsia="仿宋" w:cs="Times New Roman"/>
                <w:kern w:val="0"/>
                <w:sz w:val="21"/>
                <w:szCs w:val="21"/>
                <w:lang w:val="en-US" w:eastAsia="zh-CN" w:bidi="ar-SA"/>
              </w:rPr>
              <w:t>2</w:t>
            </w:r>
            <w:r>
              <w:rPr>
                <w:rFonts w:hint="default" w:ascii="Times New Roman" w:hAnsi="Times New Roman" w:eastAsia="仿宋" w:cs="Times New Roman"/>
                <w:kern w:val="0"/>
                <w:sz w:val="21"/>
                <w:szCs w:val="21"/>
                <w:lang w:val="en-US" w:eastAsia="zh-CN" w:bidi="ar-SA"/>
              </w:rPr>
              <w:t>家以上（</w:t>
            </w:r>
            <w:r>
              <w:rPr>
                <w:rFonts w:hint="eastAsia" w:ascii="Times New Roman" w:hAnsi="Times New Roman" w:eastAsia="仿宋" w:cs="Times New Roman"/>
                <w:kern w:val="0"/>
                <w:sz w:val="21"/>
                <w:szCs w:val="21"/>
                <w:lang w:val="en-US" w:eastAsia="zh-CN" w:bidi="ar-SA"/>
              </w:rPr>
              <w:t>不</w:t>
            </w:r>
            <w:r>
              <w:rPr>
                <w:rFonts w:hint="default" w:ascii="Times New Roman" w:hAnsi="Times New Roman" w:eastAsia="仿宋" w:cs="Times New Roman"/>
                <w:kern w:val="0"/>
                <w:sz w:val="21"/>
                <w:szCs w:val="21"/>
                <w:lang w:val="en-US" w:eastAsia="zh-CN" w:bidi="ar-SA"/>
              </w:rPr>
              <w:t>含1</w:t>
            </w:r>
            <w:r>
              <w:rPr>
                <w:rFonts w:hint="eastAsia" w:ascii="Times New Roman" w:hAnsi="Times New Roman" w:eastAsia="仿宋" w:cs="Times New Roman"/>
                <w:kern w:val="0"/>
                <w:sz w:val="21"/>
                <w:szCs w:val="21"/>
                <w:lang w:val="en-US" w:eastAsia="zh-CN" w:bidi="ar-SA"/>
              </w:rPr>
              <w:t>2</w:t>
            </w:r>
            <w:r>
              <w:rPr>
                <w:rFonts w:hint="default" w:ascii="Times New Roman" w:hAnsi="Times New Roman" w:eastAsia="仿宋" w:cs="Times New Roman"/>
                <w:kern w:val="0"/>
                <w:sz w:val="21"/>
                <w:szCs w:val="21"/>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35</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第三章结果运用</w:t>
            </w:r>
            <w:r>
              <w:rPr>
                <w:rFonts w:hint="eastAsia" w:ascii="Times New Roman" w:hAnsi="Times New Roman" w:eastAsia="仿宋" w:cs="Times New Roman"/>
                <w:color w:val="auto"/>
                <w:sz w:val="21"/>
                <w:szCs w:val="21"/>
                <w:highlight w:val="none"/>
                <w:lang w:val="en-US" w:eastAsia="zh-CN"/>
              </w:rPr>
              <w:t xml:space="preserve"> 第十六条</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得分低于60分的，三年内禁入，是否有依据？否则涉嫌限制竞争。</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default" w:ascii="Times New Roman" w:hAnsi="Times New Roman" w:eastAsia="仿宋" w:cs="Times New Roman"/>
                <w:color w:val="auto"/>
                <w:sz w:val="21"/>
                <w:szCs w:val="21"/>
                <w:highlight w:val="none"/>
              </w:rPr>
            </w:pPr>
            <w:r>
              <w:rPr>
                <w:rFonts w:hint="eastAsia" w:ascii="Times New Roman" w:hAnsi="Times New Roman" w:eastAsia="仿宋" w:cs="Times New Roman"/>
                <w:kern w:val="0"/>
                <w:sz w:val="21"/>
                <w:szCs w:val="21"/>
                <w:lang w:val="en-US" w:eastAsia="zh-CN" w:bidi="ar-SA"/>
              </w:rPr>
              <w:t>“</w:t>
            </w:r>
            <w:r>
              <w:rPr>
                <w:rFonts w:hint="default" w:ascii="Times New Roman" w:hAnsi="Times New Roman" w:eastAsia="仿宋" w:cs="Times New Roman"/>
                <w:kern w:val="0"/>
                <w:sz w:val="21"/>
                <w:szCs w:val="21"/>
                <w:lang w:val="en-US" w:eastAsia="zh-CN" w:bidi="ar-SA"/>
              </w:rPr>
              <w:t>得分低于60分的，三年内禁入</w:t>
            </w:r>
            <w:r>
              <w:rPr>
                <w:rFonts w:hint="eastAsia" w:ascii="Times New Roman" w:hAnsi="Times New Roman" w:eastAsia="仿宋" w:cs="Times New Roman"/>
                <w:kern w:val="0"/>
                <w:sz w:val="21"/>
                <w:szCs w:val="21"/>
                <w:lang w:val="en-US" w:eastAsia="zh-CN" w:bidi="ar-SA"/>
              </w:rPr>
              <w:t>”参照《水利建设市场主体信用信息管理办法》</w:t>
            </w:r>
            <w:r>
              <w:rPr>
                <w:rFonts w:hint="eastAsia" w:ascii="Times New Roman" w:hAnsi="Times New Roman" w:eastAsia="仿宋" w:cs="Times New Roman"/>
                <w:kern w:val="0"/>
                <w:sz w:val="21"/>
                <w:szCs w:val="21"/>
                <w:lang w:val="en-US" w:eastAsia="zh-CN" w:bidi="ar-SA"/>
              </w:rPr>
              <w:tab/>
            </w:r>
            <w:r>
              <w:rPr>
                <w:rFonts w:hint="eastAsia" w:ascii="Times New Roman" w:hAnsi="Times New Roman" w:eastAsia="仿宋" w:cs="Times New Roman"/>
                <w:kern w:val="0"/>
                <w:sz w:val="21"/>
                <w:szCs w:val="21"/>
                <w:lang w:val="en-US" w:eastAsia="zh-CN" w:bidi="ar-SA"/>
              </w:rPr>
              <w:t>第二十七条、第三十五条拟定。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551"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kern w:val="0"/>
                <w:sz w:val="21"/>
                <w:szCs w:val="21"/>
                <w:highlight w:val="none"/>
                <w:lang w:val="en-US" w:eastAsia="zh-CN" w:bidi="ar-SA"/>
              </w:rPr>
            </w:pPr>
            <w:r>
              <w:rPr>
                <w:rFonts w:hint="default" w:ascii="Times New Roman" w:hAnsi="Times New Roman" w:eastAsia="仿宋" w:cs="Times New Roman"/>
                <w:color w:val="auto"/>
                <w:sz w:val="21"/>
                <w:szCs w:val="21"/>
                <w:highlight w:val="none"/>
                <w:lang w:val="en-US" w:eastAsia="zh-CN"/>
              </w:rPr>
              <w:t>36</w:t>
            </w:r>
          </w:p>
        </w:tc>
        <w:tc>
          <w:tcPr>
            <w:tcW w:w="961" w:type="dxa"/>
            <w:vMerge w:val="continue"/>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eastAsia="zh-CN"/>
              </w:rPr>
            </w:pPr>
          </w:p>
        </w:tc>
        <w:tc>
          <w:tcPr>
            <w:tcW w:w="2089"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Times New Roman" w:hAnsi="Times New Roman" w:eastAsia="仿宋" w:cs="Times New Roman"/>
                <w:color w:val="auto"/>
                <w:sz w:val="21"/>
                <w:szCs w:val="21"/>
                <w:highlight w:val="none"/>
                <w:lang w:val="en-US" w:eastAsia="zh-CN"/>
              </w:rPr>
            </w:pPr>
            <w:r>
              <w:rPr>
                <w:rFonts w:hint="eastAsia" w:ascii="Times New Roman" w:hAnsi="Times New Roman" w:eastAsia="仿宋" w:cs="Times New Roman"/>
                <w:color w:val="auto"/>
                <w:sz w:val="21"/>
                <w:szCs w:val="21"/>
                <w:highlight w:val="none"/>
                <w:lang w:eastAsia="zh-CN"/>
              </w:rPr>
              <w:t>第四章附则</w:t>
            </w:r>
            <w:r>
              <w:rPr>
                <w:rFonts w:hint="eastAsia" w:ascii="Times New Roman" w:hAnsi="Times New Roman" w:eastAsia="仿宋" w:cs="Times New Roman"/>
                <w:color w:val="auto"/>
                <w:sz w:val="21"/>
                <w:szCs w:val="21"/>
                <w:highlight w:val="none"/>
                <w:lang w:val="en-US" w:eastAsia="zh-CN"/>
              </w:rPr>
              <w:t xml:space="preserve"> 第二十四条</w:t>
            </w:r>
          </w:p>
        </w:tc>
        <w:tc>
          <w:tcPr>
            <w:tcW w:w="5313" w:type="dxa"/>
            <w:vAlign w:val="center"/>
          </w:tcPr>
          <w:p>
            <w:pPr>
              <w:pStyle w:val="16"/>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default" w:ascii="Times New Roman" w:hAnsi="Times New Roman" w:eastAsia="仿宋" w:cs="Times New Roman"/>
                <w:kern w:val="0"/>
                <w:sz w:val="21"/>
                <w:szCs w:val="21"/>
                <w:lang w:val="en-US" w:eastAsia="zh-CN" w:bidi="ar-SA"/>
              </w:rPr>
            </w:pPr>
            <w:r>
              <w:rPr>
                <w:rFonts w:hint="default" w:ascii="Times New Roman" w:hAnsi="Times New Roman" w:eastAsia="仿宋" w:cs="Times New Roman"/>
                <w:kern w:val="0"/>
                <w:sz w:val="21"/>
                <w:szCs w:val="21"/>
                <w:lang w:val="en-US" w:eastAsia="zh-CN" w:bidi="ar-SA"/>
              </w:rPr>
              <w:t>第二十四条，加上“有效期两年”。</w:t>
            </w:r>
          </w:p>
        </w:tc>
        <w:tc>
          <w:tcPr>
            <w:tcW w:w="1088"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采纳</w:t>
            </w:r>
          </w:p>
        </w:tc>
        <w:tc>
          <w:tcPr>
            <w:tcW w:w="5305" w:type="dxa"/>
            <w:vAlign w:val="center"/>
          </w:tcPr>
          <w:p>
            <w:pPr>
              <w:pStyle w:val="3"/>
              <w:keepNext w:val="0"/>
              <w:keepLines w:val="0"/>
              <w:pageBreakBefore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Times New Roman" w:hAnsi="Times New Roman" w:eastAsia="仿宋" w:cs="Times New Roman"/>
                <w:color w:val="auto"/>
                <w:sz w:val="21"/>
                <w:szCs w:val="21"/>
                <w:highlight w:val="none"/>
                <w:lang w:eastAsia="zh-CN"/>
              </w:rPr>
            </w:pPr>
            <w:r>
              <w:rPr>
                <w:rFonts w:hint="eastAsia" w:ascii="Times New Roman" w:hAnsi="Times New Roman" w:eastAsia="仿宋" w:cs="Times New Roman"/>
                <w:color w:val="auto"/>
                <w:sz w:val="21"/>
                <w:szCs w:val="21"/>
                <w:highlight w:val="none"/>
                <w:lang w:eastAsia="zh-CN"/>
              </w:rPr>
              <w:t>已补充。</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F80451E-B893-42CD-96F5-C74B8509D6C4}"/>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DF3A6640-406C-4DA2-8999-46E55891EAF1}"/>
  </w:font>
  <w:font w:name="方正小标宋_GBK">
    <w:altName w:val="Arial Unicode MS"/>
    <w:panose1 w:val="03000509000000000000"/>
    <w:charset w:val="86"/>
    <w:family w:val="auto"/>
    <w:pitch w:val="default"/>
    <w:sig w:usb0="00000000" w:usb1="00000000" w:usb2="00000000" w:usb3="00000000" w:csb0="00040000" w:csb1="00000000"/>
    <w:embedRegular r:id="rId3" w:fontKey="{09207AD8-5C8D-44AB-B22C-4D9EA88A5DE8}"/>
  </w:font>
  <w:font w:name="方正仿宋_GB2312">
    <w:panose1 w:val="02000000000000000000"/>
    <w:charset w:val="86"/>
    <w:family w:val="auto"/>
    <w:pitch w:val="default"/>
    <w:sig w:usb0="A00002BF" w:usb1="184F6CFA" w:usb2="00000012" w:usb3="00000000" w:csb0="00040001" w:csb1="00000000"/>
    <w:embedRegular r:id="rId4" w:fontKey="{6B4E97C7-AB5E-4DF1-AC8F-A0BB25D8E9B1}"/>
  </w:font>
  <w:font w:name="仿宋">
    <w:panose1 w:val="02010609060101010101"/>
    <w:charset w:val="86"/>
    <w:family w:val="modern"/>
    <w:pitch w:val="default"/>
    <w:sig w:usb0="800002BF" w:usb1="38CF7CFA" w:usb2="00000016" w:usb3="00000000" w:csb0="00040001" w:csb1="00000000"/>
    <w:embedRegular r:id="rId5" w:fontKey="{EA2D9387-9727-43E5-8AF8-624C7BDB8BD9}"/>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YwNmI3YmNkMTRmNjFlZjRhZTExMTNlOWEzMjZlNzUifQ=="/>
  </w:docVars>
  <w:rsids>
    <w:rsidRoot w:val="73395C27"/>
    <w:rsid w:val="001348BA"/>
    <w:rsid w:val="00192DB4"/>
    <w:rsid w:val="00457E47"/>
    <w:rsid w:val="00617451"/>
    <w:rsid w:val="006835C4"/>
    <w:rsid w:val="017165B7"/>
    <w:rsid w:val="19840F60"/>
    <w:rsid w:val="20A92B7C"/>
    <w:rsid w:val="2E3F59B4"/>
    <w:rsid w:val="2F8503FE"/>
    <w:rsid w:val="389E3D5F"/>
    <w:rsid w:val="3BE166A0"/>
    <w:rsid w:val="3CBB7496"/>
    <w:rsid w:val="40BF73BE"/>
    <w:rsid w:val="4A9D5A51"/>
    <w:rsid w:val="4B1B2ECF"/>
    <w:rsid w:val="4C7E7B14"/>
    <w:rsid w:val="551F20DB"/>
    <w:rsid w:val="577163DB"/>
    <w:rsid w:val="5C4A3FA5"/>
    <w:rsid w:val="5FF6A0A7"/>
    <w:rsid w:val="60CC450E"/>
    <w:rsid w:val="6AF27BD4"/>
    <w:rsid w:val="6FD65B36"/>
    <w:rsid w:val="72B97F89"/>
    <w:rsid w:val="73395C27"/>
    <w:rsid w:val="77FF26CD"/>
    <w:rsid w:val="7AF73293"/>
    <w:rsid w:val="7F8F5D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qFormat/>
    <w:uiPriority w:val="0"/>
    <w:pPr>
      <w:widowControl/>
      <w:adjustRightInd/>
      <w:snapToGrid/>
      <w:spacing w:line="240" w:lineRule="auto"/>
      <w:ind w:firstLine="420" w:firstLineChars="0"/>
      <w:jc w:val="left"/>
    </w:pPr>
    <w:rPr>
      <w:rFonts w:ascii="Calibri" w:hAnsi="Calibri" w:eastAsia="宋体"/>
      <w:kern w:val="0"/>
      <w:sz w:val="20"/>
      <w:szCs w:val="20"/>
    </w:rPr>
  </w:style>
  <w:style w:type="paragraph" w:styleId="3">
    <w:name w:val="Body Text First Indent 2"/>
    <w:basedOn w:val="4"/>
    <w:next w:val="2"/>
    <w:unhideWhenUsed/>
    <w:qFormat/>
    <w:uiPriority w:val="0"/>
    <w:pPr>
      <w:ind w:firstLine="420" w:firstLineChars="200"/>
    </w:pPr>
    <w:rPr>
      <w:kern w:val="0"/>
      <w:sz w:val="20"/>
    </w:rPr>
  </w:style>
  <w:style w:type="paragraph" w:styleId="4">
    <w:name w:val="Body Text Indent"/>
    <w:basedOn w:val="1"/>
    <w:next w:val="5"/>
    <w:qFormat/>
    <w:uiPriority w:val="0"/>
    <w:pPr>
      <w:spacing w:after="120"/>
      <w:ind w:left="420" w:leftChars="200"/>
    </w:pPr>
  </w:style>
  <w:style w:type="paragraph" w:styleId="5">
    <w:name w:val="Body Text Indent 2"/>
    <w:basedOn w:val="1"/>
    <w:qFormat/>
    <w:uiPriority w:val="0"/>
    <w:pPr>
      <w:spacing w:after="120" w:line="480" w:lineRule="auto"/>
      <w:ind w:left="420" w:leftChars="200"/>
    </w:pPr>
  </w:style>
  <w:style w:type="paragraph" w:styleId="6">
    <w:name w:val="footer"/>
    <w:basedOn w:val="1"/>
    <w:link w:val="15"/>
    <w:qFormat/>
    <w:uiPriority w:val="0"/>
    <w:pPr>
      <w:tabs>
        <w:tab w:val="center" w:pos="4153"/>
        <w:tab w:val="right" w:pos="8306"/>
      </w:tabs>
      <w:snapToGrid w:val="0"/>
      <w:jc w:val="left"/>
    </w:pPr>
    <w:rPr>
      <w:sz w:val="18"/>
      <w:szCs w:val="18"/>
    </w:rPr>
  </w:style>
  <w:style w:type="paragraph" w:styleId="7">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
    <w:name w:val="font5"/>
    <w:basedOn w:val="1"/>
    <w:qFormat/>
    <w:uiPriority w:val="0"/>
    <w:pPr>
      <w:widowControl/>
      <w:spacing w:before="100" w:beforeAutospacing="1" w:after="100" w:afterAutospacing="1"/>
      <w:jc w:val="left"/>
    </w:pPr>
    <w:rPr>
      <w:rFonts w:ascii="宋体"/>
      <w:kern w:val="0"/>
      <w:sz w:val="18"/>
    </w:rPr>
  </w:style>
  <w:style w:type="character" w:customStyle="1" w:styleId="13">
    <w:name w:val="font81"/>
    <w:basedOn w:val="11"/>
    <w:qFormat/>
    <w:uiPriority w:val="0"/>
    <w:rPr>
      <w:rFonts w:ascii="方正小标宋_GBK" w:hAnsi="方正小标宋_GBK" w:eastAsia="方正小标宋_GBK" w:cs="方正小标宋_GBK"/>
      <w:b/>
      <w:bCs/>
      <w:color w:val="000000"/>
      <w:sz w:val="40"/>
      <w:szCs w:val="40"/>
      <w:u w:val="none"/>
    </w:rPr>
  </w:style>
  <w:style w:type="character" w:customStyle="1" w:styleId="14">
    <w:name w:val="页眉 Char"/>
    <w:basedOn w:val="11"/>
    <w:link w:val="7"/>
    <w:qFormat/>
    <w:uiPriority w:val="0"/>
    <w:rPr>
      <w:kern w:val="2"/>
      <w:sz w:val="18"/>
      <w:szCs w:val="18"/>
    </w:rPr>
  </w:style>
  <w:style w:type="character" w:customStyle="1" w:styleId="15">
    <w:name w:val="页脚 Char"/>
    <w:basedOn w:val="11"/>
    <w:link w:val="6"/>
    <w:qFormat/>
    <w:uiPriority w:val="0"/>
    <w:rPr>
      <w:kern w:val="2"/>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494</Words>
  <Characters>2816</Characters>
  <Lines>23</Lines>
  <Paragraphs>6</Paragraphs>
  <TotalTime>11</TotalTime>
  <ScaleCrop>false</ScaleCrop>
  <LinksUpToDate>false</LinksUpToDate>
  <CharactersWithSpaces>3304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2021-11-23T22:10:00Z</dcterms:created>
  <dc:creator>@吖</dc:creator>
  <cp:lastModifiedBy>Rocy</cp:lastModifiedBy>
  <cp:lastPrinted>2021-11-24T00:34:00Z</cp:lastPrinted>
  <dcterms:modified xsi:type="dcterms:W3CDTF">2023-11-14T03:50:59Z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BA5283D4E7494FCD949A188036483C36_13</vt:lpwstr>
  </property>
</Properties>
</file>