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09BB2">
      <w:pPr>
        <w:pStyle w:val="17"/>
        <w:jc w:val="center"/>
        <w:rPr>
          <w:color w:val="auto"/>
          <w:sz w:val="56"/>
          <w:szCs w:val="56"/>
          <w:highlight w:val="none"/>
        </w:rPr>
      </w:pPr>
    </w:p>
    <w:p w14:paraId="6AF6104D">
      <w:pPr>
        <w:pStyle w:val="17"/>
        <w:jc w:val="center"/>
        <w:rPr>
          <w:color w:val="auto"/>
          <w:sz w:val="56"/>
          <w:szCs w:val="56"/>
          <w:highlight w:val="none"/>
        </w:rPr>
      </w:pPr>
    </w:p>
    <w:p w14:paraId="126A2D19">
      <w:pPr>
        <w:pStyle w:val="17"/>
        <w:jc w:val="center"/>
        <w:rPr>
          <w:color w:val="auto"/>
          <w:sz w:val="84"/>
          <w:szCs w:val="84"/>
          <w:highlight w:val="none"/>
        </w:rPr>
      </w:pPr>
    </w:p>
    <w:p w14:paraId="53B21EB9">
      <w:pPr>
        <w:pStyle w:val="17"/>
        <w:jc w:val="center"/>
        <w:rPr>
          <w:color w:val="auto"/>
          <w:sz w:val="84"/>
          <w:szCs w:val="84"/>
          <w:highlight w:val="none"/>
        </w:rPr>
      </w:pPr>
    </w:p>
    <w:p w14:paraId="78C7FC51">
      <w:pPr>
        <w:pStyle w:val="17"/>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rPr>
        <w:t>202</w:t>
      </w:r>
      <w:r>
        <w:rPr>
          <w:rFonts w:hint="eastAsia" w:ascii="方正小标宋_GBK" w:hAnsi="方正小标宋_GBK" w:eastAsia="方正小标宋_GBK" w:cs="方正小标宋_GBK"/>
          <w:color w:val="auto"/>
          <w:sz w:val="84"/>
          <w:szCs w:val="84"/>
          <w:highlight w:val="none"/>
          <w:lang w:val="en-US" w:eastAsia="zh-CN"/>
        </w:rPr>
        <w:t>3</w:t>
      </w:r>
      <w:r>
        <w:rPr>
          <w:rFonts w:hint="eastAsia" w:ascii="方正小标宋_GBK" w:hAnsi="方正小标宋_GBK" w:eastAsia="方正小标宋_GBK" w:cs="方正小标宋_GBK"/>
          <w:color w:val="auto"/>
          <w:sz w:val="84"/>
          <w:szCs w:val="84"/>
          <w:highlight w:val="none"/>
        </w:rPr>
        <w:t>年度</w:t>
      </w:r>
    </w:p>
    <w:p w14:paraId="25CCE3FE">
      <w:pPr>
        <w:pStyle w:val="17"/>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lang w:val="en-US" w:eastAsia="zh-CN"/>
        </w:rPr>
        <w:t>湖南省农业农村厅</w:t>
      </w:r>
      <w:r>
        <w:rPr>
          <w:rFonts w:hint="eastAsia" w:ascii="方正小标宋_GBK" w:hAnsi="方正小标宋_GBK" w:eastAsia="方正小标宋_GBK" w:cs="方正小标宋_GBK"/>
          <w:color w:val="auto"/>
          <w:sz w:val="84"/>
          <w:szCs w:val="84"/>
          <w:highlight w:val="none"/>
        </w:rPr>
        <w:t>部门决算</w:t>
      </w:r>
    </w:p>
    <w:p w14:paraId="548265E1">
      <w:pPr>
        <w:pStyle w:val="17"/>
        <w:jc w:val="center"/>
        <w:rPr>
          <w:rFonts w:hint="eastAsia" w:ascii="方正小标宋_GBK" w:hAnsi="方正小标宋_GBK" w:eastAsia="方正小标宋_GBK" w:cs="方正小标宋_GBK"/>
          <w:color w:val="auto"/>
          <w:sz w:val="56"/>
          <w:szCs w:val="56"/>
          <w:highlight w:val="none"/>
        </w:rPr>
      </w:pPr>
    </w:p>
    <w:p w14:paraId="50E11EB2">
      <w:pPr>
        <w:pStyle w:val="17"/>
        <w:jc w:val="center"/>
        <w:rPr>
          <w:color w:val="auto"/>
          <w:sz w:val="56"/>
          <w:szCs w:val="56"/>
          <w:highlight w:val="none"/>
        </w:rPr>
      </w:pPr>
    </w:p>
    <w:p w14:paraId="7D7D106E">
      <w:pPr>
        <w:pStyle w:val="17"/>
        <w:jc w:val="center"/>
        <w:rPr>
          <w:color w:val="auto"/>
          <w:sz w:val="56"/>
          <w:szCs w:val="56"/>
          <w:highlight w:val="none"/>
        </w:rPr>
      </w:pPr>
    </w:p>
    <w:p w14:paraId="1BA81845">
      <w:pPr>
        <w:pStyle w:val="17"/>
        <w:jc w:val="center"/>
        <w:rPr>
          <w:color w:val="auto"/>
          <w:sz w:val="56"/>
          <w:szCs w:val="56"/>
          <w:highlight w:val="none"/>
        </w:rPr>
      </w:pPr>
    </w:p>
    <w:p w14:paraId="7AA95BF5">
      <w:pPr>
        <w:pStyle w:val="17"/>
        <w:jc w:val="center"/>
        <w:rPr>
          <w:color w:val="auto"/>
          <w:sz w:val="32"/>
          <w:szCs w:val="32"/>
          <w:highlight w:val="none"/>
        </w:rPr>
      </w:pPr>
    </w:p>
    <w:p w14:paraId="1597BFBA">
      <w:pPr>
        <w:pStyle w:val="17"/>
        <w:jc w:val="center"/>
        <w:rPr>
          <w:color w:val="auto"/>
          <w:sz w:val="32"/>
          <w:szCs w:val="32"/>
          <w:highlight w:val="none"/>
        </w:rPr>
      </w:pPr>
    </w:p>
    <w:p w14:paraId="28F9F969">
      <w:pPr>
        <w:pStyle w:val="17"/>
        <w:jc w:val="center"/>
        <w:rPr>
          <w:color w:val="auto"/>
          <w:sz w:val="32"/>
          <w:szCs w:val="32"/>
          <w:highlight w:val="none"/>
        </w:rPr>
      </w:pPr>
    </w:p>
    <w:p w14:paraId="0900715E">
      <w:pPr>
        <w:pStyle w:val="17"/>
        <w:jc w:val="center"/>
        <w:rPr>
          <w:color w:val="auto"/>
          <w:sz w:val="32"/>
          <w:szCs w:val="32"/>
          <w:highlight w:val="none"/>
        </w:rPr>
      </w:pPr>
    </w:p>
    <w:p w14:paraId="7A7920EA">
      <w:pPr>
        <w:pStyle w:val="17"/>
        <w:jc w:val="center"/>
        <w:rPr>
          <w:color w:val="auto"/>
          <w:sz w:val="32"/>
          <w:szCs w:val="32"/>
          <w:highlight w:val="none"/>
        </w:rPr>
      </w:pPr>
    </w:p>
    <w:p w14:paraId="62BB248A">
      <w:pPr>
        <w:pStyle w:val="17"/>
        <w:spacing w:line="540" w:lineRule="exact"/>
        <w:jc w:val="center"/>
        <w:rPr>
          <w:color w:val="auto"/>
          <w:sz w:val="56"/>
          <w:szCs w:val="56"/>
          <w:highlight w:val="none"/>
        </w:rPr>
      </w:pPr>
    </w:p>
    <w:p w14:paraId="2AF8F158">
      <w:pPr>
        <w:pStyle w:val="17"/>
        <w:spacing w:line="500" w:lineRule="exact"/>
        <w:jc w:val="center"/>
        <w:rPr>
          <w:b/>
          <w:color w:val="auto"/>
          <w:sz w:val="36"/>
          <w:szCs w:val="28"/>
          <w:highlight w:val="none"/>
        </w:rPr>
      </w:pPr>
      <w:r>
        <w:rPr>
          <w:rFonts w:hint="eastAsia"/>
          <w:b/>
          <w:color w:val="auto"/>
          <w:sz w:val="36"/>
          <w:szCs w:val="28"/>
          <w:highlight w:val="none"/>
        </w:rPr>
        <w:t>目录</w:t>
      </w:r>
    </w:p>
    <w:p w14:paraId="77298129">
      <w:pPr>
        <w:pStyle w:val="17"/>
        <w:spacing w:line="500" w:lineRule="exact"/>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第一部分</w:t>
      </w:r>
      <w:r>
        <w:rPr>
          <w:rFonts w:hint="eastAsia" w:ascii="黑体" w:hAnsi="黑体" w:eastAsia="黑体" w:cs="黑体"/>
          <w:b w:val="0"/>
          <w:bCs/>
          <w:color w:val="auto"/>
          <w:sz w:val="28"/>
          <w:szCs w:val="28"/>
          <w:highlight w:val="none"/>
          <w:lang w:val="en-US" w:eastAsia="zh-CN"/>
        </w:rPr>
        <w:t xml:space="preserve"> </w:t>
      </w:r>
      <w:r>
        <w:rPr>
          <w:rFonts w:hint="eastAsia" w:hAnsi="黑体" w:cs="黑体"/>
          <w:b w:val="0"/>
          <w:bCs/>
          <w:color w:val="auto"/>
          <w:sz w:val="28"/>
          <w:szCs w:val="28"/>
          <w:highlight w:val="none"/>
          <w:lang w:val="en-US" w:eastAsia="zh-CN"/>
        </w:rPr>
        <w:t>湖南省农业农村厅</w:t>
      </w:r>
      <w:r>
        <w:rPr>
          <w:rFonts w:hint="eastAsia" w:ascii="黑体" w:hAnsi="黑体" w:eastAsia="黑体" w:cs="黑体"/>
          <w:b w:val="0"/>
          <w:bCs/>
          <w:color w:val="auto"/>
          <w:sz w:val="28"/>
          <w:szCs w:val="28"/>
          <w:highlight w:val="none"/>
          <w:lang w:eastAsia="zh-CN"/>
        </w:rPr>
        <w:t>部门</w:t>
      </w:r>
      <w:r>
        <w:rPr>
          <w:rFonts w:hint="eastAsia" w:ascii="黑体" w:hAnsi="黑体" w:eastAsia="黑体" w:cs="黑体"/>
          <w:b w:val="0"/>
          <w:bCs/>
          <w:color w:val="auto"/>
          <w:sz w:val="28"/>
          <w:szCs w:val="28"/>
          <w:highlight w:val="none"/>
        </w:rPr>
        <w:t>概况</w:t>
      </w:r>
    </w:p>
    <w:p w14:paraId="49E24615">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一、部门职责</w:t>
      </w:r>
    </w:p>
    <w:p w14:paraId="6EE1BBF5">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二、机构设置</w:t>
      </w:r>
    </w:p>
    <w:p w14:paraId="4CF2BCE2">
      <w:pPr>
        <w:pStyle w:val="17"/>
        <w:spacing w:line="500" w:lineRule="exact"/>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第二部分</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部门决算表</w:t>
      </w:r>
    </w:p>
    <w:p w14:paraId="35B2FCC4">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一、收入支出决算总表</w:t>
      </w:r>
    </w:p>
    <w:p w14:paraId="722D056F">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二、收入决算表</w:t>
      </w:r>
    </w:p>
    <w:p w14:paraId="553038C0">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三、支出决算表</w:t>
      </w:r>
    </w:p>
    <w:p w14:paraId="25FC1240">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四、财政拨款收入支出决算总表</w:t>
      </w:r>
    </w:p>
    <w:p w14:paraId="24643673">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五、一般公共预算财政拨款支出决算表</w:t>
      </w:r>
    </w:p>
    <w:p w14:paraId="0AFAB314">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六、一般公共预算财政拨款基本支出决算明细表</w:t>
      </w:r>
    </w:p>
    <w:p w14:paraId="513C806F">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七、政府性基金预算财政拨款收入支出决算表</w:t>
      </w:r>
    </w:p>
    <w:p w14:paraId="237492BB">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八、国有资本经营预算财政拨款支出决算表</w:t>
      </w:r>
    </w:p>
    <w:p w14:paraId="405BC455">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九、财政拨款“三公”经费支出决算表</w:t>
      </w:r>
    </w:p>
    <w:p w14:paraId="73F7FF8F">
      <w:pPr>
        <w:pStyle w:val="17"/>
        <w:spacing w:line="500" w:lineRule="exact"/>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第三部分</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部门决算情况说明</w:t>
      </w:r>
    </w:p>
    <w:p w14:paraId="725CD302">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一、收入支出决算总体情况说明</w:t>
      </w:r>
    </w:p>
    <w:p w14:paraId="1E7824E3">
      <w:pPr>
        <w:spacing w:line="500" w:lineRule="exact"/>
        <w:ind w:firstLine="700" w:firstLineChars="25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二、收入决算情况说明</w:t>
      </w:r>
    </w:p>
    <w:p w14:paraId="51E1CE54">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三、支出决算情况说明</w:t>
      </w:r>
    </w:p>
    <w:p w14:paraId="49CA1B06">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四、财政拨款收入支出决算总体情况说明</w:t>
      </w:r>
    </w:p>
    <w:p w14:paraId="33D3AD62">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五、一般公共预算财政拨款支出决算情况说明</w:t>
      </w:r>
    </w:p>
    <w:p w14:paraId="60A0DC09">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六、一般公共预算财政拨款基本支出决算情况说明</w:t>
      </w:r>
    </w:p>
    <w:p w14:paraId="1EC877F6">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七、财政拨款三公经费支出决算情况说明</w:t>
      </w:r>
    </w:p>
    <w:p w14:paraId="455F3A82">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八、政府性基金预算收入支出决算情况</w:t>
      </w:r>
    </w:p>
    <w:p w14:paraId="1844EF61">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九、关于机关运行经费支出说明</w:t>
      </w:r>
    </w:p>
    <w:p w14:paraId="5412C15F">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十、一般性支出情况说明</w:t>
      </w:r>
    </w:p>
    <w:p w14:paraId="0440FEA6">
      <w:pPr>
        <w:autoSpaceDE w:val="0"/>
        <w:autoSpaceDN w:val="0"/>
        <w:adjustRightInd w:val="0"/>
        <w:spacing w:line="500" w:lineRule="exact"/>
        <w:ind w:firstLine="700" w:firstLineChars="250"/>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十一、关于政府采购支出说明</w:t>
      </w:r>
    </w:p>
    <w:p w14:paraId="487CA388">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十二、关于国有资产占用情况说明</w:t>
      </w:r>
    </w:p>
    <w:p w14:paraId="0304AEF8">
      <w:pPr>
        <w:pStyle w:val="17"/>
        <w:spacing w:line="500" w:lineRule="exact"/>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十三、关于</w:t>
      </w:r>
      <w:r>
        <w:rPr>
          <w:rFonts w:hint="default" w:ascii="Times New Roman" w:hAnsi="Times New Roman" w:eastAsia="仿宋_GB2312" w:cs="Times New Roman"/>
          <w:color w:val="auto"/>
          <w:sz w:val="28"/>
          <w:szCs w:val="28"/>
          <w:highlight w:val="none"/>
        </w:rPr>
        <w:t>202</w:t>
      </w:r>
      <w:r>
        <w:rPr>
          <w:rFonts w:hint="default" w:ascii="Times New Roman" w:hAnsi="Times New Roman" w:eastAsia="仿宋_GB2312" w:cs="Times New Roman"/>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年度</w:t>
      </w:r>
      <w:r>
        <w:rPr>
          <w:rFonts w:hint="eastAsia" w:ascii="仿宋_GB2312" w:hAnsi="仿宋_GB2312" w:eastAsia="仿宋_GB2312" w:cs="仿宋_GB2312"/>
          <w:color w:val="auto"/>
          <w:sz w:val="28"/>
          <w:szCs w:val="28"/>
          <w:highlight w:val="none"/>
          <w:lang w:eastAsia="zh-CN"/>
        </w:rPr>
        <w:t>预算</w:t>
      </w:r>
      <w:r>
        <w:rPr>
          <w:rFonts w:hint="eastAsia" w:ascii="仿宋_GB2312" w:hAnsi="仿宋_GB2312" w:eastAsia="仿宋_GB2312" w:cs="仿宋_GB2312"/>
          <w:color w:val="auto"/>
          <w:sz w:val="28"/>
          <w:szCs w:val="28"/>
          <w:highlight w:val="none"/>
        </w:rPr>
        <w:t>绩效情况的说明</w:t>
      </w:r>
    </w:p>
    <w:p w14:paraId="41EEBBF5">
      <w:pPr>
        <w:pStyle w:val="17"/>
        <w:spacing w:line="500" w:lineRule="exact"/>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第四部分</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名词解释</w:t>
      </w:r>
    </w:p>
    <w:p w14:paraId="156554B6">
      <w:pPr>
        <w:pStyle w:val="17"/>
        <w:spacing w:line="500" w:lineRule="exact"/>
        <w:rPr>
          <w:rFonts w:hint="eastAsia" w:ascii="黑体" w:hAnsi="黑体" w:eastAsia="黑体" w:cs="黑体"/>
          <w:b w:val="0"/>
          <w:bCs/>
          <w:color w:val="auto"/>
          <w:sz w:val="28"/>
          <w:szCs w:val="28"/>
          <w:highlight w:val="none"/>
          <w:lang w:eastAsia="zh-CN"/>
        </w:rPr>
      </w:pPr>
      <w:r>
        <w:rPr>
          <w:rFonts w:hint="eastAsia" w:ascii="黑体" w:hAnsi="黑体" w:eastAsia="黑体" w:cs="黑体"/>
          <w:b w:val="0"/>
          <w:bCs/>
          <w:color w:val="auto"/>
          <w:sz w:val="28"/>
          <w:szCs w:val="28"/>
          <w:highlight w:val="none"/>
        </w:rPr>
        <w:t>第</w:t>
      </w:r>
      <w:r>
        <w:rPr>
          <w:rFonts w:hint="eastAsia" w:hAnsi="黑体" w:cs="黑体"/>
          <w:b w:val="0"/>
          <w:bCs/>
          <w:color w:val="auto"/>
          <w:sz w:val="28"/>
          <w:szCs w:val="28"/>
          <w:highlight w:val="none"/>
          <w:lang w:eastAsia="zh-CN"/>
        </w:rPr>
        <w:t>五</w:t>
      </w:r>
      <w:r>
        <w:rPr>
          <w:rFonts w:hint="eastAsia" w:ascii="黑体" w:hAnsi="黑体" w:eastAsia="黑体" w:cs="黑体"/>
          <w:b w:val="0"/>
          <w:bCs/>
          <w:color w:val="auto"/>
          <w:sz w:val="28"/>
          <w:szCs w:val="28"/>
          <w:highlight w:val="none"/>
        </w:rPr>
        <w:t>部分</w:t>
      </w:r>
      <w:r>
        <w:rPr>
          <w:rFonts w:hint="eastAsia" w:ascii="黑体" w:hAnsi="黑体" w:eastAsia="黑体" w:cs="黑体"/>
          <w:b w:val="0"/>
          <w:bCs/>
          <w:color w:val="auto"/>
          <w:sz w:val="28"/>
          <w:szCs w:val="28"/>
          <w:highlight w:val="none"/>
          <w:lang w:val="en-US" w:eastAsia="zh-CN"/>
        </w:rPr>
        <w:t xml:space="preserve"> </w:t>
      </w:r>
      <w:r>
        <w:rPr>
          <w:rFonts w:hint="eastAsia" w:hAnsi="黑体" w:cs="黑体"/>
          <w:b w:val="0"/>
          <w:bCs/>
          <w:color w:val="auto"/>
          <w:sz w:val="28"/>
          <w:szCs w:val="28"/>
          <w:highlight w:val="none"/>
          <w:lang w:eastAsia="zh-CN"/>
        </w:rPr>
        <w:t>附件</w:t>
      </w:r>
    </w:p>
    <w:p w14:paraId="5BF8DFA4">
      <w:pPr>
        <w:pStyle w:val="17"/>
        <w:spacing w:line="500" w:lineRule="exact"/>
        <w:rPr>
          <w:rFonts w:hint="eastAsia" w:ascii="黑体" w:hAnsi="黑体" w:eastAsia="黑体" w:cs="黑体"/>
          <w:b w:val="0"/>
          <w:bCs/>
          <w:color w:val="auto"/>
          <w:sz w:val="28"/>
          <w:szCs w:val="28"/>
          <w:highlight w:val="none"/>
        </w:rPr>
      </w:pPr>
    </w:p>
    <w:p w14:paraId="4F3DA2BA">
      <w:pPr>
        <w:jc w:val="center"/>
        <w:rPr>
          <w:color w:val="auto"/>
          <w:sz w:val="72"/>
          <w:szCs w:val="72"/>
          <w:highlight w:val="none"/>
        </w:rPr>
      </w:pPr>
    </w:p>
    <w:p w14:paraId="1C5C3DEF">
      <w:pPr>
        <w:jc w:val="center"/>
        <w:rPr>
          <w:color w:val="auto"/>
          <w:sz w:val="72"/>
          <w:szCs w:val="72"/>
          <w:highlight w:val="none"/>
        </w:rPr>
      </w:pPr>
    </w:p>
    <w:p w14:paraId="31D28838">
      <w:pPr>
        <w:jc w:val="center"/>
        <w:rPr>
          <w:color w:val="auto"/>
          <w:sz w:val="72"/>
          <w:szCs w:val="72"/>
          <w:highlight w:val="none"/>
        </w:rPr>
      </w:pPr>
    </w:p>
    <w:p w14:paraId="7F805447">
      <w:pPr>
        <w:jc w:val="center"/>
        <w:rPr>
          <w:color w:val="auto"/>
          <w:sz w:val="72"/>
          <w:szCs w:val="72"/>
          <w:highlight w:val="none"/>
        </w:rPr>
      </w:pPr>
    </w:p>
    <w:p w14:paraId="592E4E70">
      <w:pPr>
        <w:rPr>
          <w:rFonts w:hint="eastAsia" w:ascii="方正小标宋_GBK" w:hAnsi="方正小标宋_GBK" w:eastAsia="方正小标宋_GBK" w:cs="方正小标宋_GBK"/>
          <w:color w:val="auto"/>
          <w:sz w:val="72"/>
          <w:szCs w:val="72"/>
          <w:highlight w:val="none"/>
        </w:rPr>
      </w:pPr>
    </w:p>
    <w:p w14:paraId="76E15627">
      <w:pPr>
        <w:pStyle w:val="17"/>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rPr>
        <w:t xml:space="preserve">第一部分 </w:t>
      </w:r>
    </w:p>
    <w:p w14:paraId="21D0BEA7">
      <w:pPr>
        <w:pStyle w:val="17"/>
        <w:jc w:val="center"/>
        <w:rPr>
          <w:rFonts w:hint="eastAsia" w:ascii="方正小标宋_GBK" w:hAnsi="方正小标宋_GBK" w:eastAsia="方正小标宋_GBK" w:cs="方正小标宋_GBK"/>
          <w:color w:val="auto"/>
          <w:sz w:val="84"/>
          <w:szCs w:val="84"/>
          <w:highlight w:val="none"/>
        </w:rPr>
      </w:pPr>
    </w:p>
    <w:p w14:paraId="2736D056">
      <w:pPr>
        <w:pStyle w:val="17"/>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lang w:val="en-US" w:eastAsia="zh-CN"/>
        </w:rPr>
        <w:t>湖南省农业农村厅</w:t>
      </w:r>
      <w:r>
        <w:rPr>
          <w:rFonts w:hint="eastAsia" w:ascii="方正小标宋_GBK" w:hAnsi="方正小标宋_GBK" w:eastAsia="方正小标宋_GBK" w:cs="方正小标宋_GBK"/>
          <w:color w:val="auto"/>
          <w:sz w:val="84"/>
          <w:szCs w:val="84"/>
          <w:highlight w:val="none"/>
          <w:lang w:eastAsia="zh-CN"/>
        </w:rPr>
        <w:t>部门</w:t>
      </w:r>
      <w:r>
        <w:rPr>
          <w:rFonts w:hint="eastAsia" w:ascii="方正小标宋_GBK" w:hAnsi="方正小标宋_GBK" w:eastAsia="方正小标宋_GBK" w:cs="方正小标宋_GBK"/>
          <w:color w:val="auto"/>
          <w:sz w:val="84"/>
          <w:szCs w:val="84"/>
          <w:highlight w:val="none"/>
        </w:rPr>
        <w:t>概况</w:t>
      </w:r>
    </w:p>
    <w:p w14:paraId="0ED99465">
      <w:pPr>
        <w:jc w:val="center"/>
        <w:rPr>
          <w:rFonts w:hint="eastAsia" w:ascii="方正小标宋_GBK" w:hAnsi="方正小标宋_GBK" w:eastAsia="方正小标宋_GBK" w:cs="方正小标宋_GBK"/>
          <w:color w:val="auto"/>
          <w:sz w:val="72"/>
          <w:szCs w:val="72"/>
          <w:highlight w:val="none"/>
        </w:rPr>
      </w:pPr>
    </w:p>
    <w:p w14:paraId="564F4DD4">
      <w:pPr>
        <w:jc w:val="center"/>
        <w:rPr>
          <w:rFonts w:hint="eastAsia" w:ascii="方正小标宋_GBK" w:hAnsi="方正小标宋_GBK" w:eastAsia="方正小标宋_GBK" w:cs="方正小标宋_GBK"/>
          <w:color w:val="auto"/>
          <w:sz w:val="72"/>
          <w:szCs w:val="72"/>
          <w:highlight w:val="none"/>
        </w:rPr>
      </w:pPr>
    </w:p>
    <w:p w14:paraId="78441718">
      <w:pPr>
        <w:jc w:val="center"/>
        <w:rPr>
          <w:color w:val="auto"/>
          <w:sz w:val="72"/>
          <w:szCs w:val="72"/>
          <w:highlight w:val="none"/>
        </w:rPr>
      </w:pPr>
    </w:p>
    <w:p w14:paraId="765D89DF">
      <w:pPr>
        <w:jc w:val="center"/>
        <w:rPr>
          <w:color w:val="auto"/>
          <w:sz w:val="72"/>
          <w:szCs w:val="72"/>
          <w:highlight w:val="none"/>
        </w:rPr>
      </w:pPr>
    </w:p>
    <w:p w14:paraId="68AF1D63">
      <w:pPr>
        <w:jc w:val="center"/>
        <w:rPr>
          <w:color w:val="auto"/>
          <w:sz w:val="72"/>
          <w:szCs w:val="72"/>
          <w:highlight w:val="none"/>
        </w:rPr>
      </w:pPr>
    </w:p>
    <w:p w14:paraId="0BE94D12">
      <w:pPr>
        <w:pStyle w:val="18"/>
        <w:numPr>
          <w:ilvl w:val="0"/>
          <w:numId w:val="1"/>
        </w:numPr>
        <w:ind w:firstLineChars="0"/>
        <w:jc w:val="left"/>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部门职责</w:t>
      </w:r>
    </w:p>
    <w:p w14:paraId="5A710256">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湖南省农业农村厅（以下简称省农业农村厅）是省政府组成部门，为正厅级。省委农村工作领导小组办公室（以下简称省委农办）设在省农业农村厅，接受省委农村工作领导小组的直接领导，承担省委农村工作领导小组具体工作，组织开展“三农”重大问题的政策研究，协调督促有关方面落实省委农村工作领导小组决定事项、工作部署和要求等。设置省委农办秘书处，负责处理省委农办日常事务。省农业农村厅内设机构根据工作需要承担省委农办相关工作，接受省委农办统筹协调。省农业农村厅贯彻落实党中央关于“三农”工作的方针政策和决策部署，全面落实省委关于“三农”工作的部署要求，在履行职责过程中坚持和加强党对“三农”工作的集中统一领导。主要职责是：</w:t>
      </w:r>
    </w:p>
    <w:p w14:paraId="6EEA54C1">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（一)统筹研究和组织实施“三农”工作的发展中长期规划、重大政策。组织起草农业农村有关地方性法规和省政府规章草案，指导农业综合执法。参与涉农的价格、收储、金融保险、进出口等政策制定。</w:t>
      </w:r>
    </w:p>
    <w:p w14:paraId="7BE57734">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（二）统筹推动发展农村社会事业、农村公共服务、农村文化、农村基础设施和乡村治理。牵头组织改善农村人居环境。指导农村精神文明和优秀农耕文化建设。指导农业行业安全生产工作。</w:t>
      </w:r>
    </w:p>
    <w:p w14:paraId="11BE58FC">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研究提出深化农村经济体制改革和巩固完善农村基本经营制度的政策建议。负责农民承包地、农村宅基地改革和管理有关工作。负责农村集体产权制度改革，指导农村集体经济组织发展和集体资产管理工作。指导农民合作经济组织、农业社会化服务体系、新型农业经营主体建设与发展。</w:t>
      </w:r>
    </w:p>
    <w:p w14:paraId="6716085B">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四）指导乡村特色产业、农产品加工业、休闲农业和乡镇企业发展工作。提出促进大宗农产品流通的建议，培育、保护农业品牌。发布农业农村经济信息，监测分析农业农村经济运行。承担农业统计和农业农村信息化有关工作。</w:t>
      </w:r>
    </w:p>
    <w:p w14:paraId="3EF88806">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（五）负责种植业、畜牧业、渔业、农垦、农业机械化等农业各产业的监督管理。指导粮食等农产品生产。组织构建现代农业产业体系、生产体系、经营体系，指导农业标准化生产。负责渔政渔港监督管理。</w:t>
      </w:r>
    </w:p>
    <w:p w14:paraId="7D073C76">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六）负责农产品质量安全监督管理。组织开展农产品质量安全监测、追溯、风险评估，发布农产品质量安全信息。贯彻执行农产品质量安全国家标准，参与制定农产品质量安全地方标准并会同有关部门组织实施。指导农业检验检测体系建设。</w:t>
      </w:r>
    </w:p>
    <w:p w14:paraId="45DD6FD6">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七）组织农业资源区划工作。指导农用地、渔业水域以及农业生物物种资源的保护与管理，负责水生野生动植物保护、耕地及永久基本农田质量保护工作。指导农产品产地环境管理和农业清洁生产。指导设施农业、生态循环农业、节水农业发展以及农村可再生能源综合开发利用、农业生物质产业发展。牵头管理外来物种。</w:t>
      </w:r>
    </w:p>
    <w:p w14:paraId="5FADF3EC">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八）负责有关农业生产资料和农业投入品的监督管理。组织农业生产资料市场体系建设。贯彻执行农业生产资料、兽药质量、兽药残留限量和残留检测方法国家标准并监督实施。组织兽医医政、兽药药政药检工作，负责执业兽医和畜禽屠宰行业管理。</w:t>
      </w:r>
    </w:p>
    <w:p w14:paraId="19615958">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（九）负责农业防灾减灾、农作物重大病虫害防治工作。指导动植物防疫检疫体系建设，组织、监督省内动植物防疫检疫工作，发布疫情并组织扑灭。配合有关部门制定血吸虫病防治工作计划并组织实施。</w:t>
      </w:r>
    </w:p>
    <w:p w14:paraId="03958848">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（十）负责农业投资管理。编制农业投资项目建设规划，提出农业投资规模和方向、扶持农业农村发展财政项目的建议，按规定权限审批农业投资项目，负责农业投资项目资金安排和监督管理。</w:t>
      </w:r>
    </w:p>
    <w:p w14:paraId="6D8E349D">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十一）推动农业科技体制改革和农业科技创新体系建设。指导农业产业技术体系和农技推广体系建设，组织开展农业领域的高新技术和应用技术研究、科技成果转化和技术推广。负责农业转基因生物安全监督管理和农业植物新品种保护。</w:t>
      </w:r>
    </w:p>
    <w:p w14:paraId="38C03213">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（十二）指导农业农村人才工作。拟订农业农村人才队伍建设规划并组织实施，指导农业教育和农业职业技能开发，指导新型职业农民培育、农业科技人才培养和农村实用人才培训工作。</w:t>
      </w:r>
    </w:p>
    <w:p w14:paraId="0BE1313A">
      <w:pPr>
        <w:pStyle w:val="17"/>
        <w:spacing w:line="500" w:lineRule="exact"/>
        <w:ind w:firstLine="700" w:firstLineChars="25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（十三）组织参与农业对外合作工作。承办有关农业涉外事务，组织开展农业贸易促进和有关对外交流合作，具体执行有关农业援外项目。</w:t>
      </w:r>
    </w:p>
    <w:p w14:paraId="7CD2F859">
      <w:pPr>
        <w:pStyle w:val="17"/>
        <w:spacing w:line="500" w:lineRule="exact"/>
        <w:ind w:firstLine="700" w:firstLineChars="250"/>
        <w:rPr>
          <w:rFonts w:hint="eastAsia" w:ascii="仿宋_GB2312" w:hAnsi="仿宋_GB2312" w:cs="仿宋_GB2312" w:eastAsiaTheme="minorEastAsia"/>
          <w:color w:val="auto"/>
          <w:kern w:val="0"/>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（十四）完成省委、省政府和省委农村工作领导小组交办的其他任务。</w:t>
      </w:r>
    </w:p>
    <w:p w14:paraId="537ED975">
      <w:pPr>
        <w:adjustRightInd w:val="0"/>
        <w:snapToGrid w:val="0"/>
        <w:spacing w:line="480" w:lineRule="atLeast"/>
        <w:ind w:firstLine="600" w:firstLineChars="200"/>
        <w:jc w:val="left"/>
        <w:rPr>
          <w:rFonts w:ascii="黑体" w:hAnsi="黑体" w:eastAsia="黑体" w:cs="Times New Roman"/>
          <w:color w:val="auto"/>
          <w:sz w:val="30"/>
          <w:szCs w:val="30"/>
          <w:highlight w:val="none"/>
        </w:rPr>
      </w:pPr>
      <w:r>
        <w:rPr>
          <w:rFonts w:hint="eastAsia" w:ascii="黑体" w:hAnsi="黑体" w:eastAsia="黑体" w:cs="Times New Roman"/>
          <w:color w:val="auto"/>
          <w:sz w:val="30"/>
          <w:szCs w:val="30"/>
          <w:highlight w:val="none"/>
        </w:rPr>
        <w:t>二、机构设置及决算单位构成</w:t>
      </w:r>
    </w:p>
    <w:p w14:paraId="10B60206">
      <w:pPr>
        <w:pStyle w:val="17"/>
        <w:snapToGrid w:val="0"/>
        <w:spacing w:line="480" w:lineRule="atLeast"/>
        <w:ind w:firstLine="452" w:firstLineChars="150"/>
        <w:rPr>
          <w:rFonts w:hint="eastAsia" w:ascii="仿宋_GB2312" w:hAnsi="仿宋_GB2312" w:eastAsia="仿宋_GB2312" w:cs="仿宋_GB2312"/>
          <w:color w:val="auto"/>
          <w:sz w:val="28"/>
          <w:szCs w:val="28"/>
          <w:highlight w:val="none"/>
          <w:lang w:val="en-US" w:eastAsia="zh-CN"/>
        </w:rPr>
      </w:pPr>
      <w:r>
        <w:rPr>
          <w:rFonts w:hint="eastAsia" w:ascii="仿宋" w:hAnsi="仿宋" w:eastAsia="仿宋" w:cs="Times New Roman"/>
          <w:b/>
          <w:color w:val="auto"/>
          <w:kern w:val="2"/>
          <w:sz w:val="30"/>
          <w:szCs w:val="30"/>
          <w:highlight w:val="none"/>
        </w:rPr>
        <w:t>（一）内设机构设置。</w:t>
      </w:r>
      <w:r>
        <w:rPr>
          <w:rFonts w:hint="eastAsia" w:ascii="仿宋_GB2312" w:hAnsi="仿宋_GB2312" w:cs="仿宋_GB2312" w:eastAsiaTheme="minorEastAsia"/>
          <w:color w:val="auto"/>
          <w:kern w:val="0"/>
          <w:sz w:val="28"/>
          <w:szCs w:val="28"/>
          <w:highlight w:val="none"/>
          <w:lang w:val="en-US" w:eastAsia="zh-CN" w:bidi="ar-SA"/>
        </w:rPr>
        <w:t>湖</w:t>
      </w:r>
      <w:r>
        <w:rPr>
          <w:rFonts w:hint="eastAsia" w:ascii="仿宋_GB2312" w:hAnsi="仿宋_GB2312" w:eastAsia="仿宋_GB2312" w:cs="仿宋_GB2312"/>
          <w:color w:val="auto"/>
          <w:sz w:val="28"/>
          <w:szCs w:val="28"/>
          <w:highlight w:val="none"/>
          <w:lang w:val="en-US" w:eastAsia="zh-CN"/>
        </w:rPr>
        <w:t>南省农业农村厅设有省委农办秘书处、办公室、人事处、法规处、政策与改革处、发展规划处、计划财务处、乡村产业发展处、农村社会事业促进处、农村合作经济指导处、市场与信息化处、对外交流与合作处、科技教育处（省农业转基因生物安全管理办公室）、农业资源保护与利用处、农产品质量安全监管处、种植业管理处（农药管理处）、畜牧兽医处、渔业渔政管理处、种业管理处、农业机械化管理处、农田建设与农垦处、机关党委、离退休人员管理服务处。</w:t>
      </w:r>
    </w:p>
    <w:p w14:paraId="6D3B57AB">
      <w:pPr>
        <w:widowControl/>
        <w:spacing w:line="600" w:lineRule="exact"/>
        <w:ind w:firstLine="602"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 w:hAnsi="仿宋" w:eastAsia="仿宋" w:cs="Times New Roman"/>
          <w:b/>
          <w:color w:val="auto"/>
          <w:kern w:val="2"/>
          <w:sz w:val="30"/>
          <w:szCs w:val="30"/>
          <w:highlight w:val="none"/>
          <w:lang w:val="en-US" w:eastAsia="zh-CN" w:bidi="ar-SA"/>
        </w:rPr>
        <w:t>（二）决算单位构成。</w:t>
      </w:r>
      <w:r>
        <w:rPr>
          <w:rFonts w:hint="eastAsia" w:ascii="仿宋_GB2312" w:hAnsi="仿宋_GB2312" w:eastAsia="仿宋_GB2312" w:cs="仿宋_GB2312"/>
          <w:color w:val="auto"/>
          <w:kern w:val="0"/>
          <w:sz w:val="28"/>
          <w:szCs w:val="28"/>
          <w:highlight w:val="none"/>
          <w:lang w:val="en-US" w:eastAsia="zh-CN" w:bidi="ar-SA"/>
        </w:rPr>
        <w:t>湖南省农业农村厅2023年部门决算汇总公开单位构成包括：</w:t>
      </w:r>
    </w:p>
    <w:p w14:paraId="68DB8703">
      <w:pPr>
        <w:widowControl/>
        <w:spacing w:line="600" w:lineRule="exact"/>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 xml:space="preserve">    1、湖南省农业农村厅机关本级</w:t>
      </w:r>
    </w:p>
    <w:p w14:paraId="348597F0">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2、省农业农村厅机关后勤服务中心</w:t>
      </w:r>
    </w:p>
    <w:p w14:paraId="5CE26922">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3、湖南省种子管理服务站</w:t>
      </w:r>
    </w:p>
    <w:p w14:paraId="445D5F46">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4、湖南省植保植检站</w:t>
      </w:r>
    </w:p>
    <w:p w14:paraId="373034FA">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5、湖南省土壤肥料工作站</w:t>
      </w:r>
    </w:p>
    <w:p w14:paraId="3DC35C25">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6、湖南省农业技术推广总站</w:t>
      </w:r>
    </w:p>
    <w:p w14:paraId="30B7C6A9">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7、湖南省农情分析研究中心</w:t>
      </w:r>
    </w:p>
    <w:p w14:paraId="61AD6F80">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8、湖南省绿色食品办公室</w:t>
      </w:r>
    </w:p>
    <w:p w14:paraId="1663226E">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9、湖南省蚕桑科学研究所</w:t>
      </w:r>
    </w:p>
    <w:p w14:paraId="0E75361C">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10、湖南省棉花科学研究所</w:t>
      </w:r>
    </w:p>
    <w:p w14:paraId="24A53C5C">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11、湖南省微生物研究院</w:t>
      </w:r>
    </w:p>
    <w:p w14:paraId="38EDB812">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12、湖南省农业对外经济合作中心</w:t>
      </w:r>
    </w:p>
    <w:p w14:paraId="50541846">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13、湖南省农业农村信息中心</w:t>
      </w:r>
    </w:p>
    <w:p w14:paraId="6F1063E3">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14、湖南省农药检定所</w:t>
      </w:r>
    </w:p>
    <w:p w14:paraId="13926FB4">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15、湖南省农业人才交流服务中心</w:t>
      </w:r>
    </w:p>
    <w:p w14:paraId="3BEDD753">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16、湖南省农作物种质资源保护与良种繁育中心</w:t>
      </w:r>
    </w:p>
    <w:p w14:paraId="4BC1561E">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17、湖南省农业科技服务中心</w:t>
      </w:r>
    </w:p>
    <w:p w14:paraId="4C37C7C7">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18、湖南省贺家山原种场</w:t>
      </w:r>
    </w:p>
    <w:p w14:paraId="50C9D4A6">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19、湖南省农垦管理服务站</w:t>
      </w:r>
    </w:p>
    <w:p w14:paraId="1D1C9003">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20、湖南省农作物良种引进示范中心</w:t>
      </w:r>
    </w:p>
    <w:p w14:paraId="5A5A0FBD">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21、湖南省农作物种子救灾储备中心</w:t>
      </w:r>
    </w:p>
    <w:p w14:paraId="4A9ACC6E">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22、湖南省种子质量检测中心</w:t>
      </w:r>
    </w:p>
    <w:p w14:paraId="1386181A">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23、湖南省农作物种子南繁中心</w:t>
      </w:r>
    </w:p>
    <w:p w14:paraId="1984193D">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24、湖南省绿色食品发展中心</w:t>
      </w:r>
    </w:p>
    <w:p w14:paraId="69082DC1">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25、湖南省农业产业化发展服务中心</w:t>
      </w:r>
    </w:p>
    <w:p w14:paraId="49BA6783">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26、湖南省工业贸易学校</w:t>
      </w:r>
    </w:p>
    <w:p w14:paraId="79A56625">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27、湖南省农村能源技术推广站</w:t>
      </w:r>
    </w:p>
    <w:p w14:paraId="7C0D3D15">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28、湖南省农民科技教育培训中心</w:t>
      </w:r>
    </w:p>
    <w:p w14:paraId="0009312A">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29、湖南省农村经营管理服务站</w:t>
      </w:r>
    </w:p>
    <w:p w14:paraId="1DD7202E">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30、湖南省优质农产品开发服务中心</w:t>
      </w:r>
    </w:p>
    <w:p w14:paraId="7F9465E6">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31、湖南省农机事务中心本级</w:t>
      </w:r>
    </w:p>
    <w:p w14:paraId="2CF3318F">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32、湖南省农业机械化高科技示范园</w:t>
      </w:r>
    </w:p>
    <w:p w14:paraId="627BAACF">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33、湖南省畜牧水产事务中心本级</w:t>
      </w:r>
    </w:p>
    <w:p w14:paraId="65701F52">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34、湖南省畜牧兽医研究所</w:t>
      </w:r>
    </w:p>
    <w:p w14:paraId="70705326">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35、湖南省水产科学研究所</w:t>
      </w:r>
    </w:p>
    <w:p w14:paraId="758095A3">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36、湖南省兽药饲料监察所</w:t>
      </w:r>
    </w:p>
    <w:p w14:paraId="507D8FBD">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37、湖南省饲料工业办公室</w:t>
      </w:r>
    </w:p>
    <w:p w14:paraId="4313ED52">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38、湖南省水产原种场</w:t>
      </w:r>
    </w:p>
    <w:p w14:paraId="54368512">
      <w:pPr>
        <w:adjustRightInd w:val="0"/>
        <w:snapToGrid w:val="0"/>
        <w:spacing w:line="480" w:lineRule="atLeast"/>
        <w:ind w:firstLine="560" w:firstLineChars="200"/>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39、湖南省动物疫病预防控制中心</w:t>
      </w:r>
    </w:p>
    <w:p w14:paraId="1FE1D87F">
      <w:pPr>
        <w:pStyle w:val="2"/>
        <w:rPr>
          <w:rFonts w:hint="eastAsia"/>
          <w:color w:val="auto"/>
          <w:highlight w:val="none"/>
          <w:lang w:val="en-US" w:eastAsia="zh-CN"/>
        </w:rPr>
      </w:pPr>
    </w:p>
    <w:p w14:paraId="4115CF33">
      <w:pPr>
        <w:jc w:val="center"/>
        <w:rPr>
          <w:rFonts w:ascii="黑体" w:hAnsi="黑体" w:eastAsia="黑体"/>
          <w:color w:val="auto"/>
          <w:sz w:val="28"/>
          <w:szCs w:val="28"/>
          <w:highlight w:val="none"/>
        </w:rPr>
      </w:pPr>
    </w:p>
    <w:p w14:paraId="00ED5F3F">
      <w:pPr>
        <w:jc w:val="center"/>
        <w:rPr>
          <w:rFonts w:ascii="黑体" w:hAnsi="黑体" w:eastAsia="黑体"/>
          <w:color w:val="auto"/>
          <w:sz w:val="28"/>
          <w:szCs w:val="28"/>
          <w:highlight w:val="none"/>
        </w:rPr>
      </w:pPr>
    </w:p>
    <w:p w14:paraId="6077D375">
      <w:pPr>
        <w:jc w:val="center"/>
        <w:rPr>
          <w:rFonts w:ascii="黑体" w:hAnsi="黑体" w:eastAsia="黑体"/>
          <w:color w:val="auto"/>
          <w:sz w:val="28"/>
          <w:szCs w:val="28"/>
          <w:highlight w:val="none"/>
        </w:rPr>
      </w:pPr>
    </w:p>
    <w:p w14:paraId="17F760DA">
      <w:pPr>
        <w:jc w:val="center"/>
        <w:rPr>
          <w:rFonts w:ascii="黑体" w:hAnsi="黑体" w:eastAsia="黑体"/>
          <w:color w:val="auto"/>
          <w:sz w:val="28"/>
          <w:szCs w:val="28"/>
          <w:highlight w:val="none"/>
        </w:rPr>
      </w:pPr>
    </w:p>
    <w:p w14:paraId="17D86959">
      <w:pPr>
        <w:jc w:val="center"/>
        <w:rPr>
          <w:rFonts w:ascii="黑体" w:hAnsi="黑体" w:eastAsia="黑体"/>
          <w:color w:val="auto"/>
          <w:sz w:val="28"/>
          <w:szCs w:val="28"/>
          <w:highlight w:val="none"/>
        </w:rPr>
      </w:pPr>
    </w:p>
    <w:p w14:paraId="339538A0">
      <w:pPr>
        <w:jc w:val="center"/>
        <w:rPr>
          <w:rFonts w:ascii="黑体" w:hAnsi="黑体" w:eastAsia="黑体"/>
          <w:color w:val="auto"/>
          <w:sz w:val="28"/>
          <w:szCs w:val="28"/>
          <w:highlight w:val="none"/>
        </w:rPr>
      </w:pPr>
    </w:p>
    <w:p w14:paraId="1424A4E4">
      <w:pPr>
        <w:jc w:val="center"/>
        <w:rPr>
          <w:rFonts w:ascii="黑体" w:hAnsi="黑体" w:eastAsia="黑体"/>
          <w:color w:val="auto"/>
          <w:sz w:val="28"/>
          <w:szCs w:val="28"/>
          <w:highlight w:val="none"/>
        </w:rPr>
      </w:pPr>
    </w:p>
    <w:p w14:paraId="19C988E1">
      <w:pPr>
        <w:jc w:val="center"/>
        <w:rPr>
          <w:rFonts w:ascii="黑体" w:hAnsi="黑体" w:eastAsia="黑体"/>
          <w:color w:val="auto"/>
          <w:sz w:val="28"/>
          <w:szCs w:val="28"/>
          <w:highlight w:val="none"/>
        </w:rPr>
      </w:pPr>
    </w:p>
    <w:p w14:paraId="523CC0F0">
      <w:pPr>
        <w:jc w:val="center"/>
        <w:rPr>
          <w:rFonts w:ascii="黑体" w:hAnsi="黑体" w:eastAsia="黑体"/>
          <w:color w:val="auto"/>
          <w:sz w:val="28"/>
          <w:szCs w:val="28"/>
          <w:highlight w:val="none"/>
        </w:rPr>
      </w:pPr>
    </w:p>
    <w:p w14:paraId="22405716">
      <w:pPr>
        <w:jc w:val="center"/>
        <w:rPr>
          <w:rFonts w:ascii="黑体" w:hAnsi="黑体" w:eastAsia="黑体"/>
          <w:color w:val="auto"/>
          <w:sz w:val="28"/>
          <w:szCs w:val="28"/>
          <w:highlight w:val="none"/>
        </w:rPr>
      </w:pPr>
    </w:p>
    <w:p w14:paraId="0623AEAA">
      <w:pPr>
        <w:jc w:val="center"/>
        <w:rPr>
          <w:rFonts w:ascii="黑体" w:hAnsi="黑体" w:eastAsia="黑体"/>
          <w:color w:val="auto"/>
          <w:sz w:val="28"/>
          <w:szCs w:val="28"/>
          <w:highlight w:val="none"/>
        </w:rPr>
      </w:pPr>
    </w:p>
    <w:p w14:paraId="07B0B3B1">
      <w:pPr>
        <w:jc w:val="center"/>
        <w:rPr>
          <w:rFonts w:ascii="黑体" w:hAnsi="黑体" w:eastAsia="黑体"/>
          <w:color w:val="auto"/>
          <w:sz w:val="28"/>
          <w:szCs w:val="28"/>
          <w:highlight w:val="none"/>
        </w:rPr>
      </w:pPr>
    </w:p>
    <w:p w14:paraId="46374A7B">
      <w:pPr>
        <w:jc w:val="center"/>
        <w:rPr>
          <w:color w:val="auto"/>
          <w:sz w:val="72"/>
          <w:szCs w:val="72"/>
          <w:highlight w:val="none"/>
        </w:rPr>
      </w:pPr>
    </w:p>
    <w:p w14:paraId="3A00C3D5">
      <w:pPr>
        <w:jc w:val="center"/>
        <w:rPr>
          <w:color w:val="auto"/>
          <w:sz w:val="72"/>
          <w:szCs w:val="72"/>
          <w:highlight w:val="none"/>
        </w:rPr>
      </w:pPr>
    </w:p>
    <w:p w14:paraId="1936ACF0">
      <w:pPr>
        <w:jc w:val="left"/>
        <w:rPr>
          <w:rFonts w:ascii="仿宋_GB2312" w:eastAsia="仿宋_GB2312" w:hAnsiTheme="minorEastAsia"/>
          <w:color w:val="auto"/>
          <w:sz w:val="28"/>
          <w:szCs w:val="32"/>
          <w:highlight w:val="none"/>
        </w:rPr>
      </w:pPr>
    </w:p>
    <w:p w14:paraId="4DEB367A">
      <w:pPr>
        <w:jc w:val="both"/>
        <w:rPr>
          <w:rFonts w:ascii="黑体" w:hAnsi="黑体" w:eastAsia="黑体"/>
          <w:color w:val="auto"/>
          <w:sz w:val="28"/>
          <w:szCs w:val="28"/>
          <w:highlight w:val="none"/>
        </w:rPr>
      </w:pPr>
    </w:p>
    <w:p w14:paraId="716C933B">
      <w:pPr>
        <w:jc w:val="center"/>
        <w:rPr>
          <w:rFonts w:ascii="黑体" w:hAnsi="黑体" w:eastAsia="黑体"/>
          <w:color w:val="auto"/>
          <w:sz w:val="28"/>
          <w:szCs w:val="28"/>
          <w:highlight w:val="none"/>
        </w:rPr>
      </w:pPr>
    </w:p>
    <w:p w14:paraId="7A175CC9">
      <w:pPr>
        <w:jc w:val="center"/>
        <w:rPr>
          <w:color w:val="auto"/>
          <w:sz w:val="72"/>
          <w:szCs w:val="72"/>
          <w:highlight w:val="none"/>
        </w:rPr>
      </w:pPr>
    </w:p>
    <w:p w14:paraId="14A1695B">
      <w:pPr>
        <w:jc w:val="center"/>
        <w:rPr>
          <w:color w:val="auto"/>
          <w:sz w:val="72"/>
          <w:szCs w:val="72"/>
          <w:highlight w:val="none"/>
        </w:rPr>
      </w:pPr>
    </w:p>
    <w:p w14:paraId="7927533B">
      <w:pPr>
        <w:pStyle w:val="17"/>
        <w:jc w:val="center"/>
        <w:rPr>
          <w:rFonts w:hint="eastAsia" w:ascii="方正小标宋_GBK" w:hAnsi="方正小标宋_GBK" w:eastAsia="方正小标宋_GBK" w:cs="方正小标宋_GBK"/>
          <w:color w:val="auto"/>
          <w:sz w:val="84"/>
          <w:szCs w:val="84"/>
          <w:highlight w:val="none"/>
        </w:rPr>
      </w:pPr>
    </w:p>
    <w:p w14:paraId="525C40B3">
      <w:pPr>
        <w:pStyle w:val="17"/>
        <w:jc w:val="center"/>
        <w:rPr>
          <w:rFonts w:hint="eastAsia" w:ascii="方正小标宋_GBK" w:hAnsi="方正小标宋_GBK" w:eastAsia="方正小标宋_GBK" w:cs="方正小标宋_GBK"/>
          <w:color w:val="auto"/>
          <w:sz w:val="84"/>
          <w:szCs w:val="84"/>
          <w:highlight w:val="none"/>
        </w:rPr>
      </w:pPr>
      <w:r>
        <w:rPr>
          <w:rFonts w:hint="eastAsia" w:ascii="方正小标宋_GBK" w:hAnsi="方正小标宋_GBK" w:eastAsia="方正小标宋_GBK" w:cs="方正小标宋_GBK"/>
          <w:color w:val="auto"/>
          <w:sz w:val="84"/>
          <w:szCs w:val="84"/>
          <w:highlight w:val="none"/>
        </w:rPr>
        <w:t>第二部分</w:t>
      </w:r>
    </w:p>
    <w:p w14:paraId="1A6AF371">
      <w:pPr>
        <w:pStyle w:val="17"/>
        <w:jc w:val="center"/>
        <w:rPr>
          <w:rFonts w:hint="eastAsia" w:ascii="方正小标宋_GBK" w:hAnsi="方正小标宋_GBK" w:eastAsia="方正小标宋_GBK" w:cs="方正小标宋_GBK"/>
          <w:color w:val="auto"/>
          <w:sz w:val="84"/>
          <w:szCs w:val="84"/>
          <w:highlight w:val="none"/>
        </w:rPr>
      </w:pPr>
    </w:p>
    <w:p w14:paraId="4A5B5802">
      <w:pPr>
        <w:pStyle w:val="17"/>
        <w:jc w:val="center"/>
        <w:rPr>
          <w:color w:val="auto"/>
          <w:sz w:val="72"/>
          <w:szCs w:val="72"/>
          <w:highlight w:val="none"/>
        </w:rPr>
      </w:pPr>
      <w:r>
        <w:rPr>
          <w:rFonts w:hint="eastAsia" w:ascii="方正小标宋_GBK" w:hAnsi="方正小标宋_GBK" w:eastAsia="方正小标宋_GBK" w:cs="方正小标宋_GBK"/>
          <w:color w:val="auto"/>
          <w:sz w:val="84"/>
          <w:szCs w:val="84"/>
          <w:highlight w:val="none"/>
        </w:rPr>
        <w:t>部门决算表</w:t>
      </w:r>
    </w:p>
    <w:p w14:paraId="54D8196B">
      <w:pPr>
        <w:jc w:val="center"/>
        <w:rPr>
          <w:color w:val="auto"/>
          <w:sz w:val="72"/>
          <w:szCs w:val="72"/>
          <w:highlight w:val="none"/>
        </w:rPr>
      </w:pPr>
    </w:p>
    <w:p w14:paraId="43813938">
      <w:pPr>
        <w:jc w:val="center"/>
        <w:rPr>
          <w:color w:val="auto"/>
          <w:sz w:val="72"/>
          <w:szCs w:val="72"/>
          <w:highlight w:val="none"/>
        </w:rPr>
      </w:pPr>
    </w:p>
    <w:p w14:paraId="158AB5AE">
      <w:pPr>
        <w:jc w:val="center"/>
        <w:rPr>
          <w:color w:val="auto"/>
          <w:sz w:val="72"/>
          <w:szCs w:val="72"/>
          <w:highlight w:val="none"/>
        </w:rPr>
      </w:pPr>
    </w:p>
    <w:p w14:paraId="7E2504AD">
      <w:pPr>
        <w:jc w:val="center"/>
        <w:rPr>
          <w:color w:val="auto"/>
          <w:sz w:val="72"/>
          <w:szCs w:val="72"/>
          <w:highlight w:val="none"/>
        </w:rPr>
      </w:pPr>
    </w:p>
    <w:p w14:paraId="209246EF">
      <w:pPr>
        <w:jc w:val="center"/>
        <w:rPr>
          <w:color w:val="auto"/>
          <w:sz w:val="72"/>
          <w:szCs w:val="72"/>
          <w:highlight w:val="none"/>
        </w:rPr>
      </w:pPr>
    </w:p>
    <w:p w14:paraId="6C0E1A77">
      <w:pPr>
        <w:jc w:val="left"/>
        <w:rPr>
          <w:color w:val="auto"/>
          <w:sz w:val="32"/>
          <w:szCs w:val="32"/>
          <w:highlight w:val="none"/>
        </w:rPr>
      </w:pPr>
    </w:p>
    <w:p w14:paraId="2E26C901">
      <w:pPr>
        <w:jc w:val="left"/>
        <w:rPr>
          <w:rFonts w:asciiTheme="minorEastAsia" w:hAnsiTheme="minorEastAsia"/>
          <w:color w:val="auto"/>
          <w:sz w:val="32"/>
          <w:szCs w:val="32"/>
          <w:highlight w:val="none"/>
        </w:rPr>
        <w:sectPr>
          <w:pgSz w:w="11906" w:h="16838"/>
          <w:pgMar w:top="720" w:right="720" w:bottom="720" w:left="720" w:header="851" w:footer="992" w:gutter="0"/>
          <w:cols w:space="425" w:num="1"/>
          <w:docGrid w:type="lines" w:linePitch="312" w:charSpace="0"/>
        </w:sectPr>
      </w:pPr>
    </w:p>
    <w:tbl>
      <w:tblPr>
        <w:tblStyle w:val="12"/>
        <w:tblW w:w="14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106"/>
        <w:gridCol w:w="460"/>
        <w:gridCol w:w="1740"/>
        <w:gridCol w:w="4382"/>
        <w:gridCol w:w="460"/>
        <w:gridCol w:w="3527"/>
      </w:tblGrid>
      <w:tr w14:paraId="52056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14675" w:type="dxa"/>
            <w:gridSpan w:val="6"/>
            <w:tcBorders>
              <w:top w:val="nil"/>
              <w:left w:val="nil"/>
              <w:bottom w:val="nil"/>
              <w:right w:val="nil"/>
            </w:tcBorders>
            <w:shd w:val="clear" w:color="auto" w:fill="auto"/>
            <w:noWrap/>
            <w:tcMar>
              <w:top w:w="10" w:type="dxa"/>
              <w:left w:w="10" w:type="dxa"/>
              <w:right w:w="10" w:type="dxa"/>
            </w:tcMar>
            <w:vAlign w:val="center"/>
          </w:tcPr>
          <w:p w14:paraId="2FD5490C">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收入支出决算总表</w:t>
            </w:r>
          </w:p>
        </w:tc>
      </w:tr>
      <w:tr w14:paraId="1944F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148" w:type="dxa"/>
            <w:gridSpan w:val="5"/>
            <w:vMerge w:val="restart"/>
            <w:tcBorders>
              <w:top w:val="nil"/>
              <w:left w:val="nil"/>
              <w:bottom w:val="nil"/>
              <w:right w:val="nil"/>
            </w:tcBorders>
            <w:shd w:val="clear" w:color="auto" w:fill="auto"/>
            <w:noWrap/>
            <w:tcMar>
              <w:top w:w="10" w:type="dxa"/>
              <w:left w:w="10" w:type="dxa"/>
              <w:right w:w="10" w:type="dxa"/>
            </w:tcMar>
            <w:vAlign w:val="bottom"/>
          </w:tcPr>
          <w:p w14:paraId="2AF75927">
            <w:pPr>
              <w:keepNext w:val="0"/>
              <w:keepLines w:val="0"/>
              <w:widowControl/>
              <w:suppressLineNumbers w:val="0"/>
              <w:jc w:val="left"/>
              <w:textAlignment w:val="bottom"/>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部门：湖南省农业农村厅</w:t>
            </w:r>
          </w:p>
        </w:tc>
        <w:tc>
          <w:tcPr>
            <w:tcW w:w="3527" w:type="dxa"/>
            <w:tcBorders>
              <w:top w:val="nil"/>
              <w:left w:val="nil"/>
              <w:bottom w:val="nil"/>
              <w:right w:val="nil"/>
            </w:tcBorders>
            <w:shd w:val="clear" w:color="auto" w:fill="auto"/>
            <w:noWrap/>
            <w:tcMar>
              <w:top w:w="10" w:type="dxa"/>
              <w:left w:w="10" w:type="dxa"/>
              <w:right w:w="10" w:type="dxa"/>
            </w:tcMar>
            <w:vAlign w:val="center"/>
          </w:tcPr>
          <w:p w14:paraId="77B29779">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公开01表</w:t>
            </w:r>
          </w:p>
        </w:tc>
      </w:tr>
      <w:tr w14:paraId="65684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148" w:type="dxa"/>
            <w:gridSpan w:val="5"/>
            <w:vMerge w:val="continue"/>
            <w:tcBorders>
              <w:top w:val="nil"/>
              <w:left w:val="nil"/>
              <w:bottom w:val="nil"/>
              <w:right w:val="nil"/>
            </w:tcBorders>
            <w:shd w:val="clear" w:color="auto" w:fill="auto"/>
            <w:noWrap/>
            <w:tcMar>
              <w:top w:w="10" w:type="dxa"/>
              <w:left w:w="10" w:type="dxa"/>
              <w:right w:w="10" w:type="dxa"/>
            </w:tcMar>
            <w:vAlign w:val="bottom"/>
          </w:tcPr>
          <w:p w14:paraId="6756999A">
            <w:pPr>
              <w:jc w:val="left"/>
              <w:rPr>
                <w:rFonts w:hint="eastAsia" w:ascii="宋体" w:hAnsi="宋体" w:eastAsia="宋体" w:cs="宋体"/>
                <w:i w:val="0"/>
                <w:color w:val="auto"/>
                <w:sz w:val="22"/>
                <w:szCs w:val="22"/>
                <w:highlight w:val="none"/>
                <w:u w:val="none"/>
              </w:rPr>
            </w:pPr>
          </w:p>
        </w:tc>
        <w:tc>
          <w:tcPr>
            <w:tcW w:w="3527" w:type="dxa"/>
            <w:tcBorders>
              <w:top w:val="nil"/>
              <w:left w:val="nil"/>
              <w:bottom w:val="nil"/>
              <w:right w:val="nil"/>
            </w:tcBorders>
            <w:shd w:val="clear" w:color="auto" w:fill="auto"/>
            <w:noWrap/>
            <w:tcMar>
              <w:top w:w="10" w:type="dxa"/>
              <w:left w:w="10" w:type="dxa"/>
              <w:right w:w="10" w:type="dxa"/>
            </w:tcMar>
            <w:vAlign w:val="center"/>
          </w:tcPr>
          <w:p w14:paraId="1ABDF576">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单位：万元</w:t>
            </w:r>
          </w:p>
        </w:tc>
      </w:tr>
      <w:tr w14:paraId="09B40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148" w:type="dxa"/>
            <w:gridSpan w:val="5"/>
            <w:vMerge w:val="continue"/>
            <w:tcBorders>
              <w:top w:val="nil"/>
              <w:left w:val="nil"/>
              <w:bottom w:val="nil"/>
              <w:right w:val="nil"/>
            </w:tcBorders>
            <w:shd w:val="clear" w:color="auto" w:fill="auto"/>
            <w:noWrap/>
            <w:tcMar>
              <w:top w:w="10" w:type="dxa"/>
              <w:left w:w="10" w:type="dxa"/>
              <w:right w:w="10" w:type="dxa"/>
            </w:tcMar>
            <w:vAlign w:val="bottom"/>
          </w:tcPr>
          <w:p w14:paraId="19DF05A8">
            <w:pPr>
              <w:jc w:val="left"/>
              <w:rPr>
                <w:rFonts w:hint="eastAsia" w:ascii="宋体" w:hAnsi="宋体" w:eastAsia="宋体" w:cs="宋体"/>
                <w:i w:val="0"/>
                <w:color w:val="auto"/>
                <w:sz w:val="22"/>
                <w:szCs w:val="22"/>
                <w:highlight w:val="none"/>
                <w:u w:val="none"/>
              </w:rPr>
            </w:pPr>
          </w:p>
        </w:tc>
        <w:tc>
          <w:tcPr>
            <w:tcW w:w="3527" w:type="dxa"/>
            <w:tcBorders>
              <w:top w:val="nil"/>
              <w:left w:val="nil"/>
              <w:bottom w:val="nil"/>
              <w:right w:val="nil"/>
            </w:tcBorders>
            <w:shd w:val="clear" w:color="auto" w:fill="auto"/>
            <w:noWrap/>
            <w:tcMar>
              <w:top w:w="10" w:type="dxa"/>
              <w:left w:w="10" w:type="dxa"/>
              <w:right w:w="10" w:type="dxa"/>
            </w:tcMar>
            <w:vAlign w:val="center"/>
          </w:tcPr>
          <w:p w14:paraId="0341BFC7">
            <w:pPr>
              <w:jc w:val="right"/>
              <w:rPr>
                <w:rFonts w:hint="eastAsia" w:ascii="宋体" w:hAnsi="宋体" w:eastAsia="宋体" w:cs="宋体"/>
                <w:i w:val="0"/>
                <w:color w:val="auto"/>
                <w:sz w:val="20"/>
                <w:szCs w:val="20"/>
                <w:highlight w:val="none"/>
                <w:u w:val="none"/>
              </w:rPr>
            </w:pPr>
          </w:p>
        </w:tc>
      </w:tr>
      <w:tr w14:paraId="01692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63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70BC6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收入</w:t>
            </w:r>
          </w:p>
        </w:tc>
        <w:tc>
          <w:tcPr>
            <w:tcW w:w="836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35D35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支出</w:t>
            </w:r>
          </w:p>
        </w:tc>
      </w:tr>
      <w:tr w14:paraId="62074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F145E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CB34E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行次</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C4589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金额</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AF791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56E1F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行次</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A790D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金额</w:t>
            </w:r>
          </w:p>
        </w:tc>
      </w:tr>
      <w:tr w14:paraId="700FC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45181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栏次</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52EAE4">
            <w:pPr>
              <w:jc w:val="center"/>
              <w:rPr>
                <w:rFonts w:hint="eastAsia" w:ascii="宋体" w:hAnsi="宋体" w:eastAsia="宋体" w:cs="宋体"/>
                <w:i w:val="0"/>
                <w:color w:val="auto"/>
                <w:sz w:val="22"/>
                <w:szCs w:val="22"/>
                <w:highlight w:val="none"/>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74B86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F6032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栏次</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247C78">
            <w:pPr>
              <w:jc w:val="center"/>
              <w:rPr>
                <w:rFonts w:hint="eastAsia" w:ascii="宋体" w:hAnsi="宋体" w:eastAsia="宋体" w:cs="宋体"/>
                <w:i w:val="0"/>
                <w:color w:val="auto"/>
                <w:sz w:val="22"/>
                <w:szCs w:val="22"/>
                <w:highlight w:val="none"/>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29C48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r>
      <w:tr w14:paraId="17E55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C6890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一、一般公共预算财政拨款收入</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2630F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1A05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88,952.33</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F25B6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一、一般公共服务支出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32F2E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9E529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260.71</w:t>
            </w:r>
          </w:p>
        </w:tc>
      </w:tr>
      <w:tr w14:paraId="4F0C3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57FD8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二、政府性基金预算财政拨款收入</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9B486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0ED3D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10448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二、外交支出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42B99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C1C57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BEFC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56F43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三、国有资本经营预算财政拨款收入</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4BF27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51A8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4BC03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三、国防支出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B776B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34</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89A8D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F04E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61F0F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四、上级补助收入</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1E870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3451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39A6D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四、公共安全支出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51E86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00834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2FF8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15548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五、事业收入</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C2A6B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FB4D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4,302.74</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2FE9D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五、教育支出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B79EF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36</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B765C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3,405.27</w:t>
            </w:r>
          </w:p>
        </w:tc>
      </w:tr>
      <w:tr w14:paraId="41723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3496C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六、经营收入</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6D654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E2A0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488.36</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9B711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六、科学技术支出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04E21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B681A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360.38</w:t>
            </w:r>
          </w:p>
        </w:tc>
      </w:tr>
      <w:tr w14:paraId="6D959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FD55A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七、附属单位上缴收入</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51BF1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53ACA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4C9FF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七、文化旅游体育与传媒支出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2A830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F8E0B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4F5E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65724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八、其他收入</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064B7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DF19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2,388.69</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5F00F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八、社会保障和就业支出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183C0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1D52D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3,281.02</w:t>
            </w:r>
          </w:p>
        </w:tc>
      </w:tr>
      <w:tr w14:paraId="05CC7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99BA20">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7F099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1625F4">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00EED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九、卫生健康支出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7CB2D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B1228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312.67</w:t>
            </w:r>
          </w:p>
        </w:tc>
      </w:tr>
      <w:tr w14:paraId="3981C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63E01E">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29EB9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2E862D">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96C99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十、节能环保支出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FE4C8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41</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EECA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r>
      <w:tr w14:paraId="67A7B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639DDE">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1D045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03D670">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4D283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十一、城乡社区支出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83D67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42</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0EC0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641C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1086A5">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B8057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301090">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FB120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十二、农林水支出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5CAB6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9E3DC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79,102.94</w:t>
            </w:r>
          </w:p>
        </w:tc>
      </w:tr>
      <w:tr w14:paraId="5C042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106B86">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BBE09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2E9969">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84FDC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十三、交通运输支出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E4AF8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44</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51353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r>
      <w:tr w14:paraId="4DA9C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B92A69">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7FC11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032C44">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9543C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十四、资源勘探工业信息等支出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DCA06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E624F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4499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2A21EF">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A9D40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4D4480">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85F7B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十五、商业服务业等支出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9B2B4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01A0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444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2BD2B9">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245EE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9325C9">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A612E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十六、金融支出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28F94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47</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07B68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8EF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3DE72A">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F60C8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EE487F">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F086C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十七、援助其他地区支出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C76A4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2056F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6A95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2DD218">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88853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4B60DC">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A0101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十八、自然资源海洋气象等支出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5CB0A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49</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C9DBC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r>
      <w:tr w14:paraId="39450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76A0CB">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F8D36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8B3BF7">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F8541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十九、住房保障支出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4039D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5ED97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r>
      <w:tr w14:paraId="5A1AF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4B17D4">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CF37B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E92100">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7B057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二十、粮油物资储备支出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6C724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5F83C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r>
      <w:tr w14:paraId="6B9AD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B04377">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D95D3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4A2E0F">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E963B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二十一、国有资本经营预算支出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5E0A1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52</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F309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0255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21ED5F">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E03A7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D17B9C">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32057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二十二、灾害防治及应急管理支出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DBFDA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53</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E419F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5B07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B1231F">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C59BC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DA2AD1">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D99B4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二十三、其他支出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FE451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54</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4C421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CDD1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48E91E">
            <w:pPr>
              <w:jc w:val="center"/>
              <w:rPr>
                <w:rFonts w:hint="eastAsia" w:ascii="宋体" w:hAnsi="宋体" w:eastAsia="宋体" w:cs="宋体"/>
                <w:b/>
                <w:i w:val="0"/>
                <w:color w:val="auto"/>
                <w:sz w:val="20"/>
                <w:szCs w:val="20"/>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9D5A17">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8C18B4">
            <w:pPr>
              <w:jc w:val="right"/>
              <w:rPr>
                <w:rFonts w:hint="eastAsia" w:ascii="宋体" w:hAnsi="宋体" w:eastAsia="宋体" w:cs="宋体"/>
                <w:i w:val="0"/>
                <w:color w:val="auto"/>
                <w:sz w:val="20"/>
                <w:szCs w:val="20"/>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B92BC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二十四、债务还本支出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648C4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55</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082AA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0D4E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4EC262">
            <w:pPr>
              <w:jc w:val="left"/>
              <w:rPr>
                <w:rFonts w:hint="eastAsia" w:ascii="宋体" w:hAnsi="宋体" w:eastAsia="宋体" w:cs="宋体"/>
                <w:i w:val="0"/>
                <w:color w:val="auto"/>
                <w:sz w:val="20"/>
                <w:szCs w:val="20"/>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C349CF">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24DB96">
            <w:pPr>
              <w:jc w:val="right"/>
              <w:rPr>
                <w:rFonts w:hint="eastAsia" w:ascii="宋体" w:hAnsi="宋体" w:eastAsia="宋体" w:cs="宋体"/>
                <w:i w:val="0"/>
                <w:color w:val="auto"/>
                <w:sz w:val="20"/>
                <w:szCs w:val="20"/>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2FB33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二十五、债务付息支出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50AC2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56</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2C49B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7882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788E48">
            <w:pPr>
              <w:jc w:val="left"/>
              <w:rPr>
                <w:rFonts w:hint="eastAsia" w:ascii="宋体" w:hAnsi="宋体" w:eastAsia="宋体" w:cs="宋体"/>
                <w:i w:val="0"/>
                <w:color w:val="auto"/>
                <w:sz w:val="20"/>
                <w:szCs w:val="20"/>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3476F4">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26</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F67117">
            <w:pPr>
              <w:jc w:val="right"/>
              <w:rPr>
                <w:rFonts w:hint="eastAsia" w:ascii="宋体" w:hAnsi="宋体" w:eastAsia="宋体" w:cs="宋体"/>
                <w:i w:val="0"/>
                <w:color w:val="auto"/>
                <w:sz w:val="20"/>
                <w:szCs w:val="20"/>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3BCD8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二十六、抗疫特别国债安排的支出</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28ED0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57</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D664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6453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84F416">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本年收入合计</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1D52E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92619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96,132.13</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1E9AE2">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本年支出合计</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B8FB3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58</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C389C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87,918.90</w:t>
            </w:r>
          </w:p>
        </w:tc>
      </w:tr>
      <w:tr w14:paraId="02C49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9F3B5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使用非财政拨款结余和专用结余</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F95F1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D7AD0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758.77</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5E397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结余分配</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BAE3A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59</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EC29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1,453.17</w:t>
            </w:r>
          </w:p>
        </w:tc>
      </w:tr>
      <w:tr w14:paraId="5750D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4A41B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年初结转和结余</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C4ADF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F9094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20,339.53</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009C5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年末结转和结余</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4AB29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B6223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27,858.37</w:t>
            </w:r>
          </w:p>
        </w:tc>
      </w:tr>
      <w:tr w14:paraId="6F6C7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B73761">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CF438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91DC9D">
            <w:pPr>
              <w:jc w:val="right"/>
              <w:rPr>
                <w:rFonts w:hint="eastAsia" w:ascii="宋体" w:hAnsi="宋体" w:eastAsia="宋体" w:cs="宋体"/>
                <w:i w:val="0"/>
                <w:color w:val="auto"/>
                <w:sz w:val="22"/>
                <w:szCs w:val="22"/>
                <w:highlight w:val="none"/>
                <w:u w:val="none"/>
              </w:rPr>
            </w:pP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2DC3DC">
            <w:pPr>
              <w:jc w:val="left"/>
              <w:rPr>
                <w:rFonts w:hint="eastAsia" w:ascii="宋体" w:hAnsi="宋体" w:eastAsia="宋体" w:cs="宋体"/>
                <w:i w:val="0"/>
                <w:color w:val="auto"/>
                <w:sz w:val="22"/>
                <w:szCs w:val="22"/>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170DA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61</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4E7108">
            <w:pPr>
              <w:jc w:val="left"/>
              <w:rPr>
                <w:rFonts w:hint="eastAsia" w:ascii="宋体" w:hAnsi="宋体" w:eastAsia="宋体" w:cs="宋体"/>
                <w:i w:val="0"/>
                <w:color w:val="auto"/>
                <w:sz w:val="22"/>
                <w:szCs w:val="22"/>
                <w:highlight w:val="none"/>
                <w:u w:val="none"/>
              </w:rPr>
            </w:pPr>
          </w:p>
        </w:tc>
      </w:tr>
      <w:tr w14:paraId="3BC6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1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32EDA6">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总计</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9EE40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9A21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117,230.43</w:t>
            </w:r>
          </w:p>
        </w:tc>
        <w:tc>
          <w:tcPr>
            <w:tcW w:w="43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12C5A8">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总计</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40B85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62</w:t>
            </w:r>
          </w:p>
        </w:tc>
        <w:tc>
          <w:tcPr>
            <w:tcW w:w="3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4B975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117,230.43</w:t>
            </w:r>
          </w:p>
        </w:tc>
      </w:tr>
      <w:tr w14:paraId="72BB3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4675" w:type="dxa"/>
            <w:gridSpan w:val="6"/>
            <w:tcBorders>
              <w:top w:val="nil"/>
              <w:left w:val="nil"/>
              <w:bottom w:val="nil"/>
              <w:right w:val="nil"/>
            </w:tcBorders>
            <w:shd w:val="clear" w:color="auto" w:fill="auto"/>
            <w:noWrap/>
            <w:tcMar>
              <w:top w:w="10" w:type="dxa"/>
              <w:left w:w="10" w:type="dxa"/>
              <w:right w:w="10" w:type="dxa"/>
            </w:tcMar>
            <w:vAlign w:val="center"/>
          </w:tcPr>
          <w:p w14:paraId="5769F33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注：1.本表反映部门本年度的总收支和年末结转结余情况。</w:t>
            </w:r>
          </w:p>
        </w:tc>
      </w:tr>
      <w:tr w14:paraId="1D9F2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4675" w:type="dxa"/>
            <w:gridSpan w:val="6"/>
            <w:tcBorders>
              <w:top w:val="nil"/>
              <w:left w:val="nil"/>
              <w:bottom w:val="nil"/>
              <w:right w:val="nil"/>
            </w:tcBorders>
            <w:shd w:val="clear" w:color="auto" w:fill="auto"/>
            <w:noWrap/>
            <w:tcMar>
              <w:top w:w="10" w:type="dxa"/>
              <w:left w:w="10" w:type="dxa"/>
              <w:right w:w="10" w:type="dxa"/>
            </w:tcMar>
            <w:vAlign w:val="center"/>
          </w:tcPr>
          <w:p w14:paraId="5412063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    2.本套报表金额单位转换时可能存在尾数误差。</w:t>
            </w:r>
          </w:p>
        </w:tc>
      </w:tr>
    </w:tbl>
    <w:p w14:paraId="09C52D12">
      <w:pPr>
        <w:pStyle w:val="10"/>
        <w:rPr>
          <w:color w:val="auto"/>
          <w:highlight w:val="none"/>
        </w:rPr>
        <w:sectPr>
          <w:pgSz w:w="16838" w:h="11906" w:orient="landscape"/>
          <w:pgMar w:top="720" w:right="720" w:bottom="720" w:left="720" w:header="851" w:footer="992" w:gutter="0"/>
          <w:cols w:space="425" w:num="1"/>
          <w:docGrid w:type="lines" w:linePitch="312" w:charSpace="0"/>
        </w:sectPr>
      </w:pPr>
    </w:p>
    <w:tbl>
      <w:tblPr>
        <w:tblStyle w:val="12"/>
        <w:tblW w:w="154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09"/>
        <w:gridCol w:w="3850"/>
        <w:gridCol w:w="1475"/>
        <w:gridCol w:w="1650"/>
        <w:gridCol w:w="1592"/>
        <w:gridCol w:w="1401"/>
        <w:gridCol w:w="1414"/>
        <w:gridCol w:w="1551"/>
        <w:gridCol w:w="1650"/>
      </w:tblGrid>
      <w:tr w14:paraId="6C9A9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15492" w:type="dxa"/>
            <w:gridSpan w:val="9"/>
            <w:tcBorders>
              <w:top w:val="nil"/>
              <w:left w:val="nil"/>
              <w:bottom w:val="nil"/>
              <w:right w:val="nil"/>
            </w:tcBorders>
            <w:shd w:val="clear" w:color="auto" w:fill="auto"/>
            <w:noWrap/>
            <w:tcMar>
              <w:top w:w="10" w:type="dxa"/>
              <w:left w:w="10" w:type="dxa"/>
              <w:right w:w="10" w:type="dxa"/>
            </w:tcMar>
            <w:vAlign w:val="center"/>
          </w:tcPr>
          <w:p w14:paraId="639E6244">
            <w:pPr>
              <w:keepNext w:val="0"/>
              <w:keepLines w:val="0"/>
              <w:widowControl/>
              <w:suppressLineNumbers w:val="0"/>
              <w:jc w:val="center"/>
              <w:textAlignment w:val="center"/>
              <w:rPr>
                <w:rFonts w:hint="eastAsia" w:ascii="宋体" w:hAnsi="宋体" w:eastAsia="宋体" w:cs="宋体"/>
                <w:b/>
                <w:i w:val="0"/>
                <w:color w:val="auto"/>
                <w:sz w:val="28"/>
                <w:szCs w:val="28"/>
                <w:highlight w:val="none"/>
                <w:u w:val="none"/>
              </w:rPr>
            </w:pPr>
            <w:r>
              <w:rPr>
                <w:rFonts w:hint="eastAsia" w:ascii="宋体" w:hAnsi="宋体" w:eastAsia="宋体" w:cs="宋体"/>
                <w:b/>
                <w:i w:val="0"/>
                <w:color w:val="auto"/>
                <w:kern w:val="0"/>
                <w:sz w:val="28"/>
                <w:szCs w:val="28"/>
                <w:highlight w:val="none"/>
                <w:u w:val="none"/>
                <w:lang w:val="en-US" w:eastAsia="zh-CN" w:bidi="ar"/>
              </w:rPr>
              <w:t>收入决算表</w:t>
            </w:r>
          </w:p>
        </w:tc>
      </w:tr>
      <w:tr w14:paraId="2E891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234" w:type="dxa"/>
            <w:gridSpan w:val="3"/>
            <w:vMerge w:val="restart"/>
            <w:tcBorders>
              <w:top w:val="nil"/>
              <w:left w:val="nil"/>
              <w:bottom w:val="nil"/>
              <w:right w:val="nil"/>
            </w:tcBorders>
            <w:shd w:val="clear" w:color="auto" w:fill="auto"/>
            <w:noWrap/>
            <w:tcMar>
              <w:top w:w="10" w:type="dxa"/>
              <w:left w:w="10" w:type="dxa"/>
              <w:right w:w="10" w:type="dxa"/>
            </w:tcMar>
            <w:vAlign w:val="bottom"/>
          </w:tcPr>
          <w:p w14:paraId="582A8982">
            <w:pPr>
              <w:keepNext w:val="0"/>
              <w:keepLines w:val="0"/>
              <w:widowControl/>
              <w:suppressLineNumbers w:val="0"/>
              <w:jc w:val="left"/>
              <w:textAlignment w:val="bottom"/>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部门：湖南省农业农村厅</w:t>
            </w:r>
          </w:p>
        </w:tc>
        <w:tc>
          <w:tcPr>
            <w:tcW w:w="1650" w:type="dxa"/>
            <w:tcBorders>
              <w:top w:val="nil"/>
              <w:left w:val="nil"/>
              <w:bottom w:val="nil"/>
              <w:right w:val="nil"/>
            </w:tcBorders>
            <w:shd w:val="clear" w:color="auto" w:fill="auto"/>
            <w:noWrap/>
            <w:tcMar>
              <w:top w:w="10" w:type="dxa"/>
              <w:left w:w="10" w:type="dxa"/>
              <w:right w:w="10" w:type="dxa"/>
            </w:tcMar>
            <w:vAlign w:val="center"/>
          </w:tcPr>
          <w:p w14:paraId="371F549E">
            <w:pPr>
              <w:jc w:val="right"/>
              <w:rPr>
                <w:rFonts w:hint="eastAsia" w:ascii="宋体" w:hAnsi="宋体" w:eastAsia="宋体" w:cs="宋体"/>
                <w:i w:val="0"/>
                <w:color w:val="auto"/>
                <w:sz w:val="20"/>
                <w:szCs w:val="20"/>
                <w:highlight w:val="none"/>
                <w:u w:val="none"/>
              </w:rPr>
            </w:pPr>
          </w:p>
        </w:tc>
        <w:tc>
          <w:tcPr>
            <w:tcW w:w="1592" w:type="dxa"/>
            <w:tcBorders>
              <w:top w:val="nil"/>
              <w:left w:val="nil"/>
              <w:bottom w:val="nil"/>
              <w:right w:val="nil"/>
            </w:tcBorders>
            <w:shd w:val="clear" w:color="auto" w:fill="auto"/>
            <w:noWrap/>
            <w:tcMar>
              <w:top w:w="10" w:type="dxa"/>
              <w:left w:w="10" w:type="dxa"/>
              <w:right w:w="10" w:type="dxa"/>
            </w:tcMar>
            <w:vAlign w:val="center"/>
          </w:tcPr>
          <w:p w14:paraId="4548D628">
            <w:pPr>
              <w:rPr>
                <w:rFonts w:hint="eastAsia" w:ascii="宋体" w:hAnsi="宋体" w:eastAsia="宋体" w:cs="宋体"/>
                <w:i w:val="0"/>
                <w:color w:val="auto"/>
                <w:sz w:val="22"/>
                <w:szCs w:val="22"/>
                <w:highlight w:val="none"/>
                <w:u w:val="none"/>
              </w:rPr>
            </w:pPr>
          </w:p>
        </w:tc>
        <w:tc>
          <w:tcPr>
            <w:tcW w:w="1401" w:type="dxa"/>
            <w:tcBorders>
              <w:top w:val="nil"/>
              <w:left w:val="nil"/>
              <w:bottom w:val="nil"/>
              <w:right w:val="nil"/>
            </w:tcBorders>
            <w:shd w:val="clear" w:color="auto" w:fill="auto"/>
            <w:noWrap/>
            <w:tcMar>
              <w:top w:w="10" w:type="dxa"/>
              <w:left w:w="10" w:type="dxa"/>
              <w:right w:w="10" w:type="dxa"/>
            </w:tcMar>
            <w:vAlign w:val="center"/>
          </w:tcPr>
          <w:p w14:paraId="0CDA649F">
            <w:pPr>
              <w:rPr>
                <w:rFonts w:hint="eastAsia" w:ascii="宋体" w:hAnsi="宋体" w:eastAsia="宋体" w:cs="宋体"/>
                <w:i w:val="0"/>
                <w:color w:val="auto"/>
                <w:sz w:val="22"/>
                <w:szCs w:val="22"/>
                <w:highlight w:val="none"/>
                <w:u w:val="none"/>
              </w:rPr>
            </w:pPr>
          </w:p>
        </w:tc>
        <w:tc>
          <w:tcPr>
            <w:tcW w:w="1414" w:type="dxa"/>
            <w:tcBorders>
              <w:top w:val="nil"/>
              <w:left w:val="nil"/>
              <w:bottom w:val="nil"/>
              <w:right w:val="nil"/>
            </w:tcBorders>
            <w:shd w:val="clear" w:color="auto" w:fill="auto"/>
            <w:noWrap/>
            <w:tcMar>
              <w:top w:w="10" w:type="dxa"/>
              <w:left w:w="10" w:type="dxa"/>
              <w:right w:w="10" w:type="dxa"/>
            </w:tcMar>
            <w:vAlign w:val="center"/>
          </w:tcPr>
          <w:p w14:paraId="5EBEB618">
            <w:pPr>
              <w:rPr>
                <w:rFonts w:hint="eastAsia" w:ascii="宋体" w:hAnsi="宋体" w:eastAsia="宋体" w:cs="宋体"/>
                <w:i w:val="0"/>
                <w:color w:val="auto"/>
                <w:sz w:val="22"/>
                <w:szCs w:val="22"/>
                <w:highlight w:val="none"/>
                <w:u w:val="none"/>
              </w:rPr>
            </w:pPr>
          </w:p>
        </w:tc>
        <w:tc>
          <w:tcPr>
            <w:tcW w:w="1551" w:type="dxa"/>
            <w:tcBorders>
              <w:top w:val="nil"/>
              <w:left w:val="nil"/>
              <w:bottom w:val="nil"/>
              <w:right w:val="nil"/>
            </w:tcBorders>
            <w:shd w:val="clear" w:color="auto" w:fill="auto"/>
            <w:noWrap/>
            <w:tcMar>
              <w:top w:w="10" w:type="dxa"/>
              <w:left w:w="10" w:type="dxa"/>
              <w:right w:w="10" w:type="dxa"/>
            </w:tcMar>
            <w:vAlign w:val="center"/>
          </w:tcPr>
          <w:p w14:paraId="3F45339E">
            <w:pPr>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0748D996">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公开02表</w:t>
            </w:r>
          </w:p>
        </w:tc>
      </w:tr>
      <w:tr w14:paraId="1F2C9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234" w:type="dxa"/>
            <w:gridSpan w:val="3"/>
            <w:vMerge w:val="continue"/>
            <w:tcBorders>
              <w:top w:val="nil"/>
              <w:left w:val="nil"/>
              <w:bottom w:val="nil"/>
              <w:right w:val="nil"/>
            </w:tcBorders>
            <w:shd w:val="clear" w:color="auto" w:fill="auto"/>
            <w:noWrap/>
            <w:tcMar>
              <w:top w:w="10" w:type="dxa"/>
              <w:left w:w="10" w:type="dxa"/>
              <w:right w:w="10" w:type="dxa"/>
            </w:tcMar>
            <w:vAlign w:val="bottom"/>
          </w:tcPr>
          <w:p w14:paraId="5ABC8E9F">
            <w:pPr>
              <w:jc w:val="left"/>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41032FD2">
            <w:pPr>
              <w:jc w:val="right"/>
              <w:rPr>
                <w:rFonts w:hint="eastAsia" w:ascii="宋体" w:hAnsi="宋体" w:eastAsia="宋体" w:cs="宋体"/>
                <w:i w:val="0"/>
                <w:color w:val="auto"/>
                <w:sz w:val="20"/>
                <w:szCs w:val="20"/>
                <w:highlight w:val="none"/>
                <w:u w:val="none"/>
              </w:rPr>
            </w:pPr>
          </w:p>
        </w:tc>
        <w:tc>
          <w:tcPr>
            <w:tcW w:w="1592" w:type="dxa"/>
            <w:tcBorders>
              <w:top w:val="nil"/>
              <w:left w:val="nil"/>
              <w:bottom w:val="nil"/>
              <w:right w:val="nil"/>
            </w:tcBorders>
            <w:shd w:val="clear" w:color="auto" w:fill="auto"/>
            <w:noWrap/>
            <w:tcMar>
              <w:top w:w="10" w:type="dxa"/>
              <w:left w:w="10" w:type="dxa"/>
              <w:right w:w="10" w:type="dxa"/>
            </w:tcMar>
            <w:vAlign w:val="center"/>
          </w:tcPr>
          <w:p w14:paraId="3D33E144">
            <w:pPr>
              <w:rPr>
                <w:rFonts w:hint="eastAsia" w:ascii="宋体" w:hAnsi="宋体" w:eastAsia="宋体" w:cs="宋体"/>
                <w:i w:val="0"/>
                <w:color w:val="auto"/>
                <w:sz w:val="22"/>
                <w:szCs w:val="22"/>
                <w:highlight w:val="none"/>
                <w:u w:val="none"/>
              </w:rPr>
            </w:pPr>
          </w:p>
        </w:tc>
        <w:tc>
          <w:tcPr>
            <w:tcW w:w="1401" w:type="dxa"/>
            <w:tcBorders>
              <w:top w:val="nil"/>
              <w:left w:val="nil"/>
              <w:bottom w:val="nil"/>
              <w:right w:val="nil"/>
            </w:tcBorders>
            <w:shd w:val="clear" w:color="auto" w:fill="auto"/>
            <w:noWrap/>
            <w:tcMar>
              <w:top w:w="10" w:type="dxa"/>
              <w:left w:w="10" w:type="dxa"/>
              <w:right w:w="10" w:type="dxa"/>
            </w:tcMar>
            <w:vAlign w:val="center"/>
          </w:tcPr>
          <w:p w14:paraId="58D78885">
            <w:pPr>
              <w:rPr>
                <w:rFonts w:hint="eastAsia" w:ascii="宋体" w:hAnsi="宋体" w:eastAsia="宋体" w:cs="宋体"/>
                <w:i w:val="0"/>
                <w:color w:val="auto"/>
                <w:sz w:val="22"/>
                <w:szCs w:val="22"/>
                <w:highlight w:val="none"/>
                <w:u w:val="none"/>
              </w:rPr>
            </w:pPr>
          </w:p>
        </w:tc>
        <w:tc>
          <w:tcPr>
            <w:tcW w:w="1414" w:type="dxa"/>
            <w:tcBorders>
              <w:top w:val="nil"/>
              <w:left w:val="nil"/>
              <w:bottom w:val="nil"/>
              <w:right w:val="nil"/>
            </w:tcBorders>
            <w:shd w:val="clear" w:color="auto" w:fill="auto"/>
            <w:noWrap/>
            <w:tcMar>
              <w:top w:w="10" w:type="dxa"/>
              <w:left w:w="10" w:type="dxa"/>
              <w:right w:w="10" w:type="dxa"/>
            </w:tcMar>
            <w:vAlign w:val="center"/>
          </w:tcPr>
          <w:p w14:paraId="7CFD45D1">
            <w:pPr>
              <w:rPr>
                <w:rFonts w:hint="eastAsia" w:ascii="宋体" w:hAnsi="宋体" w:eastAsia="宋体" w:cs="宋体"/>
                <w:i w:val="0"/>
                <w:color w:val="auto"/>
                <w:sz w:val="22"/>
                <w:szCs w:val="22"/>
                <w:highlight w:val="none"/>
                <w:u w:val="none"/>
              </w:rPr>
            </w:pPr>
          </w:p>
        </w:tc>
        <w:tc>
          <w:tcPr>
            <w:tcW w:w="1551" w:type="dxa"/>
            <w:tcBorders>
              <w:top w:val="nil"/>
              <w:left w:val="nil"/>
              <w:bottom w:val="nil"/>
              <w:right w:val="nil"/>
            </w:tcBorders>
            <w:shd w:val="clear" w:color="auto" w:fill="auto"/>
            <w:noWrap/>
            <w:tcMar>
              <w:top w:w="10" w:type="dxa"/>
              <w:left w:w="10" w:type="dxa"/>
              <w:right w:w="10" w:type="dxa"/>
            </w:tcMar>
            <w:vAlign w:val="center"/>
          </w:tcPr>
          <w:p w14:paraId="736C8AD1">
            <w:pPr>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5B7EFD76">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单位：万元</w:t>
            </w:r>
          </w:p>
        </w:tc>
      </w:tr>
      <w:tr w14:paraId="228D2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234" w:type="dxa"/>
            <w:gridSpan w:val="3"/>
            <w:vMerge w:val="continue"/>
            <w:tcBorders>
              <w:top w:val="nil"/>
              <w:left w:val="nil"/>
              <w:bottom w:val="nil"/>
              <w:right w:val="nil"/>
            </w:tcBorders>
            <w:shd w:val="clear" w:color="auto" w:fill="auto"/>
            <w:noWrap/>
            <w:tcMar>
              <w:top w:w="10" w:type="dxa"/>
              <w:left w:w="10" w:type="dxa"/>
              <w:right w:w="10" w:type="dxa"/>
            </w:tcMar>
            <w:vAlign w:val="bottom"/>
          </w:tcPr>
          <w:p w14:paraId="0D80D1F1">
            <w:pPr>
              <w:jc w:val="left"/>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33025D02">
            <w:pPr>
              <w:jc w:val="right"/>
              <w:rPr>
                <w:rFonts w:hint="eastAsia" w:ascii="宋体" w:hAnsi="宋体" w:eastAsia="宋体" w:cs="宋体"/>
                <w:i w:val="0"/>
                <w:color w:val="auto"/>
                <w:sz w:val="20"/>
                <w:szCs w:val="20"/>
                <w:highlight w:val="none"/>
                <w:u w:val="none"/>
              </w:rPr>
            </w:pPr>
          </w:p>
        </w:tc>
        <w:tc>
          <w:tcPr>
            <w:tcW w:w="1592" w:type="dxa"/>
            <w:tcBorders>
              <w:top w:val="nil"/>
              <w:left w:val="nil"/>
              <w:bottom w:val="nil"/>
              <w:right w:val="nil"/>
            </w:tcBorders>
            <w:shd w:val="clear" w:color="auto" w:fill="auto"/>
            <w:noWrap/>
            <w:tcMar>
              <w:top w:w="10" w:type="dxa"/>
              <w:left w:w="10" w:type="dxa"/>
              <w:right w:w="10" w:type="dxa"/>
            </w:tcMar>
            <w:vAlign w:val="center"/>
          </w:tcPr>
          <w:p w14:paraId="2E6481DB">
            <w:pPr>
              <w:rPr>
                <w:rFonts w:hint="eastAsia" w:ascii="宋体" w:hAnsi="宋体" w:eastAsia="宋体" w:cs="宋体"/>
                <w:i w:val="0"/>
                <w:color w:val="auto"/>
                <w:sz w:val="22"/>
                <w:szCs w:val="22"/>
                <w:highlight w:val="none"/>
                <w:u w:val="none"/>
              </w:rPr>
            </w:pPr>
          </w:p>
        </w:tc>
        <w:tc>
          <w:tcPr>
            <w:tcW w:w="1401" w:type="dxa"/>
            <w:tcBorders>
              <w:top w:val="nil"/>
              <w:left w:val="nil"/>
              <w:bottom w:val="nil"/>
              <w:right w:val="nil"/>
            </w:tcBorders>
            <w:shd w:val="clear" w:color="auto" w:fill="auto"/>
            <w:noWrap/>
            <w:tcMar>
              <w:top w:w="10" w:type="dxa"/>
              <w:left w:w="10" w:type="dxa"/>
              <w:right w:w="10" w:type="dxa"/>
            </w:tcMar>
            <w:vAlign w:val="center"/>
          </w:tcPr>
          <w:p w14:paraId="3F5E77DD">
            <w:pPr>
              <w:rPr>
                <w:rFonts w:hint="eastAsia" w:ascii="宋体" w:hAnsi="宋体" w:eastAsia="宋体" w:cs="宋体"/>
                <w:i w:val="0"/>
                <w:color w:val="auto"/>
                <w:sz w:val="22"/>
                <w:szCs w:val="22"/>
                <w:highlight w:val="none"/>
                <w:u w:val="none"/>
              </w:rPr>
            </w:pPr>
          </w:p>
        </w:tc>
        <w:tc>
          <w:tcPr>
            <w:tcW w:w="1414" w:type="dxa"/>
            <w:tcBorders>
              <w:top w:val="nil"/>
              <w:left w:val="nil"/>
              <w:bottom w:val="nil"/>
              <w:right w:val="nil"/>
            </w:tcBorders>
            <w:shd w:val="clear" w:color="auto" w:fill="auto"/>
            <w:noWrap/>
            <w:tcMar>
              <w:top w:w="10" w:type="dxa"/>
              <w:left w:w="10" w:type="dxa"/>
              <w:right w:w="10" w:type="dxa"/>
            </w:tcMar>
            <w:vAlign w:val="center"/>
          </w:tcPr>
          <w:p w14:paraId="4290298F">
            <w:pPr>
              <w:rPr>
                <w:rFonts w:hint="eastAsia" w:ascii="宋体" w:hAnsi="宋体" w:eastAsia="宋体" w:cs="宋体"/>
                <w:i w:val="0"/>
                <w:color w:val="auto"/>
                <w:sz w:val="22"/>
                <w:szCs w:val="22"/>
                <w:highlight w:val="none"/>
                <w:u w:val="none"/>
              </w:rPr>
            </w:pPr>
          </w:p>
        </w:tc>
        <w:tc>
          <w:tcPr>
            <w:tcW w:w="1551" w:type="dxa"/>
            <w:tcBorders>
              <w:top w:val="nil"/>
              <w:left w:val="nil"/>
              <w:bottom w:val="nil"/>
              <w:right w:val="nil"/>
            </w:tcBorders>
            <w:shd w:val="clear" w:color="auto" w:fill="auto"/>
            <w:noWrap/>
            <w:tcMar>
              <w:top w:w="10" w:type="dxa"/>
              <w:left w:w="10" w:type="dxa"/>
              <w:right w:w="10" w:type="dxa"/>
            </w:tcMar>
            <w:vAlign w:val="center"/>
          </w:tcPr>
          <w:p w14:paraId="59B8AB31">
            <w:pPr>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15A0C927">
            <w:pPr>
              <w:rPr>
                <w:rFonts w:hint="eastAsia" w:ascii="宋体" w:hAnsi="宋体" w:eastAsia="宋体" w:cs="宋体"/>
                <w:i w:val="0"/>
                <w:color w:val="auto"/>
                <w:sz w:val="22"/>
                <w:szCs w:val="22"/>
                <w:highlight w:val="none"/>
                <w:u w:val="none"/>
              </w:rPr>
            </w:pPr>
          </w:p>
        </w:tc>
      </w:tr>
      <w:tr w14:paraId="372FC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7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E32D6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389E8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本年收入合计</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F694F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财政拨款收入</w:t>
            </w:r>
          </w:p>
        </w:tc>
        <w:tc>
          <w:tcPr>
            <w:tcW w:w="159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6D647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上级补助收入</w:t>
            </w:r>
          </w:p>
        </w:tc>
        <w:tc>
          <w:tcPr>
            <w:tcW w:w="140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96E11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事业收入</w:t>
            </w:r>
          </w:p>
        </w:tc>
        <w:tc>
          <w:tcPr>
            <w:tcW w:w="141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82F98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经营收入</w:t>
            </w: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20A44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附属单位上缴收入</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6079E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其他收入</w:t>
            </w:r>
          </w:p>
        </w:tc>
      </w:tr>
      <w:tr w14:paraId="207D9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A3A36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科目代码</w:t>
            </w:r>
          </w:p>
        </w:tc>
        <w:tc>
          <w:tcPr>
            <w:tcW w:w="38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1FA6A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科目名称</w:t>
            </w: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52496F">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B71112">
            <w:pPr>
              <w:jc w:val="center"/>
              <w:rPr>
                <w:rFonts w:hint="eastAsia" w:ascii="宋体" w:hAnsi="宋体" w:eastAsia="宋体" w:cs="宋体"/>
                <w:i w:val="0"/>
                <w:color w:val="auto"/>
                <w:sz w:val="22"/>
                <w:szCs w:val="22"/>
                <w:highlight w:val="none"/>
                <w:u w:val="none"/>
              </w:rPr>
            </w:pP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D25E1F">
            <w:pPr>
              <w:jc w:val="center"/>
              <w:rPr>
                <w:rFonts w:hint="eastAsia" w:ascii="宋体" w:hAnsi="宋体" w:eastAsia="宋体" w:cs="宋体"/>
                <w:i w:val="0"/>
                <w:color w:val="auto"/>
                <w:sz w:val="22"/>
                <w:szCs w:val="22"/>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362181">
            <w:pPr>
              <w:jc w:val="center"/>
              <w:rPr>
                <w:rFonts w:hint="eastAsia" w:ascii="宋体" w:hAnsi="宋体" w:eastAsia="宋体" w:cs="宋体"/>
                <w:i w:val="0"/>
                <w:color w:val="auto"/>
                <w:sz w:val="22"/>
                <w:szCs w:val="22"/>
                <w:highlight w:val="none"/>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CB2316">
            <w:pPr>
              <w:jc w:val="center"/>
              <w:rPr>
                <w:rFonts w:hint="eastAsia" w:ascii="宋体" w:hAnsi="宋体" w:eastAsia="宋体" w:cs="宋体"/>
                <w:i w:val="0"/>
                <w:color w:val="auto"/>
                <w:sz w:val="22"/>
                <w:szCs w:val="22"/>
                <w:highlight w:val="none"/>
                <w:u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C38276">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3ECF96">
            <w:pPr>
              <w:jc w:val="center"/>
              <w:rPr>
                <w:rFonts w:hint="eastAsia" w:ascii="宋体" w:hAnsi="宋体" w:eastAsia="宋体" w:cs="宋体"/>
                <w:i w:val="0"/>
                <w:color w:val="auto"/>
                <w:sz w:val="22"/>
                <w:szCs w:val="22"/>
                <w:highlight w:val="none"/>
                <w:u w:val="none"/>
              </w:rPr>
            </w:pPr>
          </w:p>
        </w:tc>
      </w:tr>
      <w:tr w14:paraId="27E36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328AA0">
            <w:pPr>
              <w:jc w:val="center"/>
              <w:rPr>
                <w:rFonts w:hint="eastAsia" w:ascii="宋体" w:hAnsi="宋体" w:eastAsia="宋体" w:cs="宋体"/>
                <w:i w:val="0"/>
                <w:color w:val="auto"/>
                <w:sz w:val="22"/>
                <w:szCs w:val="22"/>
                <w:highlight w:val="none"/>
                <w:u w:val="none"/>
              </w:rPr>
            </w:pPr>
          </w:p>
        </w:tc>
        <w:tc>
          <w:tcPr>
            <w:tcW w:w="38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80369B">
            <w:pPr>
              <w:jc w:val="center"/>
              <w:rPr>
                <w:rFonts w:hint="eastAsia" w:ascii="宋体" w:hAnsi="宋体" w:eastAsia="宋体" w:cs="宋体"/>
                <w:i w:val="0"/>
                <w:color w:val="auto"/>
                <w:sz w:val="22"/>
                <w:szCs w:val="22"/>
                <w:highlight w:val="none"/>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67CF0E">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239673">
            <w:pPr>
              <w:jc w:val="center"/>
              <w:rPr>
                <w:rFonts w:hint="eastAsia" w:ascii="宋体" w:hAnsi="宋体" w:eastAsia="宋体" w:cs="宋体"/>
                <w:i w:val="0"/>
                <w:color w:val="auto"/>
                <w:sz w:val="22"/>
                <w:szCs w:val="22"/>
                <w:highlight w:val="none"/>
                <w:u w:val="none"/>
              </w:rPr>
            </w:pP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CFA486">
            <w:pPr>
              <w:jc w:val="center"/>
              <w:rPr>
                <w:rFonts w:hint="eastAsia" w:ascii="宋体" w:hAnsi="宋体" w:eastAsia="宋体" w:cs="宋体"/>
                <w:i w:val="0"/>
                <w:color w:val="auto"/>
                <w:sz w:val="22"/>
                <w:szCs w:val="22"/>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F1FA5E">
            <w:pPr>
              <w:jc w:val="center"/>
              <w:rPr>
                <w:rFonts w:hint="eastAsia" w:ascii="宋体" w:hAnsi="宋体" w:eastAsia="宋体" w:cs="宋体"/>
                <w:i w:val="0"/>
                <w:color w:val="auto"/>
                <w:sz w:val="22"/>
                <w:szCs w:val="22"/>
                <w:highlight w:val="none"/>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201C83">
            <w:pPr>
              <w:jc w:val="center"/>
              <w:rPr>
                <w:rFonts w:hint="eastAsia" w:ascii="宋体" w:hAnsi="宋体" w:eastAsia="宋体" w:cs="宋体"/>
                <w:i w:val="0"/>
                <w:color w:val="auto"/>
                <w:sz w:val="22"/>
                <w:szCs w:val="22"/>
                <w:highlight w:val="none"/>
                <w:u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6BFA91">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73FFEC">
            <w:pPr>
              <w:jc w:val="center"/>
              <w:rPr>
                <w:rFonts w:hint="eastAsia" w:ascii="宋体" w:hAnsi="宋体" w:eastAsia="宋体" w:cs="宋体"/>
                <w:i w:val="0"/>
                <w:color w:val="auto"/>
                <w:sz w:val="22"/>
                <w:szCs w:val="22"/>
                <w:highlight w:val="none"/>
                <w:u w:val="none"/>
              </w:rPr>
            </w:pPr>
          </w:p>
        </w:tc>
      </w:tr>
      <w:tr w14:paraId="2BBBB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A4D5D1">
            <w:pPr>
              <w:jc w:val="center"/>
              <w:rPr>
                <w:rFonts w:hint="eastAsia" w:ascii="宋体" w:hAnsi="宋体" w:eastAsia="宋体" w:cs="宋体"/>
                <w:i w:val="0"/>
                <w:color w:val="auto"/>
                <w:sz w:val="22"/>
                <w:szCs w:val="22"/>
                <w:highlight w:val="none"/>
                <w:u w:val="none"/>
              </w:rPr>
            </w:pPr>
          </w:p>
        </w:tc>
        <w:tc>
          <w:tcPr>
            <w:tcW w:w="38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5C8643">
            <w:pPr>
              <w:jc w:val="center"/>
              <w:rPr>
                <w:rFonts w:hint="eastAsia" w:ascii="宋体" w:hAnsi="宋体" w:eastAsia="宋体" w:cs="宋体"/>
                <w:i w:val="0"/>
                <w:color w:val="auto"/>
                <w:sz w:val="22"/>
                <w:szCs w:val="22"/>
                <w:highlight w:val="none"/>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2C10E9">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A0CAE9">
            <w:pPr>
              <w:jc w:val="center"/>
              <w:rPr>
                <w:rFonts w:hint="eastAsia" w:ascii="宋体" w:hAnsi="宋体" w:eastAsia="宋体" w:cs="宋体"/>
                <w:i w:val="0"/>
                <w:color w:val="auto"/>
                <w:sz w:val="22"/>
                <w:szCs w:val="22"/>
                <w:highlight w:val="none"/>
                <w:u w:val="none"/>
              </w:rPr>
            </w:pPr>
          </w:p>
        </w:tc>
        <w:tc>
          <w:tcPr>
            <w:tcW w:w="15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67972D">
            <w:pPr>
              <w:jc w:val="center"/>
              <w:rPr>
                <w:rFonts w:hint="eastAsia" w:ascii="宋体" w:hAnsi="宋体" w:eastAsia="宋体" w:cs="宋体"/>
                <w:i w:val="0"/>
                <w:color w:val="auto"/>
                <w:sz w:val="22"/>
                <w:szCs w:val="22"/>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1CA029">
            <w:pPr>
              <w:jc w:val="center"/>
              <w:rPr>
                <w:rFonts w:hint="eastAsia" w:ascii="宋体" w:hAnsi="宋体" w:eastAsia="宋体" w:cs="宋体"/>
                <w:i w:val="0"/>
                <w:color w:val="auto"/>
                <w:sz w:val="22"/>
                <w:szCs w:val="22"/>
                <w:highlight w:val="none"/>
                <w:u w:val="none"/>
              </w:rPr>
            </w:pPr>
          </w:p>
        </w:tc>
        <w:tc>
          <w:tcPr>
            <w:tcW w:w="14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B7BB6A">
            <w:pPr>
              <w:jc w:val="center"/>
              <w:rPr>
                <w:rFonts w:hint="eastAsia" w:ascii="宋体" w:hAnsi="宋体" w:eastAsia="宋体" w:cs="宋体"/>
                <w:i w:val="0"/>
                <w:color w:val="auto"/>
                <w:sz w:val="22"/>
                <w:szCs w:val="22"/>
                <w:highlight w:val="none"/>
                <w:u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5C2140">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CE2B2A">
            <w:pPr>
              <w:jc w:val="center"/>
              <w:rPr>
                <w:rFonts w:hint="eastAsia" w:ascii="宋体" w:hAnsi="宋体" w:eastAsia="宋体" w:cs="宋体"/>
                <w:i w:val="0"/>
                <w:color w:val="auto"/>
                <w:sz w:val="22"/>
                <w:szCs w:val="22"/>
                <w:highlight w:val="none"/>
                <w:u w:val="none"/>
              </w:rPr>
            </w:pPr>
          </w:p>
        </w:tc>
      </w:tr>
      <w:tr w14:paraId="67A6B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7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99EC8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栏次</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2F96D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248A3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5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991A8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AC21A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14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9D9EF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315D2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D3482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r>
      <w:tr w14:paraId="5990C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7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1120F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合计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F754E7">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96,132.13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369965">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88,952.33</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358F44">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9CE2BD">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4,302.74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B7757B">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488.36</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8B4D77">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EEFE5B">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2,388.69</w:t>
            </w:r>
          </w:p>
        </w:tc>
      </w:tr>
      <w:tr w14:paraId="47B35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58994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1C0B7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一般公共服务支出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AF9D1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09F5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A3CD4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6F61C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7671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1981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33B9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4362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837F4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20106</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1988E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财政事务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68CE8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C8421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112D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A8F5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DB5E9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3B8A0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D5E7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462B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F1B55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2010699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63EE0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其他财政事务支出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72921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8E5E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B012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7626A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D8229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ADCF8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9BE32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F3B7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DE5BE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20136</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DD40B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其他共产党事务支出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B7B36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98CD3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8063D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DCA84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31667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D041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D97E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8B3D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AE901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2013602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40738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一般行政管理事务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574F4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3425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62CD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726AC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058F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42F96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78111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4B1E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88578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AB870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市场监督管理事务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6EFC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4369D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14736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0C630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17D8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96713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4B553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174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FAE37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2013810</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61DB2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质量基础</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EF42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D1695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0174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A089E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BB2A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E7EA6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14ED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290E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C0046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A6E2E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其他市场监督管理事务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A3A16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A7CE9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0DE6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FB7C2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1188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7E8BA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184A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72C4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871E7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9625F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教育支出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176C3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4,072.77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1F7DA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3,729.90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019E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99FA3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185.00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132B0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B16C5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A714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157.87</w:t>
            </w:r>
          </w:p>
        </w:tc>
      </w:tr>
      <w:tr w14:paraId="1FBC0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FFF19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38A78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普通教育</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91AAB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44.15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378A9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79704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42193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694C1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C08D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5BCB7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44.15</w:t>
            </w:r>
          </w:p>
        </w:tc>
      </w:tr>
      <w:tr w14:paraId="4B514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C386F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F84DD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学前教育</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297B3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2DD3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5B7CB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3F668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FB099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9EE57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BE537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13.30</w:t>
            </w:r>
          </w:p>
        </w:tc>
      </w:tr>
      <w:tr w14:paraId="46C5F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E7FA3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472BD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小学教育</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7A06A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57517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D4F8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10C76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DD73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1A59C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001D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w:t>
            </w:r>
          </w:p>
        </w:tc>
      </w:tr>
      <w:tr w14:paraId="3026E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FF1B9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7D958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初中教育</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E6DD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D4BE1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0016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32898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1228B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06F7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BDFF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r>
      <w:tr w14:paraId="54051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5DB20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2FC12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其他普通教育支出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F648B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9.35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898F2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B3CBE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7262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9728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5D120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19ABB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9.35</w:t>
            </w:r>
          </w:p>
        </w:tc>
      </w:tr>
      <w:tr w14:paraId="1CF3D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72E46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F6D6F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职业教育</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3903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4,028.62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4E60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3,729.90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C38A0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E97B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185.00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CC14F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6CB1B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5CEBD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113.72</w:t>
            </w:r>
          </w:p>
        </w:tc>
      </w:tr>
      <w:tr w14:paraId="2DFA9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8F398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2050302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8E7AE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中等职业教育</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0D1D6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4,028.62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493AB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3,729.90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37B9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D01F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185.00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6861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9426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AE91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113.72</w:t>
            </w:r>
          </w:p>
        </w:tc>
      </w:tr>
      <w:tr w14:paraId="0877A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8B148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34867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科学技术支出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CA74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352.70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9116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233.00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9F8E6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C1F8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53.00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FEF7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10C32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1EFE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66.70</w:t>
            </w:r>
          </w:p>
        </w:tc>
      </w:tr>
      <w:tr w14:paraId="2DD97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8721B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DF03C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科学技术管理事务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B0F0B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EFA8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DC59A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4FB0B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EB663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AC870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FE8FB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r>
      <w:tr w14:paraId="4DDF0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A2E29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2060199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07491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其他科学技术管理事务支出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7BF35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75817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0552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6C439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B7CE1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C8EAA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7CBE7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r>
      <w:tr w14:paraId="57460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90BC4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E8D573">
            <w:pPr>
              <w:keepNext w:val="0"/>
              <w:keepLines w:val="0"/>
              <w:widowControl/>
              <w:suppressLineNumbers w:val="0"/>
              <w:ind w:right="-2075" w:rightChars="-988"/>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基础研究</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5FFA1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E4B8B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DE241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EC44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06A8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3A48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B304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2938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4B5ED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2060203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6C989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自然科学基金</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6557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BFDD3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315A6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4719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2700D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02CC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B8223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E4E1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2426A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C1470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应用研究</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5ADE7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04CE3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C893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B510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072BD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BC75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66DFA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43.00</w:t>
            </w:r>
          </w:p>
        </w:tc>
      </w:tr>
      <w:tr w14:paraId="41F18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BFCB9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2060302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BF7D3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社会公益研究</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D3946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5D9D2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F465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E568A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919DE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29BA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68201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43.00</w:t>
            </w:r>
          </w:p>
        </w:tc>
      </w:tr>
      <w:tr w14:paraId="1068A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C2F05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20604</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6B87F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技术研究与开发</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C52CC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9DF48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5332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7F7E3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FDBFD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083F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64E0D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r>
      <w:tr w14:paraId="43248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256E0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2060499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AFF76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其他技术研究与开发支出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90A1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DE42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FFC7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F17C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8EAE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28096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106F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r>
      <w:tr w14:paraId="24C6F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BE5F2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AA6A9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科学技术普及</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51F24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A242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6AAA6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8ADD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CED6D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DE399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807D8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8D18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D8E7F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DB228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科普活动</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21EC6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63BE6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92E78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8273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2D69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BA87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A89A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F021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FE193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2060705</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897D0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科技馆站</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CBE4A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10F0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7E48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8D10B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4493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4EC7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59CCC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17C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D66DA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9910E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科技重大项目</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C49F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216.50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87E82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207.80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D8988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F89CC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D2B9B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FED0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FCC78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8.70</w:t>
            </w:r>
          </w:p>
        </w:tc>
      </w:tr>
      <w:tr w14:paraId="01A00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A6568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2060902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AA9B6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重点研发计划</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FF2F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216.50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A56C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207.80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ED36A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1DE8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C798B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6F6C4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EFBE0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8.70</w:t>
            </w:r>
          </w:p>
        </w:tc>
      </w:tr>
      <w:tr w14:paraId="22B1A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6658B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3A419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其他科学技术支出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80F3D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CABE2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F7FDF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D5F14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3E15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C20E8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F1DF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95E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4A946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2069901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1C3E1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科技奖励</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D20D5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C41C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896DB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A5F8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FDEC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6B494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B26B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2B5E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CE66D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7EBA6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社会保障和就业支出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1B2E2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3,347.54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0420A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3,337.54</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32BE7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59783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10FE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7F59B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4EE87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r>
      <w:tr w14:paraId="2AD3C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35C41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91AEF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人力资源和社会保障管理事务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9E685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19.70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9DFB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19.70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55F3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9A61F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6EDE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6972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F6FA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9E8F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E0A46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2080107</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5A8D7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社会保险业务管理事务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7F116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17.50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EB13B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17.50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34FA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4ACDF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8F5F5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0287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AAC93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75A6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788B0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46C24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其他人力资源和社会保障管理事务支出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0AE4D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CC18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E0650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F4EB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0DF14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76D64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8EE82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EB6A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41BBE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F68AD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行政事业单位养老支出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1AA3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2,929.00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1A0D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2,929.00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48A57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53ABC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D5413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AA2B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3763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4A7B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D6C64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1C777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事业单位离退休</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3765D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507.44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B0F91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507.44</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FD9F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1F62B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152F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9847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79113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779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0FC8F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2080505</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7A077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机关事业单位基本养老保险缴费支出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D013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2,421.56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7218B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2,421.56</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4F74A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3562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4F8A7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500F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09D5A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42C6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B5BE5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20807</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61603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就业补助</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84C9C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AED74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B3BE8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6EC3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681ED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92810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CD235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r>
      <w:tr w14:paraId="725AC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CAE96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2080799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050F6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其他就业补助支出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285D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F3C0F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6C835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309B4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DF106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2FE3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7518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r>
      <w:tr w14:paraId="26F32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0B593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20808</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D59FF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抚恤</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1636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ABE9A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8B57B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D0D5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F98F3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8AE57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FE5F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263F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9B6AE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2080801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61B3A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死亡抚恤</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ACD8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623D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473F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9754D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D0CC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BD75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8DFAB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6E24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A2B62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69204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卫生健康支出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05C8E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398.35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A668F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111.30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6611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26A60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0B8FB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19257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C75C0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287.05</w:t>
            </w:r>
          </w:p>
        </w:tc>
      </w:tr>
      <w:tr w14:paraId="23ABE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6C64D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D0410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基层医疗卫生机构</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F076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C9CDC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5A59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5757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4610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1B954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912D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41.87</w:t>
            </w:r>
          </w:p>
        </w:tc>
      </w:tr>
      <w:tr w14:paraId="33966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D01E2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2100302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FE967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乡镇卫生院</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4029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3AB5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09A9D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241BE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2C01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44669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9B9C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7.00</w:t>
            </w:r>
          </w:p>
        </w:tc>
      </w:tr>
      <w:tr w14:paraId="2F19E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29933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2100399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35578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其他基层医疗卫生机构支出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22281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34.87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5274C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11EB1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1BE9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C551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47819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1920C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34.87</w:t>
            </w:r>
          </w:p>
        </w:tc>
      </w:tr>
      <w:tr w14:paraId="2B072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14C05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154B7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公共卫生</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09550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167.00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E28CB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C278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C3B72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E0F5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C323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1A55A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162.00</w:t>
            </w:r>
          </w:p>
        </w:tc>
      </w:tr>
      <w:tr w14:paraId="7A002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7BD7A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2100408</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7A89E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基本公共卫生服务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D019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59.51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387D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15937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58C6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1BA0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7BDFE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6B2DC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59.51</w:t>
            </w:r>
          </w:p>
        </w:tc>
      </w:tr>
      <w:tr w14:paraId="3195B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E5142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2100409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8B36C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重大公共卫生服务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66387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107.49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C9374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F23C0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85EAB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471A2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5C473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D8338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102.49</w:t>
            </w:r>
          </w:p>
        </w:tc>
      </w:tr>
      <w:tr w14:paraId="4ED12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C718D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21007</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77446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计划生育事务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3BC3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43.65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5F8E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C0C5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44F7A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55CC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0D3D6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DA91D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43.65</w:t>
            </w:r>
          </w:p>
        </w:tc>
      </w:tr>
      <w:tr w14:paraId="62261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3A2B5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2100717</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F8E1D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计划生育服务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F6EE6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43.65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2D17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FFF1F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05891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E50E1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0F00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2FAE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43.65</w:t>
            </w:r>
          </w:p>
        </w:tc>
      </w:tr>
      <w:tr w14:paraId="7A554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56E9C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5AC33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行政事业单位医疗</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63FC7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106.30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31E0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106.30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DC31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5C62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6AC2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3329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D345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8D17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D8679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94D3F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行政单位医疗</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ADAAC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67.00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D1112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67.00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8518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342F8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8ED14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5F00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F3D5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426F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47717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17D82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公务员医疗补助</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84E20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22697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B517E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9A546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F05B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B602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59E8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411F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EA20A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43A63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其他行政事业单位医疗支出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7AFFE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A3EA6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C30E4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762F7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01F7E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375A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C847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E91B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00BFA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07678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医疗救助</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2D993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39.53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85DE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BE89B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C2158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AF6A1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C8EDC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86E2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39.53</w:t>
            </w:r>
          </w:p>
        </w:tc>
      </w:tr>
      <w:tr w14:paraId="6D47D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FC499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2101301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23A88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城乡医疗救助</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1B46C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39.53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69B20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8AC30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BD912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03C5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3A78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A4FD8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39.53</w:t>
            </w:r>
          </w:p>
        </w:tc>
      </w:tr>
      <w:tr w14:paraId="439C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62C5C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A8D79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节能环保支出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33FC7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B4FE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F9D6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7D203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7F32E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50D30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D614E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993B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63AC9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21110</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6410C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能源节约利用</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37DFB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4EE35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8B46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F0E8F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223FA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0D37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AB06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26B4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99F55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2111001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78FC4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能源节约利用</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581C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286A2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9A1AF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0CE3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B38C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5A2F2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8172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C2B4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16B61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841FD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农林水支出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14094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86,536.64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BD100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80,168.91</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0569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EF64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4,064.74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CDCD6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488.36</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6648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B6BE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1,814.62</w:t>
            </w:r>
          </w:p>
        </w:tc>
      </w:tr>
      <w:tr w14:paraId="15641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A6671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C79BF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农业农村</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6765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82,484.64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A07A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76,440.91</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E6A0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56CFB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4,064.74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EABA3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488.36</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9A31C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1FFF8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1,490.62</w:t>
            </w:r>
          </w:p>
        </w:tc>
      </w:tr>
      <w:tr w14:paraId="7C80F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E550A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AE6CA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行政运行</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3C093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24,627.35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55185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24,515.88</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8899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3CF39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10E0B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A938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E18F5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111.47</w:t>
            </w:r>
          </w:p>
        </w:tc>
      </w:tr>
      <w:tr w14:paraId="764BA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32FE5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CB11F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一般行政管理事务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6BAA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774.93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E07F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769.27</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5429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39FE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C12EF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12F0B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7931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5.66</w:t>
            </w:r>
          </w:p>
        </w:tc>
      </w:tr>
      <w:tr w14:paraId="2306E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0F168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DA53E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机关服务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5DCF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813.20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B8E52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813.15</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60A8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7DB8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34669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BECAF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42677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0.05</w:t>
            </w:r>
          </w:p>
        </w:tc>
      </w:tr>
      <w:tr w14:paraId="27E23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E7F2C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2130104</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6030A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事业运行</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C9304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20,713.52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68DE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18,046.52</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1CF74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C0AD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1,340.83</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53B2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488.36</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5D063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63E1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837.81</w:t>
            </w:r>
          </w:p>
        </w:tc>
      </w:tr>
      <w:tr w14:paraId="23F3E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F939F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2130105</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DEA23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农垦运行</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519F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13.41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6704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13.41</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97F9B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EFBD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420EF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D4FEC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306ED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E61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20596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2130106</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A5152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科技转化与推广服务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71104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4,195.96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93E00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2,076.59</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0A87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FB4D4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2,009.37</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2B85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DC070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A099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110.00</w:t>
            </w:r>
          </w:p>
        </w:tc>
      </w:tr>
      <w:tr w14:paraId="69BC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CA2C2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2130108</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A7EFA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病虫害控制</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CE8AE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5,083.00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688A0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5,083.00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D74B1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9F902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1529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424B2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D6326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6B97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AF6C0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7D1B6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农产品质量安全</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3CFD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1,405.00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654CA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1,405.00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DF7EC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1992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1530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E04DB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5CFF9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CCA9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146B3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2130110</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8C1F5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执法监管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C3F0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890.30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F66ED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890.30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E109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6F99C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2A808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ED74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564CC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C28B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31AB9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93E78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统计监测与信息服务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F185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5BE90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E0AF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DFD82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5F2F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9E6F2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330D4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9192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99567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BDFF9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行业业务管理</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BA98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78.26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609DC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C652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122A7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AACB3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D160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EA040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78.26</w:t>
            </w:r>
          </w:p>
        </w:tc>
      </w:tr>
      <w:tr w14:paraId="28C12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B9B64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2130114</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2E5BE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对外交流与合作</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3D576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1,105.79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03431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0C09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B9A67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A2A5E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9F0EE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8C2C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5.79</w:t>
            </w:r>
          </w:p>
        </w:tc>
      </w:tr>
      <w:tr w14:paraId="705DC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ED89D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C09FA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防灾救灾</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AC671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9.30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EB95D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9.30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E82CF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DAAC9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0F515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D21AD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C5932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5951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F34BF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2130122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A6D35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农业生产发展</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E40F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12,682.80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4747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12,349.98</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5CF8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3E75E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0.52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1C360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DADC9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1BD89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332.30</w:t>
            </w:r>
          </w:p>
        </w:tc>
      </w:tr>
      <w:tr w14:paraId="7931B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AAA0E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2130126</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E0E35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农村社会事业</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CFCC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92311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F69B3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CE62D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1ECC9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E1219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55C2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2ACF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85B34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2130135</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3DE52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农业资源保护修复与利用</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63B3C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1,940.00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D7F7B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1,940.00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F8854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FAAC0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02670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F88E8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C2DCB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2281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6D1F3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2130153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BCC23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农田建设</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5588E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7FC01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E5EF1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A3E13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9EFD7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3C74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4F68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ADBC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71A0E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AA044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其他农业农村支出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92AE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7,392.83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A68CF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6,669.51</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F2A8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A3B7F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714.03</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8413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8ADED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A2F0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9.29</w:t>
            </w:r>
          </w:p>
        </w:tc>
      </w:tr>
      <w:tr w14:paraId="71E1B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4F795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F1FB5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林业和草原</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5FAF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1,765.00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407DB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1,750.00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BEAED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B078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D3AAD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9635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D527E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r>
      <w:tr w14:paraId="412CA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AA147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2130205</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558C8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森林资源培育</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2A54C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7E8C6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7EE3A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92A12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5499E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6D554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D85B7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r>
      <w:tr w14:paraId="423AE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B8CD4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2130299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BBA13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其他林业和草原支出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CEE0A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1,750.00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BFFE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1,750.00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6088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AD24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678D2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9B648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590BC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878B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1216B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21308</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01665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普惠金融发展支出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1FF2B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66F0E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E561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DA35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5F35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DC33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CBC6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r>
      <w:tr w14:paraId="27118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B5C45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2130803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556C8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农业保险保费补贴</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20129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BC091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C6188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F16C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7F878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F521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2BDF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r>
      <w:tr w14:paraId="02DC9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49DC1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09F8E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目标价格补贴</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FFE6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69F3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1,750.00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FA26F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E49C0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6880C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919B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19C86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303.01</w:t>
            </w:r>
          </w:p>
        </w:tc>
      </w:tr>
      <w:tr w14:paraId="4E69D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F2353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2130901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33D48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棉花目标价格补贴</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10A4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2,015.92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F7C35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1,750.00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1391B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75BB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3ECF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C7FCB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183B7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265.92</w:t>
            </w:r>
          </w:p>
        </w:tc>
      </w:tr>
      <w:tr w14:paraId="7D73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83B5D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2130999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318D2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其他目标价格补贴</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15B45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37.09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1DF6D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8BD2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D8E1D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26C7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FA231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E1C5A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37.09</w:t>
            </w:r>
          </w:p>
        </w:tc>
      </w:tr>
      <w:tr w14:paraId="3EA12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1FFD3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F9920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其他农林水支出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CC17E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228.00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CD1EB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228.00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3CB6D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2A16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1D812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E5190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6EE06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170A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CEEFB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2139999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9BAA0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其他农林水支出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CDEC6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228.00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A905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228.00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67D2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3D70A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88F4E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A3046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E0262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1463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ADC96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214</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C6575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交通运输支出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B5085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46.45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AE4D3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BB6E5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A66CB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775A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902E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9431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46.45</w:t>
            </w:r>
          </w:p>
        </w:tc>
      </w:tr>
      <w:tr w14:paraId="362D8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631DB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21401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6C736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公路水路运输</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AC4DA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46.45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AE839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2DF73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95816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9C6C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770E1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25C1A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46.45</w:t>
            </w:r>
          </w:p>
        </w:tc>
      </w:tr>
      <w:tr w14:paraId="5A4C6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4CF2C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2140106</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F6581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公路养护</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0FD8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45.63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E72DC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E946C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AF5A7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04B32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6026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8F8E4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45.63</w:t>
            </w:r>
          </w:p>
        </w:tc>
      </w:tr>
      <w:tr w14:paraId="03FB1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B4DB9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2140199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75C81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其他公路水路运输支出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5F67C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8FB6B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29FF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563AB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20E8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54B5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D839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r>
      <w:tr w14:paraId="3593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84AE9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67C00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商业服务业等支出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34D0B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43553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12AE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2F063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3988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71368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74AC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344B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36D77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21606</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F85F8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涉外发展服务支出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9886E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B73F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4535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620D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D3D96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3FF3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109D1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579E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FC0DE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2160699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08DBE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其他涉外发展服务支出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A246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37511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02593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5482C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CC11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C041B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8F6D8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F139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F8B8F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E0863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自然资源海洋气象等支出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C1FE9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510C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00EFA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7EF04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FA8AC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8AEA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B359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r>
      <w:tr w14:paraId="53269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048AD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E8113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自然资源事务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7A364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D2171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2A53D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7DB07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49ADD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1581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C057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r>
      <w:tr w14:paraId="4E520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77139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2200102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C09E2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一般行政管理事务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456DA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589E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9B53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213C6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DFD9F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DEB5C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D976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r>
      <w:tr w14:paraId="3631E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35E74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94C22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住房保障支出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C3A7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1,107.25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12D61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1,107.25</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B9797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75EA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C0542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25D6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17303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1933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6FA37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549FB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住房改革支出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7C68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1,107.25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8B5EE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1,107.25</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29D82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A3B7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5B092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05F7E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01D34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BF70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F3D51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5B347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住房公积金</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9EA1F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1,104.73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F78D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1,104.73</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6D114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06B2B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9B00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4C800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93CC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F699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B3DAB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2210203</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2B4CE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购房补贴</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AF907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1979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2.52</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3E89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2FEE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74661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881EE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AB20B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61CB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71AD1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E116F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粮油物资储备支出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27EA1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57DF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8675E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00F5A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6122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82D58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7FE11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71A0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DB547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22201</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0ED1B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粮油物资事务</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CF5C7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0870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9A252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75A2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3A8A5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C2D4E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4332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C061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AE081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2220199</w:t>
            </w:r>
          </w:p>
        </w:tc>
        <w:tc>
          <w:tcPr>
            <w:tcW w:w="38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A90A8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其他粮油物资事务支出</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A922A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39F30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415B6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642B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14E5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A7AD1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2E1FE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A62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5492" w:type="dxa"/>
            <w:gridSpan w:val="9"/>
            <w:tcBorders>
              <w:top w:val="nil"/>
              <w:left w:val="nil"/>
              <w:bottom w:val="nil"/>
              <w:right w:val="nil"/>
            </w:tcBorders>
            <w:shd w:val="clear" w:color="auto" w:fill="auto"/>
            <w:noWrap/>
            <w:tcMar>
              <w:top w:w="10" w:type="dxa"/>
              <w:left w:w="10" w:type="dxa"/>
              <w:right w:w="10" w:type="dxa"/>
            </w:tcMar>
            <w:vAlign w:val="center"/>
          </w:tcPr>
          <w:p w14:paraId="5EC5294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注：本表反映部门本年度取得的各项收入情况。</w:t>
            </w:r>
          </w:p>
        </w:tc>
      </w:tr>
    </w:tbl>
    <w:p w14:paraId="6847341D">
      <w:pPr>
        <w:widowControl/>
        <w:jc w:val="left"/>
        <w:rPr>
          <w:rFonts w:ascii="Times New Roman" w:hAnsi="Times New Roman" w:eastAsia="黑体" w:cs="Times New Roman"/>
          <w:bCs/>
          <w:color w:val="auto"/>
          <w:kern w:val="0"/>
          <w:sz w:val="32"/>
          <w:szCs w:val="32"/>
          <w:highlight w:val="none"/>
        </w:rPr>
      </w:pPr>
      <w:r>
        <w:rPr>
          <w:rFonts w:ascii="Times New Roman" w:hAnsi="Times New Roman" w:eastAsia="黑体" w:cs="Times New Roman"/>
          <w:bCs/>
          <w:color w:val="auto"/>
          <w:kern w:val="0"/>
          <w:sz w:val="32"/>
          <w:szCs w:val="32"/>
          <w:highlight w:val="none"/>
        </w:rPr>
        <w:t xml:space="preserve"> </w:t>
      </w:r>
      <w:r>
        <w:rPr>
          <w:rFonts w:ascii="Times New Roman" w:hAnsi="Times New Roman" w:eastAsia="黑体" w:cs="Times New Roman"/>
          <w:bCs/>
          <w:color w:val="auto"/>
          <w:kern w:val="0"/>
          <w:sz w:val="32"/>
          <w:szCs w:val="32"/>
          <w:highlight w:val="none"/>
        </w:rPr>
        <w:br w:type="page"/>
      </w:r>
    </w:p>
    <w:tbl>
      <w:tblPr>
        <w:tblStyle w:val="12"/>
        <w:tblW w:w="14412" w:type="dxa"/>
        <w:tblInd w:w="60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09"/>
        <w:gridCol w:w="3760"/>
        <w:gridCol w:w="1650"/>
        <w:gridCol w:w="1650"/>
        <w:gridCol w:w="1650"/>
        <w:gridCol w:w="1504"/>
        <w:gridCol w:w="1639"/>
        <w:gridCol w:w="1650"/>
      </w:tblGrid>
      <w:tr w14:paraId="42999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14412" w:type="dxa"/>
            <w:gridSpan w:val="8"/>
            <w:tcBorders>
              <w:top w:val="nil"/>
              <w:left w:val="nil"/>
              <w:bottom w:val="nil"/>
              <w:right w:val="nil"/>
            </w:tcBorders>
            <w:shd w:val="clear" w:color="auto" w:fill="auto"/>
            <w:noWrap/>
            <w:tcMar>
              <w:top w:w="10" w:type="dxa"/>
              <w:left w:w="10" w:type="dxa"/>
              <w:right w:w="10" w:type="dxa"/>
            </w:tcMar>
            <w:vAlign w:val="center"/>
          </w:tcPr>
          <w:p w14:paraId="398CF3FF">
            <w:pPr>
              <w:keepNext w:val="0"/>
              <w:keepLines w:val="0"/>
              <w:widowControl/>
              <w:suppressLineNumbers w:val="0"/>
              <w:jc w:val="center"/>
              <w:textAlignment w:val="center"/>
              <w:rPr>
                <w:rFonts w:hint="eastAsia" w:ascii="宋体" w:hAnsi="宋体" w:eastAsia="宋体" w:cs="宋体"/>
                <w:b/>
                <w:i w:val="0"/>
                <w:color w:val="auto"/>
                <w:sz w:val="28"/>
                <w:szCs w:val="28"/>
                <w:highlight w:val="none"/>
                <w:u w:val="none"/>
              </w:rPr>
            </w:pPr>
            <w:r>
              <w:rPr>
                <w:rFonts w:hint="eastAsia" w:ascii="宋体" w:hAnsi="宋体" w:eastAsia="宋体" w:cs="宋体"/>
                <w:b/>
                <w:i w:val="0"/>
                <w:color w:val="auto"/>
                <w:kern w:val="0"/>
                <w:sz w:val="28"/>
                <w:szCs w:val="28"/>
                <w:highlight w:val="none"/>
                <w:u w:val="none"/>
                <w:lang w:val="en-US" w:eastAsia="zh-CN" w:bidi="ar"/>
              </w:rPr>
              <w:t>支出决算表</w:t>
            </w:r>
          </w:p>
        </w:tc>
      </w:tr>
      <w:tr w14:paraId="471EF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19" w:type="dxa"/>
            <w:gridSpan w:val="3"/>
            <w:vMerge w:val="restart"/>
            <w:tcBorders>
              <w:top w:val="nil"/>
              <w:left w:val="nil"/>
              <w:bottom w:val="nil"/>
              <w:right w:val="nil"/>
            </w:tcBorders>
            <w:shd w:val="clear" w:color="auto" w:fill="auto"/>
            <w:noWrap/>
            <w:tcMar>
              <w:top w:w="10" w:type="dxa"/>
              <w:left w:w="10" w:type="dxa"/>
              <w:right w:w="10" w:type="dxa"/>
            </w:tcMar>
            <w:vAlign w:val="bottom"/>
          </w:tcPr>
          <w:p w14:paraId="755A5C75">
            <w:pPr>
              <w:jc w:val="left"/>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5A454281">
            <w:pPr>
              <w:jc w:val="right"/>
              <w:rPr>
                <w:rFonts w:hint="eastAsia" w:ascii="宋体" w:hAnsi="宋体" w:eastAsia="宋体" w:cs="宋体"/>
                <w:i w:val="0"/>
                <w:color w:val="auto"/>
                <w:sz w:val="20"/>
                <w:szCs w:val="20"/>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7AAD1D71">
            <w:pPr>
              <w:rPr>
                <w:rFonts w:hint="eastAsia" w:ascii="宋体" w:hAnsi="宋体" w:eastAsia="宋体" w:cs="宋体"/>
                <w:i w:val="0"/>
                <w:color w:val="auto"/>
                <w:sz w:val="22"/>
                <w:szCs w:val="22"/>
                <w:highlight w:val="none"/>
                <w:u w:val="none"/>
              </w:rPr>
            </w:pPr>
          </w:p>
        </w:tc>
        <w:tc>
          <w:tcPr>
            <w:tcW w:w="1504" w:type="dxa"/>
            <w:tcBorders>
              <w:top w:val="nil"/>
              <w:left w:val="nil"/>
              <w:bottom w:val="nil"/>
              <w:right w:val="nil"/>
            </w:tcBorders>
            <w:shd w:val="clear" w:color="auto" w:fill="auto"/>
            <w:noWrap/>
            <w:tcMar>
              <w:top w:w="10" w:type="dxa"/>
              <w:left w:w="10" w:type="dxa"/>
              <w:right w:w="10" w:type="dxa"/>
            </w:tcMar>
            <w:vAlign w:val="center"/>
          </w:tcPr>
          <w:p w14:paraId="1284B3E9">
            <w:pPr>
              <w:rPr>
                <w:rFonts w:hint="eastAsia" w:ascii="宋体" w:hAnsi="宋体" w:eastAsia="宋体" w:cs="宋体"/>
                <w:i w:val="0"/>
                <w:color w:val="auto"/>
                <w:sz w:val="22"/>
                <w:szCs w:val="22"/>
                <w:highlight w:val="none"/>
                <w:u w:val="none"/>
              </w:rPr>
            </w:pPr>
          </w:p>
        </w:tc>
        <w:tc>
          <w:tcPr>
            <w:tcW w:w="1639" w:type="dxa"/>
            <w:tcBorders>
              <w:top w:val="nil"/>
              <w:left w:val="nil"/>
              <w:bottom w:val="nil"/>
              <w:right w:val="nil"/>
            </w:tcBorders>
            <w:shd w:val="clear" w:color="auto" w:fill="auto"/>
            <w:noWrap/>
            <w:tcMar>
              <w:top w:w="10" w:type="dxa"/>
              <w:left w:w="10" w:type="dxa"/>
              <w:right w:w="10" w:type="dxa"/>
            </w:tcMar>
            <w:vAlign w:val="center"/>
          </w:tcPr>
          <w:p w14:paraId="0D92E28F">
            <w:pPr>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76CA39BA">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公开03表</w:t>
            </w:r>
          </w:p>
        </w:tc>
      </w:tr>
      <w:tr w14:paraId="0D74F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19" w:type="dxa"/>
            <w:gridSpan w:val="3"/>
            <w:vMerge w:val="continue"/>
            <w:tcBorders>
              <w:top w:val="nil"/>
              <w:left w:val="nil"/>
              <w:bottom w:val="nil"/>
              <w:right w:val="nil"/>
            </w:tcBorders>
            <w:shd w:val="clear" w:color="auto" w:fill="auto"/>
            <w:noWrap/>
            <w:tcMar>
              <w:top w:w="10" w:type="dxa"/>
              <w:left w:w="10" w:type="dxa"/>
              <w:right w:w="10" w:type="dxa"/>
            </w:tcMar>
            <w:vAlign w:val="bottom"/>
          </w:tcPr>
          <w:p w14:paraId="7333C0F4">
            <w:pPr>
              <w:jc w:val="left"/>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4105E370">
            <w:pPr>
              <w:jc w:val="right"/>
              <w:rPr>
                <w:rFonts w:hint="eastAsia" w:ascii="宋体" w:hAnsi="宋体" w:eastAsia="宋体" w:cs="宋体"/>
                <w:i w:val="0"/>
                <w:color w:val="auto"/>
                <w:sz w:val="20"/>
                <w:szCs w:val="20"/>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487E9873">
            <w:pPr>
              <w:rPr>
                <w:rFonts w:hint="eastAsia" w:ascii="宋体" w:hAnsi="宋体" w:eastAsia="宋体" w:cs="宋体"/>
                <w:i w:val="0"/>
                <w:color w:val="auto"/>
                <w:sz w:val="22"/>
                <w:szCs w:val="22"/>
                <w:highlight w:val="none"/>
                <w:u w:val="none"/>
              </w:rPr>
            </w:pPr>
          </w:p>
        </w:tc>
        <w:tc>
          <w:tcPr>
            <w:tcW w:w="1504" w:type="dxa"/>
            <w:tcBorders>
              <w:top w:val="nil"/>
              <w:left w:val="nil"/>
              <w:bottom w:val="nil"/>
              <w:right w:val="nil"/>
            </w:tcBorders>
            <w:shd w:val="clear" w:color="auto" w:fill="auto"/>
            <w:noWrap/>
            <w:tcMar>
              <w:top w:w="10" w:type="dxa"/>
              <w:left w:w="10" w:type="dxa"/>
              <w:right w:w="10" w:type="dxa"/>
            </w:tcMar>
            <w:vAlign w:val="center"/>
          </w:tcPr>
          <w:p w14:paraId="53774935">
            <w:pPr>
              <w:rPr>
                <w:rFonts w:hint="eastAsia" w:ascii="宋体" w:hAnsi="宋体" w:eastAsia="宋体" w:cs="宋体"/>
                <w:i w:val="0"/>
                <w:color w:val="auto"/>
                <w:sz w:val="22"/>
                <w:szCs w:val="22"/>
                <w:highlight w:val="none"/>
                <w:u w:val="none"/>
              </w:rPr>
            </w:pPr>
          </w:p>
        </w:tc>
        <w:tc>
          <w:tcPr>
            <w:tcW w:w="1639" w:type="dxa"/>
            <w:tcBorders>
              <w:top w:val="nil"/>
              <w:left w:val="nil"/>
              <w:bottom w:val="nil"/>
              <w:right w:val="nil"/>
            </w:tcBorders>
            <w:shd w:val="clear" w:color="auto" w:fill="auto"/>
            <w:noWrap/>
            <w:tcMar>
              <w:top w:w="10" w:type="dxa"/>
              <w:left w:w="10" w:type="dxa"/>
              <w:right w:w="10" w:type="dxa"/>
            </w:tcMar>
            <w:vAlign w:val="center"/>
          </w:tcPr>
          <w:p w14:paraId="1180313C">
            <w:pPr>
              <w:rPr>
                <w:rFonts w:hint="eastAsia" w:ascii="宋体" w:hAnsi="宋体" w:eastAsia="宋体" w:cs="宋体"/>
                <w:i w:val="0"/>
                <w:color w:val="auto"/>
                <w:sz w:val="22"/>
                <w:szCs w:val="22"/>
                <w:highlight w:val="none"/>
                <w:u w:val="none"/>
              </w:rPr>
            </w:pPr>
          </w:p>
        </w:tc>
        <w:tc>
          <w:tcPr>
            <w:tcW w:w="1650" w:type="dxa"/>
            <w:tcBorders>
              <w:top w:val="nil"/>
              <w:left w:val="nil"/>
              <w:bottom w:val="nil"/>
              <w:right w:val="nil"/>
            </w:tcBorders>
            <w:shd w:val="clear" w:color="auto" w:fill="auto"/>
            <w:noWrap/>
            <w:tcMar>
              <w:top w:w="10" w:type="dxa"/>
              <w:left w:w="10" w:type="dxa"/>
              <w:right w:w="10" w:type="dxa"/>
            </w:tcMar>
            <w:vAlign w:val="center"/>
          </w:tcPr>
          <w:p w14:paraId="2EC5BF78">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单位：万元</w:t>
            </w:r>
          </w:p>
        </w:tc>
      </w:tr>
      <w:tr w14:paraId="69BEF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6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9BF2B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54ADA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本年支出合计</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66319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基本支出</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580AA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项目支出</w:t>
            </w:r>
          </w:p>
        </w:tc>
        <w:tc>
          <w:tcPr>
            <w:tcW w:w="1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EC45E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上缴上级支出</w:t>
            </w:r>
          </w:p>
        </w:tc>
        <w:tc>
          <w:tcPr>
            <w:tcW w:w="163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08EAA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经营支出</w:t>
            </w:r>
          </w:p>
        </w:tc>
        <w:tc>
          <w:tcPr>
            <w:tcW w:w="1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9A07D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对附属单位补助支出</w:t>
            </w:r>
          </w:p>
        </w:tc>
      </w:tr>
      <w:tr w14:paraId="5E90B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B5E0A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科目代码</w:t>
            </w:r>
          </w:p>
        </w:tc>
        <w:tc>
          <w:tcPr>
            <w:tcW w:w="376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5AD66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科目名称</w:t>
            </w: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471146">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E42CF7">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BDCD60">
            <w:pPr>
              <w:jc w:val="center"/>
              <w:rPr>
                <w:rFonts w:hint="eastAsia" w:ascii="宋体" w:hAnsi="宋体" w:eastAsia="宋体" w:cs="宋体"/>
                <w:i w:val="0"/>
                <w:color w:val="auto"/>
                <w:sz w:val="22"/>
                <w:szCs w:val="22"/>
                <w:highlight w:val="none"/>
                <w:u w:val="none"/>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201913">
            <w:pPr>
              <w:jc w:val="center"/>
              <w:rPr>
                <w:rFonts w:hint="eastAsia" w:ascii="宋体" w:hAnsi="宋体" w:eastAsia="宋体" w:cs="宋体"/>
                <w:i w:val="0"/>
                <w:color w:val="auto"/>
                <w:sz w:val="22"/>
                <w:szCs w:val="22"/>
                <w:highlight w:val="none"/>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50AB3F">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F19EFC">
            <w:pPr>
              <w:jc w:val="center"/>
              <w:rPr>
                <w:rFonts w:hint="eastAsia" w:ascii="宋体" w:hAnsi="宋体" w:eastAsia="宋体" w:cs="宋体"/>
                <w:i w:val="0"/>
                <w:color w:val="auto"/>
                <w:sz w:val="22"/>
                <w:szCs w:val="22"/>
                <w:highlight w:val="none"/>
                <w:u w:val="none"/>
              </w:rPr>
            </w:pPr>
          </w:p>
        </w:tc>
      </w:tr>
      <w:tr w14:paraId="75E02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3FD909">
            <w:pPr>
              <w:jc w:val="center"/>
              <w:rPr>
                <w:rFonts w:hint="eastAsia" w:ascii="宋体" w:hAnsi="宋体" w:eastAsia="宋体" w:cs="宋体"/>
                <w:i w:val="0"/>
                <w:color w:val="auto"/>
                <w:sz w:val="22"/>
                <w:szCs w:val="22"/>
                <w:highlight w:val="none"/>
                <w:u w:val="none"/>
              </w:rPr>
            </w:pPr>
          </w:p>
        </w:tc>
        <w:tc>
          <w:tcPr>
            <w:tcW w:w="37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091559">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3DF502">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5F86ED">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A62782">
            <w:pPr>
              <w:jc w:val="center"/>
              <w:rPr>
                <w:rFonts w:hint="eastAsia" w:ascii="宋体" w:hAnsi="宋体" w:eastAsia="宋体" w:cs="宋体"/>
                <w:i w:val="0"/>
                <w:color w:val="auto"/>
                <w:sz w:val="22"/>
                <w:szCs w:val="22"/>
                <w:highlight w:val="none"/>
                <w:u w:val="none"/>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D14C52">
            <w:pPr>
              <w:jc w:val="center"/>
              <w:rPr>
                <w:rFonts w:hint="eastAsia" w:ascii="宋体" w:hAnsi="宋体" w:eastAsia="宋体" w:cs="宋体"/>
                <w:i w:val="0"/>
                <w:color w:val="auto"/>
                <w:sz w:val="22"/>
                <w:szCs w:val="22"/>
                <w:highlight w:val="none"/>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EB0D58">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05A261">
            <w:pPr>
              <w:jc w:val="center"/>
              <w:rPr>
                <w:rFonts w:hint="eastAsia" w:ascii="宋体" w:hAnsi="宋体" w:eastAsia="宋体" w:cs="宋体"/>
                <w:i w:val="0"/>
                <w:color w:val="auto"/>
                <w:sz w:val="22"/>
                <w:szCs w:val="22"/>
                <w:highlight w:val="none"/>
                <w:u w:val="none"/>
              </w:rPr>
            </w:pPr>
          </w:p>
        </w:tc>
      </w:tr>
      <w:tr w14:paraId="732ED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E32AE5">
            <w:pPr>
              <w:jc w:val="center"/>
              <w:rPr>
                <w:rFonts w:hint="eastAsia" w:ascii="宋体" w:hAnsi="宋体" w:eastAsia="宋体" w:cs="宋体"/>
                <w:i w:val="0"/>
                <w:color w:val="auto"/>
                <w:sz w:val="22"/>
                <w:szCs w:val="22"/>
                <w:highlight w:val="none"/>
                <w:u w:val="none"/>
              </w:rPr>
            </w:pPr>
          </w:p>
        </w:tc>
        <w:tc>
          <w:tcPr>
            <w:tcW w:w="37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692AD3">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EBD36B">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AFB05B">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251857">
            <w:pPr>
              <w:jc w:val="center"/>
              <w:rPr>
                <w:rFonts w:hint="eastAsia" w:ascii="宋体" w:hAnsi="宋体" w:eastAsia="宋体" w:cs="宋体"/>
                <w:i w:val="0"/>
                <w:color w:val="auto"/>
                <w:sz w:val="22"/>
                <w:szCs w:val="22"/>
                <w:highlight w:val="none"/>
                <w:u w:val="none"/>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ABB6DA">
            <w:pPr>
              <w:jc w:val="center"/>
              <w:rPr>
                <w:rFonts w:hint="eastAsia" w:ascii="宋体" w:hAnsi="宋体" w:eastAsia="宋体" w:cs="宋体"/>
                <w:i w:val="0"/>
                <w:color w:val="auto"/>
                <w:sz w:val="22"/>
                <w:szCs w:val="22"/>
                <w:highlight w:val="none"/>
                <w:u w:val="none"/>
              </w:rPr>
            </w:pPr>
          </w:p>
        </w:tc>
        <w:tc>
          <w:tcPr>
            <w:tcW w:w="16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948461">
            <w:pPr>
              <w:jc w:val="center"/>
              <w:rPr>
                <w:rFonts w:hint="eastAsia" w:ascii="宋体" w:hAnsi="宋体" w:eastAsia="宋体" w:cs="宋体"/>
                <w:i w:val="0"/>
                <w:color w:val="auto"/>
                <w:sz w:val="22"/>
                <w:szCs w:val="22"/>
                <w:highlight w:val="none"/>
                <w:u w:val="none"/>
              </w:rPr>
            </w:pPr>
          </w:p>
        </w:tc>
        <w:tc>
          <w:tcPr>
            <w:tcW w:w="1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7ABDC9">
            <w:pPr>
              <w:jc w:val="center"/>
              <w:rPr>
                <w:rFonts w:hint="eastAsia" w:ascii="宋体" w:hAnsi="宋体" w:eastAsia="宋体" w:cs="宋体"/>
                <w:i w:val="0"/>
                <w:color w:val="auto"/>
                <w:sz w:val="22"/>
                <w:szCs w:val="22"/>
                <w:highlight w:val="none"/>
                <w:u w:val="none"/>
              </w:rPr>
            </w:pPr>
          </w:p>
        </w:tc>
      </w:tr>
      <w:tr w14:paraId="116C9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6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6A46B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栏次</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90444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2AF5E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2D031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F8E84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CCD79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B20AA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r>
      <w:tr w14:paraId="72A53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66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4E391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合计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B1E420">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87,918.90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0C1B51">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47,657.94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AA2055">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39,772.60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5D11AA">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A95212">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488.36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4474BB">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0.00</w:t>
            </w:r>
          </w:p>
        </w:tc>
      </w:tr>
      <w:tr w14:paraId="280FE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8F885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9E91C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一般公共服务支出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22F4C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260.71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A49D0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FCA83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260.71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D7F32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2B4C9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6E7D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D35E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E593C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20104</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E5A61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发展与改革事务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D822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4086F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B5A1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B2F2B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70C8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D3608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0422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E47A7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2010499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50A42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其他发展与改革事务支出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65D7D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123DB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90415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7EBB4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2EF9E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384D6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3F27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B9785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20106</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DFD8F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财政事务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51301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209.55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82BFC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E2CBB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209.55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1CDB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A668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0BDB3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4ED9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8BBDA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2010699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510D5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其他财政事务支出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A3FC5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209.55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E66B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ADBA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209.55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24D69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52480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1BAE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D69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FDB9B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B2BE4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市场监督管理事务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CA22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1B84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3DE83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21.16</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FA80A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DED6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84EF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CB9E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BBEB0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2013810</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8C8CE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质量基础</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DB18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16.08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47664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3786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16.08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6E6E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AE5D6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E45D0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75C8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9486E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5E6C8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其他市场监督管理事务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742C8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4312B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4964A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D122E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127E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1BF57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72AD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C0606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54F05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教育支出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9D9A2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3,405.27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8794F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1,598.12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9EF39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1,807.15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BA6B2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8765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ECEA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90A9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DDA7E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36FDC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普通教育</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83BC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44.15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BBDF7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15.15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7686E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5D294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8A1A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F30A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88B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013ED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B2C1B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学前教育</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FF68C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AD769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3622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D9D4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EED72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08A2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6211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35F09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8139D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小学教育</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D2440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B5D20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14.50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7F5F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36453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36B21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9E50C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5BEB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FE89E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3C7D1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初中教育</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8C398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511A1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68434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E774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C8A4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97E4B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A513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1CCE7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2050299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BD124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其他普通教育支出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8DF7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9.35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0D59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0.65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A0971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30C3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AA0F2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C3E5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DCA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4CEAE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0FF27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职业教育</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0CD11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3,361.12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ABE88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1,582.97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D95A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1,778.15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A27C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F2921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7C77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17A3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8F832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2050302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5BFB1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中等职业教育</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7589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3,361.12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D93E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1,582.97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735D7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1,778.15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F6317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8EDE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EC601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9F4B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BC2B4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FE8E0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科学技术支出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A9B76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360.38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900CD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9683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360.38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6045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77B81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31CE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5BC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D593E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581E7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基础研究</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D644D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CC8E6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5BE6B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CFCEA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66863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F493B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E39E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C1EBD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2060203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ACEDA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自然科学基金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6C52F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C10D3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0162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CAB5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D613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6E74B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8A6B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3F402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6C63D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应用研究</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42F4C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74.48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7054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B9786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74.48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664F7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CACF8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59B9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0B5A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0BD75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2060302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C16F6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社会公益研究</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C96A4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74.48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6B5C5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F3549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74.48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639F0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4821A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D1668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504C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EBCE0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20604</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FB615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技术研究与开发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8192C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1F62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91193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02014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2CA38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5CBC1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417A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C8DD1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2060499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01EA3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其他技术研究与开发支出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6804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23E7A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5A3B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4E022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5C575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49CD9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359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A996B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8DC59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科学技术普及</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0425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19.39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8E570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81C93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19.39</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69DE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5EF44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7831E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A6B3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0BCA5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A3829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科普活动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21BE0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6EB7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9005D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BC350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EF22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1791E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7810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0C444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2060704</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D3329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学术交流活动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864B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F8FFD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0117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8238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7B42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DC2A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A266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FA8FE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2060705</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81E73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科技馆站</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D9A9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18ECB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E07F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C7B54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8323F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7253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48F3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CA73C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032F8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其他科学技术普及支出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E6DF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944DF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500CB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89FB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62AEF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FCB2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FA17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42746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B9D0D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科技重大项目</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5FA0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230.13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3D24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67657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230.13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C4AA9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B586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4C89F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35CD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6F0B9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2060902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C526A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重点研发计划</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01EC0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230.13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4E9D7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0C60D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230.13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1247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97981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45FED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E48E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9356E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C6FD0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其他科学技术支出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FF12F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BA03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2FDD0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F46D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9DAC4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516C1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9B69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565AF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2069901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B8DEF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科技奖励</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167A9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0EED4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45008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81762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C4127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071B1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EA02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9F5AD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6A776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社会保障和就业支出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CC642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3,281.02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32FE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3,278.34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D52D4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AFD5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6A37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3BA0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402D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AB66A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CFD7E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人力资源和社会保障管理事务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A58F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18.79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D58B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D5323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39E1B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C04C4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417F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7B4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47B6E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2080107</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06541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社会保险业务管理事务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224F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8873E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B1EA7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AB8D3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9E75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5ABF6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7E67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F44E4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C45DA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其他人力资源和社会保障管理事务支出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522E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54676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16F4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2F0DB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3C3CB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A3376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101A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A6D48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D69B1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行政事业单位养老支出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A4A2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2,872.91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4EBE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2,872.91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6107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C5263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4D917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543DA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7D2E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598F5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3A134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事业单位离退休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2EADC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487.38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25EA1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487.38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1088C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EF83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CE8AF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3E94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4A65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52707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2080505</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F3582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机关事业单位基本养老保险缴费支出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D2DD2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2,385.53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85702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2,385.53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6A10B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019BA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1CE8D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D6B5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6B26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C068E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20808</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3CEC3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抚恤</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F3671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CB57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92EE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0BA49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E5856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452D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8FC0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185C4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2080801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A32CB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死亡抚恤</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B41F0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F2519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AF83E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1B30F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F1394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2226F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DF91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D275A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40BA1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其他社会保障和就业支出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764B8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0.48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63B3C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8D606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0.48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E0C77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0319E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89EC4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92C0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11D1C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2089999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918B5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其他社会保障和就业支出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19E49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0.48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F631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59D80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0.48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D6F8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5FA2F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73A98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516F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43CEB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661E4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卫生健康支出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2276D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312.67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C87A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101.85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846D7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210.82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94ACB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E2453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3311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6113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58C02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3F49C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基层医疗卫生机构</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E48C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44FA8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E5C2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12.87</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EF87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7456D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3F77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0E54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70889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2100302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01DF5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乡镇卫生院</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CA316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9C66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6B29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5091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822D7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3D0FB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F7BF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65BE7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2100399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1A7D7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其他基层医疗卫生机构支出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9E45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2C70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149C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5.87</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B108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D7A43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91BF9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77CA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7A011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CEBB1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公共卫生</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8CBAF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154.32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C7D0A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E62D6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154.32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C4CC2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A5B43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969F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CBA2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0A729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2100408</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FAD22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基本公共卫生服务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B80C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59.51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F1A88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D41D4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59.51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A73F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58D3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A024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0528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0DA63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2100409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54FA1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重大公共卫生服务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12E8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327F5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141B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92.02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8F39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73E0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3DC7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D870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51BF0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98AA5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其他公共卫生支出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2359A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494F9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C79BE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2.79</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5D13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70896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25CF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1680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594F4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21007</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61B82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计划生育事务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0682C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43.63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62F5C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ED61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43.63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D7C37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6C1C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A7C6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B74F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BEE3E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2100717</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85413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计划生育服务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F4BFC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43.63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C0F1C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F3D52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43.63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DEACC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E537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4ED5E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60C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E5EEE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DD779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行政事业单位医疗</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76431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101.85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0B02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101.85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D1DF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E26EA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BC1F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92811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D244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A065E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92172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行政单位医疗</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6BD2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63.22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19EDE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63.22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B58F6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055C5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42F6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70F6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9679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A02CC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3E04F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公务员医疗补助</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27E6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5D15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F7A69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A002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13DF8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6000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8D4D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E5632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67137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其他行政事业单位医疗支出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C9AD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5.64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B492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5.64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935AA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7FFFB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2C13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C6EEA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A4F7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1DE10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46193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节能环保支出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AC718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3E91F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623BF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AEEE4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2CD2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98AF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B177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04106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21110</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30BF6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能源节约利用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93088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D5726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65D3D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75306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3C4A9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A5D03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EE5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481BF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2111001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A2DF6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能源节约利用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20D2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1F67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8FCB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8CAB5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435AB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23F07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989F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D5ED7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0F82E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农林水支出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903C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79,102.94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60E6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41,581.98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3B8B1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37,032.61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780B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24272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488.36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5602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C18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4D51B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E8D8A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农业农村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0D26B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75,484.93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479A5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41,581.98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26AA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33,414.60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136C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A4AD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488.36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7CB0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5E80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95281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4647A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行政运行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BD4AA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22,834.61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C1696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21,743.16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9C2F6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1,091.46</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B22D0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56270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7F0D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590A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AB560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970D9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一般行政管理事务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4D36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1,084.76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21C4D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0C3F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1,084.76</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6F47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81B5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82F78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E17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92CBA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3CE4A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机关服务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C0EE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725.40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38477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719.40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8415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66973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9A5E1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1DF45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544F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02E0E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2130104</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54708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事业运行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0215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20,281.97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7CA25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19,110.64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F065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682.96</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4251B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EA88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488.36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BAF0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A8C7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3E2D0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2130105</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FCDA2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农垦运行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B709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23.71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2C4DA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E17F7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23.71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0E5E0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23270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4EE0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A6AD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00862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2130106</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5DAF5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科技转化与推广服务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09743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2,277.25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30E99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A4A34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2,277.25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DA30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C705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A3D3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ABE4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12494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2130108</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C0043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病虫害控制</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7DFA0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5,078.53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AB48A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939F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5,078.53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FD6D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756B5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F006E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9F31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304CC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D08D4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农产品质量安全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42640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1,305.55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562A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84D5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1,305.55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982E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EB6A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A534C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D3A3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1D68D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2130110</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0B526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执法监管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05BB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853.19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8AC6D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F97E2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853.19</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18D97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04673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4E605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CC36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C087A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47067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统计监测与信息服务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1264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321.78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32539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64F6C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321.78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EB17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EA19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82322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B2AC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437BA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5202D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行业业务管理</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831D2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77.21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5DA98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FC137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77.21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3686C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8A91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BFF83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66CF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58886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2130114</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C22D5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对外交流与合作</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358AB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1,131.20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F4047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3B5D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1,131.20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73C3D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1998E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6CAF4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3B19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35520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E0ACE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防灾救灾</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61B0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29.08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0D716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9C38C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20.31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1BECA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61FC0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6336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CA3D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0B54C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2130122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EB007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农业生产发展</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A312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12,797.03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AA7FB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6C4AF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12,797.03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6A31B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84B21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2A907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1267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88414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2130125</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EC80D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农产品加工与促销</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D51AD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234.38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69BA5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1FD6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234.38</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D80E6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B095D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19B78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00C7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68FFF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2130126</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AE265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农村社会事业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B608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190.89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E405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75ED5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190.89</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46AB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76CD9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16E3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0834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1E4C0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2130135</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43CE0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农业资源保护修复与利用</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982CC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1,790.32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DCB83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EF1C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1,790.32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540DB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F23D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6B01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A215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40106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2130148</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F6B1E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渔业发展</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219E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54.65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5DBB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0EC1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54.65</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E019F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00131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CBAD9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5798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D7DF8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2130153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DB5ED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农田建设</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43953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451.42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C7E7A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6ED3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451.42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2282E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C5D46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B417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D52F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4844F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6CB17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其他农业农村支出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ADAB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3,941.99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60A0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19C99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3,941.99</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1B8C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E5F0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6597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36FE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6C3EB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64BFA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林业和草原</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DF398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1,836.06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E6582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FEE2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1,836.06</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3BB6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96F7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40C5C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1271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0742B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2130205</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376B9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森林资源培育</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A175D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B752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D1D9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11F11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5CF8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73C30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ACB5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DDF68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2130299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7CE3D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其他林业和草原支出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82AA7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1,821.06</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0102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DBCEA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1,821.06</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889C5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EFD72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B3256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5B4A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65204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21308</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2DEC3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普惠金融发展支出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83A0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02A80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1FED9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478B0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6F61F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7B24C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57DA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64490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2130803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AD3D8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农业保险保费补贴</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9DF43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CF9D5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4666B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B8A3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334D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B91B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18C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879D4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ED9BD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目标价格补贴</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9D1A8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1,645.13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579C3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AE45F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1,645.13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950CC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52456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41941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4761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21A36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2130901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D86D3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棉花目标价格补贴</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B411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1,613.72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4795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4BBF0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1,613.72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20F61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6524C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9DEEC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DD8B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1589B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2130999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3D5F5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其他目标价格补贴</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A4A42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31.41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73FE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510A6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31.41</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73495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071FA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F5668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EED1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E7261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FC8A1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其他农林水支出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71118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133.80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116AF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76DF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133.80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D105E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B8D80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3959B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9490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CB95E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2139999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20F19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其他农林水支出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E1596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133.80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BB68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6E55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133.80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361C3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E469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402C3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7EE5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8577F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214</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E2E7C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交通运输支出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33B06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657E8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842B8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2939C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4C729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6523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CA72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1C0C3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21401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F5DFC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公路水路运输</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2F0A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5262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EA831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4381E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30C10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EFBC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3869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EB799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2140199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7601B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其他公路水路运输支出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1820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08E3D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01145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0.82</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7F8AB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81909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66DD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56F3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0B9C5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054E3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自然资源海洋气象等支出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D84C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91987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8EA6B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85ED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ECCE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0F0B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CBEE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A23A5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4F329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自然资源事务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D5BF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180B8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347B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046F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D3663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8471C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A55B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6C511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2200102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90392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一般行政管理事务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602B5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04834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D5117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5899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DBCF4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4E8EB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0A6F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36B74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CB256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住房保障支出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0A6AE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6EFF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27464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27F17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9998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135B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3281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A8321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276DB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住房改革支出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95A45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7850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0CCA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3EF6B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6FA63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8736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0C34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C3508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7EAB7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住房公积金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0800A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1,095.12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2EC09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1,095.12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D8B37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EBA7E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7E4D3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B659F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D98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83F85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2210203</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D9EFB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购房补贴</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8BF8B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D471A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FE1D0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689E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4D72C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6BBF0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EF60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3D42E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FA16E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粮油物资储备支出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F538B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58B5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7D2CD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8537A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70C2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C442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D917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3C3F5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22201</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06F44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粮油物资事务</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0B10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78F6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624C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E0C6A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A195D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E17BE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C4B8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399A5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2220199</w:t>
            </w:r>
          </w:p>
        </w:tc>
        <w:tc>
          <w:tcPr>
            <w:tcW w:w="37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7F752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其他粮油物资事务支出</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2333D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D1A3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A9E80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5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8DE6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D814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E5C5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DF94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4412" w:type="dxa"/>
            <w:gridSpan w:val="8"/>
            <w:tcBorders>
              <w:top w:val="nil"/>
              <w:left w:val="nil"/>
              <w:bottom w:val="nil"/>
              <w:right w:val="nil"/>
            </w:tcBorders>
            <w:shd w:val="clear" w:color="auto" w:fill="FFFFFF"/>
            <w:noWrap/>
            <w:tcMar>
              <w:top w:w="10" w:type="dxa"/>
              <w:left w:w="10" w:type="dxa"/>
              <w:right w:w="10" w:type="dxa"/>
            </w:tcMar>
            <w:vAlign w:val="center"/>
          </w:tcPr>
          <w:p w14:paraId="37B36A0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注：本表反映部门本年度各项支出情况。</w:t>
            </w:r>
          </w:p>
        </w:tc>
      </w:tr>
    </w:tbl>
    <w:p w14:paraId="0C98F2E7">
      <w:pPr>
        <w:widowControl/>
        <w:rPr>
          <w:rFonts w:ascii="Times New Roman" w:hAnsi="Times New Roman" w:eastAsia="方正小标宋_GBK" w:cs="Times New Roman"/>
          <w:color w:val="auto"/>
          <w:kern w:val="0"/>
          <w:sz w:val="36"/>
          <w:szCs w:val="36"/>
          <w:highlight w:val="none"/>
        </w:rPr>
      </w:pPr>
    </w:p>
    <w:p w14:paraId="40BC39D8">
      <w:pPr>
        <w:pStyle w:val="10"/>
        <w:rPr>
          <w:rFonts w:ascii="Times New Roman" w:hAnsi="Times New Roman" w:eastAsia="方正小标宋_GBK" w:cs="Times New Roman"/>
          <w:color w:val="auto"/>
          <w:kern w:val="0"/>
          <w:sz w:val="36"/>
          <w:szCs w:val="36"/>
          <w:highlight w:val="none"/>
        </w:rPr>
      </w:pPr>
    </w:p>
    <w:p w14:paraId="35662BE4">
      <w:pPr>
        <w:pStyle w:val="11"/>
        <w:rPr>
          <w:rFonts w:ascii="Times New Roman" w:hAnsi="Times New Roman" w:eastAsia="方正小标宋_GBK" w:cs="Times New Roman"/>
          <w:color w:val="auto"/>
          <w:kern w:val="0"/>
          <w:sz w:val="36"/>
          <w:szCs w:val="36"/>
          <w:highlight w:val="none"/>
        </w:rPr>
      </w:pPr>
    </w:p>
    <w:p w14:paraId="0AD51ED6">
      <w:pPr>
        <w:rPr>
          <w:rFonts w:ascii="Times New Roman" w:hAnsi="Times New Roman" w:eastAsia="方正小标宋_GBK" w:cs="Times New Roman"/>
          <w:color w:val="auto"/>
          <w:kern w:val="0"/>
          <w:sz w:val="36"/>
          <w:szCs w:val="36"/>
          <w:highlight w:val="none"/>
        </w:rPr>
      </w:pPr>
    </w:p>
    <w:p w14:paraId="5E85A081">
      <w:pPr>
        <w:pStyle w:val="10"/>
        <w:rPr>
          <w:color w:val="auto"/>
          <w:highlight w:val="none"/>
        </w:rPr>
      </w:pPr>
    </w:p>
    <w:tbl>
      <w:tblPr>
        <w:tblStyle w:val="12"/>
        <w:tblW w:w="154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253"/>
        <w:gridCol w:w="470"/>
        <w:gridCol w:w="1637"/>
        <w:gridCol w:w="3722"/>
        <w:gridCol w:w="470"/>
        <w:gridCol w:w="1378"/>
        <w:gridCol w:w="1637"/>
        <w:gridCol w:w="1231"/>
        <w:gridCol w:w="1644"/>
      </w:tblGrid>
      <w:tr w14:paraId="0F06F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15442" w:type="dxa"/>
            <w:gridSpan w:val="9"/>
            <w:tcBorders>
              <w:top w:val="nil"/>
              <w:left w:val="nil"/>
              <w:bottom w:val="nil"/>
              <w:right w:val="nil"/>
            </w:tcBorders>
            <w:shd w:val="clear" w:color="auto" w:fill="auto"/>
            <w:noWrap/>
            <w:tcMar>
              <w:top w:w="10" w:type="dxa"/>
              <w:left w:w="10" w:type="dxa"/>
              <w:right w:w="10" w:type="dxa"/>
            </w:tcMar>
            <w:vAlign w:val="center"/>
          </w:tcPr>
          <w:p w14:paraId="039C9CB9">
            <w:pPr>
              <w:keepNext w:val="0"/>
              <w:keepLines w:val="0"/>
              <w:widowControl/>
              <w:suppressLineNumbers w:val="0"/>
              <w:jc w:val="center"/>
              <w:textAlignment w:val="center"/>
              <w:rPr>
                <w:rFonts w:hint="eastAsia" w:ascii="宋体" w:hAnsi="宋体" w:eastAsia="宋体" w:cs="宋体"/>
                <w:b/>
                <w:i w:val="0"/>
                <w:color w:val="auto"/>
                <w:sz w:val="28"/>
                <w:szCs w:val="28"/>
                <w:highlight w:val="none"/>
                <w:u w:val="none"/>
              </w:rPr>
            </w:pPr>
            <w:r>
              <w:rPr>
                <w:rFonts w:hint="eastAsia" w:ascii="宋体" w:hAnsi="宋体" w:eastAsia="宋体" w:cs="宋体"/>
                <w:b/>
                <w:i w:val="0"/>
                <w:color w:val="auto"/>
                <w:kern w:val="0"/>
                <w:sz w:val="28"/>
                <w:szCs w:val="28"/>
                <w:highlight w:val="none"/>
                <w:u w:val="none"/>
                <w:lang w:val="en-US" w:eastAsia="zh-CN" w:bidi="ar"/>
              </w:rPr>
              <w:t>财政拨款收入支出决算总表</w:t>
            </w:r>
          </w:p>
        </w:tc>
      </w:tr>
      <w:tr w14:paraId="61C1D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3" w:type="dxa"/>
            <w:tcBorders>
              <w:top w:val="nil"/>
              <w:left w:val="nil"/>
              <w:bottom w:val="nil"/>
              <w:right w:val="nil"/>
            </w:tcBorders>
            <w:shd w:val="clear" w:color="auto" w:fill="auto"/>
            <w:noWrap/>
            <w:tcMar>
              <w:top w:w="10" w:type="dxa"/>
              <w:left w:w="10" w:type="dxa"/>
              <w:right w:w="10" w:type="dxa"/>
            </w:tcMar>
            <w:vAlign w:val="bottom"/>
          </w:tcPr>
          <w:p w14:paraId="502D5112">
            <w:pPr>
              <w:rPr>
                <w:rFonts w:hint="eastAsia" w:ascii="宋体" w:hAnsi="宋体" w:eastAsia="宋体" w:cs="宋体"/>
                <w:i w:val="0"/>
                <w:color w:val="auto"/>
                <w:sz w:val="22"/>
                <w:szCs w:val="22"/>
                <w:highlight w:val="none"/>
                <w:u w:val="none"/>
              </w:rPr>
            </w:pPr>
          </w:p>
        </w:tc>
        <w:tc>
          <w:tcPr>
            <w:tcW w:w="470" w:type="dxa"/>
            <w:tcBorders>
              <w:top w:val="nil"/>
              <w:left w:val="nil"/>
              <w:bottom w:val="nil"/>
              <w:right w:val="nil"/>
            </w:tcBorders>
            <w:shd w:val="clear" w:color="auto" w:fill="auto"/>
            <w:noWrap/>
            <w:tcMar>
              <w:top w:w="10" w:type="dxa"/>
              <w:left w:w="10" w:type="dxa"/>
              <w:right w:w="10" w:type="dxa"/>
            </w:tcMar>
            <w:vAlign w:val="bottom"/>
          </w:tcPr>
          <w:p w14:paraId="76254D5C">
            <w:pPr>
              <w:rPr>
                <w:rFonts w:hint="eastAsia" w:ascii="宋体" w:hAnsi="宋体" w:eastAsia="宋体" w:cs="宋体"/>
                <w:i w:val="0"/>
                <w:color w:val="auto"/>
                <w:sz w:val="22"/>
                <w:szCs w:val="22"/>
                <w:highlight w:val="none"/>
                <w:u w:val="none"/>
              </w:rPr>
            </w:pPr>
          </w:p>
        </w:tc>
        <w:tc>
          <w:tcPr>
            <w:tcW w:w="1637" w:type="dxa"/>
            <w:tcBorders>
              <w:top w:val="nil"/>
              <w:left w:val="nil"/>
              <w:bottom w:val="nil"/>
              <w:right w:val="nil"/>
            </w:tcBorders>
            <w:shd w:val="clear" w:color="auto" w:fill="auto"/>
            <w:noWrap/>
            <w:tcMar>
              <w:top w:w="10" w:type="dxa"/>
              <w:left w:w="10" w:type="dxa"/>
              <w:right w:w="10" w:type="dxa"/>
            </w:tcMar>
            <w:vAlign w:val="bottom"/>
          </w:tcPr>
          <w:p w14:paraId="7BDE1B0C">
            <w:pPr>
              <w:rPr>
                <w:rFonts w:hint="eastAsia" w:ascii="宋体" w:hAnsi="宋体" w:eastAsia="宋体" w:cs="宋体"/>
                <w:i w:val="0"/>
                <w:color w:val="auto"/>
                <w:sz w:val="22"/>
                <w:szCs w:val="22"/>
                <w:highlight w:val="none"/>
                <w:u w:val="none"/>
              </w:rPr>
            </w:pPr>
          </w:p>
        </w:tc>
        <w:tc>
          <w:tcPr>
            <w:tcW w:w="3722" w:type="dxa"/>
            <w:tcBorders>
              <w:top w:val="nil"/>
              <w:left w:val="nil"/>
              <w:bottom w:val="nil"/>
              <w:right w:val="nil"/>
            </w:tcBorders>
            <w:shd w:val="clear" w:color="auto" w:fill="auto"/>
            <w:noWrap/>
            <w:tcMar>
              <w:top w:w="10" w:type="dxa"/>
              <w:left w:w="10" w:type="dxa"/>
              <w:right w:w="10" w:type="dxa"/>
            </w:tcMar>
            <w:vAlign w:val="bottom"/>
          </w:tcPr>
          <w:p w14:paraId="3529321C">
            <w:pPr>
              <w:rPr>
                <w:rFonts w:hint="eastAsia" w:ascii="宋体" w:hAnsi="宋体" w:eastAsia="宋体" w:cs="宋体"/>
                <w:i w:val="0"/>
                <w:color w:val="auto"/>
                <w:sz w:val="22"/>
                <w:szCs w:val="22"/>
                <w:highlight w:val="none"/>
                <w:u w:val="none"/>
              </w:rPr>
            </w:pPr>
          </w:p>
        </w:tc>
        <w:tc>
          <w:tcPr>
            <w:tcW w:w="470" w:type="dxa"/>
            <w:tcBorders>
              <w:top w:val="nil"/>
              <w:left w:val="nil"/>
              <w:bottom w:val="nil"/>
              <w:right w:val="nil"/>
            </w:tcBorders>
            <w:shd w:val="clear" w:color="auto" w:fill="auto"/>
            <w:noWrap/>
            <w:tcMar>
              <w:top w:w="10" w:type="dxa"/>
              <w:left w:w="10" w:type="dxa"/>
              <w:right w:w="10" w:type="dxa"/>
            </w:tcMar>
            <w:vAlign w:val="bottom"/>
          </w:tcPr>
          <w:p w14:paraId="453EA4A8">
            <w:pPr>
              <w:rPr>
                <w:rFonts w:hint="eastAsia" w:ascii="宋体" w:hAnsi="宋体" w:eastAsia="宋体" w:cs="宋体"/>
                <w:i w:val="0"/>
                <w:color w:val="auto"/>
                <w:sz w:val="22"/>
                <w:szCs w:val="22"/>
                <w:highlight w:val="none"/>
                <w:u w:val="none"/>
              </w:rPr>
            </w:pPr>
          </w:p>
        </w:tc>
        <w:tc>
          <w:tcPr>
            <w:tcW w:w="1378" w:type="dxa"/>
            <w:tcBorders>
              <w:top w:val="nil"/>
              <w:left w:val="nil"/>
              <w:bottom w:val="nil"/>
              <w:right w:val="nil"/>
            </w:tcBorders>
            <w:shd w:val="clear" w:color="auto" w:fill="auto"/>
            <w:noWrap/>
            <w:tcMar>
              <w:top w:w="10" w:type="dxa"/>
              <w:left w:w="10" w:type="dxa"/>
              <w:right w:w="10" w:type="dxa"/>
            </w:tcMar>
            <w:vAlign w:val="center"/>
          </w:tcPr>
          <w:p w14:paraId="1099C070">
            <w:pPr>
              <w:jc w:val="right"/>
              <w:rPr>
                <w:rFonts w:hint="eastAsia" w:ascii="宋体" w:hAnsi="宋体" w:eastAsia="宋体" w:cs="宋体"/>
                <w:i w:val="0"/>
                <w:color w:val="auto"/>
                <w:sz w:val="20"/>
                <w:szCs w:val="20"/>
                <w:highlight w:val="none"/>
                <w:u w:val="none"/>
              </w:rPr>
            </w:pPr>
          </w:p>
        </w:tc>
        <w:tc>
          <w:tcPr>
            <w:tcW w:w="1637" w:type="dxa"/>
            <w:tcBorders>
              <w:top w:val="nil"/>
              <w:left w:val="nil"/>
              <w:bottom w:val="nil"/>
              <w:right w:val="nil"/>
            </w:tcBorders>
            <w:shd w:val="clear" w:color="auto" w:fill="auto"/>
            <w:noWrap/>
            <w:tcMar>
              <w:top w:w="10" w:type="dxa"/>
              <w:left w:w="10" w:type="dxa"/>
              <w:right w:w="10" w:type="dxa"/>
            </w:tcMar>
            <w:vAlign w:val="center"/>
          </w:tcPr>
          <w:p w14:paraId="13790E15">
            <w:pPr>
              <w:rPr>
                <w:rFonts w:hint="eastAsia" w:ascii="宋体" w:hAnsi="宋体" w:eastAsia="宋体" w:cs="宋体"/>
                <w:i w:val="0"/>
                <w:color w:val="auto"/>
                <w:sz w:val="22"/>
                <w:szCs w:val="22"/>
                <w:highlight w:val="none"/>
                <w:u w:val="none"/>
              </w:rPr>
            </w:pPr>
          </w:p>
        </w:tc>
        <w:tc>
          <w:tcPr>
            <w:tcW w:w="1231" w:type="dxa"/>
            <w:tcBorders>
              <w:top w:val="nil"/>
              <w:left w:val="nil"/>
              <w:bottom w:val="nil"/>
              <w:right w:val="nil"/>
            </w:tcBorders>
            <w:shd w:val="clear" w:color="auto" w:fill="auto"/>
            <w:noWrap/>
            <w:tcMar>
              <w:top w:w="10" w:type="dxa"/>
              <w:left w:w="10" w:type="dxa"/>
              <w:right w:w="10" w:type="dxa"/>
            </w:tcMar>
            <w:vAlign w:val="center"/>
          </w:tcPr>
          <w:p w14:paraId="053B5A79">
            <w:pPr>
              <w:rPr>
                <w:rFonts w:hint="eastAsia" w:ascii="宋体" w:hAnsi="宋体" w:eastAsia="宋体" w:cs="宋体"/>
                <w:i w:val="0"/>
                <w:color w:val="auto"/>
                <w:sz w:val="22"/>
                <w:szCs w:val="22"/>
                <w:highlight w:val="none"/>
                <w:u w:val="none"/>
              </w:rPr>
            </w:pPr>
          </w:p>
        </w:tc>
        <w:tc>
          <w:tcPr>
            <w:tcW w:w="1644" w:type="dxa"/>
            <w:tcBorders>
              <w:top w:val="nil"/>
              <w:left w:val="nil"/>
              <w:bottom w:val="nil"/>
              <w:right w:val="nil"/>
            </w:tcBorders>
            <w:shd w:val="clear" w:color="auto" w:fill="auto"/>
            <w:noWrap/>
            <w:tcMar>
              <w:top w:w="10" w:type="dxa"/>
              <w:left w:w="10" w:type="dxa"/>
              <w:right w:w="10" w:type="dxa"/>
            </w:tcMar>
            <w:vAlign w:val="center"/>
          </w:tcPr>
          <w:p w14:paraId="42D2D337">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公开04表</w:t>
            </w:r>
          </w:p>
        </w:tc>
      </w:tr>
      <w:tr w14:paraId="6EE7C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3" w:type="dxa"/>
            <w:tcBorders>
              <w:top w:val="nil"/>
              <w:left w:val="nil"/>
              <w:bottom w:val="nil"/>
              <w:right w:val="nil"/>
            </w:tcBorders>
            <w:shd w:val="clear" w:color="auto" w:fill="auto"/>
            <w:noWrap/>
            <w:tcMar>
              <w:top w:w="10" w:type="dxa"/>
              <w:left w:w="10" w:type="dxa"/>
              <w:right w:w="10" w:type="dxa"/>
            </w:tcMar>
            <w:vAlign w:val="bottom"/>
          </w:tcPr>
          <w:p w14:paraId="48036291">
            <w:pPr>
              <w:keepNext w:val="0"/>
              <w:keepLines w:val="0"/>
              <w:widowControl/>
              <w:suppressLineNumbers w:val="0"/>
              <w:jc w:val="left"/>
              <w:textAlignment w:val="bottom"/>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部门：湖南省农业农村厅</w:t>
            </w:r>
          </w:p>
        </w:tc>
        <w:tc>
          <w:tcPr>
            <w:tcW w:w="470" w:type="dxa"/>
            <w:tcBorders>
              <w:top w:val="nil"/>
              <w:left w:val="nil"/>
              <w:bottom w:val="nil"/>
              <w:right w:val="nil"/>
            </w:tcBorders>
            <w:shd w:val="clear" w:color="auto" w:fill="auto"/>
            <w:noWrap/>
            <w:tcMar>
              <w:top w:w="10" w:type="dxa"/>
              <w:left w:w="10" w:type="dxa"/>
              <w:right w:w="10" w:type="dxa"/>
            </w:tcMar>
            <w:vAlign w:val="bottom"/>
          </w:tcPr>
          <w:p w14:paraId="5546AC55">
            <w:pPr>
              <w:rPr>
                <w:rFonts w:hint="eastAsia" w:ascii="宋体" w:hAnsi="宋体" w:eastAsia="宋体" w:cs="宋体"/>
                <w:i w:val="0"/>
                <w:color w:val="auto"/>
                <w:sz w:val="22"/>
                <w:szCs w:val="22"/>
                <w:highlight w:val="none"/>
                <w:u w:val="none"/>
              </w:rPr>
            </w:pPr>
          </w:p>
        </w:tc>
        <w:tc>
          <w:tcPr>
            <w:tcW w:w="1637" w:type="dxa"/>
            <w:tcBorders>
              <w:top w:val="nil"/>
              <w:left w:val="nil"/>
              <w:bottom w:val="nil"/>
              <w:right w:val="nil"/>
            </w:tcBorders>
            <w:shd w:val="clear" w:color="auto" w:fill="auto"/>
            <w:noWrap/>
            <w:tcMar>
              <w:top w:w="10" w:type="dxa"/>
              <w:left w:w="10" w:type="dxa"/>
              <w:right w:w="10" w:type="dxa"/>
            </w:tcMar>
            <w:vAlign w:val="bottom"/>
          </w:tcPr>
          <w:p w14:paraId="059E6BE3">
            <w:pPr>
              <w:rPr>
                <w:rFonts w:hint="eastAsia" w:ascii="宋体" w:hAnsi="宋体" w:eastAsia="宋体" w:cs="宋体"/>
                <w:i w:val="0"/>
                <w:color w:val="auto"/>
                <w:sz w:val="22"/>
                <w:szCs w:val="22"/>
                <w:highlight w:val="none"/>
                <w:u w:val="none"/>
              </w:rPr>
            </w:pPr>
          </w:p>
        </w:tc>
        <w:tc>
          <w:tcPr>
            <w:tcW w:w="3722" w:type="dxa"/>
            <w:tcBorders>
              <w:top w:val="nil"/>
              <w:left w:val="nil"/>
              <w:bottom w:val="nil"/>
              <w:right w:val="nil"/>
            </w:tcBorders>
            <w:shd w:val="clear" w:color="auto" w:fill="auto"/>
            <w:noWrap/>
            <w:tcMar>
              <w:top w:w="10" w:type="dxa"/>
              <w:left w:w="10" w:type="dxa"/>
              <w:right w:w="10" w:type="dxa"/>
            </w:tcMar>
            <w:vAlign w:val="bottom"/>
          </w:tcPr>
          <w:p w14:paraId="78D16A93">
            <w:pPr>
              <w:rPr>
                <w:rFonts w:hint="eastAsia" w:ascii="宋体" w:hAnsi="宋体" w:eastAsia="宋体" w:cs="宋体"/>
                <w:i w:val="0"/>
                <w:color w:val="auto"/>
                <w:sz w:val="22"/>
                <w:szCs w:val="22"/>
                <w:highlight w:val="none"/>
                <w:u w:val="none"/>
              </w:rPr>
            </w:pPr>
          </w:p>
        </w:tc>
        <w:tc>
          <w:tcPr>
            <w:tcW w:w="470" w:type="dxa"/>
            <w:tcBorders>
              <w:top w:val="nil"/>
              <w:left w:val="nil"/>
              <w:bottom w:val="nil"/>
              <w:right w:val="nil"/>
            </w:tcBorders>
            <w:shd w:val="clear" w:color="auto" w:fill="auto"/>
            <w:noWrap/>
            <w:tcMar>
              <w:top w:w="10" w:type="dxa"/>
              <w:left w:w="10" w:type="dxa"/>
              <w:right w:w="10" w:type="dxa"/>
            </w:tcMar>
            <w:vAlign w:val="bottom"/>
          </w:tcPr>
          <w:p w14:paraId="49E216BB">
            <w:pPr>
              <w:rPr>
                <w:rFonts w:hint="eastAsia" w:ascii="宋体" w:hAnsi="宋体" w:eastAsia="宋体" w:cs="宋体"/>
                <w:i w:val="0"/>
                <w:color w:val="auto"/>
                <w:sz w:val="22"/>
                <w:szCs w:val="22"/>
                <w:highlight w:val="none"/>
                <w:u w:val="none"/>
              </w:rPr>
            </w:pPr>
          </w:p>
        </w:tc>
        <w:tc>
          <w:tcPr>
            <w:tcW w:w="1378" w:type="dxa"/>
            <w:tcBorders>
              <w:top w:val="nil"/>
              <w:left w:val="nil"/>
              <w:bottom w:val="nil"/>
              <w:right w:val="nil"/>
            </w:tcBorders>
            <w:shd w:val="clear" w:color="auto" w:fill="auto"/>
            <w:noWrap/>
            <w:tcMar>
              <w:top w:w="10" w:type="dxa"/>
              <w:left w:w="10" w:type="dxa"/>
              <w:right w:w="10" w:type="dxa"/>
            </w:tcMar>
            <w:vAlign w:val="center"/>
          </w:tcPr>
          <w:p w14:paraId="4BB49198">
            <w:pPr>
              <w:jc w:val="right"/>
              <w:rPr>
                <w:rFonts w:hint="eastAsia" w:ascii="宋体" w:hAnsi="宋体" w:eastAsia="宋体" w:cs="宋体"/>
                <w:i w:val="0"/>
                <w:color w:val="auto"/>
                <w:sz w:val="20"/>
                <w:szCs w:val="20"/>
                <w:highlight w:val="none"/>
                <w:u w:val="none"/>
              </w:rPr>
            </w:pPr>
          </w:p>
        </w:tc>
        <w:tc>
          <w:tcPr>
            <w:tcW w:w="1637" w:type="dxa"/>
            <w:tcBorders>
              <w:top w:val="nil"/>
              <w:left w:val="nil"/>
              <w:bottom w:val="nil"/>
              <w:right w:val="nil"/>
            </w:tcBorders>
            <w:shd w:val="clear" w:color="auto" w:fill="auto"/>
            <w:noWrap/>
            <w:tcMar>
              <w:top w:w="10" w:type="dxa"/>
              <w:left w:w="10" w:type="dxa"/>
              <w:right w:w="10" w:type="dxa"/>
            </w:tcMar>
            <w:vAlign w:val="center"/>
          </w:tcPr>
          <w:p w14:paraId="1F05C6AD">
            <w:pPr>
              <w:rPr>
                <w:rFonts w:hint="eastAsia" w:ascii="宋体" w:hAnsi="宋体" w:eastAsia="宋体" w:cs="宋体"/>
                <w:i w:val="0"/>
                <w:color w:val="auto"/>
                <w:sz w:val="22"/>
                <w:szCs w:val="22"/>
                <w:highlight w:val="none"/>
                <w:u w:val="none"/>
              </w:rPr>
            </w:pPr>
          </w:p>
        </w:tc>
        <w:tc>
          <w:tcPr>
            <w:tcW w:w="1231" w:type="dxa"/>
            <w:tcBorders>
              <w:top w:val="nil"/>
              <w:left w:val="nil"/>
              <w:bottom w:val="nil"/>
              <w:right w:val="nil"/>
            </w:tcBorders>
            <w:shd w:val="clear" w:color="auto" w:fill="auto"/>
            <w:noWrap/>
            <w:tcMar>
              <w:top w:w="10" w:type="dxa"/>
              <w:left w:w="10" w:type="dxa"/>
              <w:right w:w="10" w:type="dxa"/>
            </w:tcMar>
            <w:vAlign w:val="center"/>
          </w:tcPr>
          <w:p w14:paraId="12159689">
            <w:pPr>
              <w:rPr>
                <w:rFonts w:hint="eastAsia" w:ascii="宋体" w:hAnsi="宋体" w:eastAsia="宋体" w:cs="宋体"/>
                <w:i w:val="0"/>
                <w:color w:val="auto"/>
                <w:sz w:val="22"/>
                <w:szCs w:val="22"/>
                <w:highlight w:val="none"/>
                <w:u w:val="none"/>
              </w:rPr>
            </w:pPr>
          </w:p>
        </w:tc>
        <w:tc>
          <w:tcPr>
            <w:tcW w:w="1644" w:type="dxa"/>
            <w:tcBorders>
              <w:top w:val="nil"/>
              <w:left w:val="nil"/>
              <w:bottom w:val="nil"/>
              <w:right w:val="nil"/>
            </w:tcBorders>
            <w:shd w:val="clear" w:color="auto" w:fill="auto"/>
            <w:noWrap/>
            <w:tcMar>
              <w:top w:w="10" w:type="dxa"/>
              <w:left w:w="10" w:type="dxa"/>
              <w:right w:w="10" w:type="dxa"/>
            </w:tcMar>
            <w:vAlign w:val="center"/>
          </w:tcPr>
          <w:p w14:paraId="51D39143">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单位：万元</w:t>
            </w:r>
          </w:p>
        </w:tc>
      </w:tr>
      <w:tr w14:paraId="130E1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36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61A21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收     入</w:t>
            </w:r>
          </w:p>
        </w:tc>
        <w:tc>
          <w:tcPr>
            <w:tcW w:w="10082"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C286E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支     出</w:t>
            </w:r>
          </w:p>
        </w:tc>
      </w:tr>
      <w:tr w14:paraId="5AC50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3253"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9A869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44545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行次</w:t>
            </w:r>
          </w:p>
        </w:tc>
        <w:tc>
          <w:tcPr>
            <w:tcW w:w="1637"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22817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金额</w:t>
            </w:r>
          </w:p>
        </w:tc>
        <w:tc>
          <w:tcPr>
            <w:tcW w:w="372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46355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9D97C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行次</w:t>
            </w:r>
          </w:p>
        </w:tc>
        <w:tc>
          <w:tcPr>
            <w:tcW w:w="137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57696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合计</w:t>
            </w:r>
          </w:p>
        </w:tc>
        <w:tc>
          <w:tcPr>
            <w:tcW w:w="1637"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2D5FE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一般公共预算财政拨款</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FB294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政府性基金预算财政拨款</w:t>
            </w:r>
          </w:p>
        </w:tc>
        <w:tc>
          <w:tcPr>
            <w:tcW w:w="164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AEBED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国有资本经营预算财政拨款</w:t>
            </w:r>
          </w:p>
        </w:tc>
      </w:tr>
      <w:tr w14:paraId="749E1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32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EAEEC5">
            <w:pPr>
              <w:jc w:val="center"/>
              <w:rPr>
                <w:rFonts w:hint="eastAsia" w:ascii="宋体" w:hAnsi="宋体" w:eastAsia="宋体" w:cs="宋体"/>
                <w:i w:val="0"/>
                <w:color w:val="auto"/>
                <w:sz w:val="22"/>
                <w:szCs w:val="22"/>
                <w:highlight w:val="none"/>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2607BD">
            <w:pPr>
              <w:jc w:val="center"/>
              <w:rPr>
                <w:rFonts w:hint="eastAsia" w:ascii="宋体" w:hAnsi="宋体" w:eastAsia="宋体" w:cs="宋体"/>
                <w:i w:val="0"/>
                <w:color w:val="auto"/>
                <w:sz w:val="22"/>
                <w:szCs w:val="22"/>
                <w:highlight w:val="none"/>
                <w:u w:val="none"/>
              </w:rPr>
            </w:pPr>
          </w:p>
        </w:tc>
        <w:tc>
          <w:tcPr>
            <w:tcW w:w="16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AAF0B0">
            <w:pPr>
              <w:jc w:val="center"/>
              <w:rPr>
                <w:rFonts w:hint="eastAsia" w:ascii="宋体" w:hAnsi="宋体" w:eastAsia="宋体" w:cs="宋体"/>
                <w:i w:val="0"/>
                <w:color w:val="auto"/>
                <w:sz w:val="22"/>
                <w:szCs w:val="22"/>
                <w:highlight w:val="none"/>
                <w:u w:val="none"/>
              </w:rPr>
            </w:pPr>
          </w:p>
        </w:tc>
        <w:tc>
          <w:tcPr>
            <w:tcW w:w="37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83641F">
            <w:pPr>
              <w:jc w:val="center"/>
              <w:rPr>
                <w:rFonts w:hint="eastAsia" w:ascii="宋体" w:hAnsi="宋体" w:eastAsia="宋体" w:cs="宋体"/>
                <w:i w:val="0"/>
                <w:color w:val="auto"/>
                <w:sz w:val="22"/>
                <w:szCs w:val="22"/>
                <w:highlight w:val="none"/>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B649A3">
            <w:pPr>
              <w:jc w:val="center"/>
              <w:rPr>
                <w:rFonts w:hint="eastAsia" w:ascii="宋体" w:hAnsi="宋体" w:eastAsia="宋体" w:cs="宋体"/>
                <w:i w:val="0"/>
                <w:color w:val="auto"/>
                <w:sz w:val="22"/>
                <w:szCs w:val="22"/>
                <w:highlight w:val="none"/>
                <w:u w:val="none"/>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FDD3F3">
            <w:pPr>
              <w:jc w:val="center"/>
              <w:rPr>
                <w:rFonts w:hint="eastAsia" w:ascii="宋体" w:hAnsi="宋体" w:eastAsia="宋体" w:cs="宋体"/>
                <w:i w:val="0"/>
                <w:color w:val="auto"/>
                <w:sz w:val="22"/>
                <w:szCs w:val="22"/>
                <w:highlight w:val="none"/>
                <w:u w:val="none"/>
              </w:rPr>
            </w:pPr>
          </w:p>
        </w:tc>
        <w:tc>
          <w:tcPr>
            <w:tcW w:w="16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3D4DFE">
            <w:pPr>
              <w:jc w:val="center"/>
              <w:rPr>
                <w:rFonts w:hint="eastAsia" w:ascii="宋体" w:hAnsi="宋体" w:eastAsia="宋体" w:cs="宋体"/>
                <w:i w:val="0"/>
                <w:color w:val="auto"/>
                <w:sz w:val="22"/>
                <w:szCs w:val="22"/>
                <w:highlight w:val="none"/>
                <w:u w:val="none"/>
              </w:rPr>
            </w:pP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8850E5">
            <w:pPr>
              <w:jc w:val="center"/>
              <w:rPr>
                <w:rFonts w:hint="eastAsia" w:ascii="宋体" w:hAnsi="宋体" w:eastAsia="宋体" w:cs="宋体"/>
                <w:i w:val="0"/>
                <w:color w:val="auto"/>
                <w:sz w:val="22"/>
                <w:szCs w:val="22"/>
                <w:highlight w:val="none"/>
                <w:u w:val="none"/>
              </w:rPr>
            </w:pPr>
          </w:p>
        </w:tc>
        <w:tc>
          <w:tcPr>
            <w:tcW w:w="16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069E84">
            <w:pPr>
              <w:jc w:val="center"/>
              <w:rPr>
                <w:rFonts w:hint="eastAsia" w:ascii="宋体" w:hAnsi="宋体" w:eastAsia="宋体" w:cs="宋体"/>
                <w:i w:val="0"/>
                <w:color w:val="auto"/>
                <w:sz w:val="22"/>
                <w:szCs w:val="22"/>
                <w:highlight w:val="none"/>
                <w:u w:val="none"/>
              </w:rPr>
            </w:pPr>
          </w:p>
        </w:tc>
      </w:tr>
      <w:tr w14:paraId="02668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1322A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栏次</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37EC8E">
            <w:pPr>
              <w:jc w:val="center"/>
              <w:rPr>
                <w:rFonts w:hint="eastAsia" w:ascii="宋体" w:hAnsi="宋体" w:eastAsia="宋体" w:cs="宋体"/>
                <w:i w:val="0"/>
                <w:color w:val="auto"/>
                <w:sz w:val="22"/>
                <w:szCs w:val="22"/>
                <w:highlight w:val="none"/>
                <w:u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64608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BA82C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栏次</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4A1281">
            <w:pPr>
              <w:jc w:val="center"/>
              <w:rPr>
                <w:rFonts w:hint="eastAsia" w:ascii="宋体" w:hAnsi="宋体" w:eastAsia="宋体" w:cs="宋体"/>
                <w:i w:val="0"/>
                <w:color w:val="auto"/>
                <w:sz w:val="22"/>
                <w:szCs w:val="22"/>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C0819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E1723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2F2BD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FE0EF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r>
      <w:tr w14:paraId="1829D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0DB05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一、一般公共预算财政拨款</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22B08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ABA4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88,952.33</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251C1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一、一般公共服务支出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E6D31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CAFCF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260.71</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57DD2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260.71</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FC152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7346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5559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C4E49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二、政府性基金预算财政拨款</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F6B2F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F28D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9280D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二、外交支出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6CFCA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34</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EEB5E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E2745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3B58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02139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E16D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1AB2E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三、国有资本经营预算财政拨款</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D46DD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1CFB2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55A44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三、国防支出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D57DB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37F6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52A3D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33F22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822D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6563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B3FFC3">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83BD7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64E405">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91ECC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四、公共安全支出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004B8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36</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A8514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A8C56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D6FB3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8E5D6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9DC8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A3E026">
            <w:pPr>
              <w:ind w:right="372" w:rightChars="177"/>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80706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D42A54">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89B6D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五、教育支出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07C0B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8090F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3,104.95</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005EC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3,104.95</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CDE01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E9182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7365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56AEEE">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6FB7A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BAC5E6">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6F8D1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六、科学技术支出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3582A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A6A14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255.57</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C9D60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255.57</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DF8AB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00DDD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8D8B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647D09">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93609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0A23F1">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73C6E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七、文化旅游体育与传媒支出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5FF17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FD24F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9635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B5D9F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54CB5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AB1D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402862">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ABE13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831F84">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B797F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八、社会保障和就业支出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9ED3B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83D69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3,281.02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A5F0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3,281.02</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EF359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CB45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8088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CD5E67">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43B51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3466AE">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44A0F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九、卫生健康支出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71EC4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41</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BFC73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103.29</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F302D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103.29</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3A492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F231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436F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638312">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1CE83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1A62DC">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AEB92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十、节能环保支出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BF16A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42</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3CECA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50DF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90AF5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5023E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FA8E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26C99E">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16E32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CAA789">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88B9B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十一、城乡社区支出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EE9BB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A025C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D46A4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5CC3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A6BAC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0FA9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66B392">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EAA66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2462CD">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244BC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十二、农林水支出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394CB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44</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0E8E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72,967.72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9ECC1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72,967.72</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4F185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7934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3B89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3741F2">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84923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B112F1">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B9FB3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十三、交通运输支出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D4FC1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43BA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95322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E4B9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91E1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1EF3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1F52C5">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0356E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DB1604">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DDF78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十四、资源勘探工业信息等支出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90F20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B3F86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60C3A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7674A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595F9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58540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56EC37">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A6C0E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438148">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DB739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十五、商业服务业等支出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C4BE0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47</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7D740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5AC8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6523D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9955B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913F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E0A94F">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C1AA6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DB1E4D">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EDF8E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十六、金融支出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C3109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CDF67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01DBB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6E57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200F9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337B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5C741C">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93AA7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07C1B4">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4EBFD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十七、援助其他地区支出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2A359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49</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1F200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51BDA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46BF4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8014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DB6E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768ABA">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BE2C9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196363">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38B4C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十八、自然资源海洋气象等支出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E23D0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DB5D6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F664D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9399A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8B2E8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401C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B3BA11">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C7EF3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A0D647">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3CD99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十九、住房保障支出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20A50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17368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945A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83771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A76C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5253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9DF06F">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01E58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ED9F0D">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8CAB5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二十、粮油物资储备支出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8723A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52</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60C64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996C7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2974D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792C6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155C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699AAE">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4ACEA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4993B0">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66DC2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二十一、国有资本经营预算支出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919F7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53</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AE0F5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21697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503D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34D90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E0D2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68AA42">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BDAC1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4EAF4F">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96519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二十二、灾害防治及应急管理支出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A7598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54</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3BF3D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090D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4BA6F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601FA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C71C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33D125">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26965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CB5296">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48A4F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二十三、其他支出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D002A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55</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0C88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CF77E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30FA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B30B2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FD0A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AD949E">
            <w:pPr>
              <w:jc w:val="center"/>
              <w:rPr>
                <w:rFonts w:hint="eastAsia" w:ascii="宋体" w:hAnsi="宋体" w:eastAsia="宋体" w:cs="宋体"/>
                <w:b/>
                <w:i w:val="0"/>
                <w:color w:val="auto"/>
                <w:sz w:val="20"/>
                <w:szCs w:val="20"/>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6254E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D42B1F">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BD433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二十四、债务还本支出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6E92C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56</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8498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E94A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CB03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D0E4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EBEA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95F95A">
            <w:pPr>
              <w:jc w:val="left"/>
              <w:rPr>
                <w:rFonts w:hint="eastAsia" w:ascii="宋体" w:hAnsi="宋体" w:eastAsia="宋体" w:cs="宋体"/>
                <w:i w:val="0"/>
                <w:color w:val="auto"/>
                <w:sz w:val="20"/>
                <w:szCs w:val="20"/>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DD1CD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82D94F">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4A57A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二十五、债务付息支出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3589A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57</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0A4D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ED817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94488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0E12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30B8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3F2DE4">
            <w:pPr>
              <w:jc w:val="left"/>
              <w:rPr>
                <w:rFonts w:hint="eastAsia" w:ascii="宋体" w:hAnsi="宋体" w:eastAsia="宋体" w:cs="宋体"/>
                <w:i w:val="0"/>
                <w:color w:val="auto"/>
                <w:sz w:val="20"/>
                <w:szCs w:val="20"/>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F0B53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198E8C">
            <w:pPr>
              <w:jc w:val="right"/>
              <w:rPr>
                <w:rFonts w:hint="eastAsia" w:ascii="宋体" w:hAnsi="宋体" w:eastAsia="宋体" w:cs="宋体"/>
                <w:i w:val="0"/>
                <w:color w:val="auto"/>
                <w:sz w:val="22"/>
                <w:szCs w:val="22"/>
                <w:highlight w:val="none"/>
                <w:u w:val="none"/>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1D8FF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二十六、抗疫特别国债安排的支出</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06D2D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58</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4E5A3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BDC4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1E2CE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8D5F4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94A5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ED8D2A">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本年收入合计</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7CC02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D4D9C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88,952.33</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86F0B9">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本年支出合计</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24F46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59</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4C449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81,162.35</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32F7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81,162.35</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0F89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F0802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9857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81148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年初财政拨款结转和结余</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166C6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A1932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14,216.97</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23E5F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年末财政拨款结转和结余</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F7113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6718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22,006.96</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F85BF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22,006.96</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6DFC9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D556D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183E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438E0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  一般公共预算财政拨款</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6CC36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E7661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14,216.97</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0BC1AB">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22F32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61</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D3B686">
            <w:pPr>
              <w:jc w:val="right"/>
              <w:rPr>
                <w:rFonts w:hint="eastAsia" w:ascii="宋体" w:hAnsi="宋体" w:eastAsia="宋体" w:cs="宋体"/>
                <w:i w:val="0"/>
                <w:color w:val="auto"/>
                <w:sz w:val="22"/>
                <w:szCs w:val="22"/>
                <w:highlight w:val="none"/>
                <w:u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6140AA">
            <w:pPr>
              <w:jc w:val="right"/>
              <w:rPr>
                <w:rFonts w:hint="eastAsia" w:ascii="宋体" w:hAnsi="宋体" w:eastAsia="宋体" w:cs="宋体"/>
                <w:i w:val="0"/>
                <w:color w:val="auto"/>
                <w:sz w:val="22"/>
                <w:szCs w:val="22"/>
                <w:highlight w:val="none"/>
                <w:u w:val="none"/>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D6A5ED">
            <w:pPr>
              <w:jc w:val="right"/>
              <w:rPr>
                <w:rFonts w:hint="eastAsia" w:ascii="宋体" w:hAnsi="宋体" w:eastAsia="宋体" w:cs="宋体"/>
                <w:i w:val="0"/>
                <w:color w:val="auto"/>
                <w:sz w:val="22"/>
                <w:szCs w:val="22"/>
                <w:highlight w:val="none"/>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2F5465">
            <w:pPr>
              <w:jc w:val="right"/>
              <w:rPr>
                <w:rFonts w:hint="eastAsia" w:ascii="宋体" w:hAnsi="宋体" w:eastAsia="宋体" w:cs="宋体"/>
                <w:i w:val="0"/>
                <w:color w:val="auto"/>
                <w:sz w:val="22"/>
                <w:szCs w:val="22"/>
                <w:highlight w:val="none"/>
                <w:u w:val="none"/>
              </w:rPr>
            </w:pPr>
          </w:p>
        </w:tc>
      </w:tr>
      <w:tr w14:paraId="7CDC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E211A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  政府性基金预算财政拨款</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D0295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A0D7A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BC472B">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A5107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62</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49B850">
            <w:pPr>
              <w:jc w:val="right"/>
              <w:rPr>
                <w:rFonts w:hint="eastAsia" w:ascii="宋体" w:hAnsi="宋体" w:eastAsia="宋体" w:cs="宋体"/>
                <w:i w:val="0"/>
                <w:color w:val="auto"/>
                <w:sz w:val="22"/>
                <w:szCs w:val="22"/>
                <w:highlight w:val="none"/>
                <w:u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D3F309">
            <w:pPr>
              <w:jc w:val="right"/>
              <w:rPr>
                <w:rFonts w:hint="eastAsia" w:ascii="宋体" w:hAnsi="宋体" w:eastAsia="宋体" w:cs="宋体"/>
                <w:i w:val="0"/>
                <w:color w:val="auto"/>
                <w:sz w:val="22"/>
                <w:szCs w:val="22"/>
                <w:highlight w:val="none"/>
                <w:u w:val="none"/>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6A4195">
            <w:pPr>
              <w:jc w:val="right"/>
              <w:rPr>
                <w:rFonts w:hint="eastAsia" w:ascii="宋体" w:hAnsi="宋体" w:eastAsia="宋体" w:cs="宋体"/>
                <w:i w:val="0"/>
                <w:color w:val="auto"/>
                <w:sz w:val="22"/>
                <w:szCs w:val="22"/>
                <w:highlight w:val="none"/>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179718">
            <w:pPr>
              <w:jc w:val="right"/>
              <w:rPr>
                <w:rFonts w:hint="eastAsia" w:ascii="宋体" w:hAnsi="宋体" w:eastAsia="宋体" w:cs="宋体"/>
                <w:i w:val="0"/>
                <w:color w:val="auto"/>
                <w:sz w:val="22"/>
                <w:szCs w:val="22"/>
                <w:highlight w:val="none"/>
                <w:u w:val="none"/>
              </w:rPr>
            </w:pPr>
          </w:p>
        </w:tc>
      </w:tr>
      <w:tr w14:paraId="76E37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04671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  国有资本经营预算财政拨款</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9152F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4DF09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F2A258">
            <w:pPr>
              <w:jc w:val="left"/>
              <w:rPr>
                <w:rFonts w:hint="eastAsia" w:ascii="宋体" w:hAnsi="宋体" w:eastAsia="宋体" w:cs="宋体"/>
                <w:i w:val="0"/>
                <w:color w:val="auto"/>
                <w:sz w:val="22"/>
                <w:szCs w:val="22"/>
                <w:highlight w:val="none"/>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C1F05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BB9E6C">
            <w:pPr>
              <w:jc w:val="right"/>
              <w:rPr>
                <w:rFonts w:hint="eastAsia" w:ascii="宋体" w:hAnsi="宋体" w:eastAsia="宋体" w:cs="宋体"/>
                <w:i w:val="0"/>
                <w:color w:val="auto"/>
                <w:sz w:val="22"/>
                <w:szCs w:val="22"/>
                <w:highlight w:val="none"/>
                <w:u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075A71">
            <w:pPr>
              <w:jc w:val="right"/>
              <w:rPr>
                <w:rFonts w:hint="eastAsia" w:ascii="宋体" w:hAnsi="宋体" w:eastAsia="宋体" w:cs="宋体"/>
                <w:i w:val="0"/>
                <w:color w:val="auto"/>
                <w:sz w:val="22"/>
                <w:szCs w:val="22"/>
                <w:highlight w:val="none"/>
                <w:u w:val="none"/>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359E82">
            <w:pPr>
              <w:jc w:val="right"/>
              <w:rPr>
                <w:rFonts w:hint="eastAsia" w:ascii="宋体" w:hAnsi="宋体" w:eastAsia="宋体" w:cs="宋体"/>
                <w:i w:val="0"/>
                <w:color w:val="auto"/>
                <w:sz w:val="22"/>
                <w:szCs w:val="22"/>
                <w:highlight w:val="none"/>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A3E620">
            <w:pPr>
              <w:jc w:val="right"/>
              <w:rPr>
                <w:rFonts w:hint="eastAsia" w:ascii="宋体" w:hAnsi="宋体" w:eastAsia="宋体" w:cs="宋体"/>
                <w:i w:val="0"/>
                <w:color w:val="auto"/>
                <w:sz w:val="22"/>
                <w:szCs w:val="22"/>
                <w:highlight w:val="none"/>
                <w:u w:val="none"/>
              </w:rPr>
            </w:pPr>
          </w:p>
        </w:tc>
      </w:tr>
      <w:tr w14:paraId="32C8F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32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9DC5D8">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总计</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B9BC7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601FD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103,169.30</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077FD9">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总计</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A163A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64</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17016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103,169.30</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85250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103,169.30</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1E29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43FF8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1C3D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3798" w:type="dxa"/>
            <w:gridSpan w:val="8"/>
            <w:tcBorders>
              <w:top w:val="nil"/>
              <w:left w:val="nil"/>
              <w:bottom w:val="nil"/>
              <w:right w:val="nil"/>
            </w:tcBorders>
            <w:shd w:val="clear" w:color="auto" w:fill="FFFFFF"/>
            <w:noWrap/>
            <w:tcMar>
              <w:top w:w="10" w:type="dxa"/>
              <w:left w:w="10" w:type="dxa"/>
              <w:right w:w="10" w:type="dxa"/>
            </w:tcMar>
            <w:vAlign w:val="center"/>
          </w:tcPr>
          <w:p w14:paraId="6B7CB61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注：本表反映部门本年度一般公共预算财政拨款、政府性基金预算财政拨款和国有资本经营预算财政拨款的总收支和年末结转结余情况。</w:t>
            </w:r>
          </w:p>
        </w:tc>
        <w:tc>
          <w:tcPr>
            <w:tcW w:w="1644" w:type="dxa"/>
            <w:tcBorders>
              <w:top w:val="nil"/>
              <w:left w:val="nil"/>
              <w:bottom w:val="nil"/>
              <w:right w:val="nil"/>
            </w:tcBorders>
            <w:shd w:val="clear" w:color="auto" w:fill="FFFFFF"/>
            <w:noWrap/>
            <w:tcMar>
              <w:top w:w="10" w:type="dxa"/>
              <w:left w:w="10" w:type="dxa"/>
              <w:right w:w="10" w:type="dxa"/>
            </w:tcMar>
            <w:vAlign w:val="center"/>
          </w:tcPr>
          <w:p w14:paraId="73CCFFA2">
            <w:pPr>
              <w:jc w:val="left"/>
              <w:rPr>
                <w:rFonts w:hint="eastAsia" w:ascii="宋体" w:hAnsi="宋体" w:eastAsia="宋体" w:cs="宋体"/>
                <w:i w:val="0"/>
                <w:color w:val="auto"/>
                <w:sz w:val="20"/>
                <w:szCs w:val="20"/>
                <w:highlight w:val="none"/>
                <w:u w:val="none"/>
              </w:rPr>
            </w:pPr>
          </w:p>
        </w:tc>
      </w:tr>
    </w:tbl>
    <w:p w14:paraId="0AF7AD03">
      <w:pPr>
        <w:widowControl/>
        <w:jc w:val="both"/>
        <w:rPr>
          <w:rFonts w:ascii="Times New Roman" w:hAnsi="Times New Roman" w:eastAsia="方正小标宋_GBK" w:cs="Times New Roman"/>
          <w:color w:val="auto"/>
          <w:kern w:val="0"/>
          <w:sz w:val="36"/>
          <w:szCs w:val="21"/>
          <w:highlight w:val="none"/>
        </w:rPr>
      </w:pPr>
    </w:p>
    <w:p w14:paraId="78D4C875">
      <w:pPr>
        <w:widowControl/>
        <w:jc w:val="center"/>
        <w:rPr>
          <w:rFonts w:ascii="Times New Roman" w:hAnsi="Times New Roman" w:eastAsia="方正小标宋_GBK" w:cs="Times New Roman"/>
          <w:color w:val="auto"/>
          <w:kern w:val="0"/>
          <w:sz w:val="36"/>
          <w:szCs w:val="36"/>
          <w:highlight w:val="none"/>
        </w:rPr>
      </w:pPr>
      <w:bookmarkStart w:id="0" w:name="RANGE!A1:I22"/>
      <w:bookmarkEnd w:id="0"/>
      <w:bookmarkStart w:id="1" w:name="RANGE!A1:F16"/>
    </w:p>
    <w:p w14:paraId="1DE6C756">
      <w:pPr>
        <w:widowControl/>
        <w:jc w:val="center"/>
        <w:rPr>
          <w:rFonts w:ascii="Times New Roman" w:hAnsi="Times New Roman" w:eastAsia="方正小标宋_GBK" w:cs="Times New Roman"/>
          <w:color w:val="auto"/>
          <w:kern w:val="0"/>
          <w:sz w:val="36"/>
          <w:szCs w:val="36"/>
          <w:highlight w:val="none"/>
        </w:rPr>
      </w:pPr>
    </w:p>
    <w:bookmarkEnd w:id="1"/>
    <w:p w14:paraId="3CDB94DA">
      <w:pPr>
        <w:widowControl/>
        <w:jc w:val="left"/>
        <w:rPr>
          <w:rFonts w:ascii="Times New Roman" w:hAnsi="Times New Roman" w:eastAsia="仿宋_GB2312" w:cs="Times New Roman"/>
          <w:bCs/>
          <w:color w:val="auto"/>
          <w:kern w:val="0"/>
          <w:szCs w:val="21"/>
          <w:highlight w:val="none"/>
        </w:rPr>
      </w:pPr>
    </w:p>
    <w:p w14:paraId="613EFD58">
      <w:pPr>
        <w:pStyle w:val="10"/>
        <w:rPr>
          <w:rFonts w:ascii="Times New Roman" w:hAnsi="Times New Roman" w:eastAsia="仿宋_GB2312" w:cs="Times New Roman"/>
          <w:bCs/>
          <w:color w:val="auto"/>
          <w:kern w:val="0"/>
          <w:szCs w:val="21"/>
          <w:highlight w:val="none"/>
        </w:rPr>
      </w:pPr>
    </w:p>
    <w:p w14:paraId="268A153B">
      <w:pPr>
        <w:pStyle w:val="11"/>
        <w:rPr>
          <w:rFonts w:ascii="Times New Roman" w:hAnsi="Times New Roman" w:eastAsia="仿宋_GB2312" w:cs="Times New Roman"/>
          <w:bCs/>
          <w:color w:val="auto"/>
          <w:kern w:val="0"/>
          <w:szCs w:val="21"/>
          <w:highlight w:val="none"/>
        </w:rPr>
      </w:pPr>
    </w:p>
    <w:p w14:paraId="48A412F0">
      <w:pPr>
        <w:rPr>
          <w:rFonts w:ascii="Times New Roman" w:hAnsi="Times New Roman" w:eastAsia="仿宋_GB2312" w:cs="Times New Roman"/>
          <w:bCs/>
          <w:color w:val="auto"/>
          <w:kern w:val="0"/>
          <w:szCs w:val="21"/>
          <w:highlight w:val="none"/>
        </w:rPr>
      </w:pPr>
    </w:p>
    <w:p w14:paraId="00097E32">
      <w:pPr>
        <w:pStyle w:val="10"/>
        <w:rPr>
          <w:rFonts w:ascii="Times New Roman" w:hAnsi="Times New Roman" w:eastAsia="仿宋_GB2312" w:cs="Times New Roman"/>
          <w:bCs/>
          <w:color w:val="auto"/>
          <w:kern w:val="0"/>
          <w:szCs w:val="21"/>
          <w:highlight w:val="none"/>
        </w:rPr>
      </w:pPr>
    </w:p>
    <w:p w14:paraId="727F6AFE">
      <w:pPr>
        <w:pStyle w:val="11"/>
        <w:rPr>
          <w:rFonts w:ascii="Times New Roman" w:hAnsi="Times New Roman" w:eastAsia="仿宋_GB2312" w:cs="Times New Roman"/>
          <w:bCs/>
          <w:color w:val="auto"/>
          <w:kern w:val="0"/>
          <w:szCs w:val="21"/>
          <w:highlight w:val="none"/>
        </w:rPr>
      </w:pPr>
    </w:p>
    <w:p w14:paraId="709F1335">
      <w:pPr>
        <w:rPr>
          <w:rFonts w:ascii="Times New Roman" w:hAnsi="Times New Roman" w:eastAsia="仿宋_GB2312" w:cs="Times New Roman"/>
          <w:bCs/>
          <w:color w:val="auto"/>
          <w:kern w:val="0"/>
          <w:szCs w:val="21"/>
          <w:highlight w:val="none"/>
        </w:rPr>
      </w:pPr>
    </w:p>
    <w:p w14:paraId="256E06B5">
      <w:pPr>
        <w:pStyle w:val="10"/>
        <w:rPr>
          <w:rFonts w:ascii="Times New Roman" w:hAnsi="Times New Roman" w:eastAsia="仿宋_GB2312" w:cs="Times New Roman"/>
          <w:bCs/>
          <w:color w:val="auto"/>
          <w:kern w:val="0"/>
          <w:szCs w:val="21"/>
          <w:highlight w:val="none"/>
        </w:rPr>
      </w:pPr>
    </w:p>
    <w:p w14:paraId="57D76850">
      <w:pPr>
        <w:pStyle w:val="11"/>
        <w:rPr>
          <w:rFonts w:ascii="Times New Roman" w:hAnsi="Times New Roman" w:eastAsia="仿宋_GB2312" w:cs="Times New Roman"/>
          <w:bCs/>
          <w:color w:val="auto"/>
          <w:kern w:val="0"/>
          <w:szCs w:val="21"/>
          <w:highlight w:val="none"/>
        </w:rPr>
      </w:pPr>
    </w:p>
    <w:p w14:paraId="028592D1">
      <w:pPr>
        <w:rPr>
          <w:rFonts w:ascii="Times New Roman" w:hAnsi="Times New Roman" w:eastAsia="仿宋_GB2312" w:cs="Times New Roman"/>
          <w:bCs/>
          <w:color w:val="auto"/>
          <w:kern w:val="0"/>
          <w:szCs w:val="21"/>
          <w:highlight w:val="none"/>
        </w:rPr>
      </w:pPr>
    </w:p>
    <w:p w14:paraId="5E45C28B">
      <w:pPr>
        <w:pStyle w:val="10"/>
        <w:rPr>
          <w:rFonts w:ascii="Times New Roman" w:hAnsi="Times New Roman" w:eastAsia="仿宋_GB2312" w:cs="Times New Roman"/>
          <w:bCs/>
          <w:color w:val="auto"/>
          <w:kern w:val="0"/>
          <w:szCs w:val="21"/>
          <w:highlight w:val="none"/>
        </w:rPr>
      </w:pPr>
    </w:p>
    <w:p w14:paraId="00C7397B">
      <w:pPr>
        <w:pStyle w:val="11"/>
        <w:rPr>
          <w:rFonts w:ascii="Times New Roman" w:hAnsi="Times New Roman" w:eastAsia="仿宋_GB2312" w:cs="Times New Roman"/>
          <w:bCs/>
          <w:color w:val="auto"/>
          <w:kern w:val="0"/>
          <w:szCs w:val="21"/>
          <w:highlight w:val="none"/>
        </w:rPr>
      </w:pPr>
    </w:p>
    <w:p w14:paraId="255BCA0C">
      <w:pPr>
        <w:rPr>
          <w:rFonts w:ascii="Times New Roman" w:hAnsi="Times New Roman" w:eastAsia="仿宋_GB2312" w:cs="Times New Roman"/>
          <w:bCs/>
          <w:color w:val="auto"/>
          <w:kern w:val="0"/>
          <w:szCs w:val="21"/>
          <w:highlight w:val="none"/>
        </w:rPr>
      </w:pPr>
    </w:p>
    <w:p w14:paraId="7C0A2853">
      <w:pPr>
        <w:pStyle w:val="10"/>
        <w:rPr>
          <w:rFonts w:ascii="Times New Roman" w:hAnsi="Times New Roman" w:eastAsia="仿宋_GB2312" w:cs="Times New Roman"/>
          <w:bCs/>
          <w:color w:val="auto"/>
          <w:kern w:val="0"/>
          <w:szCs w:val="21"/>
          <w:highlight w:val="none"/>
        </w:rPr>
      </w:pPr>
    </w:p>
    <w:p w14:paraId="695E4879">
      <w:pPr>
        <w:pStyle w:val="11"/>
        <w:rPr>
          <w:rFonts w:ascii="Times New Roman" w:hAnsi="Times New Roman" w:eastAsia="仿宋_GB2312" w:cs="Times New Roman"/>
          <w:bCs/>
          <w:color w:val="auto"/>
          <w:kern w:val="0"/>
          <w:szCs w:val="21"/>
          <w:highlight w:val="none"/>
        </w:rPr>
      </w:pPr>
    </w:p>
    <w:tbl>
      <w:tblPr>
        <w:tblStyle w:val="12"/>
        <w:tblW w:w="13081" w:type="dxa"/>
        <w:tblInd w:w="14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440"/>
        <w:gridCol w:w="26"/>
        <w:gridCol w:w="26"/>
        <w:gridCol w:w="4733"/>
        <w:gridCol w:w="1951"/>
        <w:gridCol w:w="1951"/>
        <w:gridCol w:w="1954"/>
      </w:tblGrid>
      <w:tr w14:paraId="58461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trPr>
        <w:tc>
          <w:tcPr>
            <w:tcW w:w="13081" w:type="dxa"/>
            <w:gridSpan w:val="7"/>
            <w:tcBorders>
              <w:top w:val="nil"/>
              <w:left w:val="nil"/>
              <w:bottom w:val="nil"/>
              <w:right w:val="nil"/>
            </w:tcBorders>
            <w:shd w:val="clear" w:color="auto" w:fill="auto"/>
            <w:noWrap/>
            <w:tcMar>
              <w:top w:w="10" w:type="dxa"/>
              <w:left w:w="10" w:type="dxa"/>
              <w:right w:w="10" w:type="dxa"/>
            </w:tcMar>
            <w:vAlign w:val="center"/>
          </w:tcPr>
          <w:p w14:paraId="56B4567B">
            <w:pPr>
              <w:keepNext w:val="0"/>
              <w:keepLines w:val="0"/>
              <w:widowControl/>
              <w:suppressLineNumbers w:val="0"/>
              <w:jc w:val="center"/>
              <w:textAlignment w:val="center"/>
              <w:rPr>
                <w:rFonts w:hint="eastAsia" w:ascii="宋体" w:hAnsi="宋体" w:eastAsia="宋体" w:cs="宋体"/>
                <w:b/>
                <w:i w:val="0"/>
                <w:color w:val="auto"/>
                <w:sz w:val="28"/>
                <w:szCs w:val="28"/>
                <w:highlight w:val="none"/>
                <w:u w:val="none"/>
              </w:rPr>
            </w:pPr>
            <w:r>
              <w:rPr>
                <w:rFonts w:hint="eastAsia" w:ascii="宋体" w:hAnsi="宋体" w:eastAsia="宋体" w:cs="宋体"/>
                <w:b/>
                <w:i w:val="0"/>
                <w:color w:val="auto"/>
                <w:kern w:val="0"/>
                <w:sz w:val="28"/>
                <w:szCs w:val="28"/>
                <w:highlight w:val="none"/>
                <w:u w:val="none"/>
                <w:lang w:val="en-US" w:eastAsia="zh-CN" w:bidi="ar"/>
              </w:rPr>
              <w:t>一般公共预算财政拨款支出决算表</w:t>
            </w:r>
          </w:p>
        </w:tc>
      </w:tr>
      <w:tr w14:paraId="61CA1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440" w:type="dxa"/>
            <w:tcBorders>
              <w:top w:val="nil"/>
              <w:left w:val="nil"/>
              <w:bottom w:val="nil"/>
              <w:right w:val="nil"/>
            </w:tcBorders>
            <w:shd w:val="clear" w:color="auto" w:fill="auto"/>
            <w:noWrap/>
            <w:tcMar>
              <w:top w:w="10" w:type="dxa"/>
              <w:left w:w="10" w:type="dxa"/>
              <w:right w:w="10" w:type="dxa"/>
            </w:tcMar>
            <w:vAlign w:val="bottom"/>
          </w:tcPr>
          <w:p w14:paraId="00654D2E">
            <w:pPr>
              <w:rPr>
                <w:rFonts w:hint="eastAsia" w:ascii="宋体" w:hAnsi="宋体" w:eastAsia="宋体" w:cs="宋体"/>
                <w:i w:val="0"/>
                <w:color w:val="auto"/>
                <w:sz w:val="22"/>
                <w:szCs w:val="22"/>
                <w:highlight w:val="none"/>
                <w:u w:val="none"/>
              </w:rPr>
            </w:pPr>
          </w:p>
        </w:tc>
        <w:tc>
          <w:tcPr>
            <w:tcW w:w="26" w:type="dxa"/>
            <w:tcBorders>
              <w:top w:val="nil"/>
              <w:left w:val="nil"/>
              <w:bottom w:val="nil"/>
              <w:right w:val="nil"/>
            </w:tcBorders>
            <w:shd w:val="clear" w:color="auto" w:fill="auto"/>
            <w:noWrap/>
            <w:tcMar>
              <w:top w:w="10" w:type="dxa"/>
              <w:left w:w="10" w:type="dxa"/>
              <w:right w:w="10" w:type="dxa"/>
            </w:tcMar>
            <w:vAlign w:val="bottom"/>
          </w:tcPr>
          <w:p w14:paraId="66AA467A">
            <w:pPr>
              <w:rPr>
                <w:rFonts w:hint="eastAsia" w:ascii="宋体" w:hAnsi="宋体" w:eastAsia="宋体" w:cs="宋体"/>
                <w:i w:val="0"/>
                <w:color w:val="auto"/>
                <w:sz w:val="22"/>
                <w:szCs w:val="22"/>
                <w:highlight w:val="none"/>
                <w:u w:val="none"/>
              </w:rPr>
            </w:pPr>
          </w:p>
        </w:tc>
        <w:tc>
          <w:tcPr>
            <w:tcW w:w="26" w:type="dxa"/>
            <w:tcBorders>
              <w:top w:val="nil"/>
              <w:left w:val="nil"/>
              <w:bottom w:val="nil"/>
              <w:right w:val="nil"/>
            </w:tcBorders>
            <w:shd w:val="clear" w:color="auto" w:fill="auto"/>
            <w:noWrap/>
            <w:tcMar>
              <w:top w:w="10" w:type="dxa"/>
              <w:left w:w="10" w:type="dxa"/>
              <w:right w:w="10" w:type="dxa"/>
            </w:tcMar>
            <w:vAlign w:val="bottom"/>
          </w:tcPr>
          <w:p w14:paraId="534D758C">
            <w:pPr>
              <w:rPr>
                <w:rFonts w:hint="eastAsia" w:ascii="宋体" w:hAnsi="宋体" w:eastAsia="宋体" w:cs="宋体"/>
                <w:i w:val="0"/>
                <w:color w:val="auto"/>
                <w:sz w:val="22"/>
                <w:szCs w:val="22"/>
                <w:highlight w:val="none"/>
                <w:u w:val="none"/>
              </w:rPr>
            </w:pPr>
          </w:p>
        </w:tc>
        <w:tc>
          <w:tcPr>
            <w:tcW w:w="4733" w:type="dxa"/>
            <w:tcBorders>
              <w:top w:val="nil"/>
              <w:left w:val="nil"/>
              <w:bottom w:val="nil"/>
              <w:right w:val="nil"/>
            </w:tcBorders>
            <w:shd w:val="clear" w:color="auto" w:fill="auto"/>
            <w:noWrap/>
            <w:tcMar>
              <w:top w:w="10" w:type="dxa"/>
              <w:left w:w="10" w:type="dxa"/>
              <w:right w:w="10" w:type="dxa"/>
            </w:tcMar>
            <w:vAlign w:val="bottom"/>
          </w:tcPr>
          <w:p w14:paraId="09B98DB4">
            <w:pPr>
              <w:rPr>
                <w:rFonts w:hint="eastAsia" w:ascii="宋体" w:hAnsi="宋体" w:eastAsia="宋体" w:cs="宋体"/>
                <w:i w:val="0"/>
                <w:color w:val="auto"/>
                <w:sz w:val="22"/>
                <w:szCs w:val="22"/>
                <w:highlight w:val="none"/>
                <w:u w:val="none"/>
              </w:rPr>
            </w:pPr>
          </w:p>
        </w:tc>
        <w:tc>
          <w:tcPr>
            <w:tcW w:w="1951" w:type="dxa"/>
            <w:tcBorders>
              <w:top w:val="nil"/>
              <w:left w:val="nil"/>
              <w:bottom w:val="nil"/>
              <w:right w:val="nil"/>
            </w:tcBorders>
            <w:shd w:val="clear" w:color="auto" w:fill="auto"/>
            <w:noWrap/>
            <w:tcMar>
              <w:top w:w="10" w:type="dxa"/>
              <w:left w:w="10" w:type="dxa"/>
              <w:right w:w="10" w:type="dxa"/>
            </w:tcMar>
            <w:vAlign w:val="bottom"/>
          </w:tcPr>
          <w:p w14:paraId="6A0894F8">
            <w:pPr>
              <w:rPr>
                <w:rFonts w:hint="eastAsia" w:ascii="宋体" w:hAnsi="宋体" w:eastAsia="宋体" w:cs="宋体"/>
                <w:i w:val="0"/>
                <w:color w:val="auto"/>
                <w:sz w:val="22"/>
                <w:szCs w:val="22"/>
                <w:highlight w:val="none"/>
                <w:u w:val="none"/>
              </w:rPr>
            </w:pPr>
          </w:p>
        </w:tc>
        <w:tc>
          <w:tcPr>
            <w:tcW w:w="1951" w:type="dxa"/>
            <w:tcBorders>
              <w:top w:val="nil"/>
              <w:left w:val="nil"/>
              <w:bottom w:val="nil"/>
              <w:right w:val="nil"/>
            </w:tcBorders>
            <w:shd w:val="clear" w:color="auto" w:fill="auto"/>
            <w:noWrap/>
            <w:tcMar>
              <w:top w:w="10" w:type="dxa"/>
              <w:left w:w="10" w:type="dxa"/>
              <w:right w:w="10" w:type="dxa"/>
            </w:tcMar>
            <w:vAlign w:val="center"/>
          </w:tcPr>
          <w:p w14:paraId="35ADCCF3">
            <w:pPr>
              <w:jc w:val="right"/>
              <w:rPr>
                <w:rFonts w:hint="eastAsia" w:ascii="宋体" w:hAnsi="宋体" w:eastAsia="宋体" w:cs="宋体"/>
                <w:i w:val="0"/>
                <w:color w:val="auto"/>
                <w:sz w:val="20"/>
                <w:szCs w:val="20"/>
                <w:highlight w:val="none"/>
                <w:u w:val="none"/>
              </w:rPr>
            </w:pPr>
          </w:p>
        </w:tc>
        <w:tc>
          <w:tcPr>
            <w:tcW w:w="1954" w:type="dxa"/>
            <w:tcBorders>
              <w:top w:val="nil"/>
              <w:left w:val="nil"/>
              <w:bottom w:val="nil"/>
              <w:right w:val="nil"/>
            </w:tcBorders>
            <w:shd w:val="clear" w:color="auto" w:fill="auto"/>
            <w:noWrap/>
            <w:tcMar>
              <w:top w:w="10" w:type="dxa"/>
              <w:left w:w="10" w:type="dxa"/>
              <w:right w:w="10" w:type="dxa"/>
            </w:tcMar>
            <w:vAlign w:val="center"/>
          </w:tcPr>
          <w:p w14:paraId="07D9E60E">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公开05表</w:t>
            </w:r>
          </w:p>
        </w:tc>
      </w:tr>
      <w:tr w14:paraId="4538E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440" w:type="dxa"/>
            <w:tcBorders>
              <w:top w:val="nil"/>
              <w:left w:val="nil"/>
              <w:bottom w:val="nil"/>
              <w:right w:val="nil"/>
            </w:tcBorders>
            <w:shd w:val="clear" w:color="auto" w:fill="auto"/>
            <w:noWrap/>
            <w:tcMar>
              <w:top w:w="10" w:type="dxa"/>
              <w:left w:w="10" w:type="dxa"/>
              <w:right w:w="10" w:type="dxa"/>
            </w:tcMar>
            <w:vAlign w:val="bottom"/>
          </w:tcPr>
          <w:p w14:paraId="4329C485">
            <w:pPr>
              <w:keepNext w:val="0"/>
              <w:keepLines w:val="0"/>
              <w:widowControl/>
              <w:suppressLineNumbers w:val="0"/>
              <w:jc w:val="left"/>
              <w:textAlignment w:val="bottom"/>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部门：湖南省农业农村厅</w:t>
            </w:r>
          </w:p>
        </w:tc>
        <w:tc>
          <w:tcPr>
            <w:tcW w:w="26" w:type="dxa"/>
            <w:tcBorders>
              <w:top w:val="nil"/>
              <w:left w:val="nil"/>
              <w:bottom w:val="nil"/>
              <w:right w:val="nil"/>
            </w:tcBorders>
            <w:shd w:val="clear" w:color="auto" w:fill="auto"/>
            <w:noWrap/>
            <w:tcMar>
              <w:top w:w="10" w:type="dxa"/>
              <w:left w:w="10" w:type="dxa"/>
              <w:right w:w="10" w:type="dxa"/>
            </w:tcMar>
            <w:vAlign w:val="bottom"/>
          </w:tcPr>
          <w:p w14:paraId="65BBAAEE">
            <w:pPr>
              <w:rPr>
                <w:rFonts w:hint="eastAsia" w:ascii="宋体" w:hAnsi="宋体" w:eastAsia="宋体" w:cs="宋体"/>
                <w:i w:val="0"/>
                <w:color w:val="auto"/>
                <w:sz w:val="22"/>
                <w:szCs w:val="22"/>
                <w:highlight w:val="none"/>
                <w:u w:val="none"/>
              </w:rPr>
            </w:pPr>
          </w:p>
        </w:tc>
        <w:tc>
          <w:tcPr>
            <w:tcW w:w="26" w:type="dxa"/>
            <w:tcBorders>
              <w:top w:val="nil"/>
              <w:left w:val="nil"/>
              <w:bottom w:val="nil"/>
              <w:right w:val="nil"/>
            </w:tcBorders>
            <w:shd w:val="clear" w:color="auto" w:fill="auto"/>
            <w:noWrap/>
            <w:tcMar>
              <w:top w:w="10" w:type="dxa"/>
              <w:left w:w="10" w:type="dxa"/>
              <w:right w:w="10" w:type="dxa"/>
            </w:tcMar>
            <w:vAlign w:val="bottom"/>
          </w:tcPr>
          <w:p w14:paraId="31BD02E0">
            <w:pPr>
              <w:rPr>
                <w:rFonts w:hint="eastAsia" w:ascii="宋体" w:hAnsi="宋体" w:eastAsia="宋体" w:cs="宋体"/>
                <w:i w:val="0"/>
                <w:color w:val="auto"/>
                <w:sz w:val="22"/>
                <w:szCs w:val="22"/>
                <w:highlight w:val="none"/>
                <w:u w:val="none"/>
              </w:rPr>
            </w:pPr>
          </w:p>
        </w:tc>
        <w:tc>
          <w:tcPr>
            <w:tcW w:w="4733" w:type="dxa"/>
            <w:tcBorders>
              <w:top w:val="nil"/>
              <w:left w:val="nil"/>
              <w:bottom w:val="nil"/>
              <w:right w:val="nil"/>
            </w:tcBorders>
            <w:shd w:val="clear" w:color="auto" w:fill="auto"/>
            <w:noWrap/>
            <w:tcMar>
              <w:top w:w="10" w:type="dxa"/>
              <w:left w:w="10" w:type="dxa"/>
              <w:right w:w="10" w:type="dxa"/>
            </w:tcMar>
            <w:vAlign w:val="bottom"/>
          </w:tcPr>
          <w:p w14:paraId="12F2ADF5">
            <w:pPr>
              <w:rPr>
                <w:rFonts w:hint="eastAsia" w:ascii="宋体" w:hAnsi="宋体" w:eastAsia="宋体" w:cs="宋体"/>
                <w:i w:val="0"/>
                <w:color w:val="auto"/>
                <w:sz w:val="22"/>
                <w:szCs w:val="22"/>
                <w:highlight w:val="none"/>
                <w:u w:val="none"/>
              </w:rPr>
            </w:pPr>
          </w:p>
        </w:tc>
        <w:tc>
          <w:tcPr>
            <w:tcW w:w="1951" w:type="dxa"/>
            <w:tcBorders>
              <w:top w:val="nil"/>
              <w:left w:val="nil"/>
              <w:bottom w:val="nil"/>
              <w:right w:val="nil"/>
            </w:tcBorders>
            <w:shd w:val="clear" w:color="auto" w:fill="auto"/>
            <w:noWrap/>
            <w:tcMar>
              <w:top w:w="10" w:type="dxa"/>
              <w:left w:w="10" w:type="dxa"/>
              <w:right w:w="10" w:type="dxa"/>
            </w:tcMar>
            <w:vAlign w:val="bottom"/>
          </w:tcPr>
          <w:p w14:paraId="0BB1D647">
            <w:pPr>
              <w:rPr>
                <w:rFonts w:hint="eastAsia" w:ascii="宋体" w:hAnsi="宋体" w:eastAsia="宋体" w:cs="宋体"/>
                <w:i w:val="0"/>
                <w:color w:val="auto"/>
                <w:sz w:val="22"/>
                <w:szCs w:val="22"/>
                <w:highlight w:val="none"/>
                <w:u w:val="none"/>
              </w:rPr>
            </w:pPr>
          </w:p>
        </w:tc>
        <w:tc>
          <w:tcPr>
            <w:tcW w:w="1951" w:type="dxa"/>
            <w:tcBorders>
              <w:top w:val="nil"/>
              <w:left w:val="nil"/>
              <w:bottom w:val="nil"/>
              <w:right w:val="nil"/>
            </w:tcBorders>
            <w:shd w:val="clear" w:color="auto" w:fill="auto"/>
            <w:noWrap/>
            <w:tcMar>
              <w:top w:w="10" w:type="dxa"/>
              <w:left w:w="10" w:type="dxa"/>
              <w:right w:w="10" w:type="dxa"/>
            </w:tcMar>
            <w:vAlign w:val="center"/>
          </w:tcPr>
          <w:p w14:paraId="2EC3A93A">
            <w:pPr>
              <w:jc w:val="right"/>
              <w:rPr>
                <w:rFonts w:hint="eastAsia" w:ascii="宋体" w:hAnsi="宋体" w:eastAsia="宋体" w:cs="宋体"/>
                <w:i w:val="0"/>
                <w:color w:val="auto"/>
                <w:sz w:val="20"/>
                <w:szCs w:val="20"/>
                <w:highlight w:val="none"/>
                <w:u w:val="none"/>
              </w:rPr>
            </w:pPr>
          </w:p>
        </w:tc>
        <w:tc>
          <w:tcPr>
            <w:tcW w:w="1954" w:type="dxa"/>
            <w:tcBorders>
              <w:top w:val="nil"/>
              <w:left w:val="nil"/>
              <w:bottom w:val="nil"/>
              <w:right w:val="nil"/>
            </w:tcBorders>
            <w:shd w:val="clear" w:color="auto" w:fill="auto"/>
            <w:noWrap/>
            <w:tcMar>
              <w:top w:w="10" w:type="dxa"/>
              <w:left w:w="10" w:type="dxa"/>
              <w:right w:w="10" w:type="dxa"/>
            </w:tcMar>
            <w:vAlign w:val="center"/>
          </w:tcPr>
          <w:p w14:paraId="340B12BB">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单位：万元</w:t>
            </w:r>
          </w:p>
        </w:tc>
      </w:tr>
      <w:tr w14:paraId="69462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2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5A97B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w:t>
            </w:r>
          </w:p>
        </w:tc>
        <w:tc>
          <w:tcPr>
            <w:tcW w:w="5856"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35431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本年支出</w:t>
            </w:r>
          </w:p>
        </w:tc>
      </w:tr>
      <w:tr w14:paraId="6760A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F1FFE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科目代码</w:t>
            </w:r>
          </w:p>
        </w:tc>
        <w:tc>
          <w:tcPr>
            <w:tcW w:w="473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1FF41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科目名称</w:t>
            </w:r>
          </w:p>
        </w:tc>
        <w:tc>
          <w:tcPr>
            <w:tcW w:w="195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ECF4D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小计</w:t>
            </w:r>
          </w:p>
        </w:tc>
        <w:tc>
          <w:tcPr>
            <w:tcW w:w="195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C9A15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基本支出</w:t>
            </w:r>
          </w:p>
        </w:tc>
        <w:tc>
          <w:tcPr>
            <w:tcW w:w="195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D6386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项目支出</w:t>
            </w:r>
          </w:p>
        </w:tc>
      </w:tr>
      <w:tr w14:paraId="36610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49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C9868C">
            <w:pPr>
              <w:jc w:val="center"/>
              <w:rPr>
                <w:rFonts w:hint="eastAsia" w:ascii="宋体" w:hAnsi="宋体" w:eastAsia="宋体" w:cs="宋体"/>
                <w:i w:val="0"/>
                <w:color w:val="auto"/>
                <w:sz w:val="22"/>
                <w:szCs w:val="22"/>
                <w:highlight w:val="none"/>
                <w:u w:val="none"/>
              </w:rPr>
            </w:pPr>
          </w:p>
        </w:tc>
        <w:tc>
          <w:tcPr>
            <w:tcW w:w="473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CBDE53">
            <w:pPr>
              <w:jc w:val="center"/>
              <w:rPr>
                <w:rFonts w:hint="eastAsia" w:ascii="宋体" w:hAnsi="宋体" w:eastAsia="宋体" w:cs="宋体"/>
                <w:i w:val="0"/>
                <w:color w:val="auto"/>
                <w:sz w:val="22"/>
                <w:szCs w:val="22"/>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363293">
            <w:pPr>
              <w:jc w:val="center"/>
              <w:rPr>
                <w:rFonts w:hint="eastAsia" w:ascii="宋体" w:hAnsi="宋体" w:eastAsia="宋体" w:cs="宋体"/>
                <w:i w:val="0"/>
                <w:color w:val="auto"/>
                <w:sz w:val="22"/>
                <w:szCs w:val="22"/>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264500">
            <w:pPr>
              <w:jc w:val="center"/>
              <w:rPr>
                <w:rFonts w:hint="eastAsia" w:ascii="宋体" w:hAnsi="宋体" w:eastAsia="宋体" w:cs="宋体"/>
                <w:i w:val="0"/>
                <w:color w:val="auto"/>
                <w:sz w:val="22"/>
                <w:szCs w:val="22"/>
                <w:highlight w:val="none"/>
                <w:u w:val="none"/>
              </w:rPr>
            </w:pPr>
          </w:p>
        </w:tc>
        <w:tc>
          <w:tcPr>
            <w:tcW w:w="19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EC8DE7">
            <w:pPr>
              <w:jc w:val="center"/>
              <w:rPr>
                <w:rFonts w:hint="eastAsia" w:ascii="宋体" w:hAnsi="宋体" w:eastAsia="宋体" w:cs="宋体"/>
                <w:i w:val="0"/>
                <w:color w:val="auto"/>
                <w:sz w:val="22"/>
                <w:szCs w:val="22"/>
                <w:highlight w:val="none"/>
                <w:u w:val="none"/>
              </w:rPr>
            </w:pPr>
          </w:p>
        </w:tc>
      </w:tr>
      <w:tr w14:paraId="09D01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49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99168F">
            <w:pPr>
              <w:jc w:val="center"/>
              <w:rPr>
                <w:rFonts w:hint="eastAsia" w:ascii="宋体" w:hAnsi="宋体" w:eastAsia="宋体" w:cs="宋体"/>
                <w:i w:val="0"/>
                <w:color w:val="auto"/>
                <w:sz w:val="22"/>
                <w:szCs w:val="22"/>
                <w:highlight w:val="none"/>
                <w:u w:val="none"/>
              </w:rPr>
            </w:pPr>
          </w:p>
        </w:tc>
        <w:tc>
          <w:tcPr>
            <w:tcW w:w="473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E6B94B">
            <w:pPr>
              <w:jc w:val="center"/>
              <w:rPr>
                <w:rFonts w:hint="eastAsia" w:ascii="宋体" w:hAnsi="宋体" w:eastAsia="宋体" w:cs="宋体"/>
                <w:i w:val="0"/>
                <w:color w:val="auto"/>
                <w:sz w:val="22"/>
                <w:szCs w:val="22"/>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F37EF3">
            <w:pPr>
              <w:jc w:val="center"/>
              <w:rPr>
                <w:rFonts w:hint="eastAsia" w:ascii="宋体" w:hAnsi="宋体" w:eastAsia="宋体" w:cs="宋体"/>
                <w:i w:val="0"/>
                <w:color w:val="auto"/>
                <w:sz w:val="22"/>
                <w:szCs w:val="22"/>
                <w:highlight w:val="none"/>
                <w:u w:val="none"/>
              </w:rPr>
            </w:pPr>
          </w:p>
        </w:tc>
        <w:tc>
          <w:tcPr>
            <w:tcW w:w="19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78682D">
            <w:pPr>
              <w:jc w:val="center"/>
              <w:rPr>
                <w:rFonts w:hint="eastAsia" w:ascii="宋体" w:hAnsi="宋体" w:eastAsia="宋体" w:cs="宋体"/>
                <w:i w:val="0"/>
                <w:color w:val="auto"/>
                <w:sz w:val="22"/>
                <w:szCs w:val="22"/>
                <w:highlight w:val="none"/>
                <w:u w:val="none"/>
              </w:rPr>
            </w:pPr>
          </w:p>
        </w:tc>
        <w:tc>
          <w:tcPr>
            <w:tcW w:w="19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7332EE">
            <w:pPr>
              <w:jc w:val="center"/>
              <w:rPr>
                <w:rFonts w:hint="eastAsia" w:ascii="宋体" w:hAnsi="宋体" w:eastAsia="宋体" w:cs="宋体"/>
                <w:i w:val="0"/>
                <w:color w:val="auto"/>
                <w:sz w:val="22"/>
                <w:szCs w:val="22"/>
                <w:highlight w:val="none"/>
                <w:u w:val="none"/>
              </w:rPr>
            </w:pPr>
          </w:p>
        </w:tc>
      </w:tr>
      <w:tr w14:paraId="3AE2F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2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97D69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栏次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21FFF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84474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58E96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r>
      <w:tr w14:paraId="63E98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22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0DBC6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合计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8106DA">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81,162.35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6EB3B4">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45,459.43</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453129">
            <w:pPr>
              <w:keepNext w:val="0"/>
              <w:keepLines w:val="0"/>
              <w:widowControl/>
              <w:suppressLineNumbers w:val="0"/>
              <w:jc w:val="right"/>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35,702.92</w:t>
            </w:r>
          </w:p>
        </w:tc>
      </w:tr>
      <w:tr w14:paraId="08B16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9C420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1DA28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一般公共服务支出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7D96E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260.71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8D67D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3128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260.71</w:t>
            </w:r>
          </w:p>
        </w:tc>
      </w:tr>
      <w:tr w14:paraId="50DF4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14669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20104</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7E394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发展与改革事务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DA5A7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082B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97835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w:t>
            </w:r>
          </w:p>
        </w:tc>
      </w:tr>
      <w:tr w14:paraId="4A367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8D2A8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2010499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CC209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其他发展与改革事务支出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75370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74A15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194B8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30.00</w:t>
            </w:r>
          </w:p>
        </w:tc>
      </w:tr>
      <w:tr w14:paraId="32F2B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A812B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20106</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A1B44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财政事务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BECD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209.55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9E9C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A9695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209.55</w:t>
            </w:r>
          </w:p>
        </w:tc>
      </w:tr>
      <w:tr w14:paraId="65E7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F3D97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2010699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A858C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其他财政事务支出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FE68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209.55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34971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B0DC7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209.55</w:t>
            </w:r>
          </w:p>
        </w:tc>
      </w:tr>
      <w:tr w14:paraId="4114D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A5D26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129AE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市场监督管理事务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2C1C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21.16</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C40CC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88E24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21.16</w:t>
            </w:r>
          </w:p>
        </w:tc>
      </w:tr>
      <w:tr w14:paraId="5E6C5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14C74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2013810</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F3C84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质量基础</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4C1A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16.08</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5F98C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6FC85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16.08</w:t>
            </w:r>
          </w:p>
        </w:tc>
      </w:tr>
      <w:tr w14:paraId="3866B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1462B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2013899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448A0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其他市场监督管理事务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4A71F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5.08</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5E1D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D275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5.08</w:t>
            </w:r>
          </w:p>
        </w:tc>
      </w:tr>
      <w:tr w14:paraId="30F64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06144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20432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教育支出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5D7B5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3,104.95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C9317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1,326.80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9D269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1,778.15</w:t>
            </w:r>
          </w:p>
        </w:tc>
      </w:tr>
      <w:tr w14:paraId="2EDAB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F923A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20503</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BA184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职业教育</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9D8A1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3,104.95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095B8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1,326.80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40CF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1,778.15</w:t>
            </w:r>
          </w:p>
        </w:tc>
      </w:tr>
      <w:tr w14:paraId="230F3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C7FE6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2050302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5D458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中等职业教育</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F05B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3,104.95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A916D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1,326.80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CF9DC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1,778.15</w:t>
            </w:r>
          </w:p>
        </w:tc>
      </w:tr>
      <w:tr w14:paraId="16A34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F5427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2DCB6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科学技术支出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9B778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255.57</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7EA8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F0743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255.57</w:t>
            </w:r>
          </w:p>
        </w:tc>
      </w:tr>
      <w:tr w14:paraId="33298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A3FA9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1A032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基础研究</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B0F0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658BE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9D283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13.01</w:t>
            </w:r>
          </w:p>
        </w:tc>
      </w:tr>
      <w:tr w14:paraId="10005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4253A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2060203</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F220D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自然科学基金</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F5948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9807F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5F72C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13.01</w:t>
            </w:r>
          </w:p>
        </w:tc>
      </w:tr>
      <w:tr w14:paraId="49F15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8BA33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13780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科学技术普及</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0ACE7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7FB67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14599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9.25</w:t>
            </w:r>
          </w:p>
        </w:tc>
      </w:tr>
      <w:tr w14:paraId="62AB5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42946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2060702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4ECD2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科普活动</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D5353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68EE3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9FC6A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r>
      <w:tr w14:paraId="49C9D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4F4E1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2060704</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59CE4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学术交流活动</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7D808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1C094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80E8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3.25</w:t>
            </w:r>
          </w:p>
        </w:tc>
      </w:tr>
      <w:tr w14:paraId="501D0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E4A78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2060799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2925E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其他科学技术普及支出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0E127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7D14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F4300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w:t>
            </w:r>
          </w:p>
        </w:tc>
      </w:tr>
      <w:tr w14:paraId="4516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0D086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EDB5B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科技重大项目</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0B515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218.32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D7316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DC64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218.32</w:t>
            </w:r>
          </w:p>
        </w:tc>
      </w:tr>
      <w:tr w14:paraId="44349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83243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2060902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CF08D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重点研发计划</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7DD5F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218.32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127D5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C64F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218.32</w:t>
            </w:r>
          </w:p>
        </w:tc>
      </w:tr>
      <w:tr w14:paraId="407E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E20DA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C8131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其他科学技术支出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E2B9C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A04DC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8C76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r>
      <w:tr w14:paraId="576C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139E9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2069901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D35EB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科技奖励</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BB996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A669E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F37A2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r>
      <w:tr w14:paraId="716F7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942D6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EBF1C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社会保障和就业支出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4501C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3,281.02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A061B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3,278.34</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F5945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2.68</w:t>
            </w:r>
          </w:p>
        </w:tc>
      </w:tr>
      <w:tr w14:paraId="1ECC9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F5D21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8BDD7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人力资源和社会保障管理事务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87C6E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18.79</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29270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16.59</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703A0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r>
      <w:tr w14:paraId="61D2B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A9EF6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2080107</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9B7F3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社会保险业务管理事务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95C61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16.59</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F3A5E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16.59</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BF10F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A81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C78E9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2080199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13DC4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其他人力资源和社会保障管理事务支出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5EABB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B276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39B8F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w:t>
            </w:r>
          </w:p>
        </w:tc>
      </w:tr>
      <w:tr w14:paraId="28DC8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42DDB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A7312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行政事业单位养老支出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D897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2,872.91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1B400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2,872.91</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09E86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9586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FC6CC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2080502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0E57F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事业单位离退休</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FFB4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487.38</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8E3B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487.38</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9BD7A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F72E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12D85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2080505</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F2432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机关事业单位基本养老保险缴费支出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A5BBA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2,385.53</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08554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2,385.53</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AA42B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60B1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F9517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20808</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EEC6A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抚恤</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95BF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FEA64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839F8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3286E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50EAE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2080801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472D8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死亡抚恤</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2A354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5F53D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388.84</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A964E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9032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6DA91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845B4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其他社会保障和就业支出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ECA4A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0.48</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69655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AC39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0.48</w:t>
            </w:r>
          </w:p>
        </w:tc>
      </w:tr>
      <w:tr w14:paraId="71471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B68E0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2089999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E6821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其他社会保障和就业支出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F1497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0.48</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C335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E54F1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0.48</w:t>
            </w:r>
          </w:p>
        </w:tc>
      </w:tr>
      <w:tr w14:paraId="75DEC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C6CE5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095E8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卫生健康支出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9F10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103.29</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27464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101.85</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6909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1.44</w:t>
            </w:r>
          </w:p>
        </w:tc>
      </w:tr>
      <w:tr w14:paraId="510B2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E2C13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E050C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公共卫生</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64B07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1.44</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F581F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7A157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1.44</w:t>
            </w:r>
          </w:p>
        </w:tc>
      </w:tr>
      <w:tr w14:paraId="1E0B4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47911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2100409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916CE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重大公共卫生服务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9E435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1.44</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F6E8D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BCA2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1.44</w:t>
            </w:r>
          </w:p>
        </w:tc>
      </w:tr>
      <w:tr w14:paraId="29F07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08565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485BE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行政事业单位医疗</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97F14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101.85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0FF67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101.85</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98959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1FCC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9F833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110EA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行政单位医疗</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6FCD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63.22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66715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63.22</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57BD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DA5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EF630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2101103</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E4249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公务员医疗补助</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A3E5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5745F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70ABB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7F63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A136A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2101199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6D5F3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其他行政事业单位医疗支出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5AF28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5.64</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99882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5.64</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3F529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66B59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C3E9B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92324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节能环保支出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F6FCA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FF96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B6DC1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r>
      <w:tr w14:paraId="4303C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8E567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21110</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AB351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能源节约利用</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D41A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8BF8D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5C805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r>
      <w:tr w14:paraId="30C6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8A5C1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2111001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A3A89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能源节约利用</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8031D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2075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98694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r>
      <w:tr w14:paraId="6ACBD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67608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234B1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农林水支出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D0FB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72,967.72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13AE1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39,654.78</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ABF8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33,312.94</w:t>
            </w:r>
          </w:p>
        </w:tc>
      </w:tr>
      <w:tr w14:paraId="557D0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0EF5B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3EF4F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农业农村</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AA88A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69,507.66</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8BCA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39,654.78</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16481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29,852.88</w:t>
            </w:r>
          </w:p>
        </w:tc>
      </w:tr>
      <w:tr w14:paraId="7657B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2EE0F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20B80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行政运行</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8E30C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22,723.30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84D97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21,742.88</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41FF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980.42</w:t>
            </w:r>
          </w:p>
        </w:tc>
      </w:tr>
      <w:tr w14:paraId="0DFEE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A0135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A66D2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一般行政管理事务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071AF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807.48</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93EF4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B6A74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807.48</w:t>
            </w:r>
          </w:p>
        </w:tc>
      </w:tr>
      <w:tr w14:paraId="0993A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4E49F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2130103</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33C9D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机关服务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DADB4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725.11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E4B5A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719.11</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10019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w:t>
            </w:r>
          </w:p>
        </w:tc>
      </w:tr>
      <w:tr w14:paraId="0F865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8A367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2130104</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F7C04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事业运行</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4F2A2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17,858.42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4389E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17,184.02</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4E23E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674.40</w:t>
            </w:r>
          </w:p>
        </w:tc>
      </w:tr>
      <w:tr w14:paraId="43293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5EE78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2130105</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61ECD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农垦运行</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6A57B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23.71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22B8D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ED64E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23.71</w:t>
            </w:r>
          </w:p>
        </w:tc>
      </w:tr>
      <w:tr w14:paraId="0E757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3E16C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2130106</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58627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科技转化与推广服务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13E0B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1,261.84</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3BCE3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7046B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1,261.84</w:t>
            </w:r>
          </w:p>
        </w:tc>
      </w:tr>
      <w:tr w14:paraId="5434F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A7BEA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2130108</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87243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病虫害控制</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1EE3A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5,074.50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A6C18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877D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5,074.50</w:t>
            </w:r>
          </w:p>
        </w:tc>
      </w:tr>
      <w:tr w14:paraId="35257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3FAAE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2130109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8FAB4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农产品质量安全</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4D7E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1,291.91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34F90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0415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1,291.91</w:t>
            </w:r>
          </w:p>
        </w:tc>
      </w:tr>
      <w:tr w14:paraId="09646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65176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2130110</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29542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执法监管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D731F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853.19</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5CFCB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C5DF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853.19</w:t>
            </w:r>
          </w:p>
        </w:tc>
      </w:tr>
      <w:tr w14:paraId="1EAE0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CAA35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52106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统计监测与信息服务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2C3A7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270.99</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C1203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0217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270.99</w:t>
            </w:r>
          </w:p>
        </w:tc>
      </w:tr>
      <w:tr w14:paraId="34D5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0DF42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2130114</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81BFE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对外交流与合作</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241FD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1,110.00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8C0B4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0811E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1,110.00</w:t>
            </w:r>
          </w:p>
        </w:tc>
      </w:tr>
      <w:tr w14:paraId="298AA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F9C99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2130119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C5DDF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防灾救灾</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43453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8.78</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422C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8.78</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CABD5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7CC91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FEA88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2130122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6F6F5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农业生产发展</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512E6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11,765.51</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8A076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DA9E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11,765.51</w:t>
            </w:r>
          </w:p>
        </w:tc>
      </w:tr>
      <w:tr w14:paraId="77349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EAA39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2130125</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2A056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农产品加工与促销</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26EFE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234.38</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41CCA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7DE8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234.38</w:t>
            </w:r>
          </w:p>
        </w:tc>
      </w:tr>
      <w:tr w14:paraId="2F8D9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94165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2130126</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D89F9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农村社会事业</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1E16F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190.89</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0166B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DA2B4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190.89</w:t>
            </w:r>
          </w:p>
        </w:tc>
      </w:tr>
      <w:tr w14:paraId="3C523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BABEAD">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2130135</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51526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农业资源保护修复与利用</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858F5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1,707.32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2DB17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70D5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1,707.32</w:t>
            </w:r>
          </w:p>
        </w:tc>
      </w:tr>
      <w:tr w14:paraId="51E2E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1CDCE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2130153</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9A3EB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农田建设</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55722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451.42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A2E53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5BF28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451.42</w:t>
            </w:r>
          </w:p>
        </w:tc>
      </w:tr>
      <w:tr w14:paraId="79863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5865B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2130199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8D883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其他农业农村支出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1D066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3,148.92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BA2C3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07A8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3,148.92</w:t>
            </w:r>
          </w:p>
        </w:tc>
      </w:tr>
      <w:tr w14:paraId="0B540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B1175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7F83CE">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林业和草原</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C6C92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1,821.06</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C8486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5B690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1,821.06</w:t>
            </w:r>
          </w:p>
        </w:tc>
      </w:tr>
      <w:tr w14:paraId="5A479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01044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2130299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A1EBF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其他林业和草原支出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302F2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1,821.06</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1137E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092D1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1,821.06</w:t>
            </w:r>
          </w:p>
        </w:tc>
      </w:tr>
      <w:tr w14:paraId="6542B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DEFBC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522FD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目标价格补贴</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CA5A4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1,505.19</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A1C4F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59361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1,505.19</w:t>
            </w:r>
          </w:p>
        </w:tc>
      </w:tr>
      <w:tr w14:paraId="64D21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FF5534">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2130901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FB82C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棉花目标价格补贴</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1E24F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1,505.19</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3B8D0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9BAE8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1,505.19</w:t>
            </w:r>
          </w:p>
        </w:tc>
      </w:tr>
      <w:tr w14:paraId="45E04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DD079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76217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其他农林水支出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DB8E9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133.80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79463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2C9C2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133.80</w:t>
            </w:r>
          </w:p>
        </w:tc>
      </w:tr>
      <w:tr w14:paraId="798FE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9B993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2139999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051AF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其他农林水支出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FBEDF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133.80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912E8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9F4CE3">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133.80</w:t>
            </w:r>
          </w:p>
        </w:tc>
      </w:tr>
      <w:tr w14:paraId="65E66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96E09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B1C6AA">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商业服务业等支出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194F6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2E084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DA616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D714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B1B70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21606</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A28D2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涉外发展服务支出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27292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CC9F0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3DF65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4C11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77E3D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2160699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095D5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其他涉外发展服务支出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8B5EAF">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739B6C">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7BE3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0A7F4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7AF332">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7767E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住房保障支出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1CBF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8FE18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CFD39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1AAD4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E0087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8CE257">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住房改革支出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C9645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4A7EF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1,097.65</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C5AA2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45DE5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4AFDB0">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E2EE08">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住房公积金</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D48B8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1,095.12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A4C5C6">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1,095.12</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2EB4B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EBA5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AC1816">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2210203</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2421E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购房补贴</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09198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2.52</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82914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2.52</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7C4ED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r>
      <w:tr w14:paraId="24968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40B12B">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213BA5">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粮油物资储备支出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3A6D9B">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9A02C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DC42D7">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r>
      <w:tr w14:paraId="7F13A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BF3DA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22201</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33C781">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粮油物资事务</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DE598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32A11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A80E11">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r>
      <w:tr w14:paraId="694DB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65120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2220199</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E79A6C">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其他粮油物资事务支出</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1E991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c>
          <w:tcPr>
            <w:tcW w:w="19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FFBC02">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0.00</w:t>
            </w:r>
          </w:p>
        </w:tc>
        <w:tc>
          <w:tcPr>
            <w:tcW w:w="19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B689B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51.43</w:t>
            </w:r>
          </w:p>
        </w:tc>
      </w:tr>
      <w:tr w14:paraId="13E95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3081" w:type="dxa"/>
            <w:gridSpan w:val="7"/>
            <w:tcBorders>
              <w:top w:val="nil"/>
              <w:left w:val="nil"/>
              <w:bottom w:val="nil"/>
              <w:right w:val="nil"/>
            </w:tcBorders>
            <w:shd w:val="clear" w:color="auto" w:fill="auto"/>
            <w:noWrap/>
            <w:tcMar>
              <w:top w:w="10" w:type="dxa"/>
              <w:left w:w="10" w:type="dxa"/>
              <w:right w:w="10" w:type="dxa"/>
            </w:tcMar>
            <w:vAlign w:val="center"/>
          </w:tcPr>
          <w:p w14:paraId="3556CB99">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注：本表反映部门本年度一般公共预算财政拨款支出情况。</w:t>
            </w:r>
          </w:p>
        </w:tc>
      </w:tr>
    </w:tbl>
    <w:p w14:paraId="42422D8F">
      <w:pPr>
        <w:rPr>
          <w:rFonts w:ascii="Times New Roman" w:hAnsi="Times New Roman" w:eastAsia="仿宋_GB2312" w:cs="Times New Roman"/>
          <w:bCs/>
          <w:color w:val="auto"/>
          <w:kern w:val="0"/>
          <w:szCs w:val="21"/>
          <w:highlight w:val="none"/>
        </w:rPr>
      </w:pPr>
    </w:p>
    <w:p w14:paraId="6633F512">
      <w:pPr>
        <w:pStyle w:val="10"/>
        <w:rPr>
          <w:color w:val="auto"/>
          <w:highlight w:val="none"/>
        </w:rPr>
      </w:pPr>
    </w:p>
    <w:p w14:paraId="25AA3FBC">
      <w:pPr>
        <w:widowControl/>
        <w:jc w:val="left"/>
        <w:rPr>
          <w:rFonts w:ascii="Times New Roman" w:hAnsi="Times New Roman" w:eastAsia="仿宋_GB2312" w:cs="Times New Roman"/>
          <w:bCs/>
          <w:color w:val="auto"/>
          <w:kern w:val="0"/>
          <w:szCs w:val="21"/>
          <w:highlight w:val="none"/>
        </w:rPr>
      </w:pPr>
      <w:r>
        <w:rPr>
          <w:rFonts w:ascii="Times New Roman" w:hAnsi="Times New Roman" w:eastAsia="仿宋_GB2312" w:cs="Times New Roman"/>
          <w:bCs/>
          <w:color w:val="auto"/>
          <w:kern w:val="0"/>
          <w:szCs w:val="21"/>
          <w:highlight w:val="none"/>
        </w:rPr>
        <w:br w:type="page"/>
      </w:r>
      <w:r>
        <w:rPr>
          <w:highlight w:val="none"/>
        </w:rPr>
        <w:drawing>
          <wp:inline distT="0" distB="0" distL="114300" distR="114300">
            <wp:extent cx="9777095" cy="6064885"/>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9777095" cy="6064885"/>
                    </a:xfrm>
                    <a:prstGeom prst="rect">
                      <a:avLst/>
                    </a:prstGeom>
                    <a:noFill/>
                    <a:ln>
                      <a:noFill/>
                    </a:ln>
                  </pic:spPr>
                </pic:pic>
              </a:graphicData>
            </a:graphic>
          </wp:inline>
        </w:drawing>
      </w:r>
    </w:p>
    <w:tbl>
      <w:tblPr>
        <w:tblStyle w:val="12"/>
        <w:tblW w:w="15614" w:type="dxa"/>
        <w:tblInd w:w="0" w:type="dxa"/>
        <w:tblLayout w:type="fixed"/>
        <w:tblCellMar>
          <w:top w:w="0" w:type="dxa"/>
          <w:left w:w="108" w:type="dxa"/>
          <w:bottom w:w="0" w:type="dxa"/>
          <w:right w:w="108" w:type="dxa"/>
        </w:tblCellMar>
      </w:tblPr>
      <w:tblGrid>
        <w:gridCol w:w="1003"/>
        <w:gridCol w:w="240"/>
        <w:gridCol w:w="1402"/>
        <w:gridCol w:w="2119"/>
        <w:gridCol w:w="2119"/>
        <w:gridCol w:w="2119"/>
        <w:gridCol w:w="2119"/>
        <w:gridCol w:w="2119"/>
        <w:gridCol w:w="2120"/>
        <w:gridCol w:w="254"/>
      </w:tblGrid>
      <w:tr w14:paraId="49529E86">
        <w:tblPrEx>
          <w:tblCellMar>
            <w:top w:w="0" w:type="dxa"/>
            <w:left w:w="108" w:type="dxa"/>
            <w:bottom w:w="0" w:type="dxa"/>
            <w:right w:w="108" w:type="dxa"/>
          </w:tblCellMar>
        </w:tblPrEx>
        <w:trPr>
          <w:trHeight w:val="113" w:hRule="atLeast"/>
        </w:trPr>
        <w:tc>
          <w:tcPr>
            <w:tcW w:w="15614" w:type="dxa"/>
            <w:gridSpan w:val="10"/>
            <w:tcBorders>
              <w:top w:val="nil"/>
              <w:left w:val="nil"/>
              <w:bottom w:val="nil"/>
              <w:right w:val="nil"/>
            </w:tcBorders>
            <w:shd w:val="clear" w:color="auto" w:fill="auto"/>
            <w:noWrap/>
            <w:vAlign w:val="center"/>
          </w:tcPr>
          <w:p w14:paraId="6E6A48E9">
            <w:pPr>
              <w:widowControl/>
              <w:jc w:val="right"/>
              <w:rPr>
                <w:rFonts w:ascii="华文中宋" w:hAnsi="华文中宋" w:eastAsia="华文中宋" w:cs="宋体"/>
                <w:color w:val="auto"/>
                <w:kern w:val="0"/>
                <w:szCs w:val="32"/>
                <w:highlight w:val="none"/>
              </w:rPr>
            </w:pPr>
          </w:p>
        </w:tc>
      </w:tr>
      <w:tr w14:paraId="62AEAFC0">
        <w:tblPrEx>
          <w:tblCellMar>
            <w:top w:w="0" w:type="dxa"/>
            <w:left w:w="108" w:type="dxa"/>
            <w:bottom w:w="0" w:type="dxa"/>
            <w:right w:w="108" w:type="dxa"/>
          </w:tblCellMar>
        </w:tblPrEx>
        <w:trPr>
          <w:trHeight w:val="284" w:hRule="exact"/>
        </w:trPr>
        <w:tc>
          <w:tcPr>
            <w:tcW w:w="15614" w:type="dxa"/>
            <w:gridSpan w:val="10"/>
            <w:tcBorders>
              <w:top w:val="nil"/>
              <w:left w:val="nil"/>
              <w:bottom w:val="nil"/>
              <w:right w:val="nil"/>
            </w:tcBorders>
            <w:shd w:val="clear" w:color="auto" w:fill="auto"/>
            <w:noWrap/>
            <w:vAlign w:val="center"/>
          </w:tcPr>
          <w:p w14:paraId="29AFD730">
            <w:pPr>
              <w:widowControl/>
              <w:jc w:val="left"/>
              <w:rPr>
                <w:rFonts w:ascii="宋体" w:hAnsi="宋体" w:eastAsia="宋体" w:cs="宋体"/>
                <w:color w:val="auto"/>
                <w:kern w:val="0"/>
                <w:szCs w:val="24"/>
                <w:highlight w:val="none"/>
              </w:rPr>
            </w:pPr>
          </w:p>
        </w:tc>
      </w:tr>
      <w:tr w14:paraId="774C1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690" w:hRule="atLeast"/>
        </w:trPr>
        <w:tc>
          <w:tcPr>
            <w:tcW w:w="15360" w:type="dxa"/>
            <w:gridSpan w:val="9"/>
            <w:tcBorders>
              <w:top w:val="nil"/>
              <w:left w:val="nil"/>
              <w:bottom w:val="nil"/>
              <w:right w:val="nil"/>
            </w:tcBorders>
            <w:shd w:val="clear" w:color="auto" w:fill="FFFFFF"/>
            <w:vAlign w:val="center"/>
          </w:tcPr>
          <w:p w14:paraId="1A68B084">
            <w:pPr>
              <w:keepNext w:val="0"/>
              <w:keepLines w:val="0"/>
              <w:widowControl/>
              <w:suppressLineNumbers w:val="0"/>
              <w:jc w:val="center"/>
              <w:textAlignment w:val="center"/>
              <w:rPr>
                <w:rFonts w:ascii="华文中宋" w:hAnsi="华文中宋" w:eastAsia="华文中宋" w:cs="华文中宋"/>
                <w:i w:val="0"/>
                <w:color w:val="auto"/>
                <w:sz w:val="32"/>
                <w:szCs w:val="32"/>
                <w:highlight w:val="none"/>
                <w:u w:val="none"/>
              </w:rPr>
            </w:pPr>
            <w:r>
              <w:rPr>
                <w:rFonts w:hint="eastAsia" w:ascii="华文中宋" w:hAnsi="华文中宋" w:eastAsia="华文中宋" w:cs="华文中宋"/>
                <w:i w:val="0"/>
                <w:color w:val="auto"/>
                <w:kern w:val="0"/>
                <w:sz w:val="32"/>
                <w:szCs w:val="32"/>
                <w:highlight w:val="none"/>
                <w:u w:val="none"/>
                <w:lang w:val="en-US" w:eastAsia="zh-CN" w:bidi="ar"/>
              </w:rPr>
              <w:t>政府性基金预算财政拨款收入支出决算表</w:t>
            </w:r>
          </w:p>
        </w:tc>
      </w:tr>
      <w:tr w14:paraId="735E6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345" w:hRule="atLeast"/>
        </w:trPr>
        <w:tc>
          <w:tcPr>
            <w:tcW w:w="1003" w:type="dxa"/>
            <w:tcBorders>
              <w:top w:val="nil"/>
              <w:left w:val="nil"/>
              <w:bottom w:val="nil"/>
              <w:right w:val="nil"/>
            </w:tcBorders>
            <w:shd w:val="clear" w:color="auto" w:fill="FFFFFF"/>
            <w:vAlign w:val="center"/>
          </w:tcPr>
          <w:p w14:paraId="255F391C">
            <w:pPr>
              <w:jc w:val="center"/>
              <w:rPr>
                <w:rFonts w:hint="eastAsia" w:ascii="宋体" w:hAnsi="宋体" w:eastAsia="宋体" w:cs="宋体"/>
                <w:i w:val="0"/>
                <w:color w:val="auto"/>
                <w:sz w:val="20"/>
                <w:szCs w:val="20"/>
                <w:highlight w:val="none"/>
                <w:u w:val="none"/>
              </w:rPr>
            </w:pPr>
          </w:p>
        </w:tc>
        <w:tc>
          <w:tcPr>
            <w:tcW w:w="240" w:type="dxa"/>
            <w:tcBorders>
              <w:top w:val="nil"/>
              <w:left w:val="nil"/>
              <w:bottom w:val="nil"/>
              <w:right w:val="nil"/>
            </w:tcBorders>
            <w:shd w:val="clear" w:color="auto" w:fill="FFFFFF"/>
            <w:vAlign w:val="center"/>
          </w:tcPr>
          <w:p w14:paraId="4DE0F082">
            <w:pPr>
              <w:jc w:val="center"/>
              <w:rPr>
                <w:rFonts w:hint="eastAsia" w:ascii="宋体" w:hAnsi="宋体" w:eastAsia="宋体" w:cs="宋体"/>
                <w:i w:val="0"/>
                <w:color w:val="auto"/>
                <w:sz w:val="20"/>
                <w:szCs w:val="20"/>
                <w:highlight w:val="none"/>
                <w:u w:val="none"/>
              </w:rPr>
            </w:pPr>
          </w:p>
        </w:tc>
        <w:tc>
          <w:tcPr>
            <w:tcW w:w="1402" w:type="dxa"/>
            <w:tcBorders>
              <w:top w:val="nil"/>
              <w:left w:val="nil"/>
              <w:bottom w:val="nil"/>
              <w:right w:val="nil"/>
            </w:tcBorders>
            <w:shd w:val="clear" w:color="auto" w:fill="FFFFFF"/>
            <w:vAlign w:val="center"/>
          </w:tcPr>
          <w:p w14:paraId="04983139">
            <w:pPr>
              <w:jc w:val="center"/>
              <w:rPr>
                <w:rFonts w:hint="eastAsia" w:ascii="宋体" w:hAnsi="宋体" w:eastAsia="宋体" w:cs="宋体"/>
                <w:i w:val="0"/>
                <w:color w:val="auto"/>
                <w:sz w:val="20"/>
                <w:szCs w:val="20"/>
                <w:highlight w:val="none"/>
                <w:u w:val="none"/>
              </w:rPr>
            </w:pPr>
          </w:p>
        </w:tc>
        <w:tc>
          <w:tcPr>
            <w:tcW w:w="2119" w:type="dxa"/>
            <w:tcBorders>
              <w:top w:val="nil"/>
              <w:left w:val="nil"/>
              <w:bottom w:val="nil"/>
              <w:right w:val="nil"/>
            </w:tcBorders>
            <w:shd w:val="clear" w:color="auto" w:fill="FFFFFF"/>
            <w:vAlign w:val="center"/>
          </w:tcPr>
          <w:p w14:paraId="7ADF88C2">
            <w:pPr>
              <w:rPr>
                <w:rFonts w:hint="eastAsia" w:ascii="宋体" w:hAnsi="宋体" w:eastAsia="宋体" w:cs="宋体"/>
                <w:i w:val="0"/>
                <w:color w:val="auto"/>
                <w:sz w:val="20"/>
                <w:szCs w:val="20"/>
                <w:highlight w:val="none"/>
                <w:u w:val="none"/>
              </w:rPr>
            </w:pPr>
          </w:p>
        </w:tc>
        <w:tc>
          <w:tcPr>
            <w:tcW w:w="2119" w:type="dxa"/>
            <w:tcBorders>
              <w:top w:val="nil"/>
              <w:left w:val="nil"/>
              <w:bottom w:val="nil"/>
              <w:right w:val="nil"/>
            </w:tcBorders>
            <w:shd w:val="clear" w:color="auto" w:fill="FFFFFF"/>
            <w:vAlign w:val="center"/>
          </w:tcPr>
          <w:p w14:paraId="3BA2DEFE">
            <w:pPr>
              <w:rPr>
                <w:rFonts w:hint="eastAsia" w:ascii="宋体" w:hAnsi="宋体" w:eastAsia="宋体" w:cs="宋体"/>
                <w:i w:val="0"/>
                <w:color w:val="auto"/>
                <w:sz w:val="20"/>
                <w:szCs w:val="20"/>
                <w:highlight w:val="none"/>
                <w:u w:val="none"/>
              </w:rPr>
            </w:pPr>
          </w:p>
        </w:tc>
        <w:tc>
          <w:tcPr>
            <w:tcW w:w="2119" w:type="dxa"/>
            <w:tcBorders>
              <w:top w:val="nil"/>
              <w:left w:val="nil"/>
              <w:bottom w:val="nil"/>
              <w:right w:val="nil"/>
            </w:tcBorders>
            <w:shd w:val="clear" w:color="auto" w:fill="FFFFFF"/>
            <w:vAlign w:val="center"/>
          </w:tcPr>
          <w:p w14:paraId="49F77D58">
            <w:pPr>
              <w:rPr>
                <w:rFonts w:hint="eastAsia" w:ascii="宋体" w:hAnsi="宋体" w:eastAsia="宋体" w:cs="宋体"/>
                <w:i w:val="0"/>
                <w:color w:val="auto"/>
                <w:sz w:val="20"/>
                <w:szCs w:val="20"/>
                <w:highlight w:val="none"/>
                <w:u w:val="none"/>
              </w:rPr>
            </w:pPr>
          </w:p>
        </w:tc>
        <w:tc>
          <w:tcPr>
            <w:tcW w:w="2119" w:type="dxa"/>
            <w:tcBorders>
              <w:top w:val="nil"/>
              <w:left w:val="nil"/>
              <w:bottom w:val="nil"/>
              <w:right w:val="nil"/>
            </w:tcBorders>
            <w:shd w:val="clear" w:color="auto" w:fill="FFFFFF"/>
            <w:vAlign w:val="center"/>
          </w:tcPr>
          <w:p w14:paraId="305C9740">
            <w:pPr>
              <w:rPr>
                <w:rFonts w:hint="eastAsia" w:ascii="宋体" w:hAnsi="宋体" w:eastAsia="宋体" w:cs="宋体"/>
                <w:i w:val="0"/>
                <w:color w:val="auto"/>
                <w:sz w:val="20"/>
                <w:szCs w:val="20"/>
                <w:highlight w:val="none"/>
                <w:u w:val="none"/>
              </w:rPr>
            </w:pPr>
          </w:p>
        </w:tc>
        <w:tc>
          <w:tcPr>
            <w:tcW w:w="2119" w:type="dxa"/>
            <w:tcBorders>
              <w:top w:val="nil"/>
              <w:left w:val="nil"/>
              <w:bottom w:val="nil"/>
              <w:right w:val="nil"/>
            </w:tcBorders>
            <w:shd w:val="clear" w:color="auto" w:fill="FFFFFF"/>
            <w:vAlign w:val="center"/>
          </w:tcPr>
          <w:p w14:paraId="25686EAB">
            <w:pPr>
              <w:rPr>
                <w:rFonts w:hint="eastAsia" w:ascii="宋体" w:hAnsi="宋体" w:eastAsia="宋体" w:cs="宋体"/>
                <w:i w:val="0"/>
                <w:color w:val="auto"/>
                <w:sz w:val="20"/>
                <w:szCs w:val="20"/>
                <w:highlight w:val="none"/>
                <w:u w:val="none"/>
              </w:rPr>
            </w:pPr>
          </w:p>
        </w:tc>
        <w:tc>
          <w:tcPr>
            <w:tcW w:w="2120" w:type="dxa"/>
            <w:tcBorders>
              <w:top w:val="nil"/>
              <w:left w:val="nil"/>
              <w:bottom w:val="nil"/>
              <w:right w:val="nil"/>
            </w:tcBorders>
            <w:shd w:val="clear" w:color="auto" w:fill="FFFFFF"/>
            <w:noWrap/>
            <w:vAlign w:val="center"/>
          </w:tcPr>
          <w:p w14:paraId="40F3D85E">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公开07表</w:t>
            </w:r>
          </w:p>
        </w:tc>
      </w:tr>
      <w:tr w14:paraId="73CEA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690" w:hRule="atLeast"/>
        </w:trPr>
        <w:tc>
          <w:tcPr>
            <w:tcW w:w="4764" w:type="dxa"/>
            <w:gridSpan w:val="4"/>
            <w:tcBorders>
              <w:top w:val="nil"/>
              <w:left w:val="nil"/>
              <w:bottom w:val="nil"/>
              <w:right w:val="nil"/>
            </w:tcBorders>
            <w:shd w:val="clear" w:color="auto" w:fill="FFFFFF"/>
            <w:noWrap/>
            <w:vAlign w:val="center"/>
          </w:tcPr>
          <w:p w14:paraId="55C68C36">
            <w:pP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部门：湖南省农业农村厅</w:t>
            </w:r>
          </w:p>
        </w:tc>
        <w:tc>
          <w:tcPr>
            <w:tcW w:w="2119" w:type="dxa"/>
            <w:tcBorders>
              <w:top w:val="nil"/>
              <w:left w:val="nil"/>
              <w:bottom w:val="nil"/>
              <w:right w:val="nil"/>
            </w:tcBorders>
            <w:shd w:val="clear" w:color="auto" w:fill="FFFFFF"/>
            <w:vAlign w:val="center"/>
          </w:tcPr>
          <w:p w14:paraId="48AD8F87">
            <w:pPr>
              <w:rPr>
                <w:rFonts w:hint="eastAsia" w:ascii="宋体" w:hAnsi="宋体" w:eastAsia="宋体" w:cs="宋体"/>
                <w:i w:val="0"/>
                <w:color w:val="auto"/>
                <w:sz w:val="20"/>
                <w:szCs w:val="20"/>
                <w:highlight w:val="none"/>
                <w:u w:val="none"/>
              </w:rPr>
            </w:pPr>
          </w:p>
        </w:tc>
        <w:tc>
          <w:tcPr>
            <w:tcW w:w="2119" w:type="dxa"/>
            <w:tcBorders>
              <w:top w:val="nil"/>
              <w:left w:val="nil"/>
              <w:bottom w:val="nil"/>
              <w:right w:val="nil"/>
            </w:tcBorders>
            <w:shd w:val="clear" w:color="auto" w:fill="FFFFFF"/>
            <w:vAlign w:val="center"/>
          </w:tcPr>
          <w:p w14:paraId="477EB8BB">
            <w:pPr>
              <w:rPr>
                <w:rFonts w:hint="eastAsia" w:ascii="宋体" w:hAnsi="宋体" w:eastAsia="宋体" w:cs="宋体"/>
                <w:i w:val="0"/>
                <w:color w:val="auto"/>
                <w:sz w:val="20"/>
                <w:szCs w:val="20"/>
                <w:highlight w:val="none"/>
                <w:u w:val="none"/>
              </w:rPr>
            </w:pPr>
          </w:p>
        </w:tc>
        <w:tc>
          <w:tcPr>
            <w:tcW w:w="2119" w:type="dxa"/>
            <w:tcBorders>
              <w:top w:val="nil"/>
              <w:left w:val="nil"/>
              <w:bottom w:val="nil"/>
              <w:right w:val="nil"/>
            </w:tcBorders>
            <w:shd w:val="clear" w:color="auto" w:fill="FFFFFF"/>
            <w:vAlign w:val="center"/>
          </w:tcPr>
          <w:p w14:paraId="3C9971AB">
            <w:pPr>
              <w:rPr>
                <w:rFonts w:hint="eastAsia" w:ascii="宋体" w:hAnsi="宋体" w:eastAsia="宋体" w:cs="宋体"/>
                <w:i w:val="0"/>
                <w:color w:val="auto"/>
                <w:sz w:val="20"/>
                <w:szCs w:val="20"/>
                <w:highlight w:val="none"/>
                <w:u w:val="none"/>
              </w:rPr>
            </w:pPr>
          </w:p>
        </w:tc>
        <w:tc>
          <w:tcPr>
            <w:tcW w:w="2119" w:type="dxa"/>
            <w:tcBorders>
              <w:top w:val="nil"/>
              <w:left w:val="nil"/>
              <w:bottom w:val="nil"/>
              <w:right w:val="nil"/>
            </w:tcBorders>
            <w:shd w:val="clear" w:color="auto" w:fill="FFFFFF"/>
            <w:vAlign w:val="center"/>
          </w:tcPr>
          <w:p w14:paraId="67F3DDFC">
            <w:pPr>
              <w:rPr>
                <w:rFonts w:hint="eastAsia" w:ascii="宋体" w:hAnsi="宋体" w:eastAsia="宋体" w:cs="宋体"/>
                <w:i w:val="0"/>
                <w:color w:val="auto"/>
                <w:sz w:val="20"/>
                <w:szCs w:val="20"/>
                <w:highlight w:val="none"/>
                <w:u w:val="none"/>
              </w:rPr>
            </w:pPr>
          </w:p>
        </w:tc>
        <w:tc>
          <w:tcPr>
            <w:tcW w:w="2120" w:type="dxa"/>
            <w:tcBorders>
              <w:top w:val="nil"/>
              <w:left w:val="nil"/>
              <w:bottom w:val="nil"/>
              <w:right w:val="nil"/>
            </w:tcBorders>
            <w:shd w:val="clear" w:color="auto" w:fill="FFFFFF"/>
            <w:noWrap/>
            <w:vAlign w:val="center"/>
          </w:tcPr>
          <w:p w14:paraId="351F6C43">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单位：万元</w:t>
            </w:r>
          </w:p>
        </w:tc>
      </w:tr>
      <w:tr w14:paraId="6A664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459" w:hRule="atLeast"/>
        </w:trPr>
        <w:tc>
          <w:tcPr>
            <w:tcW w:w="26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DFB490">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项 </w:t>
            </w:r>
            <w:r>
              <w:rPr>
                <w:rStyle w:val="20"/>
                <w:color w:val="auto"/>
                <w:highlight w:val="none"/>
                <w:lang w:val="en-US" w:eastAsia="zh-CN" w:bidi="ar"/>
              </w:rPr>
              <w:t xml:space="preserve">   </w:t>
            </w:r>
            <w:r>
              <w:rPr>
                <w:rStyle w:val="21"/>
                <w:color w:val="auto"/>
                <w:highlight w:val="none"/>
                <w:lang w:val="en-US" w:eastAsia="zh-CN" w:bidi="ar"/>
              </w:rPr>
              <w:t>目</w:t>
            </w:r>
          </w:p>
        </w:tc>
        <w:tc>
          <w:tcPr>
            <w:tcW w:w="21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E9E52">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年初结转和结余</w:t>
            </w:r>
          </w:p>
        </w:tc>
        <w:tc>
          <w:tcPr>
            <w:tcW w:w="21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216FF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本年收入</w:t>
            </w:r>
          </w:p>
        </w:tc>
        <w:tc>
          <w:tcPr>
            <w:tcW w:w="63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36FE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本年支出</w:t>
            </w:r>
          </w:p>
        </w:tc>
        <w:tc>
          <w:tcPr>
            <w:tcW w:w="2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68902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年末结转和结余</w:t>
            </w:r>
          </w:p>
        </w:tc>
      </w:tr>
      <w:tr w14:paraId="14B2F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609" w:hRule="atLeast"/>
        </w:trPr>
        <w:tc>
          <w:tcPr>
            <w:tcW w:w="124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41F1D">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科目代码</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61187">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科目名称</w:t>
            </w: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C2D3A">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ECE76">
            <w:pPr>
              <w:jc w:val="center"/>
              <w:rPr>
                <w:rFonts w:hint="eastAsia" w:ascii="宋体" w:hAnsi="宋体" w:eastAsia="宋体" w:cs="宋体"/>
                <w:i w:val="0"/>
                <w:color w:val="auto"/>
                <w:sz w:val="24"/>
                <w:szCs w:val="24"/>
                <w:highlight w:val="none"/>
                <w:u w:val="none"/>
              </w:rPr>
            </w:pPr>
          </w:p>
        </w:tc>
        <w:tc>
          <w:tcPr>
            <w:tcW w:w="21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B550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小计</w:t>
            </w:r>
          </w:p>
        </w:tc>
        <w:tc>
          <w:tcPr>
            <w:tcW w:w="21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5710C9">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基本支出  </w:t>
            </w:r>
          </w:p>
        </w:tc>
        <w:tc>
          <w:tcPr>
            <w:tcW w:w="21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748309">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项目支出</w:t>
            </w:r>
          </w:p>
        </w:tc>
        <w:tc>
          <w:tcPr>
            <w:tcW w:w="2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DB706">
            <w:pPr>
              <w:jc w:val="center"/>
              <w:rPr>
                <w:rFonts w:hint="eastAsia" w:ascii="宋体" w:hAnsi="宋体" w:eastAsia="宋体" w:cs="宋体"/>
                <w:i w:val="0"/>
                <w:color w:val="auto"/>
                <w:sz w:val="24"/>
                <w:szCs w:val="24"/>
                <w:highlight w:val="none"/>
                <w:u w:val="none"/>
              </w:rPr>
            </w:pPr>
          </w:p>
        </w:tc>
      </w:tr>
      <w:tr w14:paraId="3BD7A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409" w:hRule="atLeast"/>
        </w:trPr>
        <w:tc>
          <w:tcPr>
            <w:tcW w:w="124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3C9B0">
            <w:pPr>
              <w:jc w:val="center"/>
              <w:rPr>
                <w:rFonts w:hint="eastAsia" w:ascii="宋体" w:hAnsi="宋体" w:eastAsia="宋体" w:cs="宋体"/>
                <w:i w:val="0"/>
                <w:color w:val="auto"/>
                <w:sz w:val="24"/>
                <w:szCs w:val="24"/>
                <w:highlight w:val="none"/>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9EEBC">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2A8B4">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F7F4E">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C8827">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18733">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30614">
            <w:pPr>
              <w:jc w:val="center"/>
              <w:rPr>
                <w:rFonts w:hint="eastAsia" w:ascii="宋体" w:hAnsi="宋体" w:eastAsia="宋体" w:cs="宋体"/>
                <w:i w:val="0"/>
                <w:color w:val="auto"/>
                <w:sz w:val="24"/>
                <w:szCs w:val="24"/>
                <w:highlight w:val="none"/>
                <w:u w:val="none"/>
              </w:rPr>
            </w:pPr>
          </w:p>
        </w:tc>
        <w:tc>
          <w:tcPr>
            <w:tcW w:w="2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1403C">
            <w:pPr>
              <w:jc w:val="center"/>
              <w:rPr>
                <w:rFonts w:hint="eastAsia" w:ascii="宋体" w:hAnsi="宋体" w:eastAsia="宋体" w:cs="宋体"/>
                <w:i w:val="0"/>
                <w:color w:val="auto"/>
                <w:sz w:val="24"/>
                <w:szCs w:val="24"/>
                <w:highlight w:val="none"/>
                <w:u w:val="none"/>
              </w:rPr>
            </w:pPr>
          </w:p>
        </w:tc>
      </w:tr>
      <w:tr w14:paraId="75BF2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124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0E3B1">
            <w:pPr>
              <w:jc w:val="center"/>
              <w:rPr>
                <w:rFonts w:hint="eastAsia" w:ascii="宋体" w:hAnsi="宋体" w:eastAsia="宋体" w:cs="宋体"/>
                <w:i w:val="0"/>
                <w:color w:val="auto"/>
                <w:sz w:val="24"/>
                <w:szCs w:val="24"/>
                <w:highlight w:val="none"/>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A14FC">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5B0EA">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73256">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95191">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3EC66">
            <w:pPr>
              <w:jc w:val="center"/>
              <w:rPr>
                <w:rFonts w:hint="eastAsia" w:ascii="宋体" w:hAnsi="宋体" w:eastAsia="宋体" w:cs="宋体"/>
                <w:i w:val="0"/>
                <w:color w:val="auto"/>
                <w:sz w:val="24"/>
                <w:szCs w:val="24"/>
                <w:highlight w:val="none"/>
                <w:u w:val="none"/>
              </w:rPr>
            </w:pPr>
          </w:p>
        </w:tc>
        <w:tc>
          <w:tcPr>
            <w:tcW w:w="2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92302">
            <w:pPr>
              <w:jc w:val="center"/>
              <w:rPr>
                <w:rFonts w:hint="eastAsia" w:ascii="宋体" w:hAnsi="宋体" w:eastAsia="宋体" w:cs="宋体"/>
                <w:i w:val="0"/>
                <w:color w:val="auto"/>
                <w:sz w:val="24"/>
                <w:szCs w:val="24"/>
                <w:highlight w:val="none"/>
                <w:u w:val="none"/>
              </w:rPr>
            </w:pPr>
          </w:p>
        </w:tc>
        <w:tc>
          <w:tcPr>
            <w:tcW w:w="2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CAB04">
            <w:pPr>
              <w:jc w:val="center"/>
              <w:rPr>
                <w:rFonts w:hint="eastAsia" w:ascii="宋体" w:hAnsi="宋体" w:eastAsia="宋体" w:cs="宋体"/>
                <w:i w:val="0"/>
                <w:color w:val="auto"/>
                <w:sz w:val="24"/>
                <w:szCs w:val="24"/>
                <w:highlight w:val="none"/>
                <w:u w:val="none"/>
              </w:rPr>
            </w:pPr>
          </w:p>
        </w:tc>
      </w:tr>
      <w:tr w14:paraId="0176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26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6FE8FA">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栏次</w:t>
            </w: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C7E0">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2C28">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A7BA">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7F8E">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5EFE">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C819">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r>
      <w:tr w14:paraId="51D64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26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06276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合计</w:t>
            </w: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05F63">
            <w:pPr>
              <w:jc w:val="cente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98CE">
            <w:pPr>
              <w:jc w:val="cente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8010">
            <w:pPr>
              <w:jc w:val="cente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630C">
            <w:pPr>
              <w:jc w:val="cente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66BF">
            <w:pPr>
              <w:jc w:val="center"/>
              <w:rPr>
                <w:rFonts w:hint="eastAsia" w:ascii="宋体" w:hAnsi="宋体" w:eastAsia="宋体" w:cs="宋体"/>
                <w:i w:val="0"/>
                <w:color w:val="auto"/>
                <w:sz w:val="24"/>
                <w:szCs w:val="24"/>
                <w:highlight w:val="none"/>
                <w:u w:val="none"/>
              </w:rPr>
            </w:pP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1256">
            <w:pPr>
              <w:jc w:val="center"/>
              <w:rPr>
                <w:rFonts w:hint="eastAsia" w:ascii="宋体" w:hAnsi="宋体" w:eastAsia="宋体" w:cs="宋体"/>
                <w:i w:val="0"/>
                <w:color w:val="auto"/>
                <w:sz w:val="24"/>
                <w:szCs w:val="24"/>
                <w:highlight w:val="none"/>
                <w:u w:val="none"/>
              </w:rPr>
            </w:pPr>
          </w:p>
        </w:tc>
      </w:tr>
      <w:tr w14:paraId="3EE5C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B3112">
            <w:pPr>
              <w:jc w:val="center"/>
              <w:rPr>
                <w:rFonts w:hint="eastAsia" w:ascii="宋体" w:hAnsi="宋体" w:eastAsia="宋体" w:cs="宋体"/>
                <w:i w:val="0"/>
                <w:color w:val="auto"/>
                <w:sz w:val="24"/>
                <w:szCs w:val="24"/>
                <w:highlight w:val="none"/>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AE8C">
            <w:pPr>
              <w:rPr>
                <w:rFonts w:hint="eastAsia" w:ascii="宋体" w:hAnsi="宋体" w:eastAsia="宋体" w:cs="宋体"/>
                <w:i w:val="0"/>
                <w:color w:val="auto"/>
                <w:sz w:val="20"/>
                <w:szCs w:val="20"/>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96BE">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4687">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DB9D">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CD05">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FF1B">
            <w:pPr>
              <w:rPr>
                <w:rFonts w:hint="eastAsia" w:ascii="宋体" w:hAnsi="宋体" w:eastAsia="宋体" w:cs="宋体"/>
                <w:i w:val="0"/>
                <w:color w:val="auto"/>
                <w:sz w:val="24"/>
                <w:szCs w:val="24"/>
                <w:highlight w:val="none"/>
                <w:u w:val="none"/>
              </w:rPr>
            </w:pP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456C">
            <w:pPr>
              <w:rPr>
                <w:rFonts w:hint="eastAsia" w:ascii="宋体" w:hAnsi="宋体" w:eastAsia="宋体" w:cs="宋体"/>
                <w:i w:val="0"/>
                <w:color w:val="auto"/>
                <w:sz w:val="24"/>
                <w:szCs w:val="24"/>
                <w:highlight w:val="none"/>
                <w:u w:val="none"/>
              </w:rPr>
            </w:pPr>
          </w:p>
        </w:tc>
      </w:tr>
      <w:tr w14:paraId="08C2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9014E">
            <w:pPr>
              <w:jc w:val="center"/>
              <w:rPr>
                <w:rFonts w:hint="eastAsia" w:ascii="宋体" w:hAnsi="宋体" w:eastAsia="宋体" w:cs="宋体"/>
                <w:i w:val="0"/>
                <w:color w:val="auto"/>
                <w:sz w:val="24"/>
                <w:szCs w:val="24"/>
                <w:highlight w:val="none"/>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150D">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70C7">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6CF7">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D98B">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FF55">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C221">
            <w:pPr>
              <w:rPr>
                <w:rFonts w:hint="eastAsia" w:ascii="宋体" w:hAnsi="宋体" w:eastAsia="宋体" w:cs="宋体"/>
                <w:i w:val="0"/>
                <w:color w:val="auto"/>
                <w:sz w:val="24"/>
                <w:szCs w:val="24"/>
                <w:highlight w:val="none"/>
                <w:u w:val="none"/>
              </w:rPr>
            </w:pP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1F07">
            <w:pPr>
              <w:rPr>
                <w:rFonts w:hint="eastAsia" w:ascii="宋体" w:hAnsi="宋体" w:eastAsia="宋体" w:cs="宋体"/>
                <w:i w:val="0"/>
                <w:color w:val="auto"/>
                <w:sz w:val="24"/>
                <w:szCs w:val="24"/>
                <w:highlight w:val="none"/>
                <w:u w:val="none"/>
              </w:rPr>
            </w:pPr>
          </w:p>
        </w:tc>
      </w:tr>
      <w:tr w14:paraId="0AC32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10949">
            <w:pPr>
              <w:jc w:val="center"/>
              <w:rPr>
                <w:rFonts w:hint="eastAsia" w:ascii="宋体" w:hAnsi="宋体" w:eastAsia="宋体" w:cs="宋体"/>
                <w:i w:val="0"/>
                <w:color w:val="auto"/>
                <w:sz w:val="24"/>
                <w:szCs w:val="24"/>
                <w:highlight w:val="none"/>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A939">
            <w:pPr>
              <w:rPr>
                <w:rFonts w:hint="eastAsia" w:ascii="宋体" w:hAnsi="宋体" w:eastAsia="宋体" w:cs="宋体"/>
                <w:i w:val="0"/>
                <w:color w:val="auto"/>
                <w:sz w:val="20"/>
                <w:szCs w:val="20"/>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79FB">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2F21">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AFCA">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A006">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4BCB">
            <w:pPr>
              <w:rPr>
                <w:rFonts w:hint="eastAsia" w:ascii="宋体" w:hAnsi="宋体" w:eastAsia="宋体" w:cs="宋体"/>
                <w:i w:val="0"/>
                <w:color w:val="auto"/>
                <w:sz w:val="24"/>
                <w:szCs w:val="24"/>
                <w:highlight w:val="none"/>
                <w:u w:val="none"/>
              </w:rPr>
            </w:pP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7CD4">
            <w:pPr>
              <w:rPr>
                <w:rFonts w:hint="eastAsia" w:ascii="宋体" w:hAnsi="宋体" w:eastAsia="宋体" w:cs="宋体"/>
                <w:i w:val="0"/>
                <w:color w:val="auto"/>
                <w:sz w:val="24"/>
                <w:szCs w:val="24"/>
                <w:highlight w:val="none"/>
                <w:u w:val="none"/>
              </w:rPr>
            </w:pPr>
          </w:p>
        </w:tc>
      </w:tr>
      <w:tr w14:paraId="4290D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433FF">
            <w:pPr>
              <w:jc w:val="center"/>
              <w:rPr>
                <w:rFonts w:hint="eastAsia" w:ascii="宋体" w:hAnsi="宋体" w:eastAsia="宋体" w:cs="宋体"/>
                <w:i w:val="0"/>
                <w:color w:val="auto"/>
                <w:sz w:val="24"/>
                <w:szCs w:val="24"/>
                <w:highlight w:val="none"/>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6A2A">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D439">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9591">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E64E">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5D1C">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E5D2">
            <w:pPr>
              <w:rPr>
                <w:rFonts w:hint="eastAsia" w:ascii="宋体" w:hAnsi="宋体" w:eastAsia="宋体" w:cs="宋体"/>
                <w:i w:val="0"/>
                <w:color w:val="auto"/>
                <w:sz w:val="24"/>
                <w:szCs w:val="24"/>
                <w:highlight w:val="none"/>
                <w:u w:val="none"/>
              </w:rPr>
            </w:pP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D96B">
            <w:pPr>
              <w:rPr>
                <w:rFonts w:hint="eastAsia" w:ascii="宋体" w:hAnsi="宋体" w:eastAsia="宋体" w:cs="宋体"/>
                <w:i w:val="0"/>
                <w:color w:val="auto"/>
                <w:sz w:val="24"/>
                <w:szCs w:val="24"/>
                <w:highlight w:val="none"/>
                <w:u w:val="none"/>
              </w:rPr>
            </w:pPr>
          </w:p>
        </w:tc>
      </w:tr>
      <w:tr w14:paraId="0447C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4358B">
            <w:pPr>
              <w:jc w:val="center"/>
              <w:rPr>
                <w:rFonts w:hint="eastAsia" w:ascii="宋体" w:hAnsi="宋体" w:eastAsia="宋体" w:cs="宋体"/>
                <w:i w:val="0"/>
                <w:color w:val="auto"/>
                <w:sz w:val="24"/>
                <w:szCs w:val="24"/>
                <w:highlight w:val="none"/>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A52F">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A0B2">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05CB">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5202">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2BDD">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351B">
            <w:pPr>
              <w:rPr>
                <w:rFonts w:hint="eastAsia" w:ascii="宋体" w:hAnsi="宋体" w:eastAsia="宋体" w:cs="宋体"/>
                <w:i w:val="0"/>
                <w:color w:val="auto"/>
                <w:sz w:val="24"/>
                <w:szCs w:val="24"/>
                <w:highlight w:val="none"/>
                <w:u w:val="none"/>
              </w:rPr>
            </w:pP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E347">
            <w:pPr>
              <w:rPr>
                <w:rFonts w:hint="eastAsia" w:ascii="宋体" w:hAnsi="宋体" w:eastAsia="宋体" w:cs="宋体"/>
                <w:i w:val="0"/>
                <w:color w:val="auto"/>
                <w:sz w:val="24"/>
                <w:szCs w:val="24"/>
                <w:highlight w:val="none"/>
                <w:u w:val="none"/>
              </w:rPr>
            </w:pPr>
          </w:p>
        </w:tc>
      </w:tr>
      <w:tr w14:paraId="7FBCE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509" w:hRule="atLeast"/>
        </w:trPr>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1A1575">
            <w:pPr>
              <w:jc w:val="center"/>
              <w:rPr>
                <w:rFonts w:hint="eastAsia" w:ascii="宋体" w:hAnsi="宋体" w:eastAsia="宋体" w:cs="宋体"/>
                <w:i w:val="0"/>
                <w:color w:val="auto"/>
                <w:sz w:val="24"/>
                <w:szCs w:val="24"/>
                <w:highlight w:val="none"/>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4992">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D547">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EDFB">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B222">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DB95">
            <w:pPr>
              <w:rPr>
                <w:rFonts w:hint="eastAsia" w:ascii="宋体" w:hAnsi="宋体" w:eastAsia="宋体" w:cs="宋体"/>
                <w:i w:val="0"/>
                <w:color w:val="auto"/>
                <w:sz w:val="24"/>
                <w:szCs w:val="24"/>
                <w:highlight w:val="none"/>
                <w:u w:val="none"/>
              </w:rPr>
            </w:pPr>
          </w:p>
        </w:tc>
        <w:tc>
          <w:tcPr>
            <w:tcW w:w="2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7FD4">
            <w:pPr>
              <w:rPr>
                <w:rFonts w:hint="eastAsia" w:ascii="宋体" w:hAnsi="宋体" w:eastAsia="宋体" w:cs="宋体"/>
                <w:i w:val="0"/>
                <w:color w:val="auto"/>
                <w:sz w:val="24"/>
                <w:szCs w:val="24"/>
                <w:highlight w:val="none"/>
                <w:u w:val="none"/>
              </w:rPr>
            </w:pP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4773">
            <w:pPr>
              <w:rPr>
                <w:rFonts w:hint="eastAsia" w:ascii="宋体" w:hAnsi="宋体" w:eastAsia="宋体" w:cs="宋体"/>
                <w:i w:val="0"/>
                <w:color w:val="auto"/>
                <w:sz w:val="24"/>
                <w:szCs w:val="24"/>
                <w:highlight w:val="none"/>
                <w:u w:val="none"/>
              </w:rPr>
            </w:pPr>
          </w:p>
        </w:tc>
      </w:tr>
      <w:tr w14:paraId="33933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4" w:type="dxa"/>
          <w:trHeight w:val="725" w:hRule="atLeast"/>
        </w:trPr>
        <w:tc>
          <w:tcPr>
            <w:tcW w:w="15360" w:type="dxa"/>
            <w:gridSpan w:val="9"/>
            <w:tcBorders>
              <w:top w:val="nil"/>
              <w:left w:val="nil"/>
              <w:bottom w:val="nil"/>
              <w:right w:val="nil"/>
            </w:tcBorders>
            <w:shd w:val="clear" w:color="auto" w:fill="auto"/>
            <w:vAlign w:val="center"/>
          </w:tcPr>
          <w:p w14:paraId="4085BB4C">
            <w:pPr>
              <w:keepNext w:val="0"/>
              <w:keepLines w:val="0"/>
              <w:widowControl/>
              <w:suppressLineNumbers w:val="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注：本表反映部门本年度政府性基金预算财政拨款收入、支出及结转和结余情况。</w:t>
            </w:r>
          </w:p>
          <w:p w14:paraId="5AD464CD">
            <w:pPr>
              <w:keepNext w:val="0"/>
              <w:keepLines w:val="0"/>
              <w:widowControl/>
              <w:suppressLineNumbers w:val="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楷体" w:hAnsi="楷体" w:eastAsia="楷体" w:cs="楷体"/>
                <w:b/>
                <w:bCs/>
                <w:i w:val="0"/>
                <w:color w:val="auto"/>
                <w:kern w:val="0"/>
                <w:sz w:val="24"/>
                <w:szCs w:val="24"/>
                <w:highlight w:val="none"/>
                <w:u w:val="none"/>
                <w:lang w:val="en-US" w:eastAsia="zh-CN" w:bidi="ar"/>
              </w:rPr>
              <w:t>说明：我单位没有政府性基金收入，也没有使用政府性基金安排的支出，故本表无数据。</w:t>
            </w:r>
          </w:p>
        </w:tc>
      </w:tr>
    </w:tbl>
    <w:p w14:paraId="44CBF9C2">
      <w:pPr>
        <w:widowControl/>
        <w:jc w:val="center"/>
        <w:rPr>
          <w:rFonts w:hint="eastAsia" w:ascii="Times New Roman" w:hAnsi="Times New Roman" w:eastAsia="方正小标宋_GBK" w:cs="Times New Roman"/>
          <w:color w:val="auto"/>
          <w:kern w:val="0"/>
          <w:sz w:val="36"/>
          <w:szCs w:val="36"/>
          <w:highlight w:val="none"/>
        </w:rPr>
      </w:pPr>
    </w:p>
    <w:p w14:paraId="0377CB57">
      <w:pPr>
        <w:pStyle w:val="2"/>
        <w:rPr>
          <w:rFonts w:hint="eastAsia" w:ascii="Times New Roman" w:hAnsi="Times New Roman" w:eastAsia="方正小标宋_GBK" w:cs="Times New Roman"/>
          <w:color w:val="auto"/>
          <w:kern w:val="0"/>
          <w:sz w:val="36"/>
          <w:szCs w:val="36"/>
          <w:highlight w:val="none"/>
        </w:rPr>
      </w:pPr>
    </w:p>
    <w:p w14:paraId="7C9DAA64">
      <w:pPr>
        <w:pStyle w:val="2"/>
        <w:rPr>
          <w:rFonts w:hint="eastAsia" w:ascii="Times New Roman" w:hAnsi="Times New Roman" w:eastAsia="方正小标宋_GBK" w:cs="Times New Roman"/>
          <w:color w:val="auto"/>
          <w:kern w:val="0"/>
          <w:sz w:val="36"/>
          <w:szCs w:val="36"/>
          <w:highlight w:val="none"/>
        </w:rPr>
      </w:pPr>
    </w:p>
    <w:tbl>
      <w:tblPr>
        <w:tblStyle w:val="12"/>
        <w:tblW w:w="15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6"/>
        <w:gridCol w:w="701"/>
        <w:gridCol w:w="2292"/>
        <w:gridCol w:w="3315"/>
        <w:gridCol w:w="3315"/>
        <w:gridCol w:w="4171"/>
      </w:tblGrid>
      <w:tr w14:paraId="4C058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15120" w:type="dxa"/>
            <w:gridSpan w:val="6"/>
            <w:tcBorders>
              <w:top w:val="nil"/>
              <w:left w:val="nil"/>
              <w:bottom w:val="nil"/>
              <w:right w:val="nil"/>
            </w:tcBorders>
            <w:shd w:val="clear" w:color="auto" w:fill="FFFFFF"/>
            <w:vAlign w:val="center"/>
          </w:tcPr>
          <w:p w14:paraId="3BF77966">
            <w:pPr>
              <w:keepNext w:val="0"/>
              <w:keepLines w:val="0"/>
              <w:widowControl/>
              <w:suppressLineNumbers w:val="0"/>
              <w:jc w:val="center"/>
              <w:textAlignment w:val="center"/>
              <w:rPr>
                <w:rFonts w:ascii="华文中宋" w:hAnsi="华文中宋" w:eastAsia="华文中宋" w:cs="华文中宋"/>
                <w:i w:val="0"/>
                <w:color w:val="auto"/>
                <w:sz w:val="32"/>
                <w:szCs w:val="32"/>
                <w:highlight w:val="none"/>
                <w:u w:val="none"/>
              </w:rPr>
            </w:pPr>
            <w:r>
              <w:rPr>
                <w:rFonts w:hint="eastAsia" w:ascii="华文中宋" w:hAnsi="华文中宋" w:eastAsia="华文中宋" w:cs="华文中宋"/>
                <w:i w:val="0"/>
                <w:color w:val="auto"/>
                <w:kern w:val="0"/>
                <w:sz w:val="32"/>
                <w:szCs w:val="32"/>
                <w:highlight w:val="none"/>
                <w:u w:val="none"/>
                <w:lang w:val="en-US" w:eastAsia="zh-CN" w:bidi="ar"/>
              </w:rPr>
              <w:t>国有资本经营预算财政拨款支出决算表</w:t>
            </w:r>
          </w:p>
        </w:tc>
      </w:tr>
      <w:tr w14:paraId="41D61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326" w:type="dxa"/>
            <w:tcBorders>
              <w:top w:val="nil"/>
              <w:left w:val="nil"/>
              <w:bottom w:val="nil"/>
              <w:right w:val="nil"/>
            </w:tcBorders>
            <w:shd w:val="clear" w:color="auto" w:fill="FFFFFF"/>
            <w:vAlign w:val="center"/>
          </w:tcPr>
          <w:p w14:paraId="5F032BCA">
            <w:pPr>
              <w:jc w:val="center"/>
              <w:rPr>
                <w:rFonts w:hint="eastAsia" w:ascii="宋体" w:hAnsi="宋体" w:eastAsia="宋体" w:cs="宋体"/>
                <w:i w:val="0"/>
                <w:color w:val="auto"/>
                <w:sz w:val="20"/>
                <w:szCs w:val="20"/>
                <w:highlight w:val="none"/>
                <w:u w:val="none"/>
              </w:rPr>
            </w:pPr>
          </w:p>
        </w:tc>
        <w:tc>
          <w:tcPr>
            <w:tcW w:w="701" w:type="dxa"/>
            <w:tcBorders>
              <w:top w:val="nil"/>
              <w:left w:val="nil"/>
              <w:bottom w:val="nil"/>
              <w:right w:val="nil"/>
            </w:tcBorders>
            <w:shd w:val="clear" w:color="auto" w:fill="FFFFFF"/>
            <w:vAlign w:val="center"/>
          </w:tcPr>
          <w:p w14:paraId="2038B449">
            <w:pPr>
              <w:jc w:val="center"/>
              <w:rPr>
                <w:rFonts w:hint="eastAsia" w:ascii="宋体" w:hAnsi="宋体" w:eastAsia="宋体" w:cs="宋体"/>
                <w:i w:val="0"/>
                <w:color w:val="auto"/>
                <w:sz w:val="20"/>
                <w:szCs w:val="20"/>
                <w:highlight w:val="none"/>
                <w:u w:val="none"/>
              </w:rPr>
            </w:pPr>
          </w:p>
        </w:tc>
        <w:tc>
          <w:tcPr>
            <w:tcW w:w="2292" w:type="dxa"/>
            <w:tcBorders>
              <w:top w:val="nil"/>
              <w:left w:val="nil"/>
              <w:bottom w:val="nil"/>
              <w:right w:val="nil"/>
            </w:tcBorders>
            <w:shd w:val="clear" w:color="auto" w:fill="FFFFFF"/>
            <w:vAlign w:val="center"/>
          </w:tcPr>
          <w:p w14:paraId="460760DC">
            <w:pPr>
              <w:jc w:val="center"/>
              <w:rPr>
                <w:rFonts w:hint="eastAsia" w:ascii="宋体" w:hAnsi="宋体" w:eastAsia="宋体" w:cs="宋体"/>
                <w:i w:val="0"/>
                <w:color w:val="auto"/>
                <w:sz w:val="20"/>
                <w:szCs w:val="20"/>
                <w:highlight w:val="none"/>
                <w:u w:val="none"/>
              </w:rPr>
            </w:pPr>
          </w:p>
        </w:tc>
        <w:tc>
          <w:tcPr>
            <w:tcW w:w="3315" w:type="dxa"/>
            <w:tcBorders>
              <w:top w:val="nil"/>
              <w:left w:val="nil"/>
              <w:bottom w:val="nil"/>
              <w:right w:val="nil"/>
            </w:tcBorders>
            <w:shd w:val="clear" w:color="auto" w:fill="FFFFFF"/>
            <w:vAlign w:val="center"/>
          </w:tcPr>
          <w:p w14:paraId="0C8D3CBE">
            <w:pPr>
              <w:rPr>
                <w:rFonts w:hint="eastAsia" w:ascii="宋体" w:hAnsi="宋体" w:eastAsia="宋体" w:cs="宋体"/>
                <w:i w:val="0"/>
                <w:color w:val="auto"/>
                <w:sz w:val="20"/>
                <w:szCs w:val="20"/>
                <w:highlight w:val="none"/>
                <w:u w:val="none"/>
              </w:rPr>
            </w:pPr>
          </w:p>
        </w:tc>
        <w:tc>
          <w:tcPr>
            <w:tcW w:w="3315" w:type="dxa"/>
            <w:tcBorders>
              <w:top w:val="nil"/>
              <w:left w:val="nil"/>
              <w:bottom w:val="nil"/>
              <w:right w:val="nil"/>
            </w:tcBorders>
            <w:shd w:val="clear" w:color="auto" w:fill="FFFFFF"/>
            <w:vAlign w:val="center"/>
          </w:tcPr>
          <w:p w14:paraId="5F0A471D">
            <w:pPr>
              <w:rPr>
                <w:rFonts w:hint="eastAsia" w:ascii="宋体" w:hAnsi="宋体" w:eastAsia="宋体" w:cs="宋体"/>
                <w:i w:val="0"/>
                <w:color w:val="auto"/>
                <w:sz w:val="20"/>
                <w:szCs w:val="20"/>
                <w:highlight w:val="none"/>
                <w:u w:val="none"/>
              </w:rPr>
            </w:pPr>
          </w:p>
        </w:tc>
        <w:tc>
          <w:tcPr>
            <w:tcW w:w="4171" w:type="dxa"/>
            <w:tcBorders>
              <w:top w:val="nil"/>
              <w:left w:val="nil"/>
              <w:bottom w:val="nil"/>
              <w:right w:val="nil"/>
            </w:tcBorders>
            <w:shd w:val="clear" w:color="auto" w:fill="FFFFFF"/>
            <w:noWrap/>
            <w:vAlign w:val="center"/>
          </w:tcPr>
          <w:p w14:paraId="07C1A82C">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公开08表</w:t>
            </w:r>
          </w:p>
        </w:tc>
      </w:tr>
      <w:tr w14:paraId="3BCA0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4319" w:type="dxa"/>
            <w:gridSpan w:val="3"/>
            <w:tcBorders>
              <w:top w:val="nil"/>
              <w:left w:val="nil"/>
              <w:bottom w:val="nil"/>
              <w:right w:val="nil"/>
            </w:tcBorders>
            <w:shd w:val="clear" w:color="auto" w:fill="FFFFFF"/>
            <w:noWrap/>
            <w:vAlign w:val="center"/>
          </w:tcPr>
          <w:p w14:paraId="2D889CE7">
            <w:pP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部门：湖南省农业农村厅</w:t>
            </w:r>
          </w:p>
          <w:p w14:paraId="51E7A079">
            <w:pPr>
              <w:rPr>
                <w:rFonts w:hint="eastAsia" w:ascii="宋体" w:hAnsi="宋体" w:eastAsia="宋体" w:cs="宋体"/>
                <w:i w:val="0"/>
                <w:color w:val="auto"/>
                <w:sz w:val="20"/>
                <w:szCs w:val="20"/>
                <w:highlight w:val="none"/>
                <w:u w:val="none"/>
              </w:rPr>
            </w:pPr>
          </w:p>
        </w:tc>
        <w:tc>
          <w:tcPr>
            <w:tcW w:w="3315" w:type="dxa"/>
            <w:tcBorders>
              <w:top w:val="nil"/>
              <w:left w:val="nil"/>
              <w:bottom w:val="nil"/>
              <w:right w:val="nil"/>
            </w:tcBorders>
            <w:shd w:val="clear" w:color="auto" w:fill="FFFFFF"/>
            <w:vAlign w:val="center"/>
          </w:tcPr>
          <w:p w14:paraId="3907F47E">
            <w:pPr>
              <w:rPr>
                <w:rFonts w:hint="eastAsia" w:ascii="宋体" w:hAnsi="宋体" w:eastAsia="宋体" w:cs="宋体"/>
                <w:i w:val="0"/>
                <w:color w:val="auto"/>
                <w:sz w:val="20"/>
                <w:szCs w:val="20"/>
                <w:highlight w:val="none"/>
                <w:u w:val="none"/>
              </w:rPr>
            </w:pPr>
          </w:p>
        </w:tc>
        <w:tc>
          <w:tcPr>
            <w:tcW w:w="3315" w:type="dxa"/>
            <w:tcBorders>
              <w:top w:val="nil"/>
              <w:left w:val="nil"/>
              <w:bottom w:val="nil"/>
              <w:right w:val="nil"/>
            </w:tcBorders>
            <w:shd w:val="clear" w:color="auto" w:fill="FFFFFF"/>
            <w:vAlign w:val="center"/>
          </w:tcPr>
          <w:p w14:paraId="34944B98">
            <w:pPr>
              <w:rPr>
                <w:rFonts w:hint="eastAsia" w:ascii="宋体" w:hAnsi="宋体" w:eastAsia="宋体" w:cs="宋体"/>
                <w:i w:val="0"/>
                <w:color w:val="auto"/>
                <w:sz w:val="20"/>
                <w:szCs w:val="20"/>
                <w:highlight w:val="none"/>
                <w:u w:val="none"/>
              </w:rPr>
            </w:pPr>
          </w:p>
        </w:tc>
        <w:tc>
          <w:tcPr>
            <w:tcW w:w="4171" w:type="dxa"/>
            <w:tcBorders>
              <w:top w:val="nil"/>
              <w:left w:val="nil"/>
              <w:bottom w:val="nil"/>
              <w:right w:val="nil"/>
            </w:tcBorders>
            <w:shd w:val="clear" w:color="auto" w:fill="FFFFFF"/>
            <w:noWrap/>
            <w:vAlign w:val="center"/>
          </w:tcPr>
          <w:p w14:paraId="2452178A">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单位：万元</w:t>
            </w:r>
          </w:p>
        </w:tc>
      </w:tr>
      <w:tr w14:paraId="132CA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43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9EF60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项 </w:t>
            </w:r>
            <w:r>
              <w:rPr>
                <w:rFonts w:hint="eastAsia" w:ascii="宋体" w:hAnsi="宋体" w:eastAsia="宋体" w:cs="宋体"/>
                <w:i w:val="0"/>
                <w:color w:val="auto"/>
                <w:kern w:val="0"/>
                <w:sz w:val="22"/>
                <w:szCs w:val="22"/>
                <w:highlight w:val="none"/>
                <w:u w:val="none"/>
                <w:lang w:val="en-US" w:eastAsia="zh-CN" w:bidi="ar"/>
              </w:rPr>
              <w:t xml:space="preserve">   </w:t>
            </w:r>
            <w:r>
              <w:rPr>
                <w:rStyle w:val="22"/>
                <w:color w:val="auto"/>
                <w:highlight w:val="none"/>
                <w:lang w:val="en-US" w:eastAsia="zh-CN" w:bidi="ar"/>
              </w:rPr>
              <w:t>目</w:t>
            </w:r>
          </w:p>
        </w:tc>
        <w:tc>
          <w:tcPr>
            <w:tcW w:w="108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186EF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本年支出</w:t>
            </w:r>
          </w:p>
        </w:tc>
      </w:tr>
      <w:tr w14:paraId="19BDC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02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27A25A">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科目代码</w:t>
            </w:r>
          </w:p>
        </w:tc>
        <w:tc>
          <w:tcPr>
            <w:tcW w:w="22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79BCE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科目名称</w:t>
            </w:r>
          </w:p>
        </w:tc>
        <w:tc>
          <w:tcPr>
            <w:tcW w:w="33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A9F00">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合计</w:t>
            </w:r>
          </w:p>
        </w:tc>
        <w:tc>
          <w:tcPr>
            <w:tcW w:w="33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73A7C">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基本支出  </w:t>
            </w:r>
          </w:p>
        </w:tc>
        <w:tc>
          <w:tcPr>
            <w:tcW w:w="41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8C21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项目支出</w:t>
            </w:r>
          </w:p>
        </w:tc>
      </w:tr>
      <w:tr w14:paraId="7CEB0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02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7EB7A">
            <w:pPr>
              <w:jc w:val="center"/>
              <w:rPr>
                <w:rFonts w:hint="eastAsia" w:ascii="宋体" w:hAnsi="宋体" w:eastAsia="宋体" w:cs="宋体"/>
                <w:i w:val="0"/>
                <w:color w:val="auto"/>
                <w:sz w:val="24"/>
                <w:szCs w:val="24"/>
                <w:highlight w:val="none"/>
                <w:u w:val="none"/>
              </w:rPr>
            </w:pPr>
          </w:p>
        </w:tc>
        <w:tc>
          <w:tcPr>
            <w:tcW w:w="22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D515B">
            <w:pPr>
              <w:jc w:val="center"/>
              <w:rPr>
                <w:rFonts w:hint="eastAsia" w:ascii="宋体" w:hAnsi="宋体" w:eastAsia="宋体" w:cs="宋体"/>
                <w:i w:val="0"/>
                <w:color w:val="auto"/>
                <w:sz w:val="24"/>
                <w:szCs w:val="24"/>
                <w:highlight w:val="none"/>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F4153">
            <w:pPr>
              <w:jc w:val="center"/>
              <w:rPr>
                <w:rFonts w:hint="eastAsia" w:ascii="宋体" w:hAnsi="宋体" w:eastAsia="宋体" w:cs="宋体"/>
                <w:i w:val="0"/>
                <w:color w:val="auto"/>
                <w:sz w:val="24"/>
                <w:szCs w:val="24"/>
                <w:highlight w:val="none"/>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F0356">
            <w:pPr>
              <w:jc w:val="center"/>
              <w:rPr>
                <w:rFonts w:hint="eastAsia" w:ascii="宋体" w:hAnsi="宋体" w:eastAsia="宋体" w:cs="宋体"/>
                <w:i w:val="0"/>
                <w:color w:val="auto"/>
                <w:sz w:val="24"/>
                <w:szCs w:val="24"/>
                <w:highlight w:val="none"/>
                <w:u w:val="none"/>
              </w:rPr>
            </w:pPr>
          </w:p>
        </w:tc>
        <w:tc>
          <w:tcPr>
            <w:tcW w:w="41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8483E">
            <w:pPr>
              <w:jc w:val="center"/>
              <w:rPr>
                <w:rFonts w:hint="eastAsia" w:ascii="宋体" w:hAnsi="宋体" w:eastAsia="宋体" w:cs="宋体"/>
                <w:i w:val="0"/>
                <w:color w:val="auto"/>
                <w:sz w:val="24"/>
                <w:szCs w:val="24"/>
                <w:highlight w:val="none"/>
                <w:u w:val="none"/>
              </w:rPr>
            </w:pPr>
          </w:p>
        </w:tc>
      </w:tr>
      <w:tr w14:paraId="5B493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02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3DD3A">
            <w:pPr>
              <w:jc w:val="center"/>
              <w:rPr>
                <w:rFonts w:hint="eastAsia" w:ascii="宋体" w:hAnsi="宋体" w:eastAsia="宋体" w:cs="宋体"/>
                <w:i w:val="0"/>
                <w:color w:val="auto"/>
                <w:sz w:val="24"/>
                <w:szCs w:val="24"/>
                <w:highlight w:val="none"/>
                <w:u w:val="none"/>
              </w:rPr>
            </w:pPr>
          </w:p>
        </w:tc>
        <w:tc>
          <w:tcPr>
            <w:tcW w:w="22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29E99">
            <w:pPr>
              <w:jc w:val="center"/>
              <w:rPr>
                <w:rFonts w:hint="eastAsia" w:ascii="宋体" w:hAnsi="宋体" w:eastAsia="宋体" w:cs="宋体"/>
                <w:i w:val="0"/>
                <w:color w:val="auto"/>
                <w:sz w:val="24"/>
                <w:szCs w:val="24"/>
                <w:highlight w:val="none"/>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4A034">
            <w:pPr>
              <w:jc w:val="center"/>
              <w:rPr>
                <w:rFonts w:hint="eastAsia" w:ascii="宋体" w:hAnsi="宋体" w:eastAsia="宋体" w:cs="宋体"/>
                <w:i w:val="0"/>
                <w:color w:val="auto"/>
                <w:sz w:val="24"/>
                <w:szCs w:val="24"/>
                <w:highlight w:val="none"/>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D9198">
            <w:pPr>
              <w:jc w:val="center"/>
              <w:rPr>
                <w:rFonts w:hint="eastAsia" w:ascii="宋体" w:hAnsi="宋体" w:eastAsia="宋体" w:cs="宋体"/>
                <w:i w:val="0"/>
                <w:color w:val="auto"/>
                <w:sz w:val="24"/>
                <w:szCs w:val="24"/>
                <w:highlight w:val="none"/>
                <w:u w:val="none"/>
              </w:rPr>
            </w:pPr>
          </w:p>
        </w:tc>
        <w:tc>
          <w:tcPr>
            <w:tcW w:w="41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58814">
            <w:pPr>
              <w:jc w:val="center"/>
              <w:rPr>
                <w:rFonts w:hint="eastAsia" w:ascii="宋体" w:hAnsi="宋体" w:eastAsia="宋体" w:cs="宋体"/>
                <w:i w:val="0"/>
                <w:color w:val="auto"/>
                <w:sz w:val="24"/>
                <w:szCs w:val="24"/>
                <w:highlight w:val="none"/>
                <w:u w:val="none"/>
              </w:rPr>
            </w:pPr>
          </w:p>
        </w:tc>
      </w:tr>
      <w:tr w14:paraId="1B1B2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43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A6A87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栏次</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444C">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E271">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4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913C">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r>
      <w:tr w14:paraId="71EB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43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B6A260">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合计</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1F14">
            <w:pPr>
              <w:jc w:val="cente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B349">
            <w:pPr>
              <w:jc w:val="center"/>
              <w:rPr>
                <w:rFonts w:hint="eastAsia" w:ascii="宋体" w:hAnsi="宋体" w:eastAsia="宋体" w:cs="宋体"/>
                <w:i w:val="0"/>
                <w:color w:val="auto"/>
                <w:sz w:val="24"/>
                <w:szCs w:val="24"/>
                <w:highlight w:val="none"/>
                <w:u w:val="none"/>
              </w:rPr>
            </w:pPr>
          </w:p>
        </w:tc>
        <w:tc>
          <w:tcPr>
            <w:tcW w:w="4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A4A0">
            <w:pPr>
              <w:jc w:val="center"/>
              <w:rPr>
                <w:rFonts w:hint="eastAsia" w:ascii="宋体" w:hAnsi="宋体" w:eastAsia="宋体" w:cs="宋体"/>
                <w:i w:val="0"/>
                <w:color w:val="auto"/>
                <w:sz w:val="24"/>
                <w:szCs w:val="24"/>
                <w:highlight w:val="none"/>
                <w:u w:val="none"/>
              </w:rPr>
            </w:pPr>
          </w:p>
        </w:tc>
      </w:tr>
      <w:tr w14:paraId="55EE3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0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35B635">
            <w:pPr>
              <w:jc w:val="center"/>
              <w:rPr>
                <w:rFonts w:hint="eastAsia" w:ascii="宋体" w:hAnsi="宋体" w:eastAsia="宋体" w:cs="宋体"/>
                <w:i w:val="0"/>
                <w:color w:val="auto"/>
                <w:sz w:val="24"/>
                <w:szCs w:val="24"/>
                <w:highlight w:val="none"/>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A57A">
            <w:pPr>
              <w:rPr>
                <w:rFonts w:hint="eastAsia" w:ascii="宋体" w:hAnsi="宋体" w:eastAsia="宋体" w:cs="宋体"/>
                <w:i w:val="0"/>
                <w:color w:val="auto"/>
                <w:sz w:val="20"/>
                <w:szCs w:val="20"/>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C176">
            <w:pP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8A64">
            <w:pPr>
              <w:rPr>
                <w:rFonts w:hint="eastAsia" w:ascii="宋体" w:hAnsi="宋体" w:eastAsia="宋体" w:cs="宋体"/>
                <w:i w:val="0"/>
                <w:color w:val="auto"/>
                <w:sz w:val="24"/>
                <w:szCs w:val="24"/>
                <w:highlight w:val="none"/>
                <w:u w:val="none"/>
              </w:rPr>
            </w:pPr>
          </w:p>
        </w:tc>
        <w:tc>
          <w:tcPr>
            <w:tcW w:w="4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2ECF">
            <w:pPr>
              <w:rPr>
                <w:rFonts w:hint="eastAsia" w:ascii="宋体" w:hAnsi="宋体" w:eastAsia="宋体" w:cs="宋体"/>
                <w:i w:val="0"/>
                <w:color w:val="auto"/>
                <w:sz w:val="24"/>
                <w:szCs w:val="24"/>
                <w:highlight w:val="none"/>
                <w:u w:val="none"/>
              </w:rPr>
            </w:pPr>
          </w:p>
        </w:tc>
      </w:tr>
      <w:tr w14:paraId="4D97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0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41466">
            <w:pPr>
              <w:jc w:val="center"/>
              <w:rPr>
                <w:rFonts w:hint="eastAsia" w:ascii="宋体" w:hAnsi="宋体" w:eastAsia="宋体" w:cs="宋体"/>
                <w:i w:val="0"/>
                <w:color w:val="auto"/>
                <w:sz w:val="24"/>
                <w:szCs w:val="24"/>
                <w:highlight w:val="none"/>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B3D7">
            <w:pP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DE6B">
            <w:pP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BA2A">
            <w:pPr>
              <w:rPr>
                <w:rFonts w:hint="eastAsia" w:ascii="宋体" w:hAnsi="宋体" w:eastAsia="宋体" w:cs="宋体"/>
                <w:i w:val="0"/>
                <w:color w:val="auto"/>
                <w:sz w:val="24"/>
                <w:szCs w:val="24"/>
                <w:highlight w:val="none"/>
                <w:u w:val="none"/>
              </w:rPr>
            </w:pPr>
          </w:p>
        </w:tc>
        <w:tc>
          <w:tcPr>
            <w:tcW w:w="4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4EC6">
            <w:pPr>
              <w:rPr>
                <w:rFonts w:hint="eastAsia" w:ascii="宋体" w:hAnsi="宋体" w:eastAsia="宋体" w:cs="宋体"/>
                <w:i w:val="0"/>
                <w:color w:val="auto"/>
                <w:sz w:val="24"/>
                <w:szCs w:val="24"/>
                <w:highlight w:val="none"/>
                <w:u w:val="none"/>
              </w:rPr>
            </w:pPr>
          </w:p>
        </w:tc>
      </w:tr>
      <w:tr w14:paraId="24F26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0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2C6B7">
            <w:pPr>
              <w:jc w:val="center"/>
              <w:rPr>
                <w:rFonts w:hint="eastAsia" w:ascii="宋体" w:hAnsi="宋体" w:eastAsia="宋体" w:cs="宋体"/>
                <w:i w:val="0"/>
                <w:color w:val="auto"/>
                <w:sz w:val="24"/>
                <w:szCs w:val="24"/>
                <w:highlight w:val="none"/>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AD29">
            <w:pPr>
              <w:rPr>
                <w:rFonts w:hint="eastAsia" w:ascii="宋体" w:hAnsi="宋体" w:eastAsia="宋体" w:cs="宋体"/>
                <w:i w:val="0"/>
                <w:color w:val="auto"/>
                <w:sz w:val="20"/>
                <w:szCs w:val="20"/>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9C56">
            <w:pP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F832">
            <w:pPr>
              <w:rPr>
                <w:rFonts w:hint="eastAsia" w:ascii="宋体" w:hAnsi="宋体" w:eastAsia="宋体" w:cs="宋体"/>
                <w:i w:val="0"/>
                <w:color w:val="auto"/>
                <w:sz w:val="24"/>
                <w:szCs w:val="24"/>
                <w:highlight w:val="none"/>
                <w:u w:val="none"/>
              </w:rPr>
            </w:pPr>
          </w:p>
        </w:tc>
        <w:tc>
          <w:tcPr>
            <w:tcW w:w="4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B922">
            <w:pPr>
              <w:rPr>
                <w:rFonts w:hint="eastAsia" w:ascii="宋体" w:hAnsi="宋体" w:eastAsia="宋体" w:cs="宋体"/>
                <w:i w:val="0"/>
                <w:color w:val="auto"/>
                <w:sz w:val="24"/>
                <w:szCs w:val="24"/>
                <w:highlight w:val="none"/>
                <w:u w:val="none"/>
              </w:rPr>
            </w:pPr>
          </w:p>
        </w:tc>
      </w:tr>
      <w:tr w14:paraId="47E3B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0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3B4FD">
            <w:pPr>
              <w:jc w:val="center"/>
              <w:rPr>
                <w:rFonts w:hint="eastAsia" w:ascii="宋体" w:hAnsi="宋体" w:eastAsia="宋体" w:cs="宋体"/>
                <w:i w:val="0"/>
                <w:color w:val="auto"/>
                <w:sz w:val="24"/>
                <w:szCs w:val="24"/>
                <w:highlight w:val="none"/>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D346">
            <w:pP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AB1C">
            <w:pP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128A">
            <w:pPr>
              <w:rPr>
                <w:rFonts w:hint="eastAsia" w:ascii="宋体" w:hAnsi="宋体" w:eastAsia="宋体" w:cs="宋体"/>
                <w:i w:val="0"/>
                <w:color w:val="auto"/>
                <w:sz w:val="24"/>
                <w:szCs w:val="24"/>
                <w:highlight w:val="none"/>
                <w:u w:val="none"/>
              </w:rPr>
            </w:pPr>
          </w:p>
        </w:tc>
        <w:tc>
          <w:tcPr>
            <w:tcW w:w="4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E52A">
            <w:pPr>
              <w:rPr>
                <w:rFonts w:hint="eastAsia" w:ascii="宋体" w:hAnsi="宋体" w:eastAsia="宋体" w:cs="宋体"/>
                <w:i w:val="0"/>
                <w:color w:val="auto"/>
                <w:sz w:val="24"/>
                <w:szCs w:val="24"/>
                <w:highlight w:val="none"/>
                <w:u w:val="none"/>
              </w:rPr>
            </w:pPr>
          </w:p>
        </w:tc>
      </w:tr>
      <w:tr w14:paraId="37DE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0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0BE94">
            <w:pPr>
              <w:jc w:val="center"/>
              <w:rPr>
                <w:rFonts w:hint="eastAsia" w:ascii="宋体" w:hAnsi="宋体" w:eastAsia="宋体" w:cs="宋体"/>
                <w:i w:val="0"/>
                <w:color w:val="auto"/>
                <w:sz w:val="24"/>
                <w:szCs w:val="24"/>
                <w:highlight w:val="none"/>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520A">
            <w:pP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7882">
            <w:pPr>
              <w:rPr>
                <w:rFonts w:hint="eastAsia" w:ascii="宋体" w:hAnsi="宋体" w:eastAsia="宋体" w:cs="宋体"/>
                <w:i w:val="0"/>
                <w:color w:val="auto"/>
                <w:sz w:val="24"/>
                <w:szCs w:val="24"/>
                <w:highlight w:val="none"/>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90CE">
            <w:pPr>
              <w:rPr>
                <w:rFonts w:hint="eastAsia" w:ascii="宋体" w:hAnsi="宋体" w:eastAsia="宋体" w:cs="宋体"/>
                <w:i w:val="0"/>
                <w:color w:val="auto"/>
                <w:sz w:val="24"/>
                <w:szCs w:val="24"/>
                <w:highlight w:val="none"/>
                <w:u w:val="none"/>
              </w:rPr>
            </w:pPr>
          </w:p>
        </w:tc>
        <w:tc>
          <w:tcPr>
            <w:tcW w:w="4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3E1D">
            <w:pPr>
              <w:rPr>
                <w:rFonts w:hint="eastAsia" w:ascii="宋体" w:hAnsi="宋体" w:eastAsia="宋体" w:cs="宋体"/>
                <w:i w:val="0"/>
                <w:color w:val="auto"/>
                <w:sz w:val="24"/>
                <w:szCs w:val="24"/>
                <w:highlight w:val="none"/>
                <w:u w:val="none"/>
              </w:rPr>
            </w:pPr>
          </w:p>
        </w:tc>
      </w:tr>
      <w:tr w14:paraId="077BA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15120" w:type="dxa"/>
            <w:gridSpan w:val="6"/>
            <w:tcBorders>
              <w:top w:val="nil"/>
              <w:left w:val="nil"/>
              <w:bottom w:val="nil"/>
              <w:right w:val="nil"/>
            </w:tcBorders>
            <w:shd w:val="clear" w:color="auto" w:fill="auto"/>
            <w:vAlign w:val="center"/>
          </w:tcPr>
          <w:p w14:paraId="301D7F3E">
            <w:pPr>
              <w:keepNext w:val="0"/>
              <w:keepLines w:val="0"/>
              <w:widowControl/>
              <w:suppressLineNumbers w:val="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注：本表反映部门本年度国有资本经营预算财政拨款支出情况。</w:t>
            </w:r>
          </w:p>
          <w:p w14:paraId="2A11A3FE">
            <w:pPr>
              <w:keepNext w:val="0"/>
              <w:keepLines w:val="0"/>
              <w:widowControl/>
              <w:suppressLineNumbers w:val="0"/>
              <w:jc w:val="left"/>
              <w:textAlignment w:val="center"/>
              <w:rPr>
                <w:rFonts w:hint="eastAsia" w:ascii="宋体" w:hAnsi="宋体" w:eastAsia="宋体" w:cs="宋体"/>
                <w:i w:val="0"/>
                <w:color w:val="auto"/>
                <w:kern w:val="0"/>
                <w:sz w:val="24"/>
                <w:szCs w:val="24"/>
                <w:highlight w:val="none"/>
                <w:u w:val="none"/>
                <w:lang w:val="en-US" w:eastAsia="zh-CN" w:bidi="ar"/>
              </w:rPr>
            </w:pPr>
          </w:p>
          <w:p w14:paraId="3A6D7927">
            <w:pPr>
              <w:keepNext w:val="0"/>
              <w:keepLines w:val="0"/>
              <w:widowControl/>
              <w:suppressLineNumbers w:val="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楷体" w:hAnsi="楷体" w:eastAsia="楷体" w:cs="楷体"/>
                <w:b/>
                <w:bCs/>
                <w:i w:val="0"/>
                <w:color w:val="auto"/>
                <w:kern w:val="0"/>
                <w:sz w:val="24"/>
                <w:szCs w:val="24"/>
                <w:highlight w:val="none"/>
                <w:u w:val="none"/>
                <w:lang w:val="en-US" w:eastAsia="zh-CN" w:bidi="ar"/>
              </w:rPr>
              <w:t>说明：我单位没有使用国有资本经营预算安排的支出，故本表无数据。</w:t>
            </w:r>
          </w:p>
        </w:tc>
      </w:tr>
    </w:tbl>
    <w:p w14:paraId="024EE8C0">
      <w:pPr>
        <w:widowControl/>
        <w:jc w:val="center"/>
        <w:rPr>
          <w:rFonts w:hint="eastAsia" w:ascii="Times New Roman" w:hAnsi="Times New Roman" w:eastAsia="方正小标宋_GBK" w:cs="Times New Roman"/>
          <w:color w:val="auto"/>
          <w:kern w:val="0"/>
          <w:sz w:val="36"/>
          <w:szCs w:val="36"/>
          <w:highlight w:val="none"/>
        </w:rPr>
      </w:pPr>
    </w:p>
    <w:tbl>
      <w:tblPr>
        <w:tblStyle w:val="12"/>
        <w:tblW w:w="15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1261"/>
        <w:gridCol w:w="1261"/>
        <w:gridCol w:w="1261"/>
        <w:gridCol w:w="1261"/>
        <w:gridCol w:w="1261"/>
        <w:gridCol w:w="1261"/>
        <w:gridCol w:w="1261"/>
        <w:gridCol w:w="1261"/>
        <w:gridCol w:w="1261"/>
        <w:gridCol w:w="1261"/>
        <w:gridCol w:w="1270"/>
      </w:tblGrid>
      <w:tr w14:paraId="4DC5F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5140" w:type="dxa"/>
            <w:gridSpan w:val="12"/>
            <w:tcBorders>
              <w:top w:val="nil"/>
              <w:left w:val="nil"/>
              <w:bottom w:val="nil"/>
              <w:right w:val="nil"/>
            </w:tcBorders>
            <w:shd w:val="clear" w:color="auto" w:fill="FFFFFF"/>
            <w:vAlign w:val="center"/>
          </w:tcPr>
          <w:p w14:paraId="0A0A2F40">
            <w:pPr>
              <w:keepNext w:val="0"/>
              <w:keepLines w:val="0"/>
              <w:widowControl/>
              <w:suppressLineNumbers w:val="0"/>
              <w:jc w:val="center"/>
              <w:textAlignment w:val="center"/>
              <w:rPr>
                <w:rFonts w:hint="eastAsia" w:ascii="华文中宋" w:hAnsi="华文中宋" w:eastAsia="华文中宋" w:cs="华文中宋"/>
                <w:i w:val="0"/>
                <w:color w:val="auto"/>
                <w:kern w:val="0"/>
                <w:sz w:val="32"/>
                <w:szCs w:val="32"/>
                <w:highlight w:val="none"/>
                <w:u w:val="none"/>
                <w:lang w:val="en-US" w:eastAsia="zh-CN" w:bidi="ar"/>
              </w:rPr>
            </w:pPr>
          </w:p>
          <w:p w14:paraId="29AB3F68">
            <w:pPr>
              <w:keepNext w:val="0"/>
              <w:keepLines w:val="0"/>
              <w:widowControl/>
              <w:suppressLineNumbers w:val="0"/>
              <w:jc w:val="center"/>
              <w:textAlignment w:val="center"/>
              <w:rPr>
                <w:rFonts w:ascii="华文中宋" w:hAnsi="华文中宋" w:eastAsia="华文中宋" w:cs="华文中宋"/>
                <w:i w:val="0"/>
                <w:color w:val="auto"/>
                <w:sz w:val="32"/>
                <w:szCs w:val="32"/>
                <w:highlight w:val="none"/>
                <w:u w:val="none"/>
              </w:rPr>
            </w:pPr>
            <w:r>
              <w:rPr>
                <w:rFonts w:hint="eastAsia" w:ascii="华文中宋" w:hAnsi="华文中宋" w:eastAsia="华文中宋" w:cs="华文中宋"/>
                <w:i w:val="0"/>
                <w:color w:val="auto"/>
                <w:kern w:val="0"/>
                <w:sz w:val="32"/>
                <w:szCs w:val="32"/>
                <w:highlight w:val="none"/>
                <w:u w:val="none"/>
                <w:lang w:val="en-US" w:eastAsia="zh-CN" w:bidi="ar"/>
              </w:rPr>
              <w:t>财政拨款“三公”经费支出决算表</w:t>
            </w:r>
          </w:p>
        </w:tc>
      </w:tr>
      <w:tr w14:paraId="48858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60" w:type="dxa"/>
            <w:tcBorders>
              <w:top w:val="nil"/>
              <w:left w:val="nil"/>
              <w:bottom w:val="nil"/>
              <w:right w:val="nil"/>
            </w:tcBorders>
            <w:shd w:val="clear" w:color="auto" w:fill="FFFFFF"/>
            <w:vAlign w:val="center"/>
          </w:tcPr>
          <w:p w14:paraId="3367A3C7">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643D931C">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58B4E391">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2A1CAEC0">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6CE7C2F3">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3F070EF8">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43AC3FC5">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04F597FB">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20371C23">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63FD7535">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2D4587A7">
            <w:pPr>
              <w:rPr>
                <w:rFonts w:hint="eastAsia" w:ascii="宋体" w:hAnsi="宋体" w:eastAsia="宋体" w:cs="宋体"/>
                <w:i w:val="0"/>
                <w:color w:val="auto"/>
                <w:sz w:val="20"/>
                <w:szCs w:val="20"/>
                <w:highlight w:val="none"/>
                <w:u w:val="none"/>
              </w:rPr>
            </w:pPr>
          </w:p>
        </w:tc>
        <w:tc>
          <w:tcPr>
            <w:tcW w:w="1270" w:type="dxa"/>
            <w:tcBorders>
              <w:top w:val="nil"/>
              <w:left w:val="nil"/>
              <w:bottom w:val="nil"/>
              <w:right w:val="nil"/>
            </w:tcBorders>
            <w:shd w:val="clear" w:color="auto" w:fill="FFFFFF"/>
            <w:noWrap/>
            <w:vAlign w:val="center"/>
          </w:tcPr>
          <w:p w14:paraId="235F678D">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公开09表</w:t>
            </w:r>
          </w:p>
        </w:tc>
      </w:tr>
      <w:tr w14:paraId="50021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82" w:type="dxa"/>
            <w:gridSpan w:val="3"/>
            <w:tcBorders>
              <w:top w:val="nil"/>
              <w:left w:val="nil"/>
              <w:bottom w:val="nil"/>
              <w:right w:val="nil"/>
            </w:tcBorders>
            <w:shd w:val="clear" w:color="auto" w:fill="FFFFFF"/>
            <w:noWrap/>
            <w:vAlign w:val="center"/>
          </w:tcPr>
          <w:p w14:paraId="18489D73">
            <w:pP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部门：湖南省农业农村厅</w:t>
            </w:r>
          </w:p>
        </w:tc>
        <w:tc>
          <w:tcPr>
            <w:tcW w:w="1261" w:type="dxa"/>
            <w:tcBorders>
              <w:top w:val="nil"/>
              <w:left w:val="nil"/>
              <w:bottom w:val="nil"/>
              <w:right w:val="nil"/>
            </w:tcBorders>
            <w:shd w:val="clear" w:color="auto" w:fill="FFFFFF"/>
            <w:vAlign w:val="center"/>
          </w:tcPr>
          <w:p w14:paraId="64017FB1">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381DF60B">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39E5FEFC">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34003457">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63653C2D">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0D8766EC">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4E58E9BD">
            <w:pPr>
              <w:rPr>
                <w:rFonts w:hint="eastAsia" w:ascii="宋体" w:hAnsi="宋体" w:eastAsia="宋体" w:cs="宋体"/>
                <w:i w:val="0"/>
                <w:color w:val="auto"/>
                <w:sz w:val="20"/>
                <w:szCs w:val="20"/>
                <w:highlight w:val="none"/>
                <w:u w:val="none"/>
              </w:rPr>
            </w:pPr>
          </w:p>
        </w:tc>
        <w:tc>
          <w:tcPr>
            <w:tcW w:w="1261" w:type="dxa"/>
            <w:tcBorders>
              <w:top w:val="nil"/>
              <w:left w:val="nil"/>
              <w:bottom w:val="nil"/>
              <w:right w:val="nil"/>
            </w:tcBorders>
            <w:shd w:val="clear" w:color="auto" w:fill="FFFFFF"/>
            <w:vAlign w:val="center"/>
          </w:tcPr>
          <w:p w14:paraId="57175A82">
            <w:pPr>
              <w:rPr>
                <w:rFonts w:hint="eastAsia" w:ascii="宋体" w:hAnsi="宋体" w:eastAsia="宋体" w:cs="宋体"/>
                <w:i w:val="0"/>
                <w:color w:val="auto"/>
                <w:sz w:val="20"/>
                <w:szCs w:val="20"/>
                <w:highlight w:val="none"/>
                <w:u w:val="none"/>
              </w:rPr>
            </w:pPr>
          </w:p>
        </w:tc>
        <w:tc>
          <w:tcPr>
            <w:tcW w:w="1270" w:type="dxa"/>
            <w:tcBorders>
              <w:top w:val="nil"/>
              <w:left w:val="nil"/>
              <w:bottom w:val="nil"/>
              <w:right w:val="nil"/>
            </w:tcBorders>
            <w:shd w:val="clear" w:color="auto" w:fill="FFFFFF"/>
            <w:noWrap/>
            <w:vAlign w:val="center"/>
          </w:tcPr>
          <w:p w14:paraId="4D8B1BE1">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单位：万元</w:t>
            </w:r>
          </w:p>
        </w:tc>
      </w:tr>
      <w:tr w14:paraId="6F413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trPr>
        <w:tc>
          <w:tcPr>
            <w:tcW w:w="75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0DFEB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预算数</w:t>
            </w:r>
          </w:p>
        </w:tc>
        <w:tc>
          <w:tcPr>
            <w:tcW w:w="75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B34EF6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决算数</w:t>
            </w:r>
          </w:p>
        </w:tc>
      </w:tr>
      <w:tr w14:paraId="1919A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57A39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合计</w:t>
            </w:r>
          </w:p>
        </w:tc>
        <w:tc>
          <w:tcPr>
            <w:tcW w:w="12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96AB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因公出国（境）费</w:t>
            </w:r>
          </w:p>
        </w:tc>
        <w:tc>
          <w:tcPr>
            <w:tcW w:w="3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EF1E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公务用车购置及运行维护费</w:t>
            </w:r>
          </w:p>
        </w:tc>
        <w:tc>
          <w:tcPr>
            <w:tcW w:w="12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2173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公务接待费</w:t>
            </w:r>
          </w:p>
        </w:tc>
        <w:tc>
          <w:tcPr>
            <w:tcW w:w="12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8669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合计</w:t>
            </w:r>
          </w:p>
        </w:tc>
        <w:tc>
          <w:tcPr>
            <w:tcW w:w="12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5D58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因公出国（境）费</w:t>
            </w:r>
          </w:p>
        </w:tc>
        <w:tc>
          <w:tcPr>
            <w:tcW w:w="3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828E8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公务用车购置及运行维护费</w:t>
            </w:r>
          </w:p>
        </w:tc>
        <w:tc>
          <w:tcPr>
            <w:tcW w:w="12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41F2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公务接待费</w:t>
            </w:r>
          </w:p>
        </w:tc>
      </w:tr>
      <w:tr w14:paraId="33B19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13273">
            <w:pPr>
              <w:jc w:val="center"/>
              <w:rPr>
                <w:rFonts w:hint="eastAsia" w:ascii="宋体" w:hAnsi="宋体" w:eastAsia="宋体" w:cs="宋体"/>
                <w:i w:val="0"/>
                <w:color w:val="auto"/>
                <w:sz w:val="22"/>
                <w:szCs w:val="22"/>
                <w:highlight w:val="none"/>
                <w:u w:val="none"/>
              </w:rPr>
            </w:pPr>
          </w:p>
        </w:tc>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2F9C3">
            <w:pPr>
              <w:jc w:val="center"/>
              <w:rPr>
                <w:rFonts w:hint="eastAsia" w:ascii="宋体" w:hAnsi="宋体" w:eastAsia="宋体" w:cs="宋体"/>
                <w:i w:val="0"/>
                <w:color w:val="auto"/>
                <w:sz w:val="22"/>
                <w:szCs w:val="22"/>
                <w:highlight w:val="none"/>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697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小计</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8706">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公务用车</w:t>
            </w:r>
          </w:p>
          <w:p w14:paraId="1A6BBC4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购置费</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FEF4">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公务用车</w:t>
            </w:r>
          </w:p>
          <w:p w14:paraId="46ACFC6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运行维护费</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51E2">
            <w:pPr>
              <w:jc w:val="center"/>
              <w:rPr>
                <w:rFonts w:hint="eastAsia" w:ascii="宋体" w:hAnsi="宋体" w:eastAsia="宋体" w:cs="宋体"/>
                <w:i w:val="0"/>
                <w:color w:val="auto"/>
                <w:sz w:val="22"/>
                <w:szCs w:val="22"/>
                <w:highlight w:val="none"/>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D2BD">
            <w:pPr>
              <w:jc w:val="center"/>
              <w:rPr>
                <w:rFonts w:hint="eastAsia" w:ascii="宋体" w:hAnsi="宋体" w:eastAsia="宋体" w:cs="宋体"/>
                <w:i w:val="0"/>
                <w:color w:val="auto"/>
                <w:sz w:val="22"/>
                <w:szCs w:val="22"/>
                <w:highlight w:val="none"/>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E1E6">
            <w:pPr>
              <w:jc w:val="center"/>
              <w:rPr>
                <w:rFonts w:hint="eastAsia" w:ascii="宋体" w:hAnsi="宋体" w:eastAsia="宋体" w:cs="宋体"/>
                <w:i w:val="0"/>
                <w:color w:val="auto"/>
                <w:sz w:val="22"/>
                <w:szCs w:val="22"/>
                <w:highlight w:val="none"/>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E42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小计</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72AE">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公务用车</w:t>
            </w:r>
          </w:p>
          <w:p w14:paraId="7D873BE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购置费</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DD45">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公务用车</w:t>
            </w:r>
          </w:p>
          <w:p w14:paraId="35A4ED6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运行维护费</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8ECB">
            <w:pPr>
              <w:jc w:val="center"/>
              <w:rPr>
                <w:rFonts w:hint="eastAsia" w:ascii="宋体" w:hAnsi="宋体" w:eastAsia="宋体" w:cs="宋体"/>
                <w:i w:val="0"/>
                <w:color w:val="auto"/>
                <w:sz w:val="22"/>
                <w:szCs w:val="22"/>
                <w:highlight w:val="none"/>
                <w:u w:val="none"/>
              </w:rPr>
            </w:pPr>
          </w:p>
        </w:tc>
      </w:tr>
      <w:tr w14:paraId="035EE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923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D96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80A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410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44D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87E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E65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5C1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D6D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D36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AB6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CEB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r>
      <w:tr w14:paraId="08F28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048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501.88</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E96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111.00</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FAF9">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266.48</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5FA4">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49.58</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1220">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216.90</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050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124.40</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1668">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359.46</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33EE">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87.86</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2F9D">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239.01</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348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49.51</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0155">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189.50</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5A3A">
            <w:pPr>
              <w:keepNext w:val="0"/>
              <w:keepLines w:val="0"/>
              <w:widowControl/>
              <w:suppressLineNumbers w:val="0"/>
              <w:jc w:val="righ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32.59</w:t>
            </w:r>
          </w:p>
        </w:tc>
      </w:tr>
      <w:tr w14:paraId="696C1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6" w:hRule="atLeast"/>
        </w:trPr>
        <w:tc>
          <w:tcPr>
            <w:tcW w:w="15140" w:type="dxa"/>
            <w:gridSpan w:val="12"/>
            <w:tcBorders>
              <w:top w:val="nil"/>
              <w:left w:val="nil"/>
              <w:bottom w:val="nil"/>
              <w:right w:val="nil"/>
            </w:tcBorders>
            <w:shd w:val="clear" w:color="auto" w:fill="auto"/>
            <w:vAlign w:val="center"/>
          </w:tcPr>
          <w:p w14:paraId="147DA2D7">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03E1B283">
      <w:pPr>
        <w:autoSpaceDE w:val="0"/>
        <w:autoSpaceDN w:val="0"/>
        <w:adjustRightInd w:val="0"/>
        <w:ind w:left="315" w:leftChars="150"/>
        <w:jc w:val="left"/>
        <w:rPr>
          <w:rFonts w:ascii="宋体" w:eastAsia="宋体" w:cs="宋体"/>
          <w:color w:val="auto"/>
          <w:kern w:val="0"/>
          <w:sz w:val="24"/>
          <w:szCs w:val="24"/>
          <w:highlight w:val="none"/>
        </w:rPr>
      </w:pPr>
    </w:p>
    <w:p w14:paraId="20494B3D">
      <w:pPr>
        <w:autoSpaceDE w:val="0"/>
        <w:autoSpaceDN w:val="0"/>
        <w:adjustRightInd w:val="0"/>
        <w:ind w:left="315" w:leftChars="150"/>
        <w:jc w:val="left"/>
        <w:rPr>
          <w:rFonts w:ascii="宋体" w:eastAsia="宋体" w:cs="宋体"/>
          <w:color w:val="auto"/>
          <w:kern w:val="0"/>
          <w:sz w:val="24"/>
          <w:szCs w:val="24"/>
          <w:highlight w:val="none"/>
        </w:rPr>
      </w:pPr>
    </w:p>
    <w:p w14:paraId="61B45CA6">
      <w:pPr>
        <w:autoSpaceDE w:val="0"/>
        <w:autoSpaceDN w:val="0"/>
        <w:adjustRightInd w:val="0"/>
        <w:ind w:left="315" w:leftChars="150"/>
        <w:jc w:val="left"/>
        <w:rPr>
          <w:rFonts w:ascii="宋体" w:eastAsia="宋体" w:cs="宋体"/>
          <w:color w:val="auto"/>
          <w:kern w:val="0"/>
          <w:sz w:val="24"/>
          <w:szCs w:val="24"/>
          <w:highlight w:val="none"/>
        </w:rPr>
      </w:pPr>
    </w:p>
    <w:p w14:paraId="41328CC4">
      <w:pPr>
        <w:widowControl/>
        <w:jc w:val="both"/>
        <w:rPr>
          <w:color w:val="auto"/>
          <w:sz w:val="72"/>
          <w:szCs w:val="72"/>
          <w:highlight w:val="none"/>
        </w:rPr>
        <w:sectPr>
          <w:pgSz w:w="16838" w:h="11906" w:orient="landscape"/>
          <w:pgMar w:top="720" w:right="720" w:bottom="720" w:left="720" w:header="851" w:footer="992" w:gutter="0"/>
          <w:cols w:space="425" w:num="1"/>
          <w:docGrid w:type="lines" w:linePitch="312" w:charSpace="0"/>
        </w:sectPr>
      </w:pPr>
      <w:r>
        <w:rPr>
          <w:rFonts w:ascii="黑体" w:hAnsi="黑体" w:eastAsia="黑体"/>
          <w:color w:val="auto"/>
          <w:szCs w:val="21"/>
          <w:highlight w:val="none"/>
        </w:rPr>
        <w:br w:type="page"/>
      </w:r>
    </w:p>
    <w:p w14:paraId="709F290A">
      <w:pPr>
        <w:pStyle w:val="17"/>
        <w:rPr>
          <w:color w:val="auto"/>
          <w:sz w:val="72"/>
          <w:szCs w:val="72"/>
          <w:highlight w:val="none"/>
        </w:rPr>
      </w:pPr>
    </w:p>
    <w:p w14:paraId="14A0C721">
      <w:pPr>
        <w:pStyle w:val="17"/>
        <w:rPr>
          <w:color w:val="auto"/>
          <w:sz w:val="72"/>
          <w:szCs w:val="72"/>
          <w:highlight w:val="none"/>
        </w:rPr>
      </w:pPr>
    </w:p>
    <w:p w14:paraId="056BBA32">
      <w:pPr>
        <w:pStyle w:val="17"/>
        <w:rPr>
          <w:color w:val="auto"/>
          <w:sz w:val="72"/>
          <w:szCs w:val="72"/>
          <w:highlight w:val="none"/>
        </w:rPr>
      </w:pPr>
    </w:p>
    <w:p w14:paraId="54DE0252">
      <w:pPr>
        <w:pStyle w:val="17"/>
        <w:rPr>
          <w:color w:val="auto"/>
          <w:sz w:val="72"/>
          <w:szCs w:val="72"/>
          <w:highlight w:val="none"/>
        </w:rPr>
      </w:pPr>
    </w:p>
    <w:p w14:paraId="52CD7647">
      <w:pPr>
        <w:pStyle w:val="17"/>
        <w:jc w:val="center"/>
        <w:rPr>
          <w:color w:val="auto"/>
          <w:sz w:val="72"/>
          <w:szCs w:val="72"/>
          <w:highlight w:val="none"/>
        </w:rPr>
      </w:pPr>
    </w:p>
    <w:p w14:paraId="7AB758A7">
      <w:pPr>
        <w:pStyle w:val="17"/>
        <w:jc w:val="center"/>
        <w:rPr>
          <w:rFonts w:hint="eastAsia" w:ascii="方正小标宋_GBK" w:hAnsi="方正小标宋_GBK" w:eastAsia="方正小标宋_GBK" w:cs="方正小标宋_GBK"/>
          <w:color w:val="auto"/>
          <w:sz w:val="72"/>
          <w:szCs w:val="72"/>
          <w:highlight w:val="none"/>
        </w:rPr>
      </w:pPr>
    </w:p>
    <w:p w14:paraId="308112B9">
      <w:pPr>
        <w:pStyle w:val="17"/>
        <w:jc w:val="center"/>
        <w:rPr>
          <w:rFonts w:hint="eastAsia" w:ascii="方正小标宋_GBK" w:hAnsi="方正小标宋_GBK" w:eastAsia="方正小标宋_GBK" w:cs="方正小标宋_GBK"/>
          <w:color w:val="auto"/>
          <w:sz w:val="72"/>
          <w:szCs w:val="72"/>
          <w:highlight w:val="none"/>
        </w:rPr>
      </w:pPr>
      <w:r>
        <w:rPr>
          <w:rFonts w:hint="eastAsia" w:ascii="方正小标宋_GBK" w:hAnsi="方正小标宋_GBK" w:eastAsia="方正小标宋_GBK" w:cs="方正小标宋_GBK"/>
          <w:color w:val="auto"/>
          <w:sz w:val="72"/>
          <w:szCs w:val="72"/>
          <w:highlight w:val="none"/>
        </w:rPr>
        <w:t>第三部分</w:t>
      </w:r>
    </w:p>
    <w:p w14:paraId="12C0B8E4">
      <w:pPr>
        <w:pStyle w:val="17"/>
        <w:jc w:val="center"/>
        <w:rPr>
          <w:rFonts w:hint="eastAsia" w:ascii="方正小标宋_GBK" w:hAnsi="方正小标宋_GBK" w:eastAsia="方正小标宋_GBK" w:cs="方正小标宋_GBK"/>
          <w:color w:val="auto"/>
          <w:sz w:val="70"/>
          <w:szCs w:val="70"/>
          <w:highlight w:val="none"/>
        </w:rPr>
      </w:pPr>
    </w:p>
    <w:p w14:paraId="4687D10A">
      <w:pPr>
        <w:pStyle w:val="17"/>
        <w:jc w:val="center"/>
        <w:rPr>
          <w:rFonts w:hint="eastAsia" w:ascii="方正小标宋_GBK" w:hAnsi="方正小标宋_GBK" w:eastAsia="方正小标宋_GBK" w:cs="方正小标宋_GBK"/>
          <w:color w:val="auto"/>
          <w:sz w:val="70"/>
          <w:szCs w:val="70"/>
          <w:highlight w:val="none"/>
        </w:rPr>
      </w:pPr>
      <w:r>
        <w:rPr>
          <w:rFonts w:hint="eastAsia" w:ascii="方正小标宋_GBK" w:hAnsi="方正小标宋_GBK" w:eastAsia="方正小标宋_GBK" w:cs="方正小标宋_GBK"/>
          <w:color w:val="auto"/>
          <w:sz w:val="70"/>
          <w:szCs w:val="70"/>
          <w:highlight w:val="none"/>
        </w:rPr>
        <w:t>202</w:t>
      </w:r>
      <w:r>
        <w:rPr>
          <w:rFonts w:hint="eastAsia" w:ascii="方正小标宋_GBK" w:hAnsi="方正小标宋_GBK" w:eastAsia="方正小标宋_GBK" w:cs="方正小标宋_GBK"/>
          <w:color w:val="auto"/>
          <w:sz w:val="70"/>
          <w:szCs w:val="70"/>
          <w:highlight w:val="none"/>
          <w:lang w:val="en-US" w:eastAsia="zh-CN"/>
        </w:rPr>
        <w:t>3</w:t>
      </w:r>
      <w:r>
        <w:rPr>
          <w:rFonts w:hint="eastAsia" w:ascii="方正小标宋_GBK" w:hAnsi="方正小标宋_GBK" w:eastAsia="方正小标宋_GBK" w:cs="方正小标宋_GBK"/>
          <w:color w:val="auto"/>
          <w:sz w:val="70"/>
          <w:szCs w:val="70"/>
          <w:highlight w:val="none"/>
        </w:rPr>
        <w:t>年度部门决算情况说明</w:t>
      </w:r>
    </w:p>
    <w:p w14:paraId="1D709FCB">
      <w:pPr>
        <w:widowControl/>
        <w:jc w:val="left"/>
        <w:rPr>
          <w:rFonts w:asciiTheme="minorEastAsia" w:hAnsiTheme="minorEastAsia" w:eastAsiaTheme="minorEastAsia"/>
          <w:color w:val="auto"/>
          <w:sz w:val="32"/>
          <w:szCs w:val="32"/>
          <w:highlight w:val="none"/>
        </w:rPr>
      </w:pPr>
      <w:r>
        <w:rPr>
          <w:rFonts w:hint="eastAsia" w:ascii="方正小标宋_GBK" w:hAnsi="方正小标宋_GBK" w:eastAsia="方正小标宋_GBK" w:cs="方正小标宋_GBK"/>
          <w:color w:val="auto"/>
          <w:sz w:val="70"/>
          <w:szCs w:val="70"/>
          <w:highlight w:val="none"/>
        </w:rPr>
        <w:br w:type="page"/>
      </w:r>
    </w:p>
    <w:p w14:paraId="5F036F13">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一、收入支出决算总体情况说明</w:t>
      </w:r>
    </w:p>
    <w:p w14:paraId="5C193E33">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年度收、支总计</w:t>
      </w:r>
      <w:r>
        <w:rPr>
          <w:rFonts w:hint="eastAsia" w:ascii="Times New Roman" w:hAnsi="Times New Roman" w:eastAsia="仿宋_GB2312"/>
          <w:color w:val="auto"/>
          <w:sz w:val="32"/>
          <w:szCs w:val="32"/>
          <w:highlight w:val="none"/>
          <w:lang w:val="en-US" w:eastAsia="zh-CN"/>
        </w:rPr>
        <w:t>117230.43</w:t>
      </w:r>
      <w:r>
        <w:rPr>
          <w:rFonts w:hint="eastAsia" w:ascii="Times New Roman" w:hAnsi="Times New Roman" w:eastAsia="仿宋_GB2312"/>
          <w:color w:val="auto"/>
          <w:sz w:val="32"/>
          <w:szCs w:val="32"/>
          <w:highlight w:val="none"/>
        </w:rPr>
        <w:t>万元。与上年相比，减少</w:t>
      </w:r>
      <w:r>
        <w:rPr>
          <w:rFonts w:hint="eastAsia" w:ascii="Times New Roman" w:hAnsi="Times New Roman" w:eastAsia="仿宋_GB2312"/>
          <w:color w:val="auto"/>
          <w:sz w:val="32"/>
          <w:szCs w:val="32"/>
          <w:highlight w:val="none"/>
          <w:lang w:val="en-US" w:eastAsia="zh-CN"/>
        </w:rPr>
        <w:t>50241</w:t>
      </w:r>
      <w:r>
        <w:rPr>
          <w:rFonts w:hint="eastAsia" w:ascii="Times New Roman" w:hAnsi="Times New Roman" w:eastAsia="仿宋_GB2312"/>
          <w:color w:val="auto"/>
          <w:sz w:val="32"/>
          <w:szCs w:val="32"/>
          <w:highlight w:val="none"/>
        </w:rPr>
        <w:t>万元，减少</w:t>
      </w:r>
      <w:r>
        <w:rPr>
          <w:rFonts w:hint="eastAsia" w:ascii="Times New Roman" w:hAnsi="Times New Roman" w:eastAsia="仿宋_GB2312"/>
          <w:color w:val="auto"/>
          <w:sz w:val="32"/>
          <w:szCs w:val="32"/>
          <w:highlight w:val="none"/>
          <w:lang w:val="en-US" w:eastAsia="zh-CN"/>
        </w:rPr>
        <w:t>30%</w:t>
      </w:r>
      <w:r>
        <w:rPr>
          <w:rFonts w:hint="eastAsia" w:ascii="Times New Roman" w:hAnsi="Times New Roman" w:eastAsia="仿宋_GB2312"/>
          <w:color w:val="auto"/>
          <w:sz w:val="32"/>
          <w:szCs w:val="32"/>
          <w:highlight w:val="none"/>
        </w:rPr>
        <w:t>%，主要是因为</w:t>
      </w:r>
      <w:r>
        <w:rPr>
          <w:rFonts w:hint="eastAsia" w:ascii="Times New Roman" w:hAnsi="Times New Roman" w:eastAsia="仿宋_GB2312"/>
          <w:color w:val="auto"/>
          <w:sz w:val="32"/>
          <w:szCs w:val="32"/>
          <w:highlight w:val="none"/>
          <w:lang w:val="en-US" w:eastAsia="zh-CN"/>
        </w:rPr>
        <w:t>湖南省生物机电职业技术学院划入省教育厅，相应预算收入支出减少。</w:t>
      </w:r>
    </w:p>
    <w:p w14:paraId="1566D5F4">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二、收入决算情况说明</w:t>
      </w:r>
    </w:p>
    <w:p w14:paraId="3E80C131">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年度收入合计</w:t>
      </w:r>
      <w:r>
        <w:rPr>
          <w:rFonts w:hint="eastAsia" w:ascii="Times New Roman" w:hAnsi="Times New Roman" w:eastAsia="仿宋_GB2312"/>
          <w:color w:val="auto"/>
          <w:sz w:val="32"/>
          <w:szCs w:val="32"/>
          <w:highlight w:val="none"/>
          <w:lang w:val="en-US" w:eastAsia="zh-CN"/>
        </w:rPr>
        <w:t>96132.13</w:t>
      </w:r>
      <w:r>
        <w:rPr>
          <w:rFonts w:hint="eastAsia" w:ascii="Times New Roman" w:hAnsi="Times New Roman" w:eastAsia="仿宋_GB2312"/>
          <w:color w:val="auto"/>
          <w:sz w:val="32"/>
          <w:szCs w:val="32"/>
          <w:highlight w:val="none"/>
        </w:rPr>
        <w:t>万元，其中：财政拨款收入</w:t>
      </w:r>
      <w:r>
        <w:rPr>
          <w:rFonts w:hint="eastAsia" w:ascii="Times New Roman" w:hAnsi="Times New Roman" w:eastAsia="仿宋_GB2312"/>
          <w:color w:val="auto"/>
          <w:sz w:val="32"/>
          <w:szCs w:val="32"/>
          <w:highlight w:val="none"/>
          <w:lang w:val="en-US" w:eastAsia="zh-CN"/>
        </w:rPr>
        <w:t>88952.33</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92.53</w:t>
      </w:r>
      <w:r>
        <w:rPr>
          <w:rFonts w:hint="eastAsia" w:ascii="Times New Roman" w:hAnsi="Times New Roman" w:eastAsia="仿宋_GB2312"/>
          <w:color w:val="auto"/>
          <w:sz w:val="32"/>
          <w:szCs w:val="32"/>
          <w:highlight w:val="none"/>
        </w:rPr>
        <w:t>%；上级补助收入</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%；事业收入</w:t>
      </w:r>
      <w:r>
        <w:rPr>
          <w:rFonts w:hint="eastAsia" w:ascii="Times New Roman" w:hAnsi="Times New Roman" w:eastAsia="仿宋_GB2312"/>
          <w:color w:val="auto"/>
          <w:sz w:val="32"/>
          <w:szCs w:val="32"/>
          <w:highlight w:val="none"/>
          <w:lang w:val="en-US" w:eastAsia="zh-CN"/>
        </w:rPr>
        <w:t>4302.74</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4.48</w:t>
      </w:r>
      <w:r>
        <w:rPr>
          <w:rFonts w:hint="eastAsia" w:ascii="Times New Roman" w:hAnsi="Times New Roman" w:eastAsia="仿宋_GB2312"/>
          <w:color w:val="auto"/>
          <w:sz w:val="32"/>
          <w:szCs w:val="32"/>
          <w:highlight w:val="none"/>
        </w:rPr>
        <w:t>%；经营收入</w:t>
      </w:r>
      <w:r>
        <w:rPr>
          <w:rFonts w:hint="eastAsia" w:ascii="Times New Roman" w:hAnsi="Times New Roman" w:eastAsia="仿宋_GB2312"/>
          <w:color w:val="auto"/>
          <w:sz w:val="32"/>
          <w:szCs w:val="32"/>
          <w:highlight w:val="none"/>
          <w:lang w:val="en-US" w:eastAsia="zh-CN"/>
        </w:rPr>
        <w:t>488.36</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0.51</w:t>
      </w:r>
      <w:r>
        <w:rPr>
          <w:rFonts w:hint="eastAsia" w:ascii="Times New Roman" w:hAnsi="Times New Roman" w:eastAsia="仿宋_GB2312"/>
          <w:color w:val="auto"/>
          <w:sz w:val="32"/>
          <w:szCs w:val="32"/>
          <w:highlight w:val="none"/>
        </w:rPr>
        <w:t>%；附属单位上缴收入</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%；其他收入</w:t>
      </w:r>
      <w:r>
        <w:rPr>
          <w:rFonts w:hint="eastAsia" w:ascii="Times New Roman" w:hAnsi="Times New Roman" w:eastAsia="仿宋_GB2312"/>
          <w:color w:val="auto"/>
          <w:sz w:val="32"/>
          <w:szCs w:val="32"/>
          <w:highlight w:val="none"/>
          <w:lang w:val="en-US" w:eastAsia="zh-CN"/>
        </w:rPr>
        <w:t>238</w:t>
      </w:r>
      <w:r>
        <w:rPr>
          <w:rFonts w:hint="default" w:ascii="Times New Roman" w:hAnsi="Times New Roman" w:eastAsia="仿宋_GB2312"/>
          <w:color w:val="auto"/>
          <w:sz w:val="32"/>
          <w:szCs w:val="32"/>
          <w:highlight w:val="none"/>
          <w:lang w:val="en" w:eastAsia="zh-CN"/>
        </w:rPr>
        <w:t>8</w:t>
      </w:r>
      <w:r>
        <w:rPr>
          <w:rFonts w:hint="eastAsia" w:ascii="Times New Roman" w:hAnsi="Times New Roman" w:eastAsia="仿宋_GB2312"/>
          <w:color w:val="auto"/>
          <w:sz w:val="32"/>
          <w:szCs w:val="32"/>
          <w:highlight w:val="none"/>
          <w:lang w:val="en-US" w:eastAsia="zh-CN"/>
        </w:rPr>
        <w:t>.69</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2.48</w:t>
      </w:r>
      <w:r>
        <w:rPr>
          <w:rFonts w:hint="eastAsia" w:ascii="Times New Roman" w:hAnsi="Times New Roman" w:eastAsia="仿宋_GB2312"/>
          <w:color w:val="auto"/>
          <w:sz w:val="32"/>
          <w:szCs w:val="32"/>
          <w:highlight w:val="none"/>
        </w:rPr>
        <w:t>%。</w:t>
      </w:r>
    </w:p>
    <w:p w14:paraId="6B004D0C">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三、支出决算情况说明</w:t>
      </w:r>
    </w:p>
    <w:p w14:paraId="5F47B481">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年度支出合计</w:t>
      </w:r>
      <w:r>
        <w:rPr>
          <w:rFonts w:hint="eastAsia" w:ascii="Times New Roman" w:hAnsi="Times New Roman" w:eastAsia="仿宋_GB2312"/>
          <w:color w:val="auto"/>
          <w:sz w:val="32"/>
          <w:szCs w:val="32"/>
          <w:highlight w:val="none"/>
          <w:lang w:val="en-US" w:eastAsia="zh-CN"/>
        </w:rPr>
        <w:t>87918.90</w:t>
      </w:r>
      <w:r>
        <w:rPr>
          <w:rFonts w:hint="eastAsia" w:ascii="Times New Roman" w:hAnsi="Times New Roman" w:eastAsia="仿宋_GB2312"/>
          <w:color w:val="auto"/>
          <w:sz w:val="32"/>
          <w:szCs w:val="32"/>
          <w:highlight w:val="none"/>
        </w:rPr>
        <w:t>万元，其中：基本支出</w:t>
      </w:r>
      <w:r>
        <w:rPr>
          <w:rFonts w:hint="eastAsia" w:ascii="Times New Roman" w:hAnsi="Times New Roman" w:eastAsia="仿宋_GB2312"/>
          <w:color w:val="auto"/>
          <w:sz w:val="32"/>
          <w:szCs w:val="32"/>
          <w:highlight w:val="none"/>
          <w:lang w:val="en-US" w:eastAsia="zh-CN"/>
        </w:rPr>
        <w:t>47657.94</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54.21</w:t>
      </w:r>
      <w:r>
        <w:rPr>
          <w:rFonts w:hint="eastAsia" w:ascii="Times New Roman" w:hAnsi="Times New Roman" w:eastAsia="仿宋_GB2312"/>
          <w:color w:val="auto"/>
          <w:sz w:val="32"/>
          <w:szCs w:val="32"/>
          <w:highlight w:val="none"/>
        </w:rPr>
        <w:t>%；项目支出</w:t>
      </w:r>
      <w:r>
        <w:rPr>
          <w:rFonts w:hint="eastAsia" w:ascii="Times New Roman" w:hAnsi="Times New Roman" w:eastAsia="仿宋_GB2312"/>
          <w:color w:val="auto"/>
          <w:sz w:val="32"/>
          <w:szCs w:val="32"/>
          <w:highlight w:val="none"/>
          <w:lang w:val="en-US" w:eastAsia="zh-CN"/>
        </w:rPr>
        <w:t>39772.60</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45.24</w:t>
      </w:r>
      <w:r>
        <w:rPr>
          <w:rFonts w:hint="eastAsia" w:ascii="Times New Roman" w:hAnsi="Times New Roman" w:eastAsia="仿宋_GB2312"/>
          <w:color w:val="auto"/>
          <w:sz w:val="32"/>
          <w:szCs w:val="32"/>
          <w:highlight w:val="none"/>
        </w:rPr>
        <w:t>%；上缴上级支出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%；经营支出</w:t>
      </w:r>
      <w:r>
        <w:rPr>
          <w:rFonts w:hint="eastAsia" w:ascii="Times New Roman" w:hAnsi="Times New Roman" w:eastAsia="仿宋_GB2312"/>
          <w:color w:val="auto"/>
          <w:sz w:val="32"/>
          <w:szCs w:val="32"/>
          <w:highlight w:val="none"/>
          <w:lang w:val="en-US" w:eastAsia="zh-CN"/>
        </w:rPr>
        <w:t>488.36</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0.56</w:t>
      </w:r>
      <w:r>
        <w:rPr>
          <w:rFonts w:hint="eastAsia" w:ascii="Times New Roman" w:hAnsi="Times New Roman" w:eastAsia="仿宋_GB2312"/>
          <w:color w:val="auto"/>
          <w:sz w:val="32"/>
          <w:szCs w:val="32"/>
          <w:highlight w:val="none"/>
        </w:rPr>
        <w:t>%；对附属单位补助支出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w:t>
      </w:r>
    </w:p>
    <w:p w14:paraId="0398E975">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四、财政拨款收入支出决算总体情况说明</w:t>
      </w:r>
    </w:p>
    <w:p w14:paraId="4AA8712F">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年度财政拨款收、支总计</w:t>
      </w:r>
      <w:r>
        <w:rPr>
          <w:rFonts w:hint="eastAsia" w:ascii="Times New Roman" w:hAnsi="Times New Roman" w:eastAsia="仿宋_GB2312"/>
          <w:color w:val="auto"/>
          <w:sz w:val="32"/>
          <w:szCs w:val="32"/>
          <w:highlight w:val="none"/>
          <w:lang w:val="en-US" w:eastAsia="zh-CN"/>
        </w:rPr>
        <w:t>103169.30</w:t>
      </w:r>
      <w:r>
        <w:rPr>
          <w:rFonts w:hint="eastAsia" w:ascii="Times New Roman" w:hAnsi="Times New Roman" w:eastAsia="仿宋_GB2312"/>
          <w:color w:val="auto"/>
          <w:sz w:val="32"/>
          <w:szCs w:val="32"/>
          <w:highlight w:val="none"/>
        </w:rPr>
        <w:t>万元，与上年相比，减少</w:t>
      </w:r>
      <w:r>
        <w:rPr>
          <w:rFonts w:hint="eastAsia" w:ascii="Times New Roman" w:hAnsi="Times New Roman" w:eastAsia="仿宋_GB2312"/>
          <w:color w:val="auto"/>
          <w:sz w:val="32"/>
          <w:szCs w:val="32"/>
          <w:highlight w:val="none"/>
          <w:lang w:val="en-US" w:eastAsia="zh-CN"/>
        </w:rPr>
        <w:t>39254.77</w:t>
      </w:r>
      <w:r>
        <w:rPr>
          <w:rFonts w:hint="eastAsia" w:ascii="Times New Roman" w:hAnsi="Times New Roman" w:eastAsia="仿宋_GB2312"/>
          <w:color w:val="auto"/>
          <w:sz w:val="32"/>
          <w:szCs w:val="32"/>
          <w:highlight w:val="none"/>
        </w:rPr>
        <w:t>万元</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减少</w:t>
      </w:r>
      <w:r>
        <w:rPr>
          <w:rFonts w:hint="eastAsia" w:ascii="Times New Roman" w:hAnsi="Times New Roman" w:eastAsia="仿宋_GB2312"/>
          <w:color w:val="auto"/>
          <w:sz w:val="32"/>
          <w:szCs w:val="32"/>
          <w:highlight w:val="none"/>
          <w:lang w:val="en-US" w:eastAsia="zh-CN"/>
        </w:rPr>
        <w:t>27.56</w:t>
      </w:r>
      <w:r>
        <w:rPr>
          <w:rFonts w:hint="eastAsia" w:ascii="Times New Roman" w:hAnsi="Times New Roman" w:eastAsia="仿宋_GB2312"/>
          <w:color w:val="auto"/>
          <w:sz w:val="32"/>
          <w:szCs w:val="32"/>
          <w:highlight w:val="none"/>
        </w:rPr>
        <w:t>%，主要是因为</w:t>
      </w:r>
      <w:r>
        <w:rPr>
          <w:rFonts w:hint="eastAsia" w:ascii="Times New Roman" w:hAnsi="Times New Roman" w:eastAsia="仿宋_GB2312"/>
          <w:color w:val="auto"/>
          <w:sz w:val="32"/>
          <w:szCs w:val="32"/>
          <w:highlight w:val="none"/>
          <w:lang w:val="en-US" w:eastAsia="zh-CN"/>
        </w:rPr>
        <w:t>湖南省生物机电职业技术学院划入省教育厅，相应预算收入支出减少。</w:t>
      </w:r>
    </w:p>
    <w:p w14:paraId="58AE1F26">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五、一般公共预算财政拨款支出决算情况说明</w:t>
      </w:r>
    </w:p>
    <w:p w14:paraId="6513D347">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（一）一般公共预算财政拨款支出决算总体情况</w:t>
      </w:r>
    </w:p>
    <w:p w14:paraId="59DAC4A7">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年度财政拨款支出</w:t>
      </w:r>
      <w:r>
        <w:rPr>
          <w:rFonts w:hint="eastAsia" w:ascii="Times New Roman" w:hAnsi="Times New Roman" w:eastAsia="仿宋_GB2312"/>
          <w:color w:val="auto"/>
          <w:sz w:val="32"/>
          <w:szCs w:val="32"/>
          <w:highlight w:val="none"/>
          <w:lang w:val="en-US" w:eastAsia="zh-CN"/>
        </w:rPr>
        <w:t>81162.35</w:t>
      </w:r>
      <w:r>
        <w:rPr>
          <w:rFonts w:hint="eastAsia" w:ascii="Times New Roman" w:hAnsi="Times New Roman" w:eastAsia="仿宋_GB2312"/>
          <w:color w:val="auto"/>
          <w:sz w:val="32"/>
          <w:szCs w:val="32"/>
          <w:highlight w:val="none"/>
        </w:rPr>
        <w:t>万元，占本年支出合计的</w:t>
      </w:r>
      <w:r>
        <w:rPr>
          <w:rFonts w:hint="eastAsia" w:ascii="Times New Roman" w:hAnsi="Times New Roman" w:eastAsia="仿宋_GB2312"/>
          <w:color w:val="auto"/>
          <w:sz w:val="32"/>
          <w:szCs w:val="32"/>
          <w:highlight w:val="none"/>
          <w:lang w:val="en-US" w:eastAsia="zh-CN"/>
        </w:rPr>
        <w:t>92.32</w:t>
      </w:r>
      <w:r>
        <w:rPr>
          <w:rFonts w:hint="eastAsia" w:ascii="Times New Roman" w:hAnsi="Times New Roman" w:eastAsia="仿宋_GB2312"/>
          <w:color w:val="auto"/>
          <w:sz w:val="32"/>
          <w:szCs w:val="32"/>
          <w:highlight w:val="none"/>
        </w:rPr>
        <w:t>%，与上年相比，财政拨款支出减少</w:t>
      </w:r>
      <w:r>
        <w:rPr>
          <w:rFonts w:hint="eastAsia" w:ascii="Times New Roman" w:hAnsi="Times New Roman" w:eastAsia="仿宋_GB2312"/>
          <w:color w:val="auto"/>
          <w:sz w:val="32"/>
          <w:szCs w:val="32"/>
          <w:highlight w:val="none"/>
          <w:lang w:val="en-US" w:eastAsia="zh-CN"/>
        </w:rPr>
        <w:t>28622.12</w:t>
      </w:r>
      <w:r>
        <w:rPr>
          <w:rFonts w:hint="eastAsia" w:ascii="Times New Roman" w:hAnsi="Times New Roman" w:eastAsia="仿宋_GB2312"/>
          <w:color w:val="auto"/>
          <w:sz w:val="32"/>
          <w:szCs w:val="32"/>
          <w:highlight w:val="none"/>
        </w:rPr>
        <w:t>万元，减少</w:t>
      </w:r>
      <w:r>
        <w:rPr>
          <w:rFonts w:hint="eastAsia" w:ascii="Times New Roman" w:hAnsi="Times New Roman" w:eastAsia="仿宋_GB2312"/>
          <w:color w:val="auto"/>
          <w:sz w:val="32"/>
          <w:szCs w:val="32"/>
          <w:highlight w:val="none"/>
          <w:lang w:val="en-US" w:eastAsia="zh-CN"/>
        </w:rPr>
        <w:t>26.07</w:t>
      </w:r>
      <w:r>
        <w:rPr>
          <w:rFonts w:hint="eastAsia" w:ascii="Times New Roman" w:hAnsi="Times New Roman" w:eastAsia="仿宋_GB2312"/>
          <w:color w:val="auto"/>
          <w:sz w:val="32"/>
          <w:szCs w:val="32"/>
          <w:highlight w:val="none"/>
        </w:rPr>
        <w:t>%，主要是因为</w:t>
      </w:r>
      <w:r>
        <w:rPr>
          <w:rFonts w:hint="eastAsia" w:ascii="Times New Roman" w:hAnsi="Times New Roman" w:eastAsia="仿宋_GB2312"/>
          <w:color w:val="auto"/>
          <w:sz w:val="32"/>
          <w:szCs w:val="32"/>
          <w:highlight w:val="none"/>
          <w:lang w:val="en-US" w:eastAsia="zh-CN"/>
        </w:rPr>
        <w:t>湖南省生物机电职业技术学院划入省教育厅，相应预算收入支出减少。</w:t>
      </w:r>
    </w:p>
    <w:p w14:paraId="561B8BED">
      <w:pPr>
        <w:pStyle w:val="17"/>
        <w:keepNext w:val="0"/>
        <w:keepLines w:val="0"/>
        <w:pageBreakBefore w:val="0"/>
        <w:widowControl w:val="0"/>
        <w:kinsoku/>
        <w:wordWrap/>
        <w:overflowPunct/>
        <w:topLinePunct w:val="0"/>
        <w:bidi w:val="0"/>
        <w:snapToGrid/>
        <w:spacing w:line="600" w:lineRule="exact"/>
        <w:ind w:firstLine="480" w:firstLineChars="150"/>
        <w:textAlignment w:val="auto"/>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（二）一般公共预算财政拨款支出决算结构情况</w:t>
      </w:r>
    </w:p>
    <w:p w14:paraId="5EE382DA">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年度财政拨款支出</w:t>
      </w:r>
      <w:r>
        <w:rPr>
          <w:rFonts w:hint="eastAsia" w:ascii="Times New Roman" w:hAnsi="Times New Roman" w:eastAsia="仿宋_GB2312"/>
          <w:color w:val="auto"/>
          <w:sz w:val="32"/>
          <w:szCs w:val="32"/>
          <w:highlight w:val="none"/>
          <w:lang w:val="en-US" w:eastAsia="zh-CN"/>
        </w:rPr>
        <w:t>81162.35</w:t>
      </w:r>
      <w:r>
        <w:rPr>
          <w:rFonts w:hint="eastAsia" w:ascii="Times New Roman" w:hAnsi="Times New Roman" w:eastAsia="仿宋_GB2312"/>
          <w:color w:val="auto"/>
          <w:sz w:val="32"/>
          <w:szCs w:val="32"/>
          <w:highlight w:val="none"/>
        </w:rPr>
        <w:t>万元，主要用于以下方面：一般公共服务（类）支出</w:t>
      </w:r>
      <w:r>
        <w:rPr>
          <w:rFonts w:hint="eastAsia" w:ascii="Times New Roman" w:hAnsi="Times New Roman" w:eastAsia="仿宋_GB2312"/>
          <w:color w:val="auto"/>
          <w:sz w:val="32"/>
          <w:szCs w:val="32"/>
          <w:highlight w:val="none"/>
          <w:lang w:val="en-US" w:eastAsia="zh-CN"/>
        </w:rPr>
        <w:t>260.71</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0.32</w:t>
      </w:r>
      <w:r>
        <w:rPr>
          <w:rFonts w:hint="eastAsia" w:ascii="Times New Roman" w:hAnsi="Times New Roman" w:eastAsia="仿宋_GB2312"/>
          <w:color w:val="auto"/>
          <w:sz w:val="32"/>
          <w:szCs w:val="32"/>
          <w:highlight w:val="none"/>
        </w:rPr>
        <w:t>%；教育（类）支出</w:t>
      </w:r>
      <w:r>
        <w:rPr>
          <w:rFonts w:hint="eastAsia" w:ascii="Times New Roman" w:hAnsi="Times New Roman" w:eastAsia="仿宋_GB2312"/>
          <w:color w:val="auto"/>
          <w:sz w:val="32"/>
          <w:szCs w:val="32"/>
          <w:highlight w:val="none"/>
          <w:lang w:val="en-US" w:eastAsia="zh-CN"/>
        </w:rPr>
        <w:t>3104.95</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3.83</w:t>
      </w:r>
      <w:r>
        <w:rPr>
          <w:rFonts w:hint="eastAsia" w:ascii="Times New Roman" w:hAnsi="Times New Roman" w:eastAsia="仿宋_GB2312"/>
          <w:color w:val="auto"/>
          <w:sz w:val="32"/>
          <w:szCs w:val="32"/>
          <w:highlight w:val="none"/>
        </w:rPr>
        <w:t>%；科学技术（类）支出</w:t>
      </w:r>
      <w:r>
        <w:rPr>
          <w:rFonts w:hint="eastAsia" w:ascii="Times New Roman" w:hAnsi="Times New Roman" w:eastAsia="仿宋_GB2312"/>
          <w:color w:val="auto"/>
          <w:sz w:val="32"/>
          <w:szCs w:val="32"/>
          <w:highlight w:val="none"/>
          <w:lang w:val="en-US" w:eastAsia="zh-CN"/>
        </w:rPr>
        <w:t>255.57</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0.32</w:t>
      </w:r>
      <w:r>
        <w:rPr>
          <w:rFonts w:hint="eastAsia" w:ascii="Times New Roman" w:hAnsi="Times New Roman" w:eastAsia="仿宋_GB2312"/>
          <w:color w:val="auto"/>
          <w:sz w:val="32"/>
          <w:szCs w:val="32"/>
          <w:highlight w:val="none"/>
        </w:rPr>
        <w:t>%；社会保障和就业（类）支出</w:t>
      </w:r>
      <w:r>
        <w:rPr>
          <w:rFonts w:hint="eastAsia" w:ascii="Times New Roman" w:hAnsi="Times New Roman" w:eastAsia="仿宋_GB2312"/>
          <w:color w:val="auto"/>
          <w:sz w:val="32"/>
          <w:szCs w:val="32"/>
          <w:highlight w:val="none"/>
          <w:lang w:val="en-US" w:eastAsia="zh-CN"/>
        </w:rPr>
        <w:t>3281.02</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4.04</w:t>
      </w:r>
      <w:r>
        <w:rPr>
          <w:rFonts w:hint="eastAsia" w:ascii="Times New Roman" w:hAnsi="Times New Roman" w:eastAsia="仿宋_GB2312"/>
          <w:color w:val="auto"/>
          <w:sz w:val="32"/>
          <w:szCs w:val="32"/>
          <w:highlight w:val="none"/>
        </w:rPr>
        <w:t>%；卫生健康（类）支出</w:t>
      </w:r>
      <w:r>
        <w:rPr>
          <w:rFonts w:hint="eastAsia" w:ascii="Times New Roman" w:hAnsi="Times New Roman" w:eastAsia="仿宋_GB2312"/>
          <w:color w:val="auto"/>
          <w:sz w:val="32"/>
          <w:szCs w:val="32"/>
          <w:highlight w:val="none"/>
          <w:lang w:val="en-US" w:eastAsia="zh-CN"/>
        </w:rPr>
        <w:t>103.29</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0.13</w:t>
      </w:r>
      <w:r>
        <w:rPr>
          <w:rFonts w:hint="eastAsia" w:ascii="Times New Roman" w:hAnsi="Times New Roman" w:eastAsia="仿宋_GB2312"/>
          <w:color w:val="auto"/>
          <w:sz w:val="32"/>
          <w:szCs w:val="32"/>
          <w:highlight w:val="none"/>
        </w:rPr>
        <w:t>%；节能环保（类）支出</w:t>
      </w:r>
      <w:r>
        <w:rPr>
          <w:rFonts w:hint="eastAsia" w:ascii="Times New Roman" w:hAnsi="Times New Roman" w:eastAsia="仿宋_GB2312"/>
          <w:color w:val="auto"/>
          <w:sz w:val="32"/>
          <w:szCs w:val="32"/>
          <w:highlight w:val="none"/>
          <w:lang w:val="en-US" w:eastAsia="zh-CN"/>
        </w:rPr>
        <w:t>40</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0.05</w:t>
      </w:r>
      <w:r>
        <w:rPr>
          <w:rFonts w:hint="eastAsia" w:ascii="Times New Roman" w:hAnsi="Times New Roman" w:eastAsia="仿宋_GB2312"/>
          <w:color w:val="auto"/>
          <w:sz w:val="32"/>
          <w:szCs w:val="32"/>
          <w:highlight w:val="none"/>
        </w:rPr>
        <w:t>%；农林水（类）支出</w:t>
      </w:r>
      <w:r>
        <w:rPr>
          <w:rFonts w:hint="eastAsia" w:ascii="Times New Roman" w:hAnsi="Times New Roman" w:eastAsia="仿宋_GB2312"/>
          <w:color w:val="auto"/>
          <w:sz w:val="32"/>
          <w:szCs w:val="32"/>
          <w:highlight w:val="none"/>
          <w:lang w:val="en-US" w:eastAsia="zh-CN"/>
        </w:rPr>
        <w:t>72967.72</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89.90</w:t>
      </w:r>
      <w:r>
        <w:rPr>
          <w:rFonts w:hint="eastAsia" w:ascii="Times New Roman" w:hAnsi="Times New Roman" w:eastAsia="仿宋_GB2312"/>
          <w:color w:val="auto"/>
          <w:sz w:val="32"/>
          <w:szCs w:val="32"/>
          <w:highlight w:val="none"/>
        </w:rPr>
        <w:t>%；住房保障（类）支出</w:t>
      </w:r>
      <w:r>
        <w:rPr>
          <w:rFonts w:hint="eastAsia" w:ascii="Times New Roman" w:hAnsi="Times New Roman" w:eastAsia="仿宋_GB2312"/>
          <w:color w:val="auto"/>
          <w:sz w:val="32"/>
          <w:szCs w:val="32"/>
          <w:highlight w:val="none"/>
          <w:lang w:val="en-US" w:eastAsia="zh-CN"/>
        </w:rPr>
        <w:t>1097.65</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1.35</w:t>
      </w:r>
      <w:r>
        <w:rPr>
          <w:rFonts w:hint="eastAsia" w:ascii="Times New Roman" w:hAnsi="Times New Roman" w:eastAsia="仿宋_GB2312"/>
          <w:color w:val="auto"/>
          <w:sz w:val="32"/>
          <w:szCs w:val="32"/>
          <w:highlight w:val="none"/>
        </w:rPr>
        <w:t>%；粮油物资储备（类）支出</w:t>
      </w:r>
      <w:r>
        <w:rPr>
          <w:rFonts w:hint="eastAsia" w:ascii="Times New Roman" w:hAnsi="Times New Roman" w:eastAsia="仿宋_GB2312"/>
          <w:color w:val="auto"/>
          <w:sz w:val="32"/>
          <w:szCs w:val="32"/>
          <w:highlight w:val="none"/>
          <w:lang w:val="en-US" w:eastAsia="zh-CN"/>
        </w:rPr>
        <w:t>51.43</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0.06</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p>
    <w:p w14:paraId="183AF84F">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（三）一般公共预算财政拨款支出决算具体情况</w:t>
      </w:r>
    </w:p>
    <w:p w14:paraId="292F76F5">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年度财政拨款支出年初预算数为75419.19万元，支出决算数为</w:t>
      </w:r>
      <w:r>
        <w:rPr>
          <w:rFonts w:hint="eastAsia" w:ascii="Times New Roman" w:hAnsi="Times New Roman" w:eastAsia="仿宋_GB2312"/>
          <w:color w:val="auto"/>
          <w:sz w:val="32"/>
          <w:szCs w:val="32"/>
          <w:highlight w:val="none"/>
          <w:lang w:val="en-US" w:eastAsia="zh-CN"/>
        </w:rPr>
        <w:t>81162.35</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%，其中：</w:t>
      </w:r>
    </w:p>
    <w:p w14:paraId="051D7E00">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1、一般公共服务（类）</w:t>
      </w:r>
      <w:r>
        <w:rPr>
          <w:rFonts w:hint="eastAsia" w:ascii="Times New Roman" w:hAnsi="Times New Roman" w:eastAsia="仿宋_GB2312"/>
          <w:color w:val="auto"/>
          <w:sz w:val="32"/>
          <w:szCs w:val="32"/>
          <w:highlight w:val="none"/>
          <w:lang w:val="en-US" w:eastAsia="zh-CN"/>
        </w:rPr>
        <w:t>发展与改革事务</w:t>
      </w:r>
      <w:r>
        <w:rPr>
          <w:rFonts w:hint="eastAsia" w:ascii="Times New Roman" w:hAnsi="Times New Roman" w:eastAsia="仿宋_GB2312"/>
          <w:color w:val="auto"/>
          <w:sz w:val="32"/>
          <w:szCs w:val="32"/>
          <w:highlight w:val="none"/>
        </w:rPr>
        <w:t>（款）</w:t>
      </w:r>
      <w:r>
        <w:rPr>
          <w:rFonts w:hint="eastAsia" w:ascii="Times New Roman" w:hAnsi="Times New Roman" w:eastAsia="仿宋_GB2312"/>
          <w:color w:val="auto"/>
          <w:sz w:val="32"/>
          <w:szCs w:val="32"/>
          <w:highlight w:val="none"/>
          <w:lang w:val="en-US" w:eastAsia="zh-CN"/>
        </w:rPr>
        <w:t>其他发展与改革事务支出</w:t>
      </w:r>
      <w:r>
        <w:rPr>
          <w:rFonts w:hint="eastAsia" w:ascii="Times New Roman" w:hAnsi="Times New Roman" w:eastAsia="仿宋_GB2312"/>
          <w:color w:val="auto"/>
          <w:sz w:val="32"/>
          <w:szCs w:val="32"/>
          <w:highlight w:val="none"/>
        </w:rPr>
        <w:t>（项）。</w:t>
      </w:r>
    </w:p>
    <w:p w14:paraId="66B3C35C">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30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30</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w:t>
      </w:r>
    </w:p>
    <w:p w14:paraId="5AED2FF6">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2、一般公共服务（类）</w:t>
      </w:r>
      <w:r>
        <w:rPr>
          <w:rFonts w:hint="eastAsia" w:ascii="Times New Roman" w:hAnsi="Times New Roman" w:eastAsia="仿宋_GB2312"/>
          <w:color w:val="auto"/>
          <w:sz w:val="32"/>
          <w:szCs w:val="32"/>
          <w:highlight w:val="none"/>
          <w:lang w:val="en-US" w:eastAsia="zh-CN"/>
        </w:rPr>
        <w:t>财政事务</w:t>
      </w:r>
      <w:r>
        <w:rPr>
          <w:rFonts w:hint="eastAsia" w:ascii="Times New Roman" w:hAnsi="Times New Roman" w:eastAsia="仿宋_GB2312"/>
          <w:color w:val="auto"/>
          <w:sz w:val="32"/>
          <w:szCs w:val="32"/>
          <w:highlight w:val="none"/>
        </w:rPr>
        <w:t>（款）其他</w:t>
      </w:r>
      <w:r>
        <w:rPr>
          <w:rFonts w:hint="eastAsia" w:ascii="Times New Roman" w:hAnsi="Times New Roman" w:eastAsia="仿宋_GB2312"/>
          <w:color w:val="auto"/>
          <w:sz w:val="32"/>
          <w:szCs w:val="32"/>
          <w:highlight w:val="none"/>
          <w:lang w:val="en-US" w:eastAsia="zh-CN"/>
        </w:rPr>
        <w:t>财政事务支出</w:t>
      </w:r>
      <w:r>
        <w:rPr>
          <w:rFonts w:hint="eastAsia" w:ascii="Times New Roman" w:hAnsi="Times New Roman" w:eastAsia="仿宋_GB2312"/>
          <w:color w:val="auto"/>
          <w:sz w:val="32"/>
          <w:szCs w:val="32"/>
          <w:highlight w:val="none"/>
        </w:rPr>
        <w:t>（项）。</w:t>
      </w:r>
    </w:p>
    <w:p w14:paraId="36B21D18">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93.34</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209.55</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年中追加项目资金。</w:t>
      </w:r>
    </w:p>
    <w:p w14:paraId="576760A0">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一般公共服务（类）市场监督管理事务（款）质量基础（项）。</w:t>
      </w:r>
    </w:p>
    <w:p w14:paraId="1691D94B">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w:t>
      </w:r>
      <w:r>
        <w:rPr>
          <w:rFonts w:hint="eastAsia" w:ascii="Times New Roman" w:hAnsi="Times New Roman" w:eastAsia="仿宋_GB2312"/>
          <w:color w:val="auto"/>
          <w:sz w:val="32"/>
          <w:szCs w:val="32"/>
          <w:highlight w:val="none"/>
          <w:lang w:val="en-US" w:eastAsia="zh-CN"/>
        </w:rPr>
        <w:t>6.25</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16.08</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年中追加标准化专项资金14万元。</w:t>
      </w:r>
    </w:p>
    <w:p w14:paraId="4CD7F24C">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w:t>
      </w:r>
      <w:r>
        <w:rPr>
          <w:rFonts w:hint="eastAsia" w:ascii="Times New Roman" w:hAnsi="Times New Roman" w:eastAsia="仿宋_GB2312"/>
          <w:color w:val="auto"/>
          <w:sz w:val="32"/>
          <w:szCs w:val="32"/>
          <w:highlight w:val="none"/>
        </w:rPr>
        <w:t>、一般公共服务（类）其他一般公共服务支出（款）其他市场监督管理事务（项）。</w:t>
      </w:r>
    </w:p>
    <w:p w14:paraId="00895E3E">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5.00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5.08</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w:t>
      </w:r>
      <w:r>
        <w:rPr>
          <w:rFonts w:hint="eastAsia" w:ascii="Times New Roman" w:hAnsi="Times New Roman" w:eastAsia="仿宋_GB2312"/>
          <w:color w:val="auto"/>
          <w:sz w:val="32"/>
          <w:szCs w:val="32"/>
          <w:highlight w:val="none"/>
          <w:lang w:val="en-US" w:eastAsia="zh-CN"/>
        </w:rPr>
        <w:t>大</w:t>
      </w:r>
      <w:r>
        <w:rPr>
          <w:rFonts w:hint="eastAsia" w:ascii="Times New Roman" w:hAnsi="Times New Roman" w:eastAsia="仿宋_GB2312"/>
          <w:color w:val="auto"/>
          <w:sz w:val="32"/>
          <w:szCs w:val="32"/>
          <w:highlight w:val="none"/>
        </w:rPr>
        <w:t>于年初预算数的主要原因是：</w:t>
      </w:r>
      <w:r>
        <w:rPr>
          <w:rFonts w:hint="eastAsia" w:ascii="Times New Roman" w:hAnsi="Times New Roman" w:eastAsia="仿宋_GB2312"/>
          <w:color w:val="auto"/>
          <w:sz w:val="32"/>
          <w:szCs w:val="32"/>
          <w:highlight w:val="none"/>
          <w:lang w:val="en-US" w:eastAsia="zh-CN"/>
        </w:rPr>
        <w:t>资金来源于年中追加。</w:t>
      </w:r>
    </w:p>
    <w:p w14:paraId="1620AF28">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5</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教育</w:t>
      </w:r>
      <w:r>
        <w:rPr>
          <w:rFonts w:hint="eastAsia" w:ascii="Times New Roman" w:hAnsi="Times New Roman" w:eastAsia="仿宋_GB2312"/>
          <w:color w:val="auto"/>
          <w:sz w:val="32"/>
          <w:szCs w:val="32"/>
          <w:highlight w:val="none"/>
        </w:rPr>
        <w:t>（类）</w:t>
      </w:r>
      <w:r>
        <w:rPr>
          <w:rFonts w:hint="eastAsia" w:ascii="Times New Roman" w:hAnsi="Times New Roman" w:eastAsia="仿宋_GB2312"/>
          <w:color w:val="auto"/>
          <w:sz w:val="32"/>
          <w:szCs w:val="32"/>
          <w:highlight w:val="none"/>
          <w:lang w:val="en-US" w:eastAsia="zh-CN"/>
        </w:rPr>
        <w:t>职业教育</w:t>
      </w:r>
      <w:r>
        <w:rPr>
          <w:rFonts w:hint="eastAsia" w:ascii="Times New Roman" w:hAnsi="Times New Roman" w:eastAsia="仿宋_GB2312"/>
          <w:color w:val="auto"/>
          <w:sz w:val="32"/>
          <w:szCs w:val="32"/>
          <w:highlight w:val="none"/>
        </w:rPr>
        <w:t>（款）中等职业教育（项）。</w:t>
      </w:r>
    </w:p>
    <w:p w14:paraId="60B4A4C5">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1755.46</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3104.95</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资金来源于年中追加。</w:t>
      </w:r>
    </w:p>
    <w:p w14:paraId="23BDEA61">
      <w:pPr>
        <w:pStyle w:val="17"/>
        <w:keepNext w:val="0"/>
        <w:keepLines w:val="0"/>
        <w:pageBreakBefore w:val="0"/>
        <w:widowControl w:val="0"/>
        <w:numPr>
          <w:ilvl w:val="0"/>
          <w:numId w:val="0"/>
        </w:numPr>
        <w:kinsoku/>
        <w:wordWrap/>
        <w:overflowPunct/>
        <w:topLinePunct w:val="0"/>
        <w:bidi w:val="0"/>
        <w:snapToGrid/>
        <w:spacing w:line="600" w:lineRule="exact"/>
        <w:ind w:left="840" w:leftChars="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6、</w:t>
      </w:r>
      <w:r>
        <w:rPr>
          <w:rFonts w:hint="eastAsia" w:ascii="Times New Roman" w:hAnsi="Times New Roman" w:eastAsia="仿宋_GB2312"/>
          <w:color w:val="auto"/>
          <w:sz w:val="32"/>
          <w:szCs w:val="32"/>
          <w:highlight w:val="none"/>
        </w:rPr>
        <w:t>科学技术（类）基础研究（款）自然科学基金（项）。</w:t>
      </w:r>
    </w:p>
    <w:p w14:paraId="3058D17C">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8.28</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13.01</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年中追加资金9.20万元。</w:t>
      </w:r>
    </w:p>
    <w:p w14:paraId="3C5B204F">
      <w:pPr>
        <w:pStyle w:val="17"/>
        <w:keepNext w:val="0"/>
        <w:keepLines w:val="0"/>
        <w:pageBreakBefore w:val="0"/>
        <w:widowControl w:val="0"/>
        <w:numPr>
          <w:ilvl w:val="0"/>
          <w:numId w:val="2"/>
        </w:numPr>
        <w:kinsoku/>
        <w:wordWrap/>
        <w:overflowPunct/>
        <w:topLinePunct w:val="0"/>
        <w:bidi w:val="0"/>
        <w:snapToGrid/>
        <w:spacing w:line="600" w:lineRule="exact"/>
        <w:ind w:left="40" w:leftChars="0" w:firstLine="800" w:firstLineChars="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科学技术（类）基础研究（款）科普活动（项）。</w:t>
      </w:r>
    </w:p>
    <w:p w14:paraId="6F2CF3D5">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w:t>
      </w:r>
      <w:r>
        <w:rPr>
          <w:rFonts w:hint="eastAsia" w:ascii="Times New Roman" w:hAnsi="Times New Roman" w:eastAsia="仿宋_GB2312"/>
          <w:color w:val="auto"/>
          <w:sz w:val="32"/>
          <w:szCs w:val="32"/>
          <w:highlight w:val="none"/>
        </w:rPr>
        <w:t>万元，决算数大于年初预算数的主要原因是：</w:t>
      </w:r>
      <w:r>
        <w:rPr>
          <w:rFonts w:hint="eastAsia" w:ascii="Times New Roman" w:hAnsi="Times New Roman" w:eastAsia="仿宋_GB2312"/>
          <w:color w:val="auto"/>
          <w:sz w:val="32"/>
          <w:szCs w:val="32"/>
          <w:highlight w:val="none"/>
          <w:lang w:val="en-US" w:eastAsia="zh-CN"/>
        </w:rPr>
        <w:t>年中追加资金1万元。</w:t>
      </w:r>
    </w:p>
    <w:p w14:paraId="671D85FE">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8</w:t>
      </w:r>
      <w:r>
        <w:rPr>
          <w:rFonts w:hint="eastAsia" w:ascii="Times New Roman" w:hAnsi="Times New Roman" w:eastAsia="仿宋_GB2312"/>
          <w:color w:val="auto"/>
          <w:sz w:val="32"/>
          <w:szCs w:val="32"/>
          <w:highlight w:val="none"/>
        </w:rPr>
        <w:t>、科学技术（类）科学技术普及（款）学术交流活动（项）。</w:t>
      </w:r>
    </w:p>
    <w:p w14:paraId="5E17F00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年初预算为万</w:t>
      </w:r>
      <w:r>
        <w:rPr>
          <w:rFonts w:hint="eastAsia" w:ascii="Times New Roman" w:hAnsi="Times New Roman" w:eastAsia="仿宋_GB2312"/>
          <w:color w:val="auto"/>
          <w:sz w:val="32"/>
          <w:szCs w:val="32"/>
          <w:highlight w:val="none"/>
          <w:lang w:val="en-US" w:eastAsia="zh-CN"/>
        </w:rPr>
        <w:t>3.25</w:t>
      </w:r>
      <w:r>
        <w:rPr>
          <w:rFonts w:hint="eastAsia" w:ascii="Times New Roman" w:hAnsi="Times New Roman" w:eastAsia="仿宋_GB2312"/>
          <w:color w:val="auto"/>
          <w:sz w:val="32"/>
          <w:szCs w:val="32"/>
          <w:highlight w:val="none"/>
        </w:rPr>
        <w:t>元，支出决算为</w:t>
      </w:r>
      <w:r>
        <w:rPr>
          <w:rFonts w:hint="eastAsia" w:ascii="Times New Roman" w:hAnsi="Times New Roman" w:eastAsia="仿宋_GB2312"/>
          <w:color w:val="auto"/>
          <w:sz w:val="32"/>
          <w:szCs w:val="32"/>
          <w:highlight w:val="none"/>
          <w:lang w:val="en-US" w:eastAsia="zh-CN"/>
        </w:rPr>
        <w:t>3.25</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w:t>
      </w:r>
    </w:p>
    <w:p w14:paraId="3DA00935">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9</w:t>
      </w:r>
      <w:r>
        <w:rPr>
          <w:rFonts w:hint="eastAsia" w:ascii="Times New Roman" w:hAnsi="Times New Roman" w:eastAsia="仿宋_GB2312"/>
          <w:color w:val="auto"/>
          <w:sz w:val="32"/>
          <w:szCs w:val="32"/>
          <w:highlight w:val="none"/>
        </w:rPr>
        <w:t>、科学技术（类）科学技术普及（款）其他科学技术普及支出（项）。</w:t>
      </w:r>
    </w:p>
    <w:p w14:paraId="3529C097">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5</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5</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w:t>
      </w:r>
    </w:p>
    <w:p w14:paraId="648A574B">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10</w:t>
      </w:r>
      <w:r>
        <w:rPr>
          <w:rFonts w:hint="eastAsia" w:ascii="Times New Roman" w:hAnsi="Times New Roman" w:eastAsia="仿宋_GB2312"/>
          <w:color w:val="auto"/>
          <w:sz w:val="32"/>
          <w:szCs w:val="32"/>
          <w:highlight w:val="none"/>
        </w:rPr>
        <w:t>、科学技术（类）科技重大项目（款）重点研发计划（项）。</w:t>
      </w:r>
    </w:p>
    <w:p w14:paraId="1AFF78B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88.75</w:t>
      </w:r>
      <w:r>
        <w:rPr>
          <w:rFonts w:hint="eastAsia" w:ascii="Times New Roman" w:hAnsi="Times New Roman" w:eastAsia="仿宋_GB2312"/>
          <w:color w:val="auto"/>
          <w:sz w:val="32"/>
          <w:szCs w:val="32"/>
          <w:highlight w:val="none"/>
        </w:rPr>
        <w:t>万元，支出决算</w:t>
      </w:r>
      <w:r>
        <w:rPr>
          <w:rFonts w:hint="eastAsia" w:ascii="Times New Roman" w:hAnsi="Times New Roman" w:eastAsia="仿宋_GB2312"/>
          <w:color w:val="auto"/>
          <w:sz w:val="32"/>
          <w:szCs w:val="32"/>
          <w:highlight w:val="none"/>
          <w:lang w:val="en-US" w:eastAsia="zh-CN"/>
        </w:rPr>
        <w:t>218.32</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决算数</w:t>
      </w:r>
      <w:r>
        <w:rPr>
          <w:rFonts w:hint="eastAsia" w:ascii="Times New Roman" w:hAnsi="Times New Roman" w:eastAsia="仿宋_GB2312"/>
          <w:color w:val="auto"/>
          <w:sz w:val="32"/>
          <w:szCs w:val="32"/>
          <w:highlight w:val="none"/>
          <w:lang w:val="en-US" w:eastAsia="zh-CN"/>
        </w:rPr>
        <w:t>大</w:t>
      </w:r>
      <w:r>
        <w:rPr>
          <w:rFonts w:hint="eastAsia" w:ascii="Times New Roman" w:hAnsi="Times New Roman" w:eastAsia="仿宋_GB2312"/>
          <w:color w:val="auto"/>
          <w:sz w:val="32"/>
          <w:szCs w:val="32"/>
          <w:highlight w:val="none"/>
        </w:rPr>
        <w:t>于年初预算数的主要原因是：</w:t>
      </w:r>
      <w:r>
        <w:rPr>
          <w:rFonts w:hint="eastAsia" w:ascii="Times New Roman" w:hAnsi="Times New Roman" w:eastAsia="仿宋_GB2312"/>
          <w:color w:val="auto"/>
          <w:sz w:val="32"/>
          <w:szCs w:val="32"/>
          <w:highlight w:val="none"/>
          <w:lang w:val="en-US" w:eastAsia="zh-CN"/>
        </w:rPr>
        <w:t>资金来源于年中追加。</w:t>
      </w:r>
    </w:p>
    <w:p w14:paraId="635F0360">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11</w:t>
      </w:r>
      <w:r>
        <w:rPr>
          <w:rFonts w:hint="eastAsia" w:ascii="Times New Roman" w:hAnsi="Times New Roman" w:eastAsia="仿宋_GB2312"/>
          <w:color w:val="auto"/>
          <w:sz w:val="32"/>
          <w:szCs w:val="32"/>
          <w:highlight w:val="none"/>
        </w:rPr>
        <w:t>、科学技术支出（类）其他科学技术支出（款）科技奖励（项）。</w:t>
      </w:r>
    </w:p>
    <w:p w14:paraId="2EDF41A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15</w:t>
      </w:r>
      <w:r>
        <w:rPr>
          <w:rFonts w:hint="eastAsia" w:ascii="Times New Roman" w:hAnsi="Times New Roman" w:eastAsia="仿宋_GB2312"/>
          <w:color w:val="auto"/>
          <w:sz w:val="32"/>
          <w:szCs w:val="32"/>
          <w:highlight w:val="none"/>
        </w:rPr>
        <w:t>万元，决算数大于年初预算数的主要原因是：</w:t>
      </w:r>
      <w:r>
        <w:rPr>
          <w:rFonts w:hint="eastAsia" w:ascii="Times New Roman" w:hAnsi="Times New Roman" w:eastAsia="仿宋_GB2312"/>
          <w:color w:val="auto"/>
          <w:sz w:val="32"/>
          <w:szCs w:val="32"/>
          <w:highlight w:val="none"/>
          <w:lang w:val="en-US" w:eastAsia="zh-CN"/>
        </w:rPr>
        <w:t>年中追加资金15万元。</w:t>
      </w:r>
    </w:p>
    <w:p w14:paraId="4FF5E42F">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12</w:t>
      </w:r>
      <w:r>
        <w:rPr>
          <w:rFonts w:hint="eastAsia" w:ascii="Times New Roman" w:hAnsi="Times New Roman" w:eastAsia="仿宋_GB2312"/>
          <w:color w:val="auto"/>
          <w:sz w:val="32"/>
          <w:szCs w:val="32"/>
          <w:highlight w:val="none"/>
        </w:rPr>
        <w:t>、社会保障和就业支出（类）人力资源和社会保障管理事务（款）社会保险业务管理事务（项）。</w:t>
      </w:r>
    </w:p>
    <w:p w14:paraId="17019C6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17.50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16.59</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94.80</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val="en-US" w:eastAsia="zh-CN"/>
        </w:rPr>
        <w:t>年末经费有结余。</w:t>
      </w:r>
    </w:p>
    <w:p w14:paraId="2B3BD8C7">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13</w:t>
      </w:r>
      <w:r>
        <w:rPr>
          <w:rFonts w:hint="eastAsia" w:ascii="Times New Roman" w:hAnsi="Times New Roman" w:eastAsia="仿宋_GB2312"/>
          <w:color w:val="auto"/>
          <w:sz w:val="32"/>
          <w:szCs w:val="32"/>
          <w:highlight w:val="none"/>
        </w:rPr>
        <w:t>、社会保障和就业支出（类）人力资源和社会保障管理事务（款）其他人力资源和社会保障管理事务支出（项）。</w:t>
      </w:r>
    </w:p>
    <w:p w14:paraId="2AAF1F1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2.2</w:t>
      </w:r>
      <w:r>
        <w:rPr>
          <w:rFonts w:hint="eastAsia" w:ascii="Times New Roman" w:hAnsi="Times New Roman" w:eastAsia="仿宋_GB2312"/>
          <w:color w:val="auto"/>
          <w:sz w:val="32"/>
          <w:szCs w:val="32"/>
          <w:highlight w:val="none"/>
        </w:rPr>
        <w:t>万元，决算数大于年初预算数的主要原因是：</w:t>
      </w:r>
      <w:r>
        <w:rPr>
          <w:rFonts w:hint="eastAsia" w:ascii="Times New Roman" w:hAnsi="Times New Roman" w:eastAsia="仿宋_GB2312"/>
          <w:color w:val="auto"/>
          <w:sz w:val="32"/>
          <w:szCs w:val="32"/>
          <w:highlight w:val="none"/>
          <w:lang w:val="en-US" w:eastAsia="zh-CN"/>
        </w:rPr>
        <w:t>年中追加考点建设资金2.2万元。</w:t>
      </w:r>
    </w:p>
    <w:p w14:paraId="65FFD2E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14</w:t>
      </w:r>
      <w:r>
        <w:rPr>
          <w:rFonts w:hint="eastAsia" w:ascii="Times New Roman" w:hAnsi="Times New Roman" w:eastAsia="仿宋_GB2312"/>
          <w:color w:val="auto"/>
          <w:sz w:val="32"/>
          <w:szCs w:val="32"/>
          <w:highlight w:val="none"/>
        </w:rPr>
        <w:t>、社会保障和就业支出（类）行政事业单位养老支出（款）事业单位离退休（项）。</w:t>
      </w:r>
    </w:p>
    <w:p w14:paraId="461784C8">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507.44</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487.38</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96.05</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eastAsia="zh-CN"/>
        </w:rPr>
        <w:t>事业单位离退休费有结余</w:t>
      </w:r>
      <w:r>
        <w:rPr>
          <w:rFonts w:hint="eastAsia" w:ascii="Times New Roman" w:hAnsi="Times New Roman" w:eastAsia="仿宋_GB2312"/>
          <w:color w:val="auto"/>
          <w:sz w:val="32"/>
          <w:szCs w:val="32"/>
          <w:highlight w:val="none"/>
        </w:rPr>
        <w:t>。</w:t>
      </w:r>
    </w:p>
    <w:p w14:paraId="0A6B6CC6">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15</w:t>
      </w:r>
      <w:r>
        <w:rPr>
          <w:rFonts w:hint="eastAsia" w:ascii="Times New Roman" w:hAnsi="Times New Roman" w:eastAsia="仿宋_GB2312"/>
          <w:color w:val="auto"/>
          <w:sz w:val="32"/>
          <w:szCs w:val="32"/>
          <w:highlight w:val="none"/>
        </w:rPr>
        <w:t>、社会保障和就业（类）行政事业单位养老支出（款）机关事业单位基本养老保险缴费支出（项）。</w:t>
      </w:r>
    </w:p>
    <w:p w14:paraId="38EC28CE">
      <w:pPr>
        <w:pStyle w:val="17"/>
        <w:ind w:firstLine="800" w:firstLineChars="250"/>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2352.01</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2385.53</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%，决算数大小于年初预算数的主要原因是：</w:t>
      </w:r>
      <w:r>
        <w:rPr>
          <w:rFonts w:hint="eastAsia" w:ascii="Times New Roman" w:hAnsi="Times New Roman" w:eastAsia="仿宋_GB2312"/>
          <w:color w:val="auto"/>
          <w:sz w:val="32"/>
          <w:szCs w:val="32"/>
          <w:highlight w:val="none"/>
          <w:lang w:val="en-US" w:eastAsia="zh-CN"/>
        </w:rPr>
        <w:t>年中追加资金</w:t>
      </w:r>
      <w:r>
        <w:rPr>
          <w:rFonts w:hint="eastAsia" w:ascii="Times New Roman" w:hAnsi="Times New Roman" w:eastAsia="仿宋_GB2312"/>
          <w:color w:val="auto"/>
          <w:sz w:val="32"/>
          <w:szCs w:val="32"/>
          <w:highlight w:val="none"/>
        </w:rPr>
        <w:t>。</w:t>
      </w:r>
    </w:p>
    <w:p w14:paraId="13533569">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16</w:t>
      </w:r>
      <w:r>
        <w:rPr>
          <w:rFonts w:hint="eastAsia" w:ascii="Times New Roman" w:hAnsi="Times New Roman" w:eastAsia="仿宋_GB2312"/>
          <w:color w:val="auto"/>
          <w:sz w:val="32"/>
          <w:szCs w:val="32"/>
          <w:highlight w:val="none"/>
        </w:rPr>
        <w:t>、社会保障和就业（类）抚恤（款）死亡抚恤</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项）。</w:t>
      </w:r>
    </w:p>
    <w:p w14:paraId="2F4C950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388.84</w:t>
      </w:r>
      <w:r>
        <w:rPr>
          <w:rFonts w:hint="eastAsia" w:ascii="Times New Roman" w:hAnsi="Times New Roman" w:eastAsia="仿宋_GB2312"/>
          <w:color w:val="auto"/>
          <w:sz w:val="32"/>
          <w:szCs w:val="32"/>
          <w:highlight w:val="none"/>
        </w:rPr>
        <w:t>万元，决算数大于年初预算数的主要原因是：</w:t>
      </w:r>
      <w:r>
        <w:rPr>
          <w:rFonts w:hint="eastAsia" w:ascii="Times New Roman" w:hAnsi="Times New Roman" w:eastAsia="仿宋_GB2312"/>
          <w:color w:val="auto"/>
          <w:sz w:val="32"/>
          <w:szCs w:val="32"/>
          <w:highlight w:val="none"/>
          <w:lang w:eastAsia="zh-CN"/>
        </w:rPr>
        <w:t>年中追加安排</w:t>
      </w:r>
      <w:r>
        <w:rPr>
          <w:rFonts w:hint="eastAsia" w:ascii="Times New Roman" w:hAnsi="Times New Roman" w:eastAsia="仿宋_GB2312"/>
          <w:color w:val="auto"/>
          <w:sz w:val="32"/>
          <w:szCs w:val="32"/>
          <w:highlight w:val="none"/>
          <w:lang w:val="en-US" w:eastAsia="zh-CN"/>
        </w:rPr>
        <w:t>资金。</w:t>
      </w:r>
    </w:p>
    <w:p w14:paraId="4293CA29">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17</w:t>
      </w:r>
      <w:r>
        <w:rPr>
          <w:rFonts w:hint="eastAsia" w:ascii="Times New Roman" w:hAnsi="Times New Roman" w:eastAsia="仿宋_GB2312"/>
          <w:color w:val="auto"/>
          <w:sz w:val="32"/>
          <w:szCs w:val="32"/>
          <w:highlight w:val="none"/>
        </w:rPr>
        <w:t>、社会保障和就业（类）其他社会保障和就业支出（款）其他社会保障和就业支出（项）。</w:t>
      </w:r>
    </w:p>
    <w:p w14:paraId="2F79B46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0.52</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0.48</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92.31</w:t>
      </w:r>
      <w:r>
        <w:rPr>
          <w:rFonts w:hint="eastAsia" w:ascii="Times New Roman" w:hAnsi="Times New Roman" w:eastAsia="仿宋_GB2312"/>
          <w:color w:val="auto"/>
          <w:sz w:val="32"/>
          <w:szCs w:val="32"/>
          <w:highlight w:val="none"/>
        </w:rPr>
        <w:t>%，决算数</w:t>
      </w:r>
      <w:r>
        <w:rPr>
          <w:rFonts w:hint="eastAsia" w:ascii="Times New Roman" w:hAnsi="Times New Roman" w:eastAsia="仿宋_GB2312"/>
          <w:color w:val="auto"/>
          <w:sz w:val="32"/>
          <w:szCs w:val="32"/>
          <w:highlight w:val="none"/>
          <w:lang w:val="en-US" w:eastAsia="zh-CN"/>
        </w:rPr>
        <w:t>小</w:t>
      </w:r>
      <w:r>
        <w:rPr>
          <w:rFonts w:hint="eastAsia" w:ascii="Times New Roman" w:hAnsi="Times New Roman" w:eastAsia="仿宋_GB2312"/>
          <w:color w:val="auto"/>
          <w:sz w:val="32"/>
          <w:szCs w:val="32"/>
          <w:highlight w:val="none"/>
        </w:rPr>
        <w:t>于年初预算数的主要原因是：</w:t>
      </w:r>
      <w:r>
        <w:rPr>
          <w:rFonts w:hint="eastAsia" w:ascii="Times New Roman" w:hAnsi="Times New Roman" w:eastAsia="仿宋_GB2312"/>
          <w:color w:val="auto"/>
          <w:sz w:val="32"/>
          <w:szCs w:val="32"/>
          <w:highlight w:val="none"/>
          <w:lang w:val="en-US" w:eastAsia="zh-CN"/>
        </w:rPr>
        <w:t>此项费用有结余。</w:t>
      </w:r>
    </w:p>
    <w:p w14:paraId="4D32DCC4">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18</w:t>
      </w:r>
      <w:r>
        <w:rPr>
          <w:rFonts w:hint="eastAsia" w:ascii="Times New Roman" w:hAnsi="Times New Roman" w:eastAsia="仿宋_GB2312"/>
          <w:color w:val="auto"/>
          <w:sz w:val="32"/>
          <w:szCs w:val="32"/>
          <w:highlight w:val="none"/>
        </w:rPr>
        <w:t>、卫生健康（类）公共卫生（款）重大公共卫生服务（项）。</w:t>
      </w:r>
    </w:p>
    <w:p w14:paraId="14601C2D">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1.44</w:t>
      </w:r>
      <w:r>
        <w:rPr>
          <w:rFonts w:hint="eastAsia" w:ascii="Times New Roman" w:hAnsi="Times New Roman" w:eastAsia="仿宋_GB2312"/>
          <w:color w:val="auto"/>
          <w:sz w:val="32"/>
          <w:szCs w:val="32"/>
          <w:highlight w:val="none"/>
        </w:rPr>
        <w:t>万元，决算数大于年初预算数的主要原因是：</w:t>
      </w:r>
      <w:r>
        <w:rPr>
          <w:rFonts w:hint="eastAsia" w:ascii="Times New Roman" w:hAnsi="Times New Roman" w:eastAsia="仿宋_GB2312"/>
          <w:color w:val="auto"/>
          <w:sz w:val="32"/>
          <w:szCs w:val="32"/>
          <w:highlight w:val="none"/>
          <w:lang w:eastAsia="zh-CN"/>
        </w:rPr>
        <w:t>年中追加安排</w:t>
      </w:r>
      <w:r>
        <w:rPr>
          <w:rFonts w:hint="eastAsia" w:ascii="Times New Roman" w:hAnsi="Times New Roman" w:eastAsia="仿宋_GB2312"/>
          <w:color w:val="auto"/>
          <w:sz w:val="32"/>
          <w:szCs w:val="32"/>
          <w:highlight w:val="none"/>
          <w:lang w:val="en-US" w:eastAsia="zh-CN"/>
        </w:rPr>
        <w:t>资金1.44万元。</w:t>
      </w:r>
    </w:p>
    <w:p w14:paraId="7647973C">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19</w:t>
      </w:r>
      <w:r>
        <w:rPr>
          <w:rFonts w:hint="eastAsia" w:ascii="Times New Roman" w:hAnsi="Times New Roman" w:eastAsia="仿宋_GB2312"/>
          <w:color w:val="auto"/>
          <w:sz w:val="32"/>
          <w:szCs w:val="32"/>
          <w:highlight w:val="none"/>
        </w:rPr>
        <w:t>、卫生健康（类）行政事业单位医疗（款）行政单位医疗（项）。</w:t>
      </w:r>
    </w:p>
    <w:p w14:paraId="69C263A7">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43.00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63.22</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w:t>
      </w:r>
      <w:r>
        <w:rPr>
          <w:rFonts w:hint="eastAsia" w:ascii="Times New Roman" w:hAnsi="Times New Roman" w:eastAsia="仿宋_GB2312"/>
          <w:color w:val="auto"/>
          <w:sz w:val="32"/>
          <w:szCs w:val="32"/>
          <w:highlight w:val="none"/>
          <w:lang w:val="en-US" w:eastAsia="zh-CN"/>
        </w:rPr>
        <w:t>大</w:t>
      </w:r>
      <w:r>
        <w:rPr>
          <w:rFonts w:hint="eastAsia" w:ascii="Times New Roman" w:hAnsi="Times New Roman" w:eastAsia="仿宋_GB2312"/>
          <w:color w:val="auto"/>
          <w:sz w:val="32"/>
          <w:szCs w:val="32"/>
          <w:highlight w:val="none"/>
        </w:rPr>
        <w:t>于年初预算数的主要原因是：</w:t>
      </w:r>
      <w:r>
        <w:rPr>
          <w:rFonts w:hint="eastAsia" w:ascii="Times New Roman" w:hAnsi="Times New Roman" w:eastAsia="仿宋_GB2312"/>
          <w:color w:val="auto"/>
          <w:sz w:val="32"/>
          <w:szCs w:val="32"/>
          <w:highlight w:val="none"/>
          <w:lang w:val="en-US" w:eastAsia="zh-CN"/>
        </w:rPr>
        <w:t>年中追加资金</w:t>
      </w:r>
      <w:r>
        <w:rPr>
          <w:rFonts w:hint="eastAsia" w:ascii="Times New Roman" w:hAnsi="Times New Roman" w:eastAsia="仿宋_GB2312"/>
          <w:color w:val="auto"/>
          <w:sz w:val="32"/>
          <w:szCs w:val="32"/>
          <w:highlight w:val="none"/>
        </w:rPr>
        <w:t>。</w:t>
      </w:r>
    </w:p>
    <w:p w14:paraId="47FEE92D">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20</w:t>
      </w:r>
      <w:r>
        <w:rPr>
          <w:rFonts w:hint="eastAsia" w:ascii="Times New Roman" w:hAnsi="Times New Roman" w:eastAsia="仿宋_GB2312"/>
          <w:color w:val="auto"/>
          <w:sz w:val="32"/>
          <w:szCs w:val="32"/>
          <w:highlight w:val="none"/>
        </w:rPr>
        <w:t>、卫生健康（类）行政事业单位医疗（款）公务员医疗补助（项）。</w:t>
      </w:r>
    </w:p>
    <w:p w14:paraId="4F67DAF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36</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33</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91.67</w:t>
      </w:r>
      <w:r>
        <w:rPr>
          <w:rFonts w:hint="eastAsia" w:ascii="Times New Roman" w:hAnsi="Times New Roman" w:eastAsia="仿宋_GB2312"/>
          <w:color w:val="auto"/>
          <w:sz w:val="32"/>
          <w:szCs w:val="32"/>
          <w:highlight w:val="none"/>
        </w:rPr>
        <w:t>%，决算数小于年初预算数的主要原因是：行政单位医疗</w:t>
      </w:r>
      <w:r>
        <w:rPr>
          <w:rFonts w:hint="eastAsia" w:ascii="Times New Roman" w:hAnsi="Times New Roman" w:eastAsia="仿宋_GB2312"/>
          <w:color w:val="auto"/>
          <w:sz w:val="32"/>
          <w:szCs w:val="32"/>
          <w:highlight w:val="none"/>
          <w:lang w:eastAsia="zh-CN"/>
        </w:rPr>
        <w:t>有结余</w:t>
      </w:r>
      <w:r>
        <w:rPr>
          <w:rFonts w:hint="eastAsia" w:ascii="Times New Roman" w:hAnsi="Times New Roman" w:eastAsia="仿宋_GB2312"/>
          <w:color w:val="auto"/>
          <w:sz w:val="32"/>
          <w:szCs w:val="32"/>
          <w:highlight w:val="none"/>
        </w:rPr>
        <w:t>。</w:t>
      </w:r>
    </w:p>
    <w:p w14:paraId="558B8617">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21</w:t>
      </w:r>
      <w:r>
        <w:rPr>
          <w:rFonts w:hint="eastAsia" w:ascii="Times New Roman" w:hAnsi="Times New Roman" w:eastAsia="仿宋_GB2312"/>
          <w:color w:val="auto"/>
          <w:sz w:val="32"/>
          <w:szCs w:val="32"/>
          <w:highlight w:val="none"/>
        </w:rPr>
        <w:t>、卫生健康（类）行政事业单位医疗（款）其他行政事业单位医疗支出（项）。</w:t>
      </w:r>
    </w:p>
    <w:p w14:paraId="46AD4C07">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6.30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5.64</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89.52</w:t>
      </w:r>
      <w:r>
        <w:rPr>
          <w:rFonts w:hint="eastAsia" w:ascii="Times New Roman" w:hAnsi="Times New Roman" w:eastAsia="仿宋_GB2312"/>
          <w:color w:val="auto"/>
          <w:sz w:val="32"/>
          <w:szCs w:val="32"/>
          <w:highlight w:val="none"/>
        </w:rPr>
        <w:t>%，决算数小于年初预算数的主要原因是：其他行政事业单位医疗支出</w:t>
      </w:r>
      <w:r>
        <w:rPr>
          <w:rFonts w:hint="eastAsia" w:ascii="Times New Roman" w:hAnsi="Times New Roman" w:eastAsia="仿宋_GB2312"/>
          <w:color w:val="auto"/>
          <w:sz w:val="32"/>
          <w:szCs w:val="32"/>
          <w:highlight w:val="none"/>
          <w:lang w:val="en-US" w:eastAsia="zh-CN"/>
        </w:rPr>
        <w:t>年底有结余。</w:t>
      </w:r>
    </w:p>
    <w:p w14:paraId="76F02746">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22</w:t>
      </w:r>
      <w:r>
        <w:rPr>
          <w:rFonts w:hint="eastAsia" w:ascii="Times New Roman" w:hAnsi="Times New Roman" w:eastAsia="仿宋_GB2312"/>
          <w:color w:val="auto"/>
          <w:sz w:val="32"/>
          <w:szCs w:val="32"/>
          <w:highlight w:val="none"/>
        </w:rPr>
        <w:t>、卫生健康（类）行政事业单位医疗（款）其他卫生健康支出（项）。</w:t>
      </w:r>
    </w:p>
    <w:p w14:paraId="556C152C">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0.40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%，决算数小于年初预算数的主要原因是：其他卫生健康支出</w:t>
      </w:r>
      <w:r>
        <w:rPr>
          <w:rFonts w:hint="eastAsia" w:ascii="Times New Roman" w:hAnsi="Times New Roman" w:eastAsia="仿宋_GB2312"/>
          <w:color w:val="auto"/>
          <w:sz w:val="32"/>
          <w:szCs w:val="32"/>
          <w:highlight w:val="none"/>
          <w:lang w:val="en-US" w:eastAsia="zh-CN"/>
        </w:rPr>
        <w:t>年底有结余。</w:t>
      </w:r>
    </w:p>
    <w:p w14:paraId="70ADCD1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23</w:t>
      </w:r>
      <w:r>
        <w:rPr>
          <w:rFonts w:hint="eastAsia" w:ascii="Times New Roman" w:hAnsi="Times New Roman" w:eastAsia="仿宋_GB2312"/>
          <w:color w:val="auto"/>
          <w:sz w:val="32"/>
          <w:szCs w:val="32"/>
          <w:highlight w:val="none"/>
        </w:rPr>
        <w:t>、节能环保（类）能源节约利用（款）能源节约利用（项）。</w:t>
      </w:r>
    </w:p>
    <w:p w14:paraId="4F557C9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40.00</w:t>
      </w:r>
      <w:r>
        <w:rPr>
          <w:rFonts w:hint="eastAsia" w:ascii="Times New Roman" w:hAnsi="Times New Roman" w:eastAsia="仿宋_GB2312"/>
          <w:color w:val="auto"/>
          <w:sz w:val="32"/>
          <w:szCs w:val="32"/>
          <w:highlight w:val="none"/>
        </w:rPr>
        <w:t>万元，决算数大于年初预算数的主要原因是：</w:t>
      </w:r>
      <w:r>
        <w:rPr>
          <w:rFonts w:hint="eastAsia" w:ascii="Times New Roman" w:hAnsi="Times New Roman" w:eastAsia="仿宋_GB2312"/>
          <w:color w:val="auto"/>
          <w:sz w:val="32"/>
          <w:szCs w:val="32"/>
          <w:highlight w:val="none"/>
          <w:lang w:eastAsia="zh-CN"/>
        </w:rPr>
        <w:t>年中追加安排</w:t>
      </w:r>
      <w:r>
        <w:rPr>
          <w:rFonts w:hint="eastAsia" w:ascii="Times New Roman" w:hAnsi="Times New Roman" w:eastAsia="仿宋_GB2312"/>
          <w:color w:val="auto"/>
          <w:sz w:val="32"/>
          <w:szCs w:val="32"/>
          <w:highlight w:val="none"/>
          <w:lang w:val="en-US" w:eastAsia="zh-CN"/>
        </w:rPr>
        <w:t>节能改造项目资金40万元。</w:t>
      </w:r>
    </w:p>
    <w:p w14:paraId="20453A5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ab/>
      </w:r>
      <w:r>
        <w:rPr>
          <w:rFonts w:hint="eastAsia" w:ascii="Times New Roman" w:hAnsi="Times New Roman" w:eastAsia="仿宋_GB2312"/>
          <w:color w:val="auto"/>
          <w:sz w:val="32"/>
          <w:szCs w:val="32"/>
          <w:highlight w:val="none"/>
          <w:lang w:val="en-US" w:eastAsia="zh-CN"/>
        </w:rPr>
        <w:t>24</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（类）农业农村（款）行政运行（项）。</w:t>
      </w:r>
    </w:p>
    <w:p w14:paraId="7F89E656">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18800.05</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22723.30</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资金来源于年中追加。</w:t>
      </w:r>
    </w:p>
    <w:p w14:paraId="1B21AAD3">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ab/>
      </w:r>
      <w:r>
        <w:rPr>
          <w:rFonts w:hint="eastAsia" w:ascii="Times New Roman" w:hAnsi="Times New Roman" w:eastAsia="仿宋_GB2312"/>
          <w:color w:val="auto"/>
          <w:sz w:val="32"/>
          <w:szCs w:val="32"/>
          <w:highlight w:val="none"/>
          <w:lang w:val="en-US" w:eastAsia="zh-CN"/>
        </w:rPr>
        <w:t>25</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（类）农业农村（款）一般行政管理事务（项）。</w:t>
      </w:r>
    </w:p>
    <w:p w14:paraId="0AC17D0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812.05</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807.48</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99.44</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eastAsia="zh-CN"/>
        </w:rPr>
        <w:t>三农干部走出去培训</w:t>
      </w:r>
      <w:r>
        <w:rPr>
          <w:rFonts w:hint="eastAsia" w:ascii="Times New Roman" w:hAnsi="Times New Roman" w:eastAsia="仿宋_GB2312"/>
          <w:color w:val="auto"/>
          <w:sz w:val="32"/>
          <w:szCs w:val="32"/>
          <w:highlight w:val="none"/>
          <w:lang w:val="en-US" w:eastAsia="zh-CN"/>
        </w:rPr>
        <w:t>资金年中调减指标。</w:t>
      </w:r>
    </w:p>
    <w:p w14:paraId="44BB65FF">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26</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（类）农业农村（款）机关服务（项）。</w:t>
      </w:r>
    </w:p>
    <w:p w14:paraId="2F98A095">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819.15</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725.11</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88.52</w:t>
      </w:r>
      <w:r>
        <w:rPr>
          <w:rFonts w:hint="eastAsia" w:ascii="Times New Roman" w:hAnsi="Times New Roman" w:eastAsia="仿宋_GB2312"/>
          <w:color w:val="auto"/>
          <w:sz w:val="32"/>
          <w:szCs w:val="32"/>
          <w:highlight w:val="none"/>
        </w:rPr>
        <w:t>%，决算数</w:t>
      </w:r>
      <w:r>
        <w:rPr>
          <w:rFonts w:hint="eastAsia" w:ascii="Times New Roman" w:hAnsi="Times New Roman" w:eastAsia="仿宋_GB2312"/>
          <w:color w:val="auto"/>
          <w:sz w:val="32"/>
          <w:szCs w:val="32"/>
          <w:highlight w:val="none"/>
          <w:lang w:val="en-US" w:eastAsia="zh-CN"/>
        </w:rPr>
        <w:t>小</w:t>
      </w:r>
      <w:r>
        <w:rPr>
          <w:rFonts w:hint="eastAsia" w:ascii="Times New Roman" w:hAnsi="Times New Roman" w:eastAsia="仿宋_GB2312"/>
          <w:color w:val="auto"/>
          <w:sz w:val="32"/>
          <w:szCs w:val="32"/>
          <w:highlight w:val="none"/>
        </w:rPr>
        <w:t>于年初预算数的主要原因是：</w:t>
      </w:r>
      <w:r>
        <w:rPr>
          <w:rFonts w:hint="eastAsia" w:ascii="Times New Roman" w:hAnsi="Times New Roman" w:eastAsia="仿宋_GB2312"/>
          <w:color w:val="auto"/>
          <w:sz w:val="32"/>
          <w:szCs w:val="32"/>
          <w:highlight w:val="none"/>
          <w:lang w:val="en-US" w:eastAsia="zh-CN"/>
        </w:rPr>
        <w:t>人员经费有结余。</w:t>
      </w:r>
    </w:p>
    <w:p w14:paraId="149AB236">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27</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（类）农业农村（款）事业运行（项）。</w:t>
      </w:r>
    </w:p>
    <w:p w14:paraId="3BC166C5">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17266.49</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17858.42</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w:t>
      </w:r>
      <w:r>
        <w:rPr>
          <w:rFonts w:hint="eastAsia" w:ascii="Times New Roman" w:hAnsi="Times New Roman" w:eastAsia="仿宋_GB2312"/>
          <w:color w:val="auto"/>
          <w:sz w:val="32"/>
          <w:szCs w:val="32"/>
          <w:highlight w:val="none"/>
          <w:lang w:val="en-US" w:eastAsia="zh-CN"/>
        </w:rPr>
        <w:t>年</w:t>
      </w:r>
      <w:r>
        <w:rPr>
          <w:rFonts w:hint="eastAsia" w:ascii="Times New Roman" w:hAnsi="Times New Roman" w:eastAsia="仿宋_GB2312"/>
          <w:color w:val="auto"/>
          <w:sz w:val="32"/>
          <w:szCs w:val="32"/>
          <w:highlight w:val="none"/>
        </w:rPr>
        <w:t>初预算数的主要原因是：</w:t>
      </w:r>
      <w:r>
        <w:rPr>
          <w:rFonts w:hint="eastAsia" w:ascii="Times New Roman" w:hAnsi="Times New Roman" w:eastAsia="仿宋_GB2312"/>
          <w:color w:val="auto"/>
          <w:sz w:val="32"/>
          <w:szCs w:val="32"/>
          <w:highlight w:val="none"/>
          <w:lang w:val="en-US" w:eastAsia="zh-CN"/>
        </w:rPr>
        <w:t>年中追加资金。</w:t>
      </w:r>
    </w:p>
    <w:p w14:paraId="3C3A525F">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28</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（类）农业农村（款）农垦运行（项）。</w:t>
      </w:r>
    </w:p>
    <w:p w14:paraId="22A45638">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14.30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23.71</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w:t>
      </w:r>
      <w:r>
        <w:rPr>
          <w:rFonts w:hint="eastAsia" w:ascii="Times New Roman" w:hAnsi="Times New Roman" w:eastAsia="仿宋_GB2312"/>
          <w:color w:val="auto"/>
          <w:sz w:val="32"/>
          <w:szCs w:val="32"/>
          <w:highlight w:val="none"/>
          <w:lang w:val="en-US" w:eastAsia="zh-CN"/>
        </w:rPr>
        <w:t>大</w:t>
      </w:r>
      <w:r>
        <w:rPr>
          <w:rFonts w:hint="eastAsia" w:ascii="Times New Roman" w:hAnsi="Times New Roman" w:eastAsia="仿宋_GB2312"/>
          <w:color w:val="auto"/>
          <w:sz w:val="32"/>
          <w:szCs w:val="32"/>
          <w:highlight w:val="none"/>
        </w:rPr>
        <w:t>于年初预算数的主要原因是：</w:t>
      </w:r>
      <w:r>
        <w:rPr>
          <w:rFonts w:hint="eastAsia" w:ascii="Times New Roman" w:hAnsi="Times New Roman" w:eastAsia="仿宋_GB2312"/>
          <w:color w:val="auto"/>
          <w:sz w:val="32"/>
          <w:szCs w:val="32"/>
          <w:highlight w:val="none"/>
          <w:lang w:val="en-US" w:eastAsia="zh-CN"/>
        </w:rPr>
        <w:t>资金来源于上年结转结余。</w:t>
      </w:r>
    </w:p>
    <w:p w14:paraId="1863ADCD">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29</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（类）农业农村（款）科技转化与推广服务（项）。</w:t>
      </w:r>
    </w:p>
    <w:p w14:paraId="5AC247D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1400.11</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1261.84</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90.12</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val="en-US" w:eastAsia="zh-CN"/>
        </w:rPr>
        <w:t>政府采购项目跨年实施。</w:t>
      </w:r>
    </w:p>
    <w:p w14:paraId="7E94878E">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30</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（类）农业农村（款）病虫害控制（项）。</w:t>
      </w:r>
    </w:p>
    <w:p w14:paraId="0B978513">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5467.93</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5074.50</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92.80</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val="en-US" w:eastAsia="zh-CN"/>
        </w:rPr>
        <w:t>政府采购项目跨年实施。</w:t>
      </w:r>
    </w:p>
    <w:p w14:paraId="26A13CBF">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31</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（类）农业农村（款）农产品质量安全（项）。</w:t>
      </w:r>
    </w:p>
    <w:p w14:paraId="18E04E8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931.21</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1291.91</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年中追加项目资金。</w:t>
      </w:r>
    </w:p>
    <w:p w14:paraId="25D15CA2">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32</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（类）农业农村（款）执法监管（项）。</w:t>
      </w:r>
    </w:p>
    <w:p w14:paraId="3C8C3EE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817.20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853.19</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年中追加项目资金。</w:t>
      </w:r>
    </w:p>
    <w:p w14:paraId="3D7F1872">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33</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农林水支出</w:t>
      </w:r>
      <w:r>
        <w:rPr>
          <w:rFonts w:hint="eastAsia" w:ascii="Times New Roman" w:hAnsi="Times New Roman" w:eastAsia="仿宋_GB2312"/>
          <w:color w:val="auto"/>
          <w:sz w:val="32"/>
          <w:szCs w:val="32"/>
          <w:highlight w:val="none"/>
        </w:rPr>
        <w:t>（类）农业农村（款）统计监测与信息服务（项）。</w:t>
      </w:r>
    </w:p>
    <w:p w14:paraId="36D8E058">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277.02</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270.99</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97.82</w:t>
      </w:r>
      <w:r>
        <w:rPr>
          <w:rFonts w:hint="eastAsia" w:ascii="Times New Roman" w:hAnsi="Times New Roman" w:eastAsia="仿宋_GB2312"/>
          <w:color w:val="auto"/>
          <w:sz w:val="32"/>
          <w:szCs w:val="32"/>
          <w:highlight w:val="none"/>
        </w:rPr>
        <w:t>%，决算数小于年初预算数的主要原因是：2021年全省畜牧业统计行业年报业务培训班及年报汇审会（2022结转）</w:t>
      </w:r>
      <w:r>
        <w:rPr>
          <w:rFonts w:hint="eastAsia" w:ascii="Times New Roman" w:hAnsi="Times New Roman" w:eastAsia="仿宋_GB2312"/>
          <w:color w:val="auto"/>
          <w:sz w:val="32"/>
          <w:szCs w:val="32"/>
          <w:highlight w:val="none"/>
          <w:lang w:val="en-US" w:eastAsia="zh-CN"/>
        </w:rPr>
        <w:t>项目结余。</w:t>
      </w:r>
    </w:p>
    <w:p w14:paraId="31FE11DF">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34、农林水</w:t>
      </w:r>
      <w:r>
        <w:rPr>
          <w:rFonts w:hint="eastAsia" w:ascii="Times New Roman" w:hAnsi="Times New Roman" w:eastAsia="仿宋_GB2312"/>
          <w:color w:val="auto"/>
          <w:sz w:val="32"/>
          <w:szCs w:val="32"/>
          <w:highlight w:val="none"/>
        </w:rPr>
        <w:t>（类）农业农村（款）对外交流与合作（项）。</w:t>
      </w:r>
    </w:p>
    <w:p w14:paraId="6F42791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119.40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1110</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w:t>
      </w:r>
      <w:r>
        <w:rPr>
          <w:rFonts w:hint="eastAsia" w:ascii="Times New Roman" w:hAnsi="Times New Roman" w:eastAsia="仿宋_GB2312"/>
          <w:color w:val="auto"/>
          <w:sz w:val="32"/>
          <w:szCs w:val="32"/>
          <w:highlight w:val="none"/>
          <w:lang w:val="en-US" w:eastAsia="zh-CN"/>
        </w:rPr>
        <w:t>大</w:t>
      </w:r>
      <w:r>
        <w:rPr>
          <w:rFonts w:hint="eastAsia" w:ascii="Times New Roman" w:hAnsi="Times New Roman" w:eastAsia="仿宋_GB2312"/>
          <w:color w:val="auto"/>
          <w:sz w:val="32"/>
          <w:szCs w:val="32"/>
          <w:highlight w:val="none"/>
        </w:rPr>
        <w:t>于年初预算数的主要原因是：</w:t>
      </w:r>
      <w:r>
        <w:rPr>
          <w:rFonts w:hint="eastAsia" w:ascii="Times New Roman" w:hAnsi="Times New Roman" w:eastAsia="仿宋_GB2312"/>
          <w:color w:val="auto"/>
          <w:sz w:val="32"/>
          <w:szCs w:val="32"/>
          <w:highlight w:val="none"/>
          <w:lang w:val="en-US" w:eastAsia="zh-CN"/>
        </w:rPr>
        <w:t>年中追加项目资金。</w:t>
      </w:r>
    </w:p>
    <w:p w14:paraId="0BEA413D">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35</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（类）农业农村（款）防灾救灾（项）。</w:t>
      </w:r>
    </w:p>
    <w:p w14:paraId="7D5F1BF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9.30</w:t>
      </w:r>
      <w:r>
        <w:rPr>
          <w:rFonts w:hint="eastAsia" w:ascii="Times New Roman" w:hAnsi="Times New Roman" w:eastAsia="仿宋_GB2312"/>
          <w:color w:val="auto"/>
          <w:sz w:val="32"/>
          <w:szCs w:val="32"/>
          <w:highlight w:val="none"/>
        </w:rPr>
        <w:t>万元，支出决算</w:t>
      </w:r>
      <w:r>
        <w:rPr>
          <w:rFonts w:hint="eastAsia" w:ascii="Times New Roman" w:hAnsi="Times New Roman" w:eastAsia="仿宋_GB2312"/>
          <w:color w:val="auto"/>
          <w:sz w:val="32"/>
          <w:szCs w:val="32"/>
          <w:highlight w:val="none"/>
          <w:lang w:val="en-US" w:eastAsia="zh-CN"/>
        </w:rPr>
        <w:t>8.78</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94.41</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eastAsia="zh-CN"/>
        </w:rPr>
        <w:t>：此项资金有结余</w:t>
      </w:r>
      <w:r>
        <w:rPr>
          <w:rFonts w:hint="eastAsia" w:ascii="Times New Roman" w:hAnsi="Times New Roman" w:eastAsia="仿宋_GB2312"/>
          <w:color w:val="auto"/>
          <w:sz w:val="32"/>
          <w:szCs w:val="32"/>
          <w:highlight w:val="none"/>
          <w:lang w:val="en-US" w:eastAsia="zh-CN"/>
        </w:rPr>
        <w:t>。</w:t>
      </w:r>
    </w:p>
    <w:p w14:paraId="5620196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36</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（类）农业农村（款）农业生产发展（项）。</w:t>
      </w:r>
    </w:p>
    <w:p w14:paraId="10886924">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12505.47</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11765.51</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94.08</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val="en-US" w:eastAsia="zh-CN"/>
        </w:rPr>
        <w:t>政府采购跨年项目。</w:t>
      </w:r>
    </w:p>
    <w:p w14:paraId="66095C40">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37</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（类）农业农村（款）农产品加工与促销（项）。</w:t>
      </w:r>
    </w:p>
    <w:p w14:paraId="7A287742">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234.38</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234.38</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w:t>
      </w:r>
    </w:p>
    <w:p w14:paraId="2B7F7F73">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38</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（类）农业农村（款）农村社会事业（项）。</w:t>
      </w:r>
    </w:p>
    <w:p w14:paraId="4EF8FB24">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w:t>
      </w:r>
      <w:r>
        <w:rPr>
          <w:rFonts w:hint="eastAsia" w:ascii="Times New Roman" w:hAnsi="Times New Roman" w:eastAsia="仿宋_GB2312"/>
          <w:color w:val="auto"/>
          <w:sz w:val="32"/>
          <w:szCs w:val="32"/>
          <w:highlight w:val="none"/>
          <w:lang w:val="en-US" w:eastAsia="zh-CN"/>
        </w:rPr>
        <w:t>为345.14</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190.89</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55.31</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政府采购跨年项目。</w:t>
      </w:r>
    </w:p>
    <w:p w14:paraId="1ADA9E85">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39</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（类）农业农村（款）农业资源保护修复与利用（项）。</w:t>
      </w:r>
    </w:p>
    <w:p w14:paraId="483AA8EB">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1235.99</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1707.32</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年中追加项目资金。</w:t>
      </w:r>
    </w:p>
    <w:p w14:paraId="7C1ADFC2">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40</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（类）农业农村（款）农田建设（项）。</w:t>
      </w:r>
    </w:p>
    <w:p w14:paraId="05B9D4F7">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491.56</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451.42</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91.83</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val="en-US" w:eastAsia="zh-CN"/>
        </w:rPr>
        <w:t>政府采购项目跨年实施。</w:t>
      </w:r>
    </w:p>
    <w:p w14:paraId="7F1F135A">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41</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（类）农业农村（款）其他农业农村支出（项）。</w:t>
      </w:r>
    </w:p>
    <w:p w14:paraId="72C4B79F">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2591.98</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3148.92</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年中追加项目资金。</w:t>
      </w:r>
    </w:p>
    <w:p w14:paraId="4C37E3C3">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42</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（类）林业和草原（款）其他林业和草原支出（项）。</w:t>
      </w:r>
    </w:p>
    <w:p w14:paraId="69FCA43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4276.76</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1821.06</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42.58</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val="en-US" w:eastAsia="zh-CN"/>
        </w:rPr>
        <w:t>政府采购项目跨年实施。</w:t>
      </w:r>
    </w:p>
    <w:p w14:paraId="40B93199">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43</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（类）目标价格补贴（款）棉花目标价格补贴（项）。</w:t>
      </w:r>
    </w:p>
    <w:p w14:paraId="62C3370E">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872.92</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1505.19</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val="en-US" w:eastAsia="zh-CN"/>
        </w:rPr>
        <w:t>年中追加项目资金。</w:t>
      </w:r>
    </w:p>
    <w:p w14:paraId="1ED6C950">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44</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农林水</w:t>
      </w:r>
      <w:r>
        <w:rPr>
          <w:rFonts w:hint="eastAsia" w:ascii="Times New Roman" w:hAnsi="Times New Roman" w:eastAsia="仿宋_GB2312"/>
          <w:color w:val="auto"/>
          <w:sz w:val="32"/>
          <w:szCs w:val="32"/>
          <w:highlight w:val="none"/>
        </w:rPr>
        <w:t>（类）其他农林水支出（款）其他农林水支出（项）。</w:t>
      </w:r>
    </w:p>
    <w:p w14:paraId="05F559AD">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61.55</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133.80</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决算数大于年初预算数的主要原因是</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年中追加项目资金。</w:t>
      </w:r>
    </w:p>
    <w:p w14:paraId="4DFC967B">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45</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住房保障</w:t>
      </w:r>
      <w:r>
        <w:rPr>
          <w:rFonts w:hint="eastAsia" w:ascii="Times New Roman" w:hAnsi="Times New Roman" w:eastAsia="仿宋_GB2312"/>
          <w:color w:val="auto"/>
          <w:sz w:val="32"/>
          <w:szCs w:val="32"/>
          <w:highlight w:val="none"/>
        </w:rPr>
        <w:t>（类）住房改革支出（款）</w:t>
      </w:r>
      <w:r>
        <w:rPr>
          <w:rFonts w:hint="eastAsia" w:ascii="Times New Roman" w:hAnsi="Times New Roman" w:eastAsia="仿宋_GB2312"/>
          <w:color w:val="auto"/>
          <w:sz w:val="32"/>
          <w:szCs w:val="32"/>
          <w:highlight w:val="none"/>
          <w:lang w:val="en-US" w:eastAsia="zh-CN"/>
        </w:rPr>
        <w:t>住房公积金</w:t>
      </w:r>
      <w:r>
        <w:rPr>
          <w:rFonts w:hint="eastAsia" w:ascii="Times New Roman" w:hAnsi="Times New Roman" w:eastAsia="仿宋_GB2312"/>
          <w:color w:val="auto"/>
          <w:sz w:val="32"/>
          <w:szCs w:val="32"/>
          <w:highlight w:val="none"/>
        </w:rPr>
        <w:t>（项）。</w:t>
      </w:r>
    </w:p>
    <w:p w14:paraId="09BE3409">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1110.73</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1095.12</w:t>
      </w:r>
      <w:r>
        <w:rPr>
          <w:rFonts w:hint="eastAsia" w:ascii="Times New Roman" w:hAnsi="Times New Roman" w:eastAsia="仿宋_GB2312"/>
          <w:color w:val="auto"/>
          <w:sz w:val="32"/>
          <w:szCs w:val="32"/>
          <w:highlight w:val="none"/>
        </w:rPr>
        <w:t>万元，完成年初预算的</w:t>
      </w:r>
      <w:r>
        <w:rPr>
          <w:rFonts w:hint="eastAsia" w:ascii="Times New Roman" w:hAnsi="Times New Roman" w:eastAsia="仿宋_GB2312"/>
          <w:color w:val="auto"/>
          <w:sz w:val="32"/>
          <w:szCs w:val="32"/>
          <w:highlight w:val="none"/>
          <w:lang w:val="en-US" w:eastAsia="zh-CN"/>
        </w:rPr>
        <w:t>98.59</w:t>
      </w:r>
      <w:r>
        <w:rPr>
          <w:rFonts w:hint="eastAsia" w:ascii="Times New Roman" w:hAnsi="Times New Roman" w:eastAsia="仿宋_GB2312"/>
          <w:color w:val="auto"/>
          <w:sz w:val="32"/>
          <w:szCs w:val="32"/>
          <w:highlight w:val="none"/>
        </w:rPr>
        <w:t>%，决算数小于年初预算数的主要原因是</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住房公积金年末有结余。</w:t>
      </w:r>
    </w:p>
    <w:p w14:paraId="52C89FE6">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46</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住房保障</w:t>
      </w:r>
      <w:r>
        <w:rPr>
          <w:rFonts w:hint="eastAsia" w:ascii="Times New Roman" w:hAnsi="Times New Roman" w:eastAsia="仿宋_GB2312"/>
          <w:color w:val="auto"/>
          <w:sz w:val="32"/>
          <w:szCs w:val="32"/>
          <w:highlight w:val="none"/>
        </w:rPr>
        <w:t>（类）住房改革支出（款）</w:t>
      </w:r>
      <w:r>
        <w:rPr>
          <w:rFonts w:hint="eastAsia" w:ascii="Times New Roman" w:hAnsi="Times New Roman" w:eastAsia="仿宋_GB2312"/>
          <w:color w:val="auto"/>
          <w:sz w:val="32"/>
          <w:szCs w:val="32"/>
          <w:highlight w:val="none"/>
          <w:lang w:val="en-US" w:eastAsia="zh-CN"/>
        </w:rPr>
        <w:t>购房补贴</w:t>
      </w:r>
      <w:r>
        <w:rPr>
          <w:rFonts w:hint="eastAsia" w:ascii="Times New Roman" w:hAnsi="Times New Roman" w:eastAsia="仿宋_GB2312"/>
          <w:color w:val="auto"/>
          <w:sz w:val="32"/>
          <w:szCs w:val="32"/>
          <w:highlight w:val="none"/>
        </w:rPr>
        <w:t>（项）。</w:t>
      </w:r>
    </w:p>
    <w:p w14:paraId="4BA54CC3">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2.52</w:t>
      </w:r>
      <w:r>
        <w:rPr>
          <w:rFonts w:hint="eastAsia" w:ascii="Times New Roman" w:hAnsi="Times New Roman" w:eastAsia="仿宋_GB2312"/>
          <w:color w:val="auto"/>
          <w:sz w:val="32"/>
          <w:szCs w:val="32"/>
          <w:highlight w:val="none"/>
        </w:rPr>
        <w:t>万元，决算数</w:t>
      </w:r>
      <w:r>
        <w:rPr>
          <w:rFonts w:hint="eastAsia" w:ascii="Times New Roman" w:hAnsi="Times New Roman" w:eastAsia="仿宋_GB2312"/>
          <w:color w:val="auto"/>
          <w:sz w:val="32"/>
          <w:szCs w:val="32"/>
          <w:highlight w:val="none"/>
          <w:lang w:val="en-US" w:eastAsia="zh-CN"/>
        </w:rPr>
        <w:t>大</w:t>
      </w:r>
      <w:r>
        <w:rPr>
          <w:rFonts w:hint="eastAsia" w:ascii="Times New Roman" w:hAnsi="Times New Roman" w:eastAsia="仿宋_GB2312"/>
          <w:color w:val="auto"/>
          <w:sz w:val="32"/>
          <w:szCs w:val="32"/>
          <w:highlight w:val="none"/>
        </w:rPr>
        <w:t>于年初预算数的主要原因是</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资金来源于年中追加。</w:t>
      </w:r>
    </w:p>
    <w:p w14:paraId="00A59363">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47</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粮油物资储备</w:t>
      </w:r>
      <w:r>
        <w:rPr>
          <w:rFonts w:hint="eastAsia" w:ascii="Times New Roman" w:hAnsi="Times New Roman" w:eastAsia="仿宋_GB2312"/>
          <w:color w:val="auto"/>
          <w:sz w:val="32"/>
          <w:szCs w:val="32"/>
          <w:highlight w:val="none"/>
        </w:rPr>
        <w:t>（类）粮油物资事务（款）其他粮油物资事务支出（项）。</w:t>
      </w:r>
    </w:p>
    <w:p w14:paraId="54A8C13C">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年初预算为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51.43</w:t>
      </w:r>
      <w:r>
        <w:rPr>
          <w:rFonts w:hint="eastAsia" w:ascii="Times New Roman" w:hAnsi="Times New Roman" w:eastAsia="仿宋_GB2312"/>
          <w:color w:val="auto"/>
          <w:sz w:val="32"/>
          <w:szCs w:val="32"/>
          <w:highlight w:val="none"/>
        </w:rPr>
        <w:t>万元，完决算数大于年初预算数的主要原因是</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年中追加项目资金。</w:t>
      </w:r>
    </w:p>
    <w:p w14:paraId="18591A2F">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六、一般公共预算财政拨款基本支出决算情况说明</w:t>
      </w:r>
    </w:p>
    <w:p w14:paraId="184B9D5D">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年度财政拨款基本支出</w:t>
      </w:r>
      <w:r>
        <w:rPr>
          <w:rFonts w:hint="eastAsia" w:ascii="Times New Roman" w:hAnsi="Times New Roman" w:eastAsia="仿宋_GB2312"/>
          <w:color w:val="auto"/>
          <w:sz w:val="32"/>
          <w:szCs w:val="32"/>
          <w:highlight w:val="none"/>
          <w:lang w:val="en-US" w:eastAsia="zh-CN"/>
        </w:rPr>
        <w:t>45459.43</w:t>
      </w:r>
      <w:r>
        <w:rPr>
          <w:rFonts w:hint="eastAsia" w:ascii="Times New Roman" w:hAnsi="Times New Roman" w:eastAsia="仿宋_GB2312"/>
          <w:color w:val="auto"/>
          <w:sz w:val="32"/>
          <w:szCs w:val="32"/>
          <w:highlight w:val="none"/>
        </w:rPr>
        <w:t>万元，其中：</w:t>
      </w:r>
    </w:p>
    <w:p w14:paraId="42DF6C71">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b/>
          <w:bCs/>
          <w:color w:val="auto"/>
          <w:sz w:val="32"/>
          <w:szCs w:val="32"/>
          <w:highlight w:val="none"/>
        </w:rPr>
        <w:t>人员经费</w:t>
      </w:r>
      <w:r>
        <w:rPr>
          <w:rFonts w:hint="eastAsia" w:ascii="Times New Roman" w:hAnsi="Times New Roman" w:eastAsia="仿宋_GB2312"/>
          <w:color w:val="auto"/>
          <w:sz w:val="32"/>
          <w:szCs w:val="32"/>
          <w:highlight w:val="none"/>
          <w:lang w:val="en-US" w:eastAsia="zh-CN"/>
        </w:rPr>
        <w:t>40848.58</w:t>
      </w:r>
      <w:r>
        <w:rPr>
          <w:rFonts w:hint="eastAsia" w:ascii="Times New Roman" w:hAnsi="Times New Roman" w:eastAsia="仿宋_GB2312"/>
          <w:color w:val="auto"/>
          <w:sz w:val="32"/>
          <w:szCs w:val="32"/>
          <w:highlight w:val="none"/>
        </w:rPr>
        <w:t>万元，占基本支出的</w:t>
      </w:r>
      <w:r>
        <w:rPr>
          <w:rFonts w:hint="eastAsia" w:ascii="Times New Roman" w:hAnsi="Times New Roman" w:eastAsia="仿宋_GB2312"/>
          <w:color w:val="auto"/>
          <w:sz w:val="32"/>
          <w:szCs w:val="32"/>
          <w:highlight w:val="none"/>
          <w:lang w:val="en-US" w:eastAsia="zh-CN"/>
        </w:rPr>
        <w:t>89.86</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主要包括基本工资、津贴补贴、奖金、伙食补助费</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绩效工资、机关事业单位基本养老保险缴费、职工基本医疗保险缴费、其他社会保障缴费、住房公积金、退休费、抚恤金、奖励金等</w:t>
      </w:r>
      <w:r>
        <w:rPr>
          <w:rFonts w:hint="eastAsia" w:ascii="Times New Roman" w:hAnsi="Times New Roman" w:eastAsia="仿宋_GB2312"/>
          <w:color w:val="auto"/>
          <w:sz w:val="32"/>
          <w:szCs w:val="32"/>
          <w:highlight w:val="none"/>
          <w:lang w:eastAsia="zh-CN"/>
        </w:rPr>
        <w:t>。</w:t>
      </w:r>
    </w:p>
    <w:p w14:paraId="4F402374">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b/>
          <w:bCs/>
          <w:color w:val="auto"/>
          <w:sz w:val="32"/>
          <w:szCs w:val="32"/>
          <w:highlight w:val="none"/>
        </w:rPr>
        <w:t>公用经费</w:t>
      </w:r>
      <w:r>
        <w:rPr>
          <w:rFonts w:hint="eastAsia" w:ascii="Times New Roman" w:hAnsi="Times New Roman" w:eastAsia="仿宋_GB2312"/>
          <w:color w:val="auto"/>
          <w:sz w:val="32"/>
          <w:szCs w:val="32"/>
          <w:highlight w:val="none"/>
          <w:lang w:val="en-US" w:eastAsia="zh-CN"/>
        </w:rPr>
        <w:t>4610.85</w:t>
      </w:r>
      <w:r>
        <w:rPr>
          <w:rFonts w:hint="eastAsia" w:ascii="Times New Roman" w:hAnsi="Times New Roman" w:eastAsia="仿宋_GB2312"/>
          <w:color w:val="auto"/>
          <w:sz w:val="32"/>
          <w:szCs w:val="32"/>
          <w:highlight w:val="none"/>
        </w:rPr>
        <w:t>万元，占基本支出的</w:t>
      </w:r>
      <w:r>
        <w:rPr>
          <w:rFonts w:hint="eastAsia" w:ascii="Times New Roman" w:hAnsi="Times New Roman" w:eastAsia="仿宋_GB2312"/>
          <w:color w:val="auto"/>
          <w:sz w:val="32"/>
          <w:szCs w:val="32"/>
          <w:highlight w:val="none"/>
          <w:lang w:val="en-US" w:eastAsia="zh-CN"/>
        </w:rPr>
        <w:t>10.14</w:t>
      </w:r>
      <w:r>
        <w:rPr>
          <w:rFonts w:hint="eastAsia" w:ascii="Times New Roman" w:hAnsi="Times New Roman" w:eastAsia="仿宋_GB2312"/>
          <w:color w:val="auto"/>
          <w:sz w:val="32"/>
          <w:szCs w:val="32"/>
          <w:highlight w:val="none"/>
        </w:rPr>
        <w:t>%，主要包括办公费、印刷费、电费</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物业管理费、差旅费、维修（护）费、劳务费、工会经费、福利费、其他交通费、公务用车运行维护费、其他商品和服务支出等</w:t>
      </w:r>
      <w:r>
        <w:rPr>
          <w:rFonts w:hint="eastAsia" w:ascii="Times New Roman" w:hAnsi="Times New Roman" w:eastAsia="仿宋_GB2312"/>
          <w:color w:val="auto"/>
          <w:sz w:val="32"/>
          <w:szCs w:val="32"/>
          <w:highlight w:val="none"/>
        </w:rPr>
        <w:t>。</w:t>
      </w:r>
    </w:p>
    <w:p w14:paraId="035ACFBC">
      <w:pPr>
        <w:pStyle w:val="17"/>
        <w:keepNext w:val="0"/>
        <w:keepLines w:val="0"/>
        <w:pageBreakBefore w:val="0"/>
        <w:widowControl w:val="0"/>
        <w:numPr>
          <w:ilvl w:val="0"/>
          <w:numId w:val="3"/>
        </w:numPr>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财政拨款三公经费支出决算情况说明</w:t>
      </w:r>
    </w:p>
    <w:p w14:paraId="69CE0B16">
      <w:pPr>
        <w:pStyle w:val="17"/>
        <w:keepNext w:val="0"/>
        <w:keepLines w:val="0"/>
        <w:pageBreakBefore w:val="0"/>
        <w:widowControl w:val="0"/>
        <w:numPr>
          <w:ilvl w:val="0"/>
          <w:numId w:val="0"/>
        </w:numPr>
        <w:kinsoku/>
        <w:wordWrap/>
        <w:overflowPunct/>
        <w:topLinePunct w:val="0"/>
        <w:bidi w:val="0"/>
        <w:snapToGrid/>
        <w:spacing w:line="600" w:lineRule="exact"/>
        <w:ind w:firstLine="640" w:firstLineChars="200"/>
        <w:textAlignment w:val="auto"/>
        <w:rPr>
          <w:rFonts w:hint="eastAsia" w:ascii="楷体" w:hAnsi="楷体" w:eastAsia="楷体" w:cs="楷体"/>
          <w:b/>
          <w:bCs w:val="0"/>
          <w:color w:val="auto"/>
          <w:sz w:val="32"/>
          <w:szCs w:val="32"/>
          <w:highlight w:val="none"/>
        </w:rPr>
      </w:pPr>
      <w:r>
        <w:rPr>
          <w:rFonts w:hint="eastAsia" w:ascii="楷体" w:hAnsi="楷体" w:eastAsia="楷体" w:cs="楷体"/>
          <w:b/>
          <w:bCs w:val="0"/>
          <w:color w:val="auto"/>
          <w:sz w:val="32"/>
          <w:szCs w:val="32"/>
          <w:highlight w:val="none"/>
        </w:rPr>
        <w:t>（一）“三公”经费财政拨款支出决算总体情况说明</w:t>
      </w:r>
    </w:p>
    <w:p w14:paraId="388F2B75">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“三公”经费财政拨款支出预算为</w:t>
      </w:r>
      <w:r>
        <w:rPr>
          <w:rFonts w:hint="eastAsia" w:ascii="Times New Roman" w:hAnsi="Times New Roman" w:eastAsia="仿宋_GB2312"/>
          <w:color w:val="auto"/>
          <w:sz w:val="32"/>
          <w:szCs w:val="32"/>
          <w:highlight w:val="none"/>
          <w:lang w:val="en-US" w:eastAsia="zh-CN"/>
        </w:rPr>
        <w:t>501.88</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359.46</w:t>
      </w:r>
      <w:r>
        <w:rPr>
          <w:rFonts w:hint="eastAsia" w:ascii="Times New Roman" w:hAnsi="Times New Roman" w:eastAsia="仿宋_GB2312"/>
          <w:color w:val="auto"/>
          <w:sz w:val="32"/>
          <w:szCs w:val="32"/>
          <w:highlight w:val="none"/>
        </w:rPr>
        <w:t>万元，完成预算的</w:t>
      </w:r>
      <w:r>
        <w:rPr>
          <w:rFonts w:hint="eastAsia" w:ascii="Times New Roman" w:hAnsi="Times New Roman" w:eastAsia="仿宋_GB2312"/>
          <w:color w:val="auto"/>
          <w:sz w:val="32"/>
          <w:szCs w:val="32"/>
          <w:highlight w:val="none"/>
          <w:lang w:val="en-US" w:eastAsia="zh-CN"/>
        </w:rPr>
        <w:t>71.62</w:t>
      </w:r>
      <w:r>
        <w:rPr>
          <w:rFonts w:hint="eastAsia" w:ascii="Times New Roman" w:hAnsi="Times New Roman" w:eastAsia="仿宋_GB2312"/>
          <w:color w:val="auto"/>
          <w:sz w:val="32"/>
          <w:szCs w:val="32"/>
          <w:highlight w:val="none"/>
        </w:rPr>
        <w:t>%，决算数小于预算数的主要原因是</w:t>
      </w:r>
      <w:r>
        <w:rPr>
          <w:rFonts w:hint="eastAsia" w:ascii="Times New Roman" w:hAnsi="Times New Roman" w:eastAsia="仿宋_GB2312"/>
          <w:color w:val="auto"/>
          <w:sz w:val="32"/>
          <w:szCs w:val="32"/>
          <w:highlight w:val="none"/>
          <w:lang w:val="en-US" w:eastAsia="zh-CN"/>
        </w:rPr>
        <w:t>我厅认真贯彻中央“八项规定”和厉行节约的要求</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与上年相比增加</w:t>
      </w:r>
      <w:r>
        <w:rPr>
          <w:rFonts w:hint="eastAsia" w:ascii="Times New Roman" w:hAnsi="Times New Roman" w:eastAsia="仿宋_GB2312"/>
          <w:color w:val="auto"/>
          <w:sz w:val="32"/>
          <w:szCs w:val="32"/>
          <w:highlight w:val="none"/>
          <w:lang w:val="en-US" w:eastAsia="zh-CN"/>
        </w:rPr>
        <w:t>39.85</w:t>
      </w:r>
      <w:r>
        <w:rPr>
          <w:rFonts w:hint="eastAsia" w:ascii="Times New Roman" w:hAnsi="Times New Roman" w:eastAsia="仿宋_GB2312"/>
          <w:color w:val="auto"/>
          <w:sz w:val="32"/>
          <w:szCs w:val="32"/>
          <w:highlight w:val="none"/>
        </w:rPr>
        <w:t>万元，增长</w:t>
      </w:r>
      <w:r>
        <w:rPr>
          <w:rFonts w:hint="eastAsia" w:ascii="Times New Roman" w:hAnsi="Times New Roman" w:eastAsia="仿宋_GB2312"/>
          <w:color w:val="auto"/>
          <w:sz w:val="32"/>
          <w:szCs w:val="32"/>
          <w:highlight w:val="none"/>
          <w:lang w:val="en-US" w:eastAsia="zh-CN"/>
        </w:rPr>
        <w:t>12.47</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增长的主要原因是</w:t>
      </w:r>
      <w:r>
        <w:rPr>
          <w:rFonts w:hint="eastAsia" w:ascii="Times New Roman" w:hAnsi="Times New Roman" w:eastAsia="仿宋_GB2312"/>
          <w:color w:val="auto"/>
          <w:sz w:val="32"/>
          <w:szCs w:val="32"/>
          <w:highlight w:val="none"/>
          <w:lang w:val="en-US" w:eastAsia="zh-CN"/>
        </w:rPr>
        <w:t>疫情全面放开后，我省加强与国外的经贸洽谈往来，因公出国经费增加</w:t>
      </w:r>
      <w:r>
        <w:rPr>
          <w:rFonts w:hint="eastAsia" w:ascii="Times New Roman" w:hAnsi="Times New Roman" w:eastAsia="仿宋_GB2312"/>
          <w:color w:val="auto"/>
          <w:sz w:val="32"/>
          <w:szCs w:val="32"/>
          <w:highlight w:val="none"/>
        </w:rPr>
        <w:t>。其中：</w:t>
      </w:r>
    </w:p>
    <w:p w14:paraId="633BF1C4">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因公出国（境）费支出预算为</w:t>
      </w:r>
      <w:r>
        <w:rPr>
          <w:rFonts w:hint="eastAsia" w:ascii="Times New Roman" w:hAnsi="Times New Roman" w:eastAsia="仿宋_GB2312"/>
          <w:color w:val="auto"/>
          <w:sz w:val="32"/>
          <w:szCs w:val="32"/>
          <w:highlight w:val="none"/>
          <w:lang w:val="en-US" w:eastAsia="zh-CN"/>
        </w:rPr>
        <w:t>111</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87.76</w:t>
      </w:r>
      <w:r>
        <w:rPr>
          <w:rFonts w:hint="eastAsia" w:ascii="Times New Roman" w:hAnsi="Times New Roman" w:eastAsia="仿宋_GB2312"/>
          <w:color w:val="auto"/>
          <w:sz w:val="32"/>
          <w:szCs w:val="32"/>
          <w:highlight w:val="none"/>
        </w:rPr>
        <w:t>万元，完成预算的</w:t>
      </w:r>
      <w:r>
        <w:rPr>
          <w:rFonts w:hint="eastAsia" w:ascii="Times New Roman" w:hAnsi="Times New Roman" w:eastAsia="仿宋_GB2312"/>
          <w:color w:val="auto"/>
          <w:sz w:val="32"/>
          <w:szCs w:val="32"/>
          <w:highlight w:val="none"/>
          <w:lang w:val="en-US" w:eastAsia="zh-CN"/>
        </w:rPr>
        <w:t>79.15</w:t>
      </w:r>
      <w:r>
        <w:rPr>
          <w:rFonts w:hint="eastAsia" w:ascii="Times New Roman" w:hAnsi="Times New Roman" w:eastAsia="仿宋_GB2312"/>
          <w:color w:val="auto"/>
          <w:sz w:val="32"/>
          <w:szCs w:val="32"/>
          <w:highlight w:val="none"/>
        </w:rPr>
        <w:t>%，决算数</w:t>
      </w:r>
      <w:r>
        <w:rPr>
          <w:rFonts w:hint="eastAsia" w:ascii="Times New Roman" w:hAnsi="Times New Roman" w:eastAsia="仿宋_GB2312"/>
          <w:color w:val="auto"/>
          <w:sz w:val="32"/>
          <w:szCs w:val="32"/>
          <w:highlight w:val="none"/>
          <w:lang w:val="en-US" w:eastAsia="zh-CN"/>
        </w:rPr>
        <w:t>小</w:t>
      </w:r>
      <w:r>
        <w:rPr>
          <w:rFonts w:hint="eastAsia" w:ascii="Times New Roman" w:hAnsi="Times New Roman" w:eastAsia="仿宋_GB2312"/>
          <w:color w:val="auto"/>
          <w:sz w:val="32"/>
          <w:szCs w:val="32"/>
          <w:highlight w:val="none"/>
        </w:rPr>
        <w:t>于预算数的主要原因是</w:t>
      </w:r>
      <w:r>
        <w:rPr>
          <w:rFonts w:hint="eastAsia" w:ascii="Times New Roman" w:hAnsi="Times New Roman" w:eastAsia="仿宋_GB2312"/>
          <w:color w:val="auto"/>
          <w:sz w:val="32"/>
          <w:szCs w:val="32"/>
          <w:highlight w:val="none"/>
          <w:lang w:val="en-US" w:eastAsia="zh-CN"/>
        </w:rPr>
        <w:t>我厅认真贯彻中央“八项规定”和厉行节约的要求</w:t>
      </w:r>
      <w:r>
        <w:rPr>
          <w:rFonts w:hint="eastAsia" w:ascii="Times New Roman" w:hAnsi="Times New Roman" w:eastAsia="仿宋_GB2312"/>
          <w:color w:val="auto"/>
          <w:sz w:val="32"/>
          <w:szCs w:val="32"/>
          <w:highlight w:val="none"/>
        </w:rPr>
        <w:t>，与上年相比增加</w:t>
      </w:r>
      <w:r>
        <w:rPr>
          <w:rFonts w:hint="eastAsia" w:ascii="Times New Roman" w:hAnsi="Times New Roman" w:eastAsia="仿宋_GB2312"/>
          <w:color w:val="auto"/>
          <w:sz w:val="32"/>
          <w:szCs w:val="32"/>
          <w:highlight w:val="none"/>
          <w:lang w:val="en-US" w:eastAsia="zh-CN"/>
        </w:rPr>
        <w:t>87.86</w:t>
      </w:r>
      <w:r>
        <w:rPr>
          <w:rFonts w:hint="eastAsia" w:ascii="Times New Roman" w:hAnsi="Times New Roman" w:eastAsia="仿宋_GB2312"/>
          <w:color w:val="auto"/>
          <w:sz w:val="32"/>
          <w:szCs w:val="32"/>
          <w:highlight w:val="none"/>
        </w:rPr>
        <w:t>万元，增长的主要原因是</w:t>
      </w:r>
      <w:r>
        <w:rPr>
          <w:rFonts w:hint="eastAsia" w:ascii="Times New Roman" w:hAnsi="Times New Roman" w:eastAsia="仿宋_GB2312"/>
          <w:color w:val="auto"/>
          <w:sz w:val="32"/>
          <w:szCs w:val="32"/>
          <w:highlight w:val="none"/>
          <w:lang w:val="en-US" w:eastAsia="zh-CN"/>
        </w:rPr>
        <w:t>疫情全面放开后，我省加强与国外的经贸洽谈往来</w:t>
      </w:r>
      <w:r>
        <w:rPr>
          <w:rFonts w:hint="eastAsia" w:ascii="Times New Roman" w:hAnsi="Times New Roman" w:eastAsia="仿宋_GB2312"/>
          <w:color w:val="auto"/>
          <w:sz w:val="32"/>
          <w:szCs w:val="32"/>
          <w:highlight w:val="none"/>
        </w:rPr>
        <w:t>。</w:t>
      </w:r>
    </w:p>
    <w:p w14:paraId="6F16E041">
      <w:pPr>
        <w:pStyle w:val="17"/>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公务接待费支出预算为</w:t>
      </w:r>
      <w:r>
        <w:rPr>
          <w:rFonts w:hint="eastAsia" w:ascii="Times New Roman" w:hAnsi="Times New Roman" w:eastAsia="仿宋_GB2312"/>
          <w:color w:val="auto"/>
          <w:sz w:val="32"/>
          <w:szCs w:val="32"/>
          <w:highlight w:val="none"/>
          <w:lang w:val="en-US" w:eastAsia="zh-CN"/>
        </w:rPr>
        <w:t>124.40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32.59</w:t>
      </w:r>
      <w:r>
        <w:rPr>
          <w:rFonts w:hint="eastAsia" w:ascii="Times New Roman" w:hAnsi="Times New Roman" w:eastAsia="仿宋_GB2312"/>
          <w:color w:val="auto"/>
          <w:sz w:val="32"/>
          <w:szCs w:val="32"/>
          <w:highlight w:val="none"/>
        </w:rPr>
        <w:t>万元，完成预算的</w:t>
      </w:r>
      <w:r>
        <w:rPr>
          <w:rFonts w:hint="eastAsia" w:ascii="Times New Roman" w:hAnsi="Times New Roman" w:eastAsia="仿宋_GB2312"/>
          <w:color w:val="auto"/>
          <w:sz w:val="32"/>
          <w:szCs w:val="32"/>
          <w:highlight w:val="none"/>
          <w:lang w:val="en-US" w:eastAsia="zh-CN"/>
        </w:rPr>
        <w:t>26.20</w:t>
      </w:r>
      <w:r>
        <w:rPr>
          <w:rFonts w:hint="eastAsia" w:ascii="Times New Roman" w:hAnsi="Times New Roman" w:eastAsia="仿宋_GB2312"/>
          <w:color w:val="auto"/>
          <w:sz w:val="32"/>
          <w:szCs w:val="32"/>
          <w:highlight w:val="none"/>
        </w:rPr>
        <w:t>%，决算数小于预算数的主要原因是</w:t>
      </w:r>
      <w:r>
        <w:rPr>
          <w:rFonts w:hint="eastAsia" w:ascii="Times New Roman" w:hAnsi="Times New Roman" w:eastAsia="仿宋_GB2312"/>
          <w:color w:val="auto"/>
          <w:sz w:val="32"/>
          <w:szCs w:val="32"/>
          <w:highlight w:val="none"/>
          <w:lang w:val="en-US" w:eastAsia="zh-CN"/>
        </w:rPr>
        <w:t>我厅认真贯彻中央“八项规定”和厉行节约的要求</w:t>
      </w:r>
      <w:r>
        <w:rPr>
          <w:rFonts w:hint="eastAsia" w:ascii="Times New Roman" w:hAnsi="Times New Roman" w:eastAsia="仿宋_GB2312"/>
          <w:color w:val="auto"/>
          <w:sz w:val="32"/>
          <w:szCs w:val="32"/>
          <w:highlight w:val="none"/>
        </w:rPr>
        <w:t>，与上年相比增加</w:t>
      </w:r>
      <w:r>
        <w:rPr>
          <w:rFonts w:hint="eastAsia" w:ascii="Times New Roman" w:hAnsi="Times New Roman" w:eastAsia="仿宋_GB2312"/>
          <w:color w:val="auto"/>
          <w:sz w:val="32"/>
          <w:szCs w:val="32"/>
          <w:highlight w:val="none"/>
          <w:lang w:val="en-US" w:eastAsia="zh-CN"/>
        </w:rPr>
        <w:t>5.94</w:t>
      </w:r>
      <w:r>
        <w:rPr>
          <w:rFonts w:hint="eastAsia" w:ascii="Times New Roman" w:hAnsi="Times New Roman" w:eastAsia="仿宋_GB2312"/>
          <w:color w:val="auto"/>
          <w:sz w:val="32"/>
          <w:szCs w:val="32"/>
          <w:highlight w:val="none"/>
        </w:rPr>
        <w:t>万元，增长</w:t>
      </w:r>
      <w:r>
        <w:rPr>
          <w:rFonts w:hint="eastAsia" w:ascii="Times New Roman" w:hAnsi="Times New Roman" w:eastAsia="仿宋_GB2312"/>
          <w:color w:val="auto"/>
          <w:sz w:val="32"/>
          <w:szCs w:val="32"/>
          <w:highlight w:val="none"/>
          <w:lang w:val="en-US" w:eastAsia="zh-CN"/>
        </w:rPr>
        <w:t>22.29</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增长的主要原因是</w:t>
      </w:r>
      <w:r>
        <w:rPr>
          <w:rFonts w:hint="eastAsia" w:ascii="Times New Roman" w:hAnsi="Times New Roman" w:eastAsia="仿宋_GB2312"/>
          <w:color w:val="auto"/>
          <w:sz w:val="32"/>
          <w:szCs w:val="32"/>
          <w:highlight w:val="none"/>
          <w:lang w:val="en-US" w:eastAsia="zh-CN"/>
        </w:rPr>
        <w:t>其他省份</w:t>
      </w:r>
      <w:r>
        <w:rPr>
          <w:rFonts w:hint="eastAsia" w:ascii="Times New Roman" w:hAnsi="Times New Roman" w:eastAsia="仿宋_GB2312"/>
          <w:color w:val="auto"/>
          <w:sz w:val="32"/>
          <w:szCs w:val="32"/>
          <w:highlight w:val="none"/>
        </w:rPr>
        <w:t>调研、考察</w:t>
      </w:r>
      <w:r>
        <w:rPr>
          <w:rFonts w:hint="eastAsia" w:ascii="Times New Roman" w:hAnsi="Times New Roman" w:eastAsia="仿宋_GB2312"/>
          <w:color w:val="auto"/>
          <w:sz w:val="32"/>
          <w:szCs w:val="32"/>
          <w:highlight w:val="none"/>
          <w:lang w:val="en-US" w:eastAsia="zh-CN"/>
        </w:rPr>
        <w:t>及</w:t>
      </w:r>
      <w:r>
        <w:rPr>
          <w:rFonts w:hint="eastAsia" w:ascii="Times New Roman" w:hAnsi="Times New Roman" w:eastAsia="仿宋_GB2312"/>
          <w:color w:val="auto"/>
          <w:sz w:val="32"/>
          <w:szCs w:val="32"/>
          <w:highlight w:val="none"/>
        </w:rPr>
        <w:t>市县相关部门调研、考察</w:t>
      </w:r>
      <w:r>
        <w:rPr>
          <w:rFonts w:hint="eastAsia" w:ascii="Times New Roman" w:hAnsi="Times New Roman" w:eastAsia="仿宋_GB2312"/>
          <w:color w:val="auto"/>
          <w:sz w:val="32"/>
          <w:szCs w:val="32"/>
          <w:highlight w:val="none"/>
          <w:lang w:eastAsia="zh-CN"/>
        </w:rPr>
        <w:t>、工作汇报</w:t>
      </w:r>
      <w:r>
        <w:rPr>
          <w:rFonts w:hint="eastAsia" w:ascii="Times New Roman" w:hAnsi="Times New Roman" w:eastAsia="仿宋_GB2312"/>
          <w:color w:val="auto"/>
          <w:sz w:val="32"/>
          <w:szCs w:val="32"/>
          <w:highlight w:val="none"/>
          <w:lang w:val="en-US" w:eastAsia="zh-CN"/>
        </w:rPr>
        <w:t>等增加，公务接待任务较上年增加</w:t>
      </w:r>
      <w:r>
        <w:rPr>
          <w:rFonts w:hint="eastAsia" w:ascii="Times New Roman" w:hAnsi="Times New Roman" w:eastAsia="仿宋_GB2312"/>
          <w:color w:val="auto"/>
          <w:sz w:val="32"/>
          <w:szCs w:val="32"/>
          <w:highlight w:val="none"/>
        </w:rPr>
        <w:t>。</w:t>
      </w:r>
    </w:p>
    <w:p w14:paraId="422759AD">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公务用车购置费支出预算为</w:t>
      </w:r>
      <w:r>
        <w:rPr>
          <w:rFonts w:hint="eastAsia" w:ascii="Times New Roman" w:hAnsi="Times New Roman" w:eastAsia="仿宋_GB2312"/>
          <w:color w:val="auto"/>
          <w:sz w:val="32"/>
          <w:szCs w:val="32"/>
          <w:highlight w:val="none"/>
          <w:lang w:val="en-US" w:eastAsia="zh-CN"/>
        </w:rPr>
        <w:t>49.58</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49.51</w:t>
      </w:r>
      <w:r>
        <w:rPr>
          <w:rFonts w:hint="eastAsia" w:ascii="Times New Roman" w:hAnsi="Times New Roman" w:eastAsia="仿宋_GB2312"/>
          <w:color w:val="auto"/>
          <w:sz w:val="32"/>
          <w:szCs w:val="32"/>
          <w:highlight w:val="none"/>
        </w:rPr>
        <w:t>万元，完成预算的</w:t>
      </w:r>
      <w:r>
        <w:rPr>
          <w:rFonts w:hint="eastAsia" w:ascii="Times New Roman" w:hAnsi="Times New Roman" w:eastAsia="仿宋_GB2312"/>
          <w:color w:val="auto"/>
          <w:sz w:val="32"/>
          <w:szCs w:val="32"/>
          <w:highlight w:val="none"/>
          <w:lang w:val="en-US" w:eastAsia="zh-CN"/>
        </w:rPr>
        <w:t>99.86</w:t>
      </w:r>
      <w:r>
        <w:rPr>
          <w:rFonts w:hint="eastAsia" w:ascii="Times New Roman" w:hAnsi="Times New Roman" w:eastAsia="仿宋_GB2312"/>
          <w:color w:val="auto"/>
          <w:sz w:val="32"/>
          <w:szCs w:val="32"/>
          <w:highlight w:val="none"/>
        </w:rPr>
        <w:t>%，决算数小于预算数的主要原因是</w:t>
      </w:r>
      <w:r>
        <w:rPr>
          <w:rFonts w:hint="eastAsia" w:ascii="Times New Roman" w:hAnsi="Times New Roman" w:eastAsia="仿宋_GB2312"/>
          <w:color w:val="auto"/>
          <w:sz w:val="32"/>
          <w:szCs w:val="32"/>
          <w:highlight w:val="none"/>
          <w:lang w:val="en-US" w:eastAsia="zh-CN"/>
        </w:rPr>
        <w:t>我厅认真贯彻中央“八项规定”和厉行节约的要求</w:t>
      </w:r>
      <w:r>
        <w:rPr>
          <w:rFonts w:hint="eastAsia" w:ascii="Times New Roman" w:hAnsi="Times New Roman" w:eastAsia="仿宋_GB2312"/>
          <w:color w:val="auto"/>
          <w:sz w:val="32"/>
          <w:szCs w:val="32"/>
          <w:highlight w:val="none"/>
        </w:rPr>
        <w:t>，公务用车购置费支出</w:t>
      </w:r>
      <w:r>
        <w:rPr>
          <w:rFonts w:hint="eastAsia" w:ascii="Times New Roman" w:hAnsi="Times New Roman" w:eastAsia="仿宋_GB2312"/>
          <w:color w:val="auto"/>
          <w:sz w:val="32"/>
          <w:szCs w:val="32"/>
          <w:highlight w:val="none"/>
          <w:lang w:val="en-US" w:eastAsia="zh-CN"/>
        </w:rPr>
        <w:t>略有节余，</w:t>
      </w:r>
      <w:r>
        <w:rPr>
          <w:rFonts w:hint="eastAsia" w:ascii="Times New Roman" w:hAnsi="Times New Roman" w:eastAsia="仿宋_GB2312"/>
          <w:color w:val="auto"/>
          <w:sz w:val="32"/>
          <w:szCs w:val="32"/>
          <w:highlight w:val="none"/>
        </w:rPr>
        <w:t>与上年相比减少</w:t>
      </w:r>
      <w:r>
        <w:rPr>
          <w:rFonts w:hint="eastAsia" w:ascii="Times New Roman" w:hAnsi="Times New Roman" w:eastAsia="仿宋_GB2312"/>
          <w:color w:val="auto"/>
          <w:sz w:val="32"/>
          <w:szCs w:val="32"/>
          <w:highlight w:val="none"/>
          <w:lang w:val="en-US" w:eastAsia="zh-CN"/>
        </w:rPr>
        <w:t>42.84</w:t>
      </w:r>
      <w:r>
        <w:rPr>
          <w:rFonts w:hint="eastAsia" w:ascii="Times New Roman" w:hAnsi="Times New Roman" w:eastAsia="仿宋_GB2312"/>
          <w:color w:val="auto"/>
          <w:sz w:val="32"/>
          <w:szCs w:val="32"/>
          <w:highlight w:val="none"/>
        </w:rPr>
        <w:t>万元，减少</w:t>
      </w:r>
      <w:r>
        <w:rPr>
          <w:rFonts w:hint="eastAsia" w:ascii="Times New Roman" w:hAnsi="Times New Roman" w:eastAsia="仿宋_GB2312"/>
          <w:color w:val="auto"/>
          <w:sz w:val="32"/>
          <w:szCs w:val="32"/>
          <w:highlight w:val="none"/>
          <w:lang w:val="en-US" w:eastAsia="zh-CN"/>
        </w:rPr>
        <w:t>46.39</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减少的主要原因是</w:t>
      </w:r>
      <w:r>
        <w:rPr>
          <w:rFonts w:hint="eastAsia" w:ascii="Times New Roman" w:hAnsi="Times New Roman" w:eastAsia="仿宋_GB2312"/>
          <w:color w:val="auto"/>
          <w:sz w:val="32"/>
          <w:szCs w:val="32"/>
          <w:highlight w:val="none"/>
          <w:lang w:val="en-US" w:eastAsia="zh-CN"/>
        </w:rPr>
        <w:t>本年度购置更新了两台公务用车，较上年减少两台</w:t>
      </w:r>
      <w:r>
        <w:rPr>
          <w:rFonts w:hint="eastAsia" w:ascii="Times New Roman" w:hAnsi="Times New Roman" w:eastAsia="仿宋_GB2312"/>
          <w:color w:val="auto"/>
          <w:sz w:val="32"/>
          <w:szCs w:val="32"/>
          <w:highlight w:val="none"/>
        </w:rPr>
        <w:t>。</w:t>
      </w:r>
    </w:p>
    <w:p w14:paraId="2BD9005A">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公务用车运行维护费支出预算为</w:t>
      </w:r>
      <w:r>
        <w:rPr>
          <w:rFonts w:hint="eastAsia" w:ascii="Times New Roman" w:hAnsi="Times New Roman" w:eastAsia="仿宋_GB2312"/>
          <w:color w:val="auto"/>
          <w:sz w:val="32"/>
          <w:szCs w:val="32"/>
          <w:highlight w:val="none"/>
          <w:lang w:val="en-US" w:eastAsia="zh-CN"/>
        </w:rPr>
        <w:t>216.90</w:t>
      </w:r>
      <w:r>
        <w:rPr>
          <w:rFonts w:hint="eastAsia" w:ascii="Times New Roman" w:hAnsi="Times New Roman" w:eastAsia="仿宋_GB2312"/>
          <w:color w:val="auto"/>
          <w:sz w:val="32"/>
          <w:szCs w:val="32"/>
          <w:highlight w:val="none"/>
        </w:rPr>
        <w:t>万元，支出决算为</w:t>
      </w:r>
      <w:r>
        <w:rPr>
          <w:rFonts w:hint="eastAsia" w:ascii="Times New Roman" w:hAnsi="Times New Roman" w:eastAsia="仿宋_GB2312"/>
          <w:color w:val="auto"/>
          <w:sz w:val="32"/>
          <w:szCs w:val="32"/>
          <w:highlight w:val="none"/>
          <w:lang w:val="en-US" w:eastAsia="zh-CN"/>
        </w:rPr>
        <w:t>189.50</w:t>
      </w:r>
      <w:r>
        <w:rPr>
          <w:rFonts w:hint="eastAsia" w:ascii="Times New Roman" w:hAnsi="Times New Roman" w:eastAsia="仿宋_GB2312"/>
          <w:color w:val="auto"/>
          <w:sz w:val="32"/>
          <w:szCs w:val="32"/>
          <w:highlight w:val="none"/>
        </w:rPr>
        <w:t>万元，完成预算的</w:t>
      </w:r>
      <w:r>
        <w:rPr>
          <w:rFonts w:hint="eastAsia" w:ascii="Times New Roman" w:hAnsi="Times New Roman" w:eastAsia="仿宋_GB2312"/>
          <w:color w:val="auto"/>
          <w:sz w:val="32"/>
          <w:szCs w:val="32"/>
          <w:highlight w:val="none"/>
          <w:lang w:val="en-US" w:eastAsia="zh-CN"/>
        </w:rPr>
        <w:t>87.37</w:t>
      </w:r>
      <w:r>
        <w:rPr>
          <w:rFonts w:hint="eastAsia" w:ascii="Times New Roman" w:hAnsi="Times New Roman" w:eastAsia="仿宋_GB2312"/>
          <w:color w:val="auto"/>
          <w:sz w:val="32"/>
          <w:szCs w:val="32"/>
          <w:highlight w:val="none"/>
        </w:rPr>
        <w:t>%，决算数小于预算数的主要原因是我厅认真贯彻中央“八项规定”和厉行节约的要求，采取定点加油、定点维修等方式节约车辆运行成本</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与上年相比减少</w:t>
      </w:r>
      <w:r>
        <w:rPr>
          <w:rFonts w:hint="eastAsia" w:ascii="Times New Roman" w:hAnsi="Times New Roman" w:eastAsia="仿宋_GB2312"/>
          <w:color w:val="auto"/>
          <w:sz w:val="32"/>
          <w:szCs w:val="32"/>
          <w:highlight w:val="none"/>
          <w:lang w:val="en-US" w:eastAsia="zh-CN"/>
        </w:rPr>
        <w:t>11.11</w:t>
      </w:r>
      <w:r>
        <w:rPr>
          <w:rFonts w:hint="eastAsia" w:ascii="Times New Roman" w:hAnsi="Times New Roman" w:eastAsia="仿宋_GB2312"/>
          <w:color w:val="auto"/>
          <w:sz w:val="32"/>
          <w:szCs w:val="32"/>
          <w:highlight w:val="none"/>
        </w:rPr>
        <w:t>万元，减少</w:t>
      </w:r>
      <w:r>
        <w:rPr>
          <w:rFonts w:hint="eastAsia" w:ascii="Times New Roman" w:hAnsi="Times New Roman" w:eastAsia="仿宋_GB2312"/>
          <w:color w:val="auto"/>
          <w:sz w:val="32"/>
          <w:szCs w:val="32"/>
          <w:highlight w:val="none"/>
          <w:lang w:val="en-US" w:eastAsia="zh-CN"/>
        </w:rPr>
        <w:t>5.54</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减少的主要原因是我厅认真贯彻中央“八项规定”和厉行节约的要求，采取定点加油、定点维修等方式节约车辆运行成本。</w:t>
      </w:r>
    </w:p>
    <w:p w14:paraId="0AD860DF">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楷体" w:hAnsi="楷体" w:eastAsia="楷体" w:cs="楷体"/>
          <w:b/>
          <w:bCs w:val="0"/>
          <w:color w:val="auto"/>
          <w:sz w:val="32"/>
          <w:szCs w:val="32"/>
          <w:highlight w:val="none"/>
        </w:rPr>
      </w:pPr>
      <w:r>
        <w:rPr>
          <w:rFonts w:hint="eastAsia" w:ascii="楷体" w:hAnsi="楷体" w:eastAsia="楷体" w:cs="楷体"/>
          <w:b/>
          <w:bCs w:val="0"/>
          <w:color w:val="auto"/>
          <w:sz w:val="32"/>
          <w:szCs w:val="32"/>
          <w:highlight w:val="none"/>
        </w:rPr>
        <w:t>（二）“三公”经费财政拨款支出决算具体情况说明</w:t>
      </w:r>
    </w:p>
    <w:p w14:paraId="68CE3FBE">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年度“三公”经费财政拨款支出决算中，公务接待费支出决算</w:t>
      </w:r>
      <w:r>
        <w:rPr>
          <w:rFonts w:hint="eastAsia" w:ascii="Times New Roman" w:hAnsi="Times New Roman" w:eastAsia="仿宋_GB2312"/>
          <w:color w:val="auto"/>
          <w:sz w:val="32"/>
          <w:szCs w:val="32"/>
          <w:highlight w:val="none"/>
          <w:lang w:val="en-US" w:eastAsia="zh-CN"/>
        </w:rPr>
        <w:t>32.59</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9.07</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因公出国（境）费支出决算</w:t>
      </w:r>
      <w:r>
        <w:rPr>
          <w:rFonts w:hint="eastAsia" w:ascii="Times New Roman" w:hAnsi="Times New Roman" w:eastAsia="仿宋_GB2312"/>
          <w:color w:val="auto"/>
          <w:sz w:val="32"/>
          <w:szCs w:val="32"/>
          <w:highlight w:val="none"/>
          <w:lang w:val="en-US" w:eastAsia="zh-CN"/>
        </w:rPr>
        <w:t>87.86</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24.44</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公务用车购置费及运行维护费支出决算</w:t>
      </w:r>
      <w:r>
        <w:rPr>
          <w:rFonts w:hint="eastAsia" w:ascii="Times New Roman" w:hAnsi="Times New Roman" w:eastAsia="仿宋_GB2312"/>
          <w:color w:val="auto"/>
          <w:sz w:val="32"/>
          <w:szCs w:val="32"/>
          <w:highlight w:val="none"/>
          <w:lang w:val="en-US" w:eastAsia="zh-CN"/>
        </w:rPr>
        <w:t>239.01</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val="en-US" w:eastAsia="zh-CN"/>
        </w:rPr>
        <w:t>66.49</w:t>
      </w:r>
      <w:r>
        <w:rPr>
          <w:rFonts w:hint="eastAsia" w:ascii="Times New Roman" w:hAnsi="Times New Roman" w:eastAsia="仿宋_GB2312"/>
          <w:color w:val="auto"/>
          <w:sz w:val="32"/>
          <w:szCs w:val="32"/>
          <w:highlight w:val="none"/>
        </w:rPr>
        <w:t>%。其中：</w:t>
      </w:r>
    </w:p>
    <w:p w14:paraId="7B263714">
      <w:pPr>
        <w:pStyle w:val="17"/>
        <w:keepNext w:val="0"/>
        <w:keepLines w:val="0"/>
        <w:pageBreakBefore w:val="0"/>
        <w:widowControl w:val="0"/>
        <w:numPr>
          <w:ilvl w:val="0"/>
          <w:numId w:val="0"/>
        </w:numPr>
        <w:kinsoku/>
        <w:wordWrap/>
        <w:overflowPunct/>
        <w:topLinePunct w:val="0"/>
        <w:bidi w:val="0"/>
        <w:snapToGrid/>
        <w:spacing w:line="600" w:lineRule="exact"/>
        <w:ind w:firstLine="640" w:firstLineChars="200"/>
        <w:textAlignment w:val="auto"/>
        <w:rPr>
          <w:rFonts w:ascii="Times New Roman" w:hAnsi="Times New Roman" w:eastAsia="仿宋_GB2312"/>
          <w:b/>
          <w:color w:val="auto"/>
          <w:sz w:val="32"/>
          <w:szCs w:val="32"/>
          <w:highlight w:val="none"/>
        </w:rPr>
      </w:pPr>
      <w:r>
        <w:rPr>
          <w:rFonts w:hint="eastAsia" w:ascii="Times New Roman" w:hAnsi="Times New Roman" w:eastAsia="仿宋_GB2312"/>
          <w:color w:val="auto"/>
          <w:sz w:val="32"/>
          <w:szCs w:val="32"/>
          <w:highlight w:val="none"/>
          <w:lang w:val="en-US" w:eastAsia="zh-CN"/>
        </w:rPr>
        <w:t>1、</w:t>
      </w:r>
      <w:r>
        <w:rPr>
          <w:rFonts w:hint="eastAsia" w:ascii="Times New Roman" w:hAnsi="Times New Roman" w:eastAsia="仿宋_GB2312"/>
          <w:color w:val="auto"/>
          <w:sz w:val="32"/>
          <w:szCs w:val="32"/>
          <w:highlight w:val="none"/>
        </w:rPr>
        <w:t>因公出国（境）费支出决算为</w:t>
      </w:r>
      <w:r>
        <w:rPr>
          <w:rFonts w:hint="eastAsia" w:ascii="Times New Roman" w:hAnsi="Times New Roman" w:eastAsia="仿宋_GB2312"/>
          <w:color w:val="auto"/>
          <w:sz w:val="32"/>
          <w:szCs w:val="32"/>
          <w:highlight w:val="none"/>
          <w:lang w:val="en-US" w:eastAsia="zh-CN"/>
        </w:rPr>
        <w:t>87.86</w:t>
      </w:r>
      <w:r>
        <w:rPr>
          <w:rFonts w:hint="eastAsia" w:ascii="Times New Roman" w:hAnsi="Times New Roman" w:eastAsia="仿宋_GB2312"/>
          <w:color w:val="auto"/>
          <w:sz w:val="32"/>
          <w:szCs w:val="32"/>
          <w:highlight w:val="none"/>
        </w:rPr>
        <w:t>万元，全年安排因公出国（境）团组</w:t>
      </w:r>
      <w:r>
        <w:rPr>
          <w:rFonts w:hint="eastAsia" w:ascii="Times New Roman" w:hAnsi="Times New Roman" w:eastAsia="仿宋_GB2312"/>
          <w:color w:val="auto"/>
          <w:sz w:val="32"/>
          <w:szCs w:val="32"/>
          <w:highlight w:val="none"/>
          <w:lang w:val="en-US" w:eastAsia="zh-CN"/>
        </w:rPr>
        <w:t>10</w:t>
      </w:r>
      <w:r>
        <w:rPr>
          <w:rFonts w:hint="eastAsia" w:ascii="Times New Roman" w:hAnsi="Times New Roman" w:eastAsia="仿宋_GB2312"/>
          <w:color w:val="auto"/>
          <w:sz w:val="32"/>
          <w:szCs w:val="32"/>
          <w:highlight w:val="none"/>
        </w:rPr>
        <w:t>个，累计</w:t>
      </w:r>
      <w:r>
        <w:rPr>
          <w:rFonts w:hint="eastAsia" w:ascii="Times New Roman" w:hAnsi="Times New Roman" w:eastAsia="仿宋_GB2312"/>
          <w:color w:val="auto"/>
          <w:sz w:val="32"/>
          <w:szCs w:val="32"/>
          <w:highlight w:val="none"/>
          <w:lang w:val="en-US" w:eastAsia="zh-CN"/>
        </w:rPr>
        <w:t>15</w:t>
      </w:r>
      <w:r>
        <w:rPr>
          <w:rFonts w:hint="eastAsia" w:ascii="Times New Roman" w:hAnsi="Times New Roman" w:eastAsia="仿宋_GB2312"/>
          <w:color w:val="auto"/>
          <w:sz w:val="32"/>
          <w:szCs w:val="32"/>
          <w:highlight w:val="none"/>
        </w:rPr>
        <w:t>人次</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开支内容包括：</w:t>
      </w:r>
    </w:p>
    <w:p w14:paraId="45D9D542">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（1）</w:t>
      </w:r>
      <w:r>
        <w:rPr>
          <w:rFonts w:hint="eastAsia" w:ascii="Times New Roman" w:hAnsi="Times New Roman" w:eastAsia="仿宋_GB2312"/>
          <w:color w:val="auto"/>
          <w:sz w:val="32"/>
          <w:szCs w:val="32"/>
          <w:highlight w:val="none"/>
        </w:rPr>
        <w:t>日本北海道第35届国际农业机械展览会支出</w:t>
      </w:r>
      <w:r>
        <w:rPr>
          <w:rFonts w:hint="eastAsia" w:ascii="Times New Roman" w:hAnsi="Times New Roman" w:eastAsia="仿宋_GB2312"/>
          <w:color w:val="auto"/>
          <w:sz w:val="32"/>
          <w:szCs w:val="32"/>
          <w:highlight w:val="none"/>
          <w:lang w:val="en-US" w:eastAsia="zh-CN"/>
        </w:rPr>
        <w:t>15.8</w:t>
      </w:r>
      <w:r>
        <w:rPr>
          <w:rFonts w:hint="eastAsia" w:ascii="Times New Roman" w:hAnsi="Times New Roman" w:eastAsia="仿宋_GB2312"/>
          <w:color w:val="auto"/>
          <w:sz w:val="32"/>
          <w:szCs w:val="32"/>
          <w:highlight w:val="none"/>
        </w:rPr>
        <w:t>万元，主要</w:t>
      </w:r>
      <w:r>
        <w:rPr>
          <w:rFonts w:hint="eastAsia" w:ascii="Times New Roman" w:hAnsi="Times New Roman" w:eastAsia="仿宋_GB2312"/>
          <w:color w:val="auto"/>
          <w:sz w:val="32"/>
          <w:szCs w:val="32"/>
          <w:highlight w:val="none"/>
          <w:lang w:val="en-US" w:eastAsia="zh-CN"/>
        </w:rPr>
        <w:t>活动内容：</w:t>
      </w:r>
      <w:r>
        <w:rPr>
          <w:rFonts w:hint="eastAsia" w:ascii="Times New Roman" w:hAnsi="Times New Roman" w:eastAsia="仿宋_GB2312"/>
          <w:color w:val="auto"/>
          <w:sz w:val="32"/>
          <w:szCs w:val="32"/>
          <w:highlight w:val="none"/>
        </w:rPr>
        <w:t>与农机企业洽谈，寻求与国外大型先进农机企业技术合作或到湖南投资建厂机会</w:t>
      </w:r>
      <w:r>
        <w:rPr>
          <w:rFonts w:hint="eastAsia" w:ascii="Times New Roman" w:hAnsi="Times New Roman" w:eastAsia="仿宋_GB2312"/>
          <w:color w:val="auto"/>
          <w:sz w:val="32"/>
          <w:szCs w:val="32"/>
          <w:highlight w:val="none"/>
          <w:lang w:val="en-US" w:eastAsia="zh-CN"/>
        </w:rPr>
        <w:t>；</w:t>
      </w:r>
    </w:p>
    <w:p w14:paraId="485D8928">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2）赴萨摩亚、澳大利亚两国开展项目洽谈项目检查工作</w:t>
      </w:r>
      <w:r>
        <w:rPr>
          <w:rFonts w:hint="eastAsia" w:ascii="Times New Roman" w:hAnsi="Times New Roman" w:eastAsia="仿宋_GB2312"/>
          <w:color w:val="auto"/>
          <w:sz w:val="32"/>
          <w:szCs w:val="32"/>
          <w:highlight w:val="none"/>
        </w:rPr>
        <w:t>支出</w:t>
      </w:r>
      <w:r>
        <w:rPr>
          <w:rFonts w:hint="eastAsia" w:ascii="Times New Roman" w:hAnsi="Times New Roman" w:eastAsia="仿宋_GB2312"/>
          <w:color w:val="auto"/>
          <w:sz w:val="32"/>
          <w:szCs w:val="32"/>
          <w:highlight w:val="none"/>
          <w:lang w:val="en-US" w:eastAsia="zh-CN"/>
        </w:rPr>
        <w:t>14.94</w:t>
      </w:r>
      <w:r>
        <w:rPr>
          <w:rFonts w:hint="eastAsia" w:ascii="Times New Roman" w:hAnsi="Times New Roman" w:eastAsia="仿宋_GB2312"/>
          <w:color w:val="auto"/>
          <w:sz w:val="32"/>
          <w:szCs w:val="32"/>
          <w:highlight w:val="none"/>
        </w:rPr>
        <w:t>万元，主要</w:t>
      </w:r>
      <w:r>
        <w:rPr>
          <w:rFonts w:hint="eastAsia" w:ascii="Times New Roman" w:hAnsi="Times New Roman" w:eastAsia="仿宋_GB2312"/>
          <w:color w:val="auto"/>
          <w:sz w:val="32"/>
          <w:szCs w:val="32"/>
          <w:highlight w:val="none"/>
          <w:lang w:val="en-US" w:eastAsia="zh-CN"/>
        </w:rPr>
        <w:t>活动内容：</w:t>
      </w:r>
      <w:r>
        <w:rPr>
          <w:rFonts w:hint="eastAsia" w:ascii="Times New Roman" w:hAnsi="Times New Roman" w:eastAsia="仿宋_GB2312"/>
          <w:color w:val="auto"/>
          <w:sz w:val="32"/>
          <w:szCs w:val="32"/>
          <w:highlight w:val="none"/>
        </w:rPr>
        <w:t>赴萨摩亚、澳大利亚两国开展项目洽谈项目检查工作</w:t>
      </w:r>
      <w:r>
        <w:rPr>
          <w:rFonts w:hint="eastAsia" w:ascii="Times New Roman" w:hAnsi="Times New Roman" w:eastAsia="仿宋_GB2312"/>
          <w:color w:val="auto"/>
          <w:sz w:val="32"/>
          <w:szCs w:val="32"/>
          <w:highlight w:val="none"/>
          <w:lang w:val="en-US" w:eastAsia="zh-CN"/>
        </w:rPr>
        <w:t>；</w:t>
      </w:r>
    </w:p>
    <w:p w14:paraId="3DAEBF58">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（3）赴多米尼加、巴巴多斯开展经贸活动支出17.38万元，</w:t>
      </w:r>
      <w:r>
        <w:rPr>
          <w:rFonts w:hint="eastAsia" w:ascii="Times New Roman" w:hAnsi="Times New Roman" w:eastAsia="仿宋_GB2312"/>
          <w:color w:val="auto"/>
          <w:sz w:val="32"/>
          <w:szCs w:val="32"/>
          <w:highlight w:val="none"/>
        </w:rPr>
        <w:t>主要</w:t>
      </w:r>
      <w:r>
        <w:rPr>
          <w:rFonts w:hint="eastAsia" w:ascii="Times New Roman" w:hAnsi="Times New Roman" w:eastAsia="仿宋_GB2312"/>
          <w:color w:val="auto"/>
          <w:sz w:val="32"/>
          <w:szCs w:val="32"/>
          <w:highlight w:val="none"/>
          <w:lang w:val="en-US" w:eastAsia="zh-CN"/>
        </w:rPr>
        <w:t>活动内容：赴多米尼加、巴巴多斯开展经贸活动支出；</w:t>
      </w:r>
    </w:p>
    <w:p w14:paraId="4A40D8EA">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（4）赴多加拿大、爱尔兰、荷兰开展经贸活动支出6.85万元，</w:t>
      </w:r>
      <w:r>
        <w:rPr>
          <w:rFonts w:hint="eastAsia" w:ascii="Times New Roman" w:hAnsi="Times New Roman" w:eastAsia="仿宋_GB2312"/>
          <w:color w:val="auto"/>
          <w:sz w:val="32"/>
          <w:szCs w:val="32"/>
          <w:highlight w:val="none"/>
        </w:rPr>
        <w:t>主要</w:t>
      </w:r>
      <w:r>
        <w:rPr>
          <w:rFonts w:hint="eastAsia" w:ascii="Times New Roman" w:hAnsi="Times New Roman" w:eastAsia="仿宋_GB2312"/>
          <w:color w:val="auto"/>
          <w:sz w:val="32"/>
          <w:szCs w:val="32"/>
          <w:highlight w:val="none"/>
          <w:lang w:val="en-US" w:eastAsia="zh-CN"/>
        </w:rPr>
        <w:t>活动内容：赴多加拿大、爱尔兰、荷兰开展经贸活动；</w:t>
      </w:r>
    </w:p>
    <w:p w14:paraId="2FB3A73C">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（5）2023年意大利果蔬展取消出访费用支出2.26万元，主要用于意大利出访取消后国际机票退票费、境外酒店交通保险费等；</w:t>
      </w:r>
    </w:p>
    <w:p w14:paraId="5114ED6E">
      <w:pPr>
        <w:pStyle w:val="17"/>
        <w:keepNext w:val="0"/>
        <w:keepLines w:val="0"/>
        <w:pageBreakBefore w:val="0"/>
        <w:widowControl w:val="0"/>
        <w:numPr>
          <w:ilvl w:val="0"/>
          <w:numId w:val="4"/>
        </w:numPr>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中美农业圆桌论坛取消出访费用0.44万元，主要用于美国出访取消后国际机票损失等服务费；</w:t>
      </w:r>
    </w:p>
    <w:p w14:paraId="2CBEE86D">
      <w:pPr>
        <w:pStyle w:val="17"/>
        <w:keepNext w:val="0"/>
        <w:keepLines w:val="0"/>
        <w:pageBreakBefore w:val="0"/>
        <w:widowControl w:val="0"/>
        <w:numPr>
          <w:ilvl w:val="0"/>
          <w:numId w:val="4"/>
        </w:numPr>
        <w:kinsoku/>
        <w:wordWrap/>
        <w:overflowPunct/>
        <w:topLinePunct w:val="0"/>
        <w:bidi w:val="0"/>
        <w:snapToGrid/>
        <w:spacing w:line="600" w:lineRule="exact"/>
        <w:ind w:firstLine="640" w:firstLineChars="20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出访澳大利亚、萨摩亚</w:t>
      </w:r>
      <w:r>
        <w:rPr>
          <w:rFonts w:hint="eastAsia" w:ascii="Times New Roman" w:hAnsi="Times New Roman" w:eastAsia="仿宋_GB2312"/>
          <w:color w:val="auto"/>
          <w:sz w:val="32"/>
          <w:szCs w:val="32"/>
          <w:highlight w:val="none"/>
          <w:lang w:val="en-US" w:eastAsia="zh-CN"/>
        </w:rPr>
        <w:t>支出9.96万元，主要活动内容：公务访问及经贸洽谈；</w:t>
      </w:r>
    </w:p>
    <w:p w14:paraId="54F3BCA8">
      <w:pPr>
        <w:pStyle w:val="17"/>
        <w:keepNext w:val="0"/>
        <w:keepLines w:val="0"/>
        <w:pageBreakBefore w:val="0"/>
        <w:widowControl w:val="0"/>
        <w:numPr>
          <w:ilvl w:val="0"/>
          <w:numId w:val="4"/>
        </w:numPr>
        <w:kinsoku/>
        <w:wordWrap/>
        <w:overflowPunct/>
        <w:topLinePunct w:val="0"/>
        <w:bidi w:val="0"/>
        <w:snapToGrid/>
        <w:spacing w:line="600" w:lineRule="exact"/>
        <w:ind w:firstLine="640" w:firstLineChars="20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多米尼加农机展出访交流</w:t>
      </w:r>
      <w:r>
        <w:rPr>
          <w:rFonts w:hint="eastAsia" w:ascii="Times New Roman" w:hAnsi="Times New Roman" w:eastAsia="仿宋_GB2312"/>
          <w:color w:val="auto"/>
          <w:sz w:val="32"/>
          <w:szCs w:val="32"/>
          <w:highlight w:val="none"/>
          <w:lang w:val="en-US" w:eastAsia="zh-CN"/>
        </w:rPr>
        <w:t>支出15.60万元，</w:t>
      </w:r>
      <w:r>
        <w:rPr>
          <w:rFonts w:hint="eastAsia" w:ascii="Times New Roman" w:hAnsi="Times New Roman" w:eastAsia="仿宋_GB2312"/>
          <w:color w:val="auto"/>
          <w:sz w:val="32"/>
          <w:szCs w:val="32"/>
          <w:highlight w:val="none"/>
        </w:rPr>
        <w:t>主要</w:t>
      </w:r>
      <w:r>
        <w:rPr>
          <w:rFonts w:hint="eastAsia" w:ascii="Times New Roman" w:hAnsi="Times New Roman" w:eastAsia="仿宋_GB2312"/>
          <w:color w:val="auto"/>
          <w:sz w:val="32"/>
          <w:szCs w:val="32"/>
          <w:highlight w:val="none"/>
          <w:lang w:val="en-US" w:eastAsia="zh-CN"/>
        </w:rPr>
        <w:t>活动内容：我省与多米尼加共和国于10月24日在多米尼加首都圣多明各（Santo Domingo）共同开展农业合作活动，主要包括湖南农机展、农机捐赠仪式及农业对接会等。</w:t>
      </w:r>
    </w:p>
    <w:p w14:paraId="4926F602">
      <w:pPr>
        <w:pStyle w:val="17"/>
        <w:keepNext w:val="0"/>
        <w:keepLines w:val="0"/>
        <w:pageBreakBefore w:val="0"/>
        <w:widowControl w:val="0"/>
        <w:numPr>
          <w:ilvl w:val="0"/>
          <w:numId w:val="4"/>
        </w:numPr>
        <w:kinsoku/>
        <w:wordWrap/>
        <w:overflowPunct/>
        <w:topLinePunct w:val="0"/>
        <w:bidi w:val="0"/>
        <w:snapToGrid/>
        <w:spacing w:line="600" w:lineRule="exact"/>
        <w:ind w:firstLine="640" w:firstLineChars="20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南美出访交流</w:t>
      </w:r>
      <w:r>
        <w:rPr>
          <w:rFonts w:hint="eastAsia" w:ascii="Times New Roman" w:hAnsi="Times New Roman" w:eastAsia="仿宋_GB2312"/>
          <w:color w:val="auto"/>
          <w:sz w:val="32"/>
          <w:szCs w:val="32"/>
          <w:highlight w:val="none"/>
          <w:lang w:val="en-US" w:eastAsia="zh-CN"/>
        </w:rPr>
        <w:t>支出3.50万元，</w:t>
      </w:r>
      <w:r>
        <w:rPr>
          <w:rFonts w:hint="eastAsia" w:ascii="Times New Roman" w:hAnsi="Times New Roman" w:eastAsia="仿宋_GB2312"/>
          <w:color w:val="auto"/>
          <w:sz w:val="32"/>
          <w:szCs w:val="32"/>
          <w:highlight w:val="none"/>
        </w:rPr>
        <w:t>主要</w:t>
      </w:r>
      <w:r>
        <w:rPr>
          <w:rFonts w:hint="eastAsia" w:ascii="Times New Roman" w:hAnsi="Times New Roman" w:eastAsia="仿宋_GB2312"/>
          <w:color w:val="auto"/>
          <w:sz w:val="32"/>
          <w:szCs w:val="32"/>
          <w:highlight w:val="none"/>
          <w:lang w:val="en-US" w:eastAsia="zh-CN"/>
        </w:rPr>
        <w:t>活动内容：</w:t>
      </w:r>
      <w:r>
        <w:rPr>
          <w:rFonts w:hint="default" w:ascii="Times New Roman" w:hAnsi="Times New Roman" w:eastAsia="仿宋_GB2312"/>
          <w:color w:val="auto"/>
          <w:sz w:val="32"/>
          <w:szCs w:val="32"/>
          <w:highlight w:val="none"/>
          <w:lang w:val="en-US" w:eastAsia="zh-CN"/>
        </w:rPr>
        <w:t>加强与南美地区侨团联谊交流，巩固推动湖南国际友成建设，扩大南美“朋友圈”，促进我省对外经贸交流合作和招商引资工作</w:t>
      </w:r>
      <w:r>
        <w:rPr>
          <w:rFonts w:hint="eastAsia" w:ascii="Times New Roman" w:hAnsi="Times New Roman" w:eastAsia="仿宋_GB2312"/>
          <w:color w:val="auto"/>
          <w:sz w:val="32"/>
          <w:szCs w:val="32"/>
          <w:highlight w:val="none"/>
          <w:lang w:val="en-US" w:eastAsia="zh-CN"/>
        </w:rPr>
        <w:t>；</w:t>
      </w:r>
    </w:p>
    <w:p w14:paraId="01C1FAFD">
      <w:pPr>
        <w:pStyle w:val="17"/>
        <w:keepNext w:val="0"/>
        <w:keepLines w:val="0"/>
        <w:pageBreakBefore w:val="0"/>
        <w:widowControl w:val="0"/>
        <w:numPr>
          <w:ilvl w:val="0"/>
          <w:numId w:val="4"/>
        </w:numPr>
        <w:kinsoku/>
        <w:wordWrap/>
        <w:overflowPunct/>
        <w:topLinePunct w:val="0"/>
        <w:bidi w:val="0"/>
        <w:snapToGrid/>
        <w:spacing w:line="600" w:lineRule="exact"/>
        <w:ind w:firstLine="640" w:firstLineChars="20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参加意大利国际果蔬展</w:t>
      </w:r>
      <w:r>
        <w:rPr>
          <w:rFonts w:hint="eastAsia" w:ascii="Times New Roman" w:hAnsi="Times New Roman" w:eastAsia="仿宋_GB2312"/>
          <w:color w:val="auto"/>
          <w:sz w:val="32"/>
          <w:szCs w:val="32"/>
          <w:highlight w:val="none"/>
          <w:lang w:val="en-US" w:eastAsia="zh-CN"/>
        </w:rPr>
        <w:t>1.13万元，主要用于因签证原因取消参加2023年意大利国际果蔬展，产生已预订出国机票、保险、住宿等费用。</w:t>
      </w:r>
    </w:p>
    <w:p w14:paraId="63131270">
      <w:pPr>
        <w:pStyle w:val="17"/>
        <w:ind w:firstLine="800" w:firstLineChars="250"/>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2、公务接待费支出决算为</w:t>
      </w:r>
      <w:r>
        <w:rPr>
          <w:rFonts w:hint="eastAsia" w:ascii="Times New Roman" w:hAnsi="Times New Roman" w:eastAsia="仿宋_GB2312"/>
          <w:color w:val="auto"/>
          <w:sz w:val="32"/>
          <w:szCs w:val="32"/>
          <w:highlight w:val="none"/>
          <w:lang w:val="en-US" w:eastAsia="zh-CN"/>
        </w:rPr>
        <w:t>32.59</w:t>
      </w:r>
      <w:r>
        <w:rPr>
          <w:rFonts w:hint="eastAsia" w:ascii="Times New Roman" w:hAnsi="Times New Roman" w:eastAsia="仿宋_GB2312"/>
          <w:color w:val="auto"/>
          <w:sz w:val="32"/>
          <w:szCs w:val="32"/>
          <w:highlight w:val="none"/>
        </w:rPr>
        <w:t>万元，全年共接待来访团组</w:t>
      </w:r>
      <w:r>
        <w:rPr>
          <w:rFonts w:hint="eastAsia" w:ascii="Times New Roman" w:hAnsi="Times New Roman" w:eastAsia="仿宋_GB2312"/>
          <w:color w:val="auto"/>
          <w:sz w:val="32"/>
          <w:szCs w:val="32"/>
          <w:highlight w:val="none"/>
          <w:lang w:val="en-US" w:eastAsia="zh-CN"/>
        </w:rPr>
        <w:t>394</w:t>
      </w:r>
      <w:r>
        <w:rPr>
          <w:rFonts w:hint="eastAsia" w:ascii="Times New Roman" w:hAnsi="Times New Roman" w:eastAsia="仿宋_GB2312"/>
          <w:color w:val="auto"/>
          <w:sz w:val="32"/>
          <w:szCs w:val="32"/>
          <w:highlight w:val="none"/>
        </w:rPr>
        <w:t>个、来宾</w:t>
      </w:r>
      <w:r>
        <w:rPr>
          <w:rFonts w:hint="eastAsia" w:ascii="Times New Roman" w:hAnsi="Times New Roman" w:eastAsia="仿宋_GB2312"/>
          <w:color w:val="auto"/>
          <w:sz w:val="32"/>
          <w:szCs w:val="32"/>
          <w:highlight w:val="none"/>
          <w:lang w:val="en-US" w:eastAsia="zh-CN"/>
        </w:rPr>
        <w:t>1919</w:t>
      </w:r>
      <w:r>
        <w:rPr>
          <w:rFonts w:hint="eastAsia" w:ascii="Times New Roman" w:hAnsi="Times New Roman" w:eastAsia="仿宋_GB2312"/>
          <w:color w:val="auto"/>
          <w:sz w:val="32"/>
          <w:szCs w:val="32"/>
          <w:highlight w:val="none"/>
        </w:rPr>
        <w:t>人次</w:t>
      </w:r>
      <w:r>
        <w:rPr>
          <w:rFonts w:hint="eastAsia" w:ascii="Times New Roman" w:hAnsi="Times New Roman" w:eastAsia="仿宋_GB2312"/>
          <w:color w:val="auto"/>
          <w:sz w:val="32"/>
          <w:szCs w:val="32"/>
          <w:highlight w:val="none"/>
          <w:lang w:eastAsia="zh-CN"/>
        </w:rPr>
        <w:t>，主要是</w:t>
      </w:r>
      <w:r>
        <w:rPr>
          <w:rFonts w:hint="eastAsia" w:ascii="Times New Roman" w:hAnsi="Times New Roman" w:eastAsia="仿宋_GB2312"/>
          <w:color w:val="auto"/>
          <w:sz w:val="32"/>
          <w:szCs w:val="32"/>
          <w:highlight w:val="none"/>
        </w:rPr>
        <w:t>中央相关部委、市县相关部门调研、考察</w:t>
      </w:r>
      <w:r>
        <w:rPr>
          <w:rFonts w:hint="eastAsia" w:ascii="Times New Roman" w:hAnsi="Times New Roman" w:eastAsia="仿宋_GB2312"/>
          <w:color w:val="auto"/>
          <w:sz w:val="32"/>
          <w:szCs w:val="32"/>
          <w:highlight w:val="none"/>
          <w:lang w:eastAsia="zh-CN"/>
        </w:rPr>
        <w:t>、工作汇报</w:t>
      </w:r>
      <w:r>
        <w:rPr>
          <w:rFonts w:hint="eastAsia" w:ascii="Times New Roman" w:hAnsi="Times New Roman" w:eastAsia="仿宋_GB2312"/>
          <w:color w:val="auto"/>
          <w:sz w:val="32"/>
          <w:szCs w:val="32"/>
          <w:highlight w:val="none"/>
        </w:rPr>
        <w:t>等发生的接待支出。</w:t>
      </w:r>
    </w:p>
    <w:p w14:paraId="37F17123">
      <w:pPr>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楷体" w:hAnsi="楷体" w:eastAsia="楷体" w:cs="楷体"/>
          <w:b/>
          <w:bCs/>
          <w:i/>
          <w:color w:val="auto"/>
          <w:kern w:val="0"/>
          <w:sz w:val="32"/>
          <w:szCs w:val="32"/>
          <w:highlight w:val="none"/>
          <w:lang w:val="en-US" w:eastAsia="zh-CN" w:bidi="ar-SA"/>
        </w:rPr>
      </w:pPr>
      <w:r>
        <w:rPr>
          <w:rFonts w:hint="eastAsia" w:ascii="Times New Roman" w:hAnsi="Times New Roman" w:eastAsia="仿宋_GB2312"/>
          <w:color w:val="auto"/>
          <w:sz w:val="32"/>
          <w:szCs w:val="32"/>
          <w:highlight w:val="none"/>
        </w:rPr>
        <w:t>3、公务用车购置费及运行维护费支出决算为</w:t>
      </w:r>
      <w:r>
        <w:rPr>
          <w:rFonts w:hint="eastAsia" w:ascii="Times New Roman" w:hAnsi="Times New Roman" w:eastAsia="仿宋_GB2312"/>
          <w:color w:val="auto"/>
          <w:sz w:val="32"/>
          <w:szCs w:val="32"/>
          <w:highlight w:val="none"/>
          <w:lang w:val="en-US" w:eastAsia="zh-CN"/>
        </w:rPr>
        <w:t>239.01</w:t>
      </w:r>
      <w:r>
        <w:rPr>
          <w:rFonts w:hint="eastAsia" w:ascii="Times New Roman" w:hAnsi="Times New Roman" w:eastAsia="仿宋_GB2312"/>
          <w:color w:val="auto"/>
          <w:sz w:val="32"/>
          <w:szCs w:val="32"/>
          <w:highlight w:val="none"/>
        </w:rPr>
        <w:t>万元，其中：公务用车购置费</w:t>
      </w:r>
      <w:r>
        <w:rPr>
          <w:rFonts w:hint="eastAsia" w:ascii="Times New Roman" w:hAnsi="Times New Roman" w:eastAsia="仿宋_GB2312"/>
          <w:color w:val="auto"/>
          <w:sz w:val="32"/>
          <w:szCs w:val="32"/>
          <w:highlight w:val="none"/>
          <w:lang w:val="en-US" w:eastAsia="zh-CN"/>
        </w:rPr>
        <w:t>49.51</w:t>
      </w:r>
      <w:r>
        <w:rPr>
          <w:rFonts w:hint="eastAsia" w:ascii="Times New Roman" w:hAnsi="Times New Roman" w:eastAsia="仿宋_GB2312"/>
          <w:color w:val="auto"/>
          <w:sz w:val="32"/>
          <w:szCs w:val="32"/>
          <w:highlight w:val="none"/>
        </w:rPr>
        <w:t>万元，</w:t>
      </w:r>
      <w:r>
        <w:rPr>
          <w:rFonts w:hint="eastAsia" w:ascii="Times New Roman" w:hAnsi="Times New Roman" w:eastAsia="仿宋_GB2312"/>
          <w:color w:val="auto"/>
          <w:sz w:val="32"/>
          <w:szCs w:val="32"/>
          <w:highlight w:val="none"/>
          <w:lang w:val="en-US" w:eastAsia="zh-CN"/>
        </w:rPr>
        <w:t>湖南省农药检定所、湖南省畜牧水产事务中心</w:t>
      </w:r>
      <w:r>
        <w:rPr>
          <w:rFonts w:hint="eastAsia" w:ascii="Times New Roman" w:hAnsi="Times New Roman" w:eastAsia="仿宋_GB2312"/>
          <w:color w:val="auto"/>
          <w:sz w:val="32"/>
          <w:szCs w:val="32"/>
          <w:highlight w:val="none"/>
        </w:rPr>
        <w:t>更新公务用车</w:t>
      </w:r>
      <w:r>
        <w:rPr>
          <w:rFonts w:hint="eastAsia" w:ascii="Times New Roman" w:hAnsi="Times New Roman" w:eastAsia="仿宋_GB2312"/>
          <w:color w:val="auto"/>
          <w:sz w:val="32"/>
          <w:szCs w:val="32"/>
          <w:highlight w:val="none"/>
          <w:lang w:val="en-US" w:eastAsia="zh-CN"/>
        </w:rPr>
        <w:t>2</w:t>
      </w:r>
      <w:r>
        <w:rPr>
          <w:rFonts w:hint="eastAsia" w:ascii="Times New Roman" w:hAnsi="Times New Roman" w:eastAsia="仿宋_GB2312"/>
          <w:color w:val="auto"/>
          <w:sz w:val="32"/>
          <w:szCs w:val="32"/>
          <w:highlight w:val="none"/>
        </w:rPr>
        <w:t>辆。公务用车运行维护费</w:t>
      </w:r>
      <w:r>
        <w:rPr>
          <w:rFonts w:hint="eastAsia" w:ascii="Times New Roman" w:hAnsi="Times New Roman" w:eastAsia="仿宋_GB2312"/>
          <w:color w:val="auto"/>
          <w:sz w:val="32"/>
          <w:szCs w:val="32"/>
          <w:highlight w:val="none"/>
          <w:lang w:val="en-US" w:eastAsia="zh-CN"/>
        </w:rPr>
        <w:t>189.50</w:t>
      </w:r>
      <w:r>
        <w:rPr>
          <w:rFonts w:hint="eastAsia" w:ascii="Times New Roman" w:hAnsi="Times New Roman" w:eastAsia="仿宋_GB2312"/>
          <w:color w:val="auto"/>
          <w:sz w:val="32"/>
          <w:szCs w:val="32"/>
          <w:highlight w:val="none"/>
        </w:rPr>
        <w:t>万元，主要是</w:t>
      </w:r>
      <w:r>
        <w:rPr>
          <w:rFonts w:hint="eastAsia" w:ascii="Times New Roman" w:hAnsi="Times New Roman" w:eastAsia="仿宋_GB2312"/>
          <w:color w:val="auto"/>
          <w:sz w:val="32"/>
          <w:szCs w:val="32"/>
          <w:highlight w:val="none"/>
          <w:lang w:eastAsia="zh-CN"/>
        </w:rPr>
        <w:t>公务车保险、维修、加油、车辆通行费等</w:t>
      </w:r>
      <w:r>
        <w:rPr>
          <w:rFonts w:hint="eastAsia" w:ascii="Times New Roman" w:hAnsi="Times New Roman" w:eastAsia="仿宋_GB2312"/>
          <w:color w:val="auto"/>
          <w:sz w:val="32"/>
          <w:szCs w:val="32"/>
          <w:highlight w:val="none"/>
        </w:rPr>
        <w:t>支出，</w:t>
      </w:r>
      <w:r>
        <w:rPr>
          <w:rFonts w:hint="eastAsia" w:ascii="Times New Roman" w:hAnsi="Times New Roman" w:eastAsia="仿宋_GB2312"/>
          <w:color w:val="auto"/>
          <w:sz w:val="32"/>
          <w:szCs w:val="32"/>
          <w:highlight w:val="none"/>
          <w:lang w:eastAsia="zh-CN"/>
        </w:rPr>
        <w:t>截至2023年</w:t>
      </w:r>
      <w:r>
        <w:rPr>
          <w:rFonts w:hint="eastAsia" w:ascii="Times New Roman" w:hAnsi="Times New Roman" w:eastAsia="仿宋_GB2312"/>
          <w:color w:val="auto"/>
          <w:sz w:val="32"/>
          <w:szCs w:val="32"/>
          <w:highlight w:val="none"/>
        </w:rPr>
        <w:t>12月31日，我单位开支财政拨款的公务用车保有量为</w:t>
      </w:r>
      <w:r>
        <w:rPr>
          <w:rFonts w:hint="eastAsia" w:ascii="Times New Roman" w:hAnsi="Times New Roman" w:eastAsia="仿宋_GB2312"/>
          <w:color w:val="auto"/>
          <w:sz w:val="32"/>
          <w:szCs w:val="32"/>
          <w:highlight w:val="none"/>
          <w:lang w:val="en-US" w:eastAsia="zh-CN"/>
        </w:rPr>
        <w:t>48</w:t>
      </w:r>
      <w:r>
        <w:rPr>
          <w:rFonts w:hint="eastAsia" w:ascii="Times New Roman" w:hAnsi="Times New Roman" w:eastAsia="仿宋_GB2312"/>
          <w:color w:val="auto"/>
          <w:sz w:val="32"/>
          <w:szCs w:val="32"/>
          <w:highlight w:val="none"/>
        </w:rPr>
        <w:t>辆。</w:t>
      </w:r>
    </w:p>
    <w:p w14:paraId="484642A6">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八、政府性基金预算收入支出决算情况</w:t>
      </w:r>
    </w:p>
    <w:p w14:paraId="277612A7">
      <w:pPr>
        <w:pStyle w:val="17"/>
        <w:keepNext w:val="0"/>
        <w:keepLines w:val="0"/>
        <w:pageBreakBefore w:val="0"/>
        <w:widowControl w:val="0"/>
        <w:kinsoku/>
        <w:wordWrap/>
        <w:overflowPunct/>
        <w:topLinePunct w:val="0"/>
        <w:bidi w:val="0"/>
        <w:snapToGrid/>
        <w:spacing w:line="600" w:lineRule="exact"/>
        <w:textAlignment w:val="auto"/>
        <w:rPr>
          <w:rFonts w:hint="eastAsia" w:ascii="楷体" w:hAnsi="楷体" w:eastAsia="楷体" w:cs="楷体"/>
          <w:b w:val="0"/>
          <w:bCs w:val="0"/>
          <w:i w:val="0"/>
          <w:iCs w:val="0"/>
          <w:color w:val="auto"/>
          <w:kern w:val="0"/>
          <w:sz w:val="32"/>
          <w:szCs w:val="32"/>
          <w:highlight w:val="none"/>
          <w:lang w:val="en-US" w:eastAsia="zh-CN" w:bidi="ar-SA"/>
        </w:rPr>
      </w:pPr>
      <w:r>
        <w:rPr>
          <w:rFonts w:hint="eastAsia" w:ascii="Times New Roman" w:hAnsi="Times New Roman" w:eastAsia="仿宋_GB2312"/>
          <w:color w:val="auto"/>
          <w:sz w:val="32"/>
          <w:szCs w:val="32"/>
          <w:highlight w:val="none"/>
        </w:rPr>
        <w:t xml:space="preserve">   </w:t>
      </w:r>
      <w:r>
        <w:rPr>
          <w:rFonts w:hint="eastAsia" w:ascii="Times New Roman" w:hAnsi="Times New Roman" w:eastAsia="仿宋_GB2312"/>
          <w:b w:val="0"/>
          <w:bCs w:val="0"/>
          <w:i w:val="0"/>
          <w:iCs w:val="0"/>
          <w:color w:val="auto"/>
          <w:sz w:val="32"/>
          <w:szCs w:val="32"/>
          <w:highlight w:val="none"/>
        </w:rPr>
        <w:t xml:space="preserve">  202</w:t>
      </w:r>
      <w:r>
        <w:rPr>
          <w:rFonts w:hint="eastAsia" w:ascii="Times New Roman" w:hAnsi="Times New Roman" w:eastAsia="仿宋_GB2312"/>
          <w:b w:val="0"/>
          <w:bCs w:val="0"/>
          <w:i w:val="0"/>
          <w:iCs w:val="0"/>
          <w:color w:val="auto"/>
          <w:sz w:val="32"/>
          <w:szCs w:val="32"/>
          <w:highlight w:val="none"/>
          <w:lang w:val="en-US" w:eastAsia="zh-CN"/>
        </w:rPr>
        <w:t>3</w:t>
      </w:r>
      <w:r>
        <w:rPr>
          <w:rFonts w:hint="eastAsia" w:ascii="Times New Roman" w:hAnsi="Times New Roman" w:eastAsia="仿宋_GB2312"/>
          <w:b w:val="0"/>
          <w:bCs w:val="0"/>
          <w:i w:val="0"/>
          <w:iCs w:val="0"/>
          <w:color w:val="auto"/>
          <w:sz w:val="32"/>
          <w:szCs w:val="32"/>
          <w:highlight w:val="none"/>
        </w:rPr>
        <w:t>年度</w:t>
      </w:r>
      <w:r>
        <w:rPr>
          <w:rFonts w:hint="eastAsia" w:ascii="Times New Roman" w:hAnsi="Times New Roman" w:eastAsia="仿宋_GB2312"/>
          <w:b w:val="0"/>
          <w:bCs w:val="0"/>
          <w:i w:val="0"/>
          <w:iCs w:val="0"/>
          <w:color w:val="auto"/>
          <w:sz w:val="32"/>
          <w:szCs w:val="32"/>
          <w:highlight w:val="none"/>
          <w:lang w:val="en-US" w:eastAsia="zh-CN"/>
        </w:rPr>
        <w:t>本部门无</w:t>
      </w:r>
      <w:r>
        <w:rPr>
          <w:rFonts w:hint="eastAsia" w:ascii="Times New Roman" w:hAnsi="Times New Roman" w:eastAsia="仿宋_GB2312"/>
          <w:b w:val="0"/>
          <w:bCs w:val="0"/>
          <w:i w:val="0"/>
          <w:iCs w:val="0"/>
          <w:color w:val="auto"/>
          <w:sz w:val="32"/>
          <w:szCs w:val="32"/>
          <w:highlight w:val="none"/>
        </w:rPr>
        <w:t>政府性基金</w:t>
      </w:r>
      <w:r>
        <w:rPr>
          <w:rFonts w:hint="eastAsia" w:ascii="Times New Roman" w:hAnsi="Times New Roman" w:eastAsia="仿宋_GB2312"/>
          <w:b w:val="0"/>
          <w:bCs w:val="0"/>
          <w:i w:val="0"/>
          <w:iCs w:val="0"/>
          <w:color w:val="auto"/>
          <w:sz w:val="32"/>
          <w:szCs w:val="32"/>
          <w:highlight w:val="none"/>
          <w:lang w:val="en-US" w:eastAsia="zh-CN"/>
        </w:rPr>
        <w:t>收支</w:t>
      </w:r>
    </w:p>
    <w:p w14:paraId="6CB9F53A">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九、关于机关运行经费支出说明</w:t>
      </w:r>
    </w:p>
    <w:p w14:paraId="3B0F2EF0">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default" w:ascii="Times New Roman" w:hAnsi="Times New Roman" w:eastAsia="仿宋_GB2312"/>
          <w:color w:val="auto"/>
          <w:sz w:val="32"/>
          <w:szCs w:val="32"/>
          <w:highlight w:val="none"/>
          <w:lang w:val="en-US"/>
        </w:rPr>
      </w:pPr>
      <w:r>
        <w:rPr>
          <w:rFonts w:hint="eastAsia" w:ascii="Times New Roman" w:hAnsi="Times New Roman" w:eastAsia="仿宋_GB2312"/>
          <w:color w:val="auto"/>
          <w:sz w:val="32"/>
          <w:szCs w:val="32"/>
          <w:highlight w:val="none"/>
        </w:rPr>
        <w:t>本部门202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年度机关运行经费支出</w:t>
      </w:r>
      <w:r>
        <w:rPr>
          <w:rFonts w:hint="eastAsia" w:ascii="Times New Roman" w:hAnsi="Times New Roman" w:eastAsia="仿宋_GB2312"/>
          <w:color w:val="auto"/>
          <w:sz w:val="32"/>
          <w:szCs w:val="32"/>
          <w:highlight w:val="none"/>
          <w:lang w:val="en-US" w:eastAsia="zh-CN"/>
        </w:rPr>
        <w:t>3172.90</w:t>
      </w:r>
      <w:r>
        <w:rPr>
          <w:rFonts w:hint="eastAsia" w:ascii="Times New Roman" w:hAnsi="Times New Roman" w:eastAsia="仿宋_GB2312"/>
          <w:color w:val="auto"/>
          <w:sz w:val="32"/>
          <w:szCs w:val="32"/>
          <w:highlight w:val="none"/>
        </w:rPr>
        <w:t>万元</w:t>
      </w:r>
      <w:r>
        <w:rPr>
          <w:rFonts w:hint="eastAsia" w:ascii="楷体" w:hAnsi="楷体" w:eastAsia="楷体" w:cs="楷体"/>
          <w:b/>
          <w:bCs/>
          <w:i/>
          <w:color w:val="auto"/>
          <w:kern w:val="0"/>
          <w:sz w:val="32"/>
          <w:szCs w:val="32"/>
          <w:highlight w:val="none"/>
          <w:lang w:val="en-US" w:eastAsia="zh-CN" w:bidi="ar-SA"/>
        </w:rPr>
        <w:t>，</w:t>
      </w:r>
      <w:r>
        <w:rPr>
          <w:rFonts w:hint="eastAsia" w:ascii="Times New Roman" w:hAnsi="Times New Roman" w:eastAsia="仿宋_GB2312"/>
          <w:color w:val="auto"/>
          <w:sz w:val="32"/>
          <w:szCs w:val="32"/>
          <w:highlight w:val="none"/>
        </w:rPr>
        <w:t>比年初预算数减少</w:t>
      </w:r>
      <w:r>
        <w:rPr>
          <w:rFonts w:hint="eastAsia" w:ascii="Times New Roman" w:hAnsi="Times New Roman" w:eastAsia="仿宋_GB2312"/>
          <w:color w:val="auto"/>
          <w:sz w:val="32"/>
          <w:szCs w:val="32"/>
          <w:highlight w:val="none"/>
          <w:lang w:val="en-US" w:eastAsia="zh-CN"/>
        </w:rPr>
        <w:t>383.67</w:t>
      </w:r>
      <w:r>
        <w:rPr>
          <w:rFonts w:hint="eastAsia" w:ascii="Times New Roman" w:hAnsi="Times New Roman" w:eastAsia="仿宋_GB2312"/>
          <w:color w:val="auto"/>
          <w:sz w:val="32"/>
          <w:szCs w:val="32"/>
          <w:highlight w:val="none"/>
        </w:rPr>
        <w:t>万元，降低</w:t>
      </w:r>
      <w:r>
        <w:rPr>
          <w:rFonts w:hint="eastAsia" w:ascii="Times New Roman" w:hAnsi="Times New Roman" w:eastAsia="仿宋_GB2312"/>
          <w:color w:val="auto"/>
          <w:sz w:val="32"/>
          <w:szCs w:val="32"/>
          <w:highlight w:val="none"/>
          <w:lang w:val="en-US" w:eastAsia="zh-CN"/>
        </w:rPr>
        <w:t>10.79</w:t>
      </w:r>
      <w:r>
        <w:rPr>
          <w:rFonts w:hint="eastAsia" w:ascii="Times New Roman" w:hAnsi="Times New Roman" w:eastAsia="仿宋_GB2312"/>
          <w:color w:val="auto"/>
          <w:sz w:val="32"/>
          <w:szCs w:val="32"/>
          <w:highlight w:val="none"/>
        </w:rPr>
        <w:t>%。主要原因是：</w:t>
      </w:r>
      <w:r>
        <w:rPr>
          <w:rFonts w:hint="eastAsia" w:ascii="Times New Roman" w:hAnsi="Times New Roman" w:eastAsia="仿宋_GB2312"/>
          <w:color w:val="auto"/>
          <w:sz w:val="32"/>
          <w:szCs w:val="32"/>
          <w:highlight w:val="none"/>
          <w:lang w:val="en-US" w:eastAsia="zh-CN"/>
        </w:rPr>
        <w:t>我厅认真贯彻中央“八项规定”和厉行节约的要求，严控各项经费开支。</w:t>
      </w:r>
    </w:p>
    <w:p w14:paraId="56EC4A63">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十、一般性支出情况说明</w:t>
      </w:r>
    </w:p>
    <w:p w14:paraId="7430F624">
      <w:pPr>
        <w:pStyle w:val="17"/>
        <w:ind w:firstLine="640"/>
        <w:rPr>
          <w:rFonts w:hint="eastAsia" w:ascii="Times New Roman" w:hAnsi="仿宋" w:eastAsia="仿宋" w:cs="Times New Roman"/>
          <w:color w:val="auto"/>
          <w:sz w:val="30"/>
          <w:szCs w:val="30"/>
          <w:highlight w:val="none"/>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年本部门开支会议费</w:t>
      </w:r>
      <w:r>
        <w:rPr>
          <w:rFonts w:hint="eastAsia" w:ascii="Times New Roman" w:hAnsi="Times New Roman" w:eastAsia="仿宋_GB2312"/>
          <w:color w:val="auto"/>
          <w:sz w:val="32"/>
          <w:szCs w:val="32"/>
          <w:highlight w:val="none"/>
          <w:lang w:val="en-US" w:eastAsia="zh-CN"/>
        </w:rPr>
        <w:t>339.41</w:t>
      </w:r>
      <w:r>
        <w:rPr>
          <w:rFonts w:hint="eastAsia" w:ascii="Times New Roman" w:hAnsi="Times New Roman" w:eastAsia="仿宋_GB2312"/>
          <w:color w:val="auto"/>
          <w:sz w:val="32"/>
          <w:szCs w:val="32"/>
          <w:highlight w:val="none"/>
        </w:rPr>
        <w:t>万元，</w:t>
      </w:r>
      <w:r>
        <w:rPr>
          <w:rFonts w:hint="eastAsia" w:ascii="Times New Roman" w:hAnsi="Times New Roman" w:eastAsia="仿宋_GB2312"/>
          <w:color w:val="auto"/>
          <w:sz w:val="32"/>
          <w:szCs w:val="32"/>
          <w:highlight w:val="none"/>
          <w:lang w:val="en-US" w:eastAsia="zh-CN"/>
        </w:rPr>
        <w:t>用于召</w:t>
      </w:r>
      <w:r>
        <w:rPr>
          <w:rFonts w:ascii="Times New Roman" w:hAnsi="仿宋" w:eastAsia="仿宋" w:cs="Times New Roman"/>
          <w:color w:val="auto"/>
          <w:sz w:val="30"/>
          <w:szCs w:val="30"/>
          <w:highlight w:val="none"/>
        </w:rPr>
        <w:t>开</w:t>
      </w:r>
      <w:r>
        <w:rPr>
          <w:rFonts w:hint="eastAsia" w:ascii="Times New Roman" w:hAnsi="仿宋" w:eastAsia="仿宋" w:cs="Times New Roman"/>
          <w:color w:val="auto"/>
          <w:sz w:val="30"/>
          <w:szCs w:val="30"/>
          <w:highlight w:val="none"/>
        </w:rPr>
        <w:t>农业农村工作相关</w:t>
      </w:r>
      <w:r>
        <w:rPr>
          <w:rFonts w:ascii="Times New Roman" w:hAnsi="仿宋" w:eastAsia="仿宋" w:cs="Times New Roman"/>
          <w:color w:val="auto"/>
          <w:sz w:val="30"/>
          <w:szCs w:val="30"/>
          <w:highlight w:val="none"/>
        </w:rPr>
        <w:t>会议，人数</w:t>
      </w:r>
      <w:r>
        <w:rPr>
          <w:rFonts w:hint="eastAsia" w:ascii="Times New Roman" w:hAnsi="仿宋" w:eastAsia="仿宋" w:cs="Times New Roman"/>
          <w:color w:val="auto"/>
          <w:sz w:val="30"/>
          <w:szCs w:val="30"/>
          <w:highlight w:val="none"/>
          <w:lang w:val="en-US" w:eastAsia="zh-CN"/>
        </w:rPr>
        <w:t>5877</w:t>
      </w:r>
      <w:r>
        <w:rPr>
          <w:rFonts w:ascii="Times New Roman" w:hAnsi="仿宋" w:eastAsia="仿宋" w:cs="Times New Roman"/>
          <w:color w:val="auto"/>
          <w:sz w:val="30"/>
          <w:szCs w:val="30"/>
          <w:highlight w:val="none"/>
        </w:rPr>
        <w:t>人，</w:t>
      </w:r>
      <w:r>
        <w:rPr>
          <w:rFonts w:hint="eastAsia" w:ascii="Times New Roman" w:hAnsi="仿宋" w:eastAsia="仿宋" w:cs="Times New Roman"/>
          <w:color w:val="auto"/>
          <w:sz w:val="30"/>
          <w:szCs w:val="30"/>
          <w:highlight w:val="none"/>
        </w:rPr>
        <w:t>主要会议</w:t>
      </w:r>
      <w:r>
        <w:rPr>
          <w:rFonts w:ascii="Times New Roman" w:hAnsi="仿宋" w:eastAsia="仿宋" w:cs="Times New Roman"/>
          <w:color w:val="auto"/>
          <w:sz w:val="30"/>
          <w:szCs w:val="30"/>
          <w:highlight w:val="none"/>
        </w:rPr>
        <w:t>内容</w:t>
      </w:r>
      <w:r>
        <w:rPr>
          <w:rFonts w:hint="eastAsia" w:ascii="Times New Roman" w:hAnsi="仿宋" w:eastAsia="仿宋" w:cs="Times New Roman"/>
          <w:color w:val="auto"/>
          <w:sz w:val="30"/>
          <w:szCs w:val="30"/>
          <w:highlight w:val="none"/>
        </w:rPr>
        <w:t>如下：</w:t>
      </w:r>
    </w:p>
    <w:p w14:paraId="61DD79D8">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1、全省农办主任农业农村局长会议，8.73万元，160人；</w:t>
      </w:r>
    </w:p>
    <w:p w14:paraId="6B780353">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全省农业社会化服务工作会议，8.18万元，156人；</w:t>
      </w:r>
    </w:p>
    <w:p w14:paraId="26A4039F">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全省动物疫病暨畜间人兽共患病防控和养殖生态环保工作会议，6.38万元，112人；</w:t>
      </w:r>
    </w:p>
    <w:p w14:paraId="0B8B78C0">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全省农村人居环境整治提升暨和美乡村建设湘中片区现场推进会，5.50万元，100人；</w:t>
      </w:r>
    </w:p>
    <w:p w14:paraId="1E8D147D">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全省粮油等主要作物大面积单产提升经验交流暨秋冬种工作部署会，5.39万元，75人；</w:t>
      </w:r>
    </w:p>
    <w:p w14:paraId="62172A74">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全省高标准农田建设暨备春耕现场会，5.03万元，81人；</w:t>
      </w:r>
    </w:p>
    <w:p w14:paraId="71753168">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湖南省农村人居环境整治提升暨和美乡村建设湘北片区现场推进会，4.80万元，110人；</w:t>
      </w:r>
    </w:p>
    <w:p w14:paraId="18D653C8">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中南区非洲猪瘟等重大动物疫病分区防控工作座谈会，4.37万元，58人；</w:t>
      </w:r>
    </w:p>
    <w:p w14:paraId="24E1338B">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省委省政府县域经济发展座谈会，4.21万元，254人；</w:t>
      </w:r>
    </w:p>
    <w:p w14:paraId="04A95C0E">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全省现代设施农业高质量发展暨高标准农田建设工作推进会议，4.05万元，106人；</w:t>
      </w:r>
    </w:p>
    <w:p w14:paraId="120AC103">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省委农村工作会议，3.95万元，101人；</w:t>
      </w:r>
    </w:p>
    <w:p w14:paraId="7EABCBE3">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全省农村人居环境整治提升暨和美乡村建设湘西片区现场推进会（凤凰），3.92万元，86人；</w:t>
      </w:r>
    </w:p>
    <w:p w14:paraId="0557E156">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全省畜牧兽医工作会议，3.35万元，47人；</w:t>
      </w:r>
    </w:p>
    <w:p w14:paraId="59F87AC1">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2023年半年农产品质量安全监管及豇豆治理工作推进会议，2.96万元，70人；</w:t>
      </w:r>
    </w:p>
    <w:p w14:paraId="15D309EF">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中央农村工作会议湖南分会场，2.96万元，35人；</w:t>
      </w:r>
    </w:p>
    <w:p w14:paraId="6D85F033">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2023年全省农业农村法治建设座谈会，2.84万元，53人；</w:t>
      </w:r>
    </w:p>
    <w:p w14:paraId="222DEBFE">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现代设施农业高质量发展暨高标准农田建设工作推进会议，2.46万元，106人；</w:t>
      </w:r>
    </w:p>
    <w:p w14:paraId="567EFB5D">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全省农业农村政策与改革工作暨第二轮土地承包到期后再延长30年试点工作推进会，2.16万元，70人；</w:t>
      </w:r>
    </w:p>
    <w:p w14:paraId="4A7C1CA3">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“三农”工作座谈会，1.98万元，83人；</w:t>
      </w:r>
    </w:p>
    <w:p w14:paraId="5762BDCC">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亚洲开发银行贷款农业综合开发长江绿色生态廊道项目2023年工作座谈会，1.93万元，49人；</w:t>
      </w:r>
    </w:p>
    <w:p w14:paraId="0DF13391">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胶体金快速检测技术试点工作会议，1.75万元，55人；</w:t>
      </w:r>
    </w:p>
    <w:p w14:paraId="6380B84E">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2023年主要农作物品种审定初审会，1.72万元，45人；</w:t>
      </w:r>
    </w:p>
    <w:p w14:paraId="6CA1D518">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湖南省农村人居环境整治提升暨和美乡村建设湘北片区现场推进会，1.32万元，110人；</w:t>
      </w:r>
    </w:p>
    <w:p w14:paraId="0C4782AF">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2023年度全省农产品质量安全监管工作会议，1.23万元，52人；</w:t>
      </w:r>
    </w:p>
    <w:p w14:paraId="1AAC9CD0">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全省高标准农田建设暨备春耕现场会，1.20万元，81人；</w:t>
      </w:r>
    </w:p>
    <w:p w14:paraId="438E87DE">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全省农业社会化服务工作会议，1.04万元，156人；</w:t>
      </w:r>
    </w:p>
    <w:p w14:paraId="23D45277">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2023年全省乡村产业发展工作会议，0.93万元，26人；</w:t>
      </w:r>
    </w:p>
    <w:p w14:paraId="05FFE291">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全省渔业统计培训会议，7.15万元，162人</w:t>
      </w:r>
    </w:p>
    <w:p w14:paraId="5941FFF7">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2023年全省绿色食品工作会议</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4.4万元，65人；</w:t>
      </w:r>
    </w:p>
    <w:p w14:paraId="6A78E8D9">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全省渔业统计培训会议，7.15万元，162人；</w:t>
      </w:r>
    </w:p>
    <w:p w14:paraId="5B2E1A97">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特色土著鱼类驯养繁育与开发利用现场评议会，3.51万元，52人；</w:t>
      </w:r>
    </w:p>
    <w:p w14:paraId="708B730C">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工厂化养鱼技术培训会议，1.11万元，35人；</w:t>
      </w:r>
    </w:p>
    <w:p w14:paraId="277426C0">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2022年度全省渔业统计年报数据会审研讨会，1.24万元，54人；</w:t>
      </w:r>
    </w:p>
    <w:p w14:paraId="59CFFFDB">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种业技术能力提升培训会议，2.99万元，105人；</w:t>
      </w:r>
    </w:p>
    <w:p w14:paraId="269E4D2C">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全省主要农作物种子生产计划暨春季种子供需形势分析会，1.10万元，69人；</w:t>
      </w:r>
    </w:p>
    <w:p w14:paraId="632CE903">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全省种植业工作会议，2万元，98人；</w:t>
      </w:r>
    </w:p>
    <w:p w14:paraId="25D7A58D">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全省棉花机械直播现场会，4.98万元，126人；</w:t>
      </w:r>
    </w:p>
    <w:p w14:paraId="58F800AE">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全省棉花机械直播技术培训会，3.65万元，83人；</w:t>
      </w:r>
    </w:p>
    <w:p w14:paraId="6EF3A2CF">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全省棉花生产工作部署会，4.05万元，140人；</w:t>
      </w:r>
    </w:p>
    <w:p w14:paraId="591690AD">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严格管控区棉花替代种植推进会，3.06万元，113人；</w:t>
      </w:r>
    </w:p>
    <w:p w14:paraId="5C6F8D0E">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2023年上半年全省种植业经济暨棉花产销形势分析会，2.04万元，57人；</w:t>
      </w:r>
    </w:p>
    <w:p w14:paraId="059E2209">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机采棉高密栽培现场测产观摩会，1.31万元，70人；</w:t>
      </w:r>
    </w:p>
    <w:p w14:paraId="2D8F7BAB">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棉花科技创新项目评审会，1.07万元，42人；</w:t>
      </w:r>
    </w:p>
    <w:p w14:paraId="40D0AF3B">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全省动物疫情分析暨动物疫情测报工作会，1.2万元，39人；</w:t>
      </w:r>
    </w:p>
    <w:p w14:paraId="6950FA12">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习近平新时代中国特色社会主义思想培训会，4.86万元，43人；</w:t>
      </w:r>
    </w:p>
    <w:p w14:paraId="4F48BF81">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第七届湖南农村创业大赛决赛，14.60万元，150人；</w:t>
      </w:r>
    </w:p>
    <w:p w14:paraId="07EE32A4">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全省春季农业生产暨水稻机插机抛现场推进会，4.38万元，103人；</w:t>
      </w:r>
    </w:p>
    <w:p w14:paraId="15E373D2">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2023年第一批农机购置应用补贴新机具现场集中演示评价会，9.03万元，9人；</w:t>
      </w:r>
    </w:p>
    <w:p w14:paraId="095D5D7D">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田间日活动暨全省农机事务中心主要负责人会议，11.86万元，200人；</w:t>
      </w:r>
    </w:p>
    <w:p w14:paraId="46FDC3B4">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2021-2022年农机统计年报数据会审，5.98万元，78人；</w:t>
      </w:r>
    </w:p>
    <w:p w14:paraId="49FC3098">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2023年第二批农机购置补贴演示评价，5.09万元，17人；</w:t>
      </w:r>
    </w:p>
    <w:p w14:paraId="670D4377">
      <w:pPr>
        <w:pStyle w:val="17"/>
        <w:keepNext w:val="0"/>
        <w:keepLines w:val="0"/>
        <w:pageBreakBefore w:val="0"/>
        <w:widowControl w:val="0"/>
        <w:numPr>
          <w:ilvl w:val="0"/>
          <w:numId w:val="5"/>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全省设施农业示范基地建设工作推进会，3.27万元，120人。</w:t>
      </w:r>
    </w:p>
    <w:p w14:paraId="63CE9010">
      <w:pPr>
        <w:pStyle w:val="17"/>
        <w:ind w:firstLine="640"/>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开支培训费</w:t>
      </w:r>
      <w:r>
        <w:rPr>
          <w:rFonts w:hint="eastAsia" w:ascii="Times New Roman" w:hAnsi="Times New Roman" w:eastAsia="仿宋_GB2312"/>
          <w:color w:val="auto"/>
          <w:sz w:val="32"/>
          <w:szCs w:val="32"/>
          <w:highlight w:val="none"/>
          <w:lang w:val="en-US" w:eastAsia="zh-CN"/>
        </w:rPr>
        <w:t>1247.28</w:t>
      </w:r>
      <w:r>
        <w:rPr>
          <w:rFonts w:hint="eastAsia" w:ascii="Times New Roman" w:hAnsi="Times New Roman" w:eastAsia="仿宋_GB2312"/>
          <w:color w:val="auto"/>
          <w:sz w:val="32"/>
          <w:szCs w:val="32"/>
          <w:highlight w:val="none"/>
        </w:rPr>
        <w:t>万元，用于开展农业农村相关培训，人数</w:t>
      </w:r>
      <w:r>
        <w:rPr>
          <w:rFonts w:hint="eastAsia" w:ascii="Times New Roman" w:hAnsi="Times New Roman" w:eastAsia="仿宋_GB2312"/>
          <w:color w:val="auto"/>
          <w:sz w:val="32"/>
          <w:szCs w:val="32"/>
          <w:highlight w:val="none"/>
          <w:lang w:val="en-US" w:eastAsia="zh-CN"/>
        </w:rPr>
        <w:t>17191</w:t>
      </w:r>
      <w:r>
        <w:rPr>
          <w:rFonts w:hint="eastAsia" w:ascii="Times New Roman" w:hAnsi="Times New Roman" w:eastAsia="仿宋_GB2312"/>
          <w:color w:val="auto"/>
          <w:sz w:val="32"/>
          <w:szCs w:val="32"/>
          <w:highlight w:val="none"/>
        </w:rPr>
        <w:t>人，主要培训内容如下：</w:t>
      </w:r>
    </w:p>
    <w:p w14:paraId="41FDF2B1">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“农广助农”产业领军人才培训计划共47期，467.67万元，6066人；</w:t>
      </w:r>
    </w:p>
    <w:p w14:paraId="21275A93">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农民田间学校实用技术培训共37期，105.77万元，2332人；</w:t>
      </w:r>
    </w:p>
    <w:p w14:paraId="41C88465">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“三农”干部走出去培训计划共6期，84.05万元，299人；</w:t>
      </w:r>
    </w:p>
    <w:p w14:paraId="28F5A409">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地膜污染及耕地安全技术利用培训</w:t>
      </w:r>
      <w:r>
        <w:rPr>
          <w:rFonts w:hint="eastAsia" w:ascii="Times New Roman" w:hAnsi="Times New Roman" w:eastAsia="仿宋_GB2312"/>
          <w:color w:val="auto"/>
          <w:sz w:val="32"/>
          <w:szCs w:val="32"/>
          <w:highlight w:val="none"/>
          <w:lang w:val="en-US" w:eastAsia="zh-CN"/>
        </w:rPr>
        <w:t>，14.25万元，206人</w:t>
      </w:r>
    </w:p>
    <w:p w14:paraId="4ABF4ED0">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全省农业工程建设项目招投标监管能力提升培训，13.00万元，187人；</w:t>
      </w:r>
    </w:p>
    <w:p w14:paraId="398A8120">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全省重大动物疫情应急演练和动物防疫培训班</w:t>
      </w:r>
      <w:r>
        <w:rPr>
          <w:rFonts w:hint="eastAsia" w:ascii="Times New Roman" w:hAnsi="Times New Roman" w:eastAsia="仿宋_GB2312"/>
          <w:color w:val="auto"/>
          <w:sz w:val="32"/>
          <w:szCs w:val="32"/>
          <w:highlight w:val="none"/>
          <w:lang w:val="en-US" w:eastAsia="zh-CN"/>
        </w:rPr>
        <w:t>，10.40万元，170人；</w:t>
      </w:r>
    </w:p>
    <w:p w14:paraId="2413013D">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全省畜禽屠宰监管暨安全生产培训，12.04万元，179人；</w:t>
      </w:r>
    </w:p>
    <w:p w14:paraId="041B1129">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全省农业综合行政执法能力提升培训，11.53万元，165人；</w:t>
      </w:r>
    </w:p>
    <w:p w14:paraId="12C9A209">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全省农田建设项目管理业务培训，11.07万元，173人；</w:t>
      </w:r>
    </w:p>
    <w:p w14:paraId="31031AFD">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全省乡村治理工作培训，11.07万元，172人；</w:t>
      </w:r>
    </w:p>
    <w:p w14:paraId="08D38AFD">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全省返乡带头人培训，9.67万元，133人；</w:t>
      </w:r>
    </w:p>
    <w:p w14:paraId="3A8DB513">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全省人事劳动统计布置业务培训班，8.66万元，205人；</w:t>
      </w:r>
    </w:p>
    <w:p w14:paraId="52F6D8FA">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全省农村集体经济组织新财务入会计制度培训，8.64万元，172人；</w:t>
      </w:r>
    </w:p>
    <w:p w14:paraId="59F199D2">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全省第二轮土地承包试点工作培训班，8.53万元，141人；</w:t>
      </w:r>
    </w:p>
    <w:p w14:paraId="1AF4A227">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农机购置与应用补贴政策实施暨廉政警示教育培训班，8.43万元，157人；</w:t>
      </w:r>
    </w:p>
    <w:p w14:paraId="319BD608">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农产品冷藏保鲜及数字农业培训</w:t>
      </w:r>
      <w:r>
        <w:rPr>
          <w:rFonts w:hint="eastAsia" w:ascii="Times New Roman" w:hAnsi="Times New Roman" w:eastAsia="仿宋_GB2312"/>
          <w:color w:val="auto"/>
          <w:sz w:val="32"/>
          <w:szCs w:val="32"/>
          <w:highlight w:val="none"/>
          <w:lang w:val="en-US" w:eastAsia="zh-CN"/>
        </w:rPr>
        <w:t>，8.47万元，170人；</w:t>
      </w:r>
    </w:p>
    <w:p w14:paraId="450B5B12">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全省农药监管培训，12.50万元，158人；</w:t>
      </w:r>
    </w:p>
    <w:p w14:paraId="6BCFE90B">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2023年湖南省农产品质量安全检测技术能力与标准培训</w:t>
      </w:r>
      <w:r>
        <w:rPr>
          <w:rFonts w:hint="eastAsia" w:ascii="Times New Roman" w:hAnsi="Times New Roman" w:eastAsia="仿宋_GB2312"/>
          <w:color w:val="auto"/>
          <w:sz w:val="32"/>
          <w:szCs w:val="32"/>
          <w:highlight w:val="none"/>
          <w:lang w:val="en-US" w:eastAsia="zh-CN"/>
        </w:rPr>
        <w:t>，6.97万元，155人；</w:t>
      </w:r>
    </w:p>
    <w:p w14:paraId="52BC8C79">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全省农药行业安全生产专题培训</w:t>
      </w:r>
      <w:r>
        <w:rPr>
          <w:rFonts w:hint="eastAsia" w:ascii="Times New Roman" w:hAnsi="Times New Roman" w:eastAsia="仿宋_GB2312"/>
          <w:color w:val="auto"/>
          <w:sz w:val="32"/>
          <w:szCs w:val="32"/>
          <w:highlight w:val="none"/>
          <w:lang w:val="en-US" w:eastAsia="zh-CN"/>
        </w:rPr>
        <w:t>，3.50万元，105人；</w:t>
      </w:r>
    </w:p>
    <w:p w14:paraId="2F04D197">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农药安全监管项目培训</w:t>
      </w:r>
      <w:r>
        <w:rPr>
          <w:rFonts w:hint="eastAsia" w:ascii="Times New Roman" w:hAnsi="Times New Roman" w:eastAsia="仿宋_GB2312"/>
          <w:color w:val="auto"/>
          <w:sz w:val="32"/>
          <w:szCs w:val="32"/>
          <w:highlight w:val="none"/>
          <w:lang w:val="en-US" w:eastAsia="zh-CN"/>
        </w:rPr>
        <w:t>，2.60万元，76人；</w:t>
      </w:r>
    </w:p>
    <w:p w14:paraId="221FF824">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饲料行业高质量发展暨安全生产质量培训班，9.70万元，366人；</w:t>
      </w:r>
    </w:p>
    <w:p w14:paraId="0B8B60EA">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全省农机专业能手及稻油机收减损培训班一二期，16.41万元，216人；</w:t>
      </w:r>
    </w:p>
    <w:p w14:paraId="6F6EE68B">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农机安全监理员培训三四期，14.71万元，182人；</w:t>
      </w:r>
    </w:p>
    <w:p w14:paraId="447A7FE7">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现代农机合作社理事长培训，12.52万元，222人；</w:t>
      </w:r>
    </w:p>
    <w:p w14:paraId="253030F1">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种田能手培训一二期，9.68万元，152人；</w:t>
      </w:r>
    </w:p>
    <w:p w14:paraId="6A4D7304">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2023年平安建设农村土地承包经营纠纷调解仲裁考评预评审培训班，33.52万元，154人；</w:t>
      </w:r>
    </w:p>
    <w:p w14:paraId="7D69023A">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2023年农村土地承包纠纷调解仲裁业务骨干培训班，20.36万元，165人；</w:t>
      </w:r>
    </w:p>
    <w:p w14:paraId="25708D19">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2023年全省农村合作经济统计年报工作专题培训班，12.88万元，167人；</w:t>
      </w:r>
    </w:p>
    <w:p w14:paraId="44429ED2">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全省第二期农村宅基地管理与利用专题培训班，11.70万元，59人；</w:t>
      </w:r>
    </w:p>
    <w:p w14:paraId="73FCD3D3">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2023年全省农民合作社理事长培训班，17.57万元，182人；</w:t>
      </w:r>
    </w:p>
    <w:p w14:paraId="00337DFE">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第一期宅基地管理与利用业务培训班，18.71万元，185人；</w:t>
      </w:r>
    </w:p>
    <w:p w14:paraId="6F490E9C">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经作林果业机械化示范园现场会水肥一体化技术培训，8.50万元，180人；</w:t>
      </w:r>
    </w:p>
    <w:p w14:paraId="77D42E0F">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胶体金快速检测技术试点培训，2.81万元，108人；</w:t>
      </w:r>
    </w:p>
    <w:p w14:paraId="39D31691">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水产品质量安全检测技术跟班培训，7.77万元，36人；</w:t>
      </w:r>
    </w:p>
    <w:p w14:paraId="18D0826A">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基层渔业统计直报系统操作培训，1.60万元，176人；</w:t>
      </w:r>
    </w:p>
    <w:p w14:paraId="0D926F77">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2023年全省植保系统站（局）长培训班，31万元，180人；</w:t>
      </w:r>
    </w:p>
    <w:p w14:paraId="4F2A4066">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2023年全省油菜病虫害综合防控现场观摩专技培训，5.24万元，60人；</w:t>
      </w:r>
    </w:p>
    <w:p w14:paraId="4D49E5E9">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2023年下半年主要农作物病虫害发生趋势分析会商暨全省秋粮作物重大病虫害防控现场观摩培训，6.07万元，55人；</w:t>
      </w:r>
    </w:p>
    <w:p w14:paraId="6AEC698D">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中晚稻重大病虫害防控工作推进暨植保贡献率评价试验现场观摩培训，4.42万元，50人；</w:t>
      </w:r>
    </w:p>
    <w:p w14:paraId="47F75CF8">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农机维修职业技能培训（襄阳）</w:t>
      </w:r>
      <w:r>
        <w:rPr>
          <w:rFonts w:hint="eastAsia" w:ascii="Times New Roman" w:hAnsi="Times New Roman" w:eastAsia="仿宋_GB2312"/>
          <w:color w:val="auto"/>
          <w:sz w:val="32"/>
          <w:szCs w:val="32"/>
          <w:highlight w:val="none"/>
          <w:lang w:val="en-US" w:eastAsia="zh-CN"/>
        </w:rPr>
        <w:t>，8.72万元，60人；</w:t>
      </w:r>
    </w:p>
    <w:p w14:paraId="5E338691">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全省水稻机插育秧技术培训一二期，2.21万元，152人；</w:t>
      </w:r>
    </w:p>
    <w:p w14:paraId="0BCA19C2">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送训下基层农机技能培训，4.58万元，80人；</w:t>
      </w:r>
    </w:p>
    <w:p w14:paraId="1CDB2327">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2023年湖南省丘陵山区农机技术人才培训班，5.11万元，90人；</w:t>
      </w:r>
    </w:p>
    <w:p w14:paraId="54C07904">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田间日活动暨全省农机事务中心主要负责人培训，6.72万元，200人；</w:t>
      </w:r>
    </w:p>
    <w:p w14:paraId="552AFDCA">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油菜机械化生产高产高效技术集成模式现场培训班，1.56万元，45人；</w:t>
      </w:r>
    </w:p>
    <w:p w14:paraId="253FE9FE">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全省农机专业能手及稻油机收减损培训班一二期，16.41万元，216人；</w:t>
      </w:r>
    </w:p>
    <w:p w14:paraId="1E95E8A5">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2023农业机械试验鉴定规范实施培训班，3.27万元，92人；</w:t>
      </w:r>
    </w:p>
    <w:p w14:paraId="1593B839">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油菜机械种植技术现场培训，6.38万元，181人；</w:t>
      </w:r>
    </w:p>
    <w:p w14:paraId="4FCD490B">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全省农机安全监理人员培训班一二三四期，14.92万元，397人；</w:t>
      </w:r>
    </w:p>
    <w:p w14:paraId="3A2EA0E9">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现代农机合作社理事长培训，12.52万元，222人；</w:t>
      </w:r>
    </w:p>
    <w:p w14:paraId="1F5804AE">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第四、五期送训下基层石门县培训班，8.465万元，218人；</w:t>
      </w:r>
    </w:p>
    <w:p w14:paraId="2E61DCBB">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2023年湖南省第二期农机维修职业技能培训班，8.81万元，122人；</w:t>
      </w:r>
    </w:p>
    <w:p w14:paraId="121EB3B5">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default" w:ascii="Times New Roman" w:hAnsi="Times New Roman" w:eastAsia="仿宋_GB2312"/>
          <w:color w:val="auto"/>
          <w:sz w:val="32"/>
          <w:szCs w:val="32"/>
          <w:highlight w:val="none"/>
          <w:lang w:val="en-US" w:eastAsia="zh-CN"/>
        </w:rPr>
        <w:t>全省外来入侵防控与地膜科学回收利用培训</w:t>
      </w:r>
      <w:r>
        <w:rPr>
          <w:rFonts w:hint="eastAsia" w:ascii="Times New Roman" w:hAnsi="Times New Roman" w:eastAsia="仿宋_GB2312"/>
          <w:color w:val="auto"/>
          <w:sz w:val="32"/>
          <w:szCs w:val="32"/>
          <w:highlight w:val="none"/>
          <w:lang w:val="en-US" w:eastAsia="zh-CN"/>
        </w:rPr>
        <w:t>，5.11万元，160人；</w:t>
      </w:r>
    </w:p>
    <w:p w14:paraId="5A8B9B4E">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全省种业市场监管培训，4.74万元，146人；</w:t>
      </w:r>
    </w:p>
    <w:p w14:paraId="1720D37C">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西藏种植业培训，4.48万元，26人；</w:t>
      </w:r>
    </w:p>
    <w:p w14:paraId="1C6CC393">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安全法和检测机构考核观摩培训，4.45万元，122人；</w:t>
      </w:r>
    </w:p>
    <w:p w14:paraId="1EC34145">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西藏畜牧技术培训，3.11万元，26人；</w:t>
      </w:r>
    </w:p>
    <w:p w14:paraId="000ECACA">
      <w:pPr>
        <w:pStyle w:val="17"/>
        <w:keepNext w:val="0"/>
        <w:keepLines w:val="0"/>
        <w:pageBreakBefore w:val="0"/>
        <w:widowControl w:val="0"/>
        <w:numPr>
          <w:ilvl w:val="0"/>
          <w:numId w:val="6"/>
        </w:numPr>
        <w:kinsoku/>
        <w:wordWrap/>
        <w:overflowPunct/>
        <w:topLinePunct w:val="0"/>
        <w:bidi w:val="0"/>
        <w:snapToGrid/>
        <w:spacing w:line="600" w:lineRule="exact"/>
        <w:ind w:left="-10" w:leftChars="0" w:firstLine="640" w:firstLineChars="0"/>
        <w:textAlignment w:val="auto"/>
        <w:rPr>
          <w:rFonts w:hint="default"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厅机关老干党支部书记及老干工作负责人培训，2.87万元，86人。</w:t>
      </w:r>
    </w:p>
    <w:p w14:paraId="28C5D1B4">
      <w:pPr>
        <w:pStyle w:val="17"/>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十一、关于政府采购支出说明</w:t>
      </w:r>
    </w:p>
    <w:p w14:paraId="511B0E29">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本部门202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年度政府采购支出总额</w:t>
      </w:r>
      <w:r>
        <w:rPr>
          <w:rFonts w:hint="eastAsia" w:ascii="Times New Roman" w:hAnsi="Times New Roman" w:eastAsia="仿宋_GB2312"/>
          <w:color w:val="auto"/>
          <w:sz w:val="32"/>
          <w:szCs w:val="32"/>
          <w:highlight w:val="none"/>
          <w:lang w:val="en-US" w:eastAsia="zh-CN"/>
        </w:rPr>
        <w:t>15861.39</w:t>
      </w:r>
      <w:r>
        <w:rPr>
          <w:rFonts w:hint="eastAsia" w:ascii="Times New Roman" w:hAnsi="Times New Roman" w:eastAsia="仿宋_GB2312"/>
          <w:color w:val="auto"/>
          <w:sz w:val="32"/>
          <w:szCs w:val="32"/>
          <w:highlight w:val="none"/>
        </w:rPr>
        <w:t>万元，其中：政府采购货物支出</w:t>
      </w:r>
      <w:r>
        <w:rPr>
          <w:rFonts w:hint="eastAsia" w:ascii="Times New Roman" w:hAnsi="Times New Roman" w:eastAsia="仿宋_GB2312"/>
          <w:color w:val="auto"/>
          <w:sz w:val="32"/>
          <w:szCs w:val="32"/>
          <w:highlight w:val="none"/>
          <w:lang w:val="en-US" w:eastAsia="zh-CN"/>
        </w:rPr>
        <w:t>6076.32</w:t>
      </w:r>
      <w:r>
        <w:rPr>
          <w:rFonts w:hint="eastAsia" w:ascii="Times New Roman" w:hAnsi="Times New Roman" w:eastAsia="仿宋_GB2312"/>
          <w:color w:val="auto"/>
          <w:sz w:val="32"/>
          <w:szCs w:val="32"/>
          <w:highlight w:val="none"/>
        </w:rPr>
        <w:t>万元、政府采购工程支出</w:t>
      </w:r>
      <w:r>
        <w:rPr>
          <w:rFonts w:hint="eastAsia" w:ascii="Times New Roman" w:hAnsi="Times New Roman" w:eastAsia="仿宋_GB2312"/>
          <w:color w:val="auto"/>
          <w:sz w:val="32"/>
          <w:szCs w:val="32"/>
          <w:highlight w:val="none"/>
          <w:lang w:val="en-US" w:eastAsia="zh-CN"/>
        </w:rPr>
        <w:t>402.61</w:t>
      </w:r>
      <w:r>
        <w:rPr>
          <w:rFonts w:hint="eastAsia" w:ascii="Times New Roman" w:hAnsi="Times New Roman" w:eastAsia="仿宋_GB2312"/>
          <w:color w:val="auto"/>
          <w:sz w:val="32"/>
          <w:szCs w:val="32"/>
          <w:highlight w:val="none"/>
        </w:rPr>
        <w:t>万元、政府采购服务支出</w:t>
      </w:r>
      <w:r>
        <w:rPr>
          <w:rFonts w:hint="eastAsia" w:ascii="Times New Roman" w:hAnsi="Times New Roman" w:eastAsia="仿宋_GB2312"/>
          <w:color w:val="auto"/>
          <w:sz w:val="32"/>
          <w:szCs w:val="32"/>
          <w:highlight w:val="none"/>
          <w:lang w:val="en-US" w:eastAsia="zh-CN"/>
        </w:rPr>
        <w:t>9382.46</w:t>
      </w:r>
      <w:r>
        <w:rPr>
          <w:rFonts w:hint="eastAsia" w:ascii="Times New Roman" w:hAnsi="Times New Roman" w:eastAsia="仿宋_GB2312"/>
          <w:color w:val="auto"/>
          <w:sz w:val="32"/>
          <w:szCs w:val="32"/>
          <w:highlight w:val="none"/>
        </w:rPr>
        <w:t>万元。授予中小企业合同金额</w:t>
      </w:r>
      <w:r>
        <w:rPr>
          <w:rFonts w:hint="eastAsia" w:ascii="Times New Roman" w:hAnsi="Times New Roman" w:eastAsia="仿宋_GB2312"/>
          <w:color w:val="auto"/>
          <w:sz w:val="32"/>
          <w:szCs w:val="32"/>
          <w:highlight w:val="none"/>
          <w:lang w:val="en-US" w:eastAsia="zh-CN"/>
        </w:rPr>
        <w:t>12543.94</w:t>
      </w:r>
      <w:r>
        <w:rPr>
          <w:rFonts w:hint="eastAsia" w:ascii="Times New Roman" w:hAnsi="Times New Roman" w:eastAsia="仿宋_GB2312"/>
          <w:color w:val="auto"/>
          <w:sz w:val="32"/>
          <w:szCs w:val="32"/>
          <w:highlight w:val="none"/>
        </w:rPr>
        <w:t>万元，占政府采购支出总额的</w:t>
      </w:r>
      <w:r>
        <w:rPr>
          <w:rFonts w:hint="eastAsia" w:ascii="Times New Roman" w:hAnsi="Times New Roman" w:eastAsia="仿宋_GB2312"/>
          <w:color w:val="auto"/>
          <w:sz w:val="32"/>
          <w:szCs w:val="32"/>
          <w:highlight w:val="none"/>
          <w:lang w:val="en-US" w:eastAsia="zh-CN"/>
        </w:rPr>
        <w:t>79.08</w:t>
      </w:r>
      <w:r>
        <w:rPr>
          <w:rFonts w:hint="eastAsia" w:ascii="Times New Roman" w:hAnsi="Times New Roman" w:eastAsia="仿宋_GB2312"/>
          <w:color w:val="auto"/>
          <w:sz w:val="32"/>
          <w:szCs w:val="32"/>
          <w:highlight w:val="none"/>
        </w:rPr>
        <w:t>%，其中：授予小微企业合同金额</w:t>
      </w:r>
      <w:r>
        <w:rPr>
          <w:rFonts w:hint="eastAsia" w:ascii="Times New Roman" w:hAnsi="Times New Roman" w:eastAsia="仿宋_GB2312"/>
          <w:color w:val="auto"/>
          <w:sz w:val="32"/>
          <w:szCs w:val="32"/>
          <w:highlight w:val="none"/>
          <w:lang w:val="en-US" w:eastAsia="zh-CN"/>
        </w:rPr>
        <w:t>10570.16</w:t>
      </w:r>
      <w:r>
        <w:rPr>
          <w:rFonts w:hint="eastAsia" w:ascii="Times New Roman" w:hAnsi="Times New Roman" w:eastAsia="仿宋_GB2312"/>
          <w:color w:val="auto"/>
          <w:sz w:val="32"/>
          <w:szCs w:val="32"/>
          <w:highlight w:val="none"/>
        </w:rPr>
        <w:t>万元，占</w:t>
      </w:r>
      <w:r>
        <w:rPr>
          <w:rFonts w:hint="eastAsia" w:ascii="Times New Roman" w:hAnsi="Times New Roman" w:eastAsia="仿宋_GB2312"/>
          <w:color w:val="auto"/>
          <w:sz w:val="32"/>
          <w:szCs w:val="32"/>
          <w:highlight w:val="none"/>
          <w:lang w:eastAsia="zh-CN"/>
        </w:rPr>
        <w:t>授予中小企业合同金额</w:t>
      </w:r>
      <w:r>
        <w:rPr>
          <w:rFonts w:hint="eastAsia" w:ascii="Times New Roman" w:hAnsi="Times New Roman" w:eastAsia="仿宋_GB2312"/>
          <w:color w:val="auto"/>
          <w:sz w:val="32"/>
          <w:szCs w:val="32"/>
          <w:highlight w:val="none"/>
        </w:rPr>
        <w:t>的</w:t>
      </w:r>
      <w:r>
        <w:rPr>
          <w:rFonts w:hint="eastAsia" w:ascii="Times New Roman" w:hAnsi="Times New Roman" w:eastAsia="仿宋_GB2312"/>
          <w:color w:val="auto"/>
          <w:sz w:val="32"/>
          <w:szCs w:val="32"/>
          <w:highlight w:val="none"/>
          <w:lang w:val="en-US" w:eastAsia="zh-CN"/>
        </w:rPr>
        <w:t>84.27</w:t>
      </w:r>
      <w:r>
        <w:rPr>
          <w:rFonts w:hint="eastAsia" w:ascii="Times New Roman" w:hAnsi="Times New Roman" w:eastAsia="仿宋_GB2312"/>
          <w:color w:val="auto"/>
          <w:sz w:val="32"/>
          <w:szCs w:val="32"/>
          <w:highlight w:val="none"/>
        </w:rPr>
        <w:t>%。货物采购授予中小企业合同金额占货物支出金额的</w:t>
      </w:r>
      <w:r>
        <w:rPr>
          <w:rFonts w:hint="eastAsia" w:ascii="Times New Roman" w:hAnsi="Times New Roman" w:eastAsia="仿宋_GB2312"/>
          <w:color w:val="auto"/>
          <w:sz w:val="32"/>
          <w:szCs w:val="32"/>
          <w:highlight w:val="none"/>
          <w:lang w:val="en-US" w:eastAsia="zh-CN"/>
        </w:rPr>
        <w:t>90.74</w:t>
      </w:r>
      <w:r>
        <w:rPr>
          <w:rFonts w:hint="eastAsia" w:ascii="Times New Roman" w:hAnsi="Times New Roman" w:eastAsia="仿宋_GB2312"/>
          <w:color w:val="auto"/>
          <w:sz w:val="32"/>
          <w:szCs w:val="32"/>
          <w:highlight w:val="none"/>
        </w:rPr>
        <w:t>%，工程采购授予中小企业合同金额占工程支出金额的</w:t>
      </w:r>
      <w:r>
        <w:rPr>
          <w:rFonts w:hint="eastAsia" w:ascii="Times New Roman" w:hAnsi="Times New Roman" w:eastAsia="仿宋_GB2312"/>
          <w:color w:val="auto"/>
          <w:sz w:val="32"/>
          <w:szCs w:val="32"/>
          <w:highlight w:val="none"/>
          <w:lang w:val="en-US" w:eastAsia="zh-CN"/>
        </w:rPr>
        <w:t>100</w:t>
      </w:r>
      <w:r>
        <w:rPr>
          <w:rFonts w:hint="eastAsia" w:ascii="Times New Roman" w:hAnsi="Times New Roman" w:eastAsia="仿宋_GB2312"/>
          <w:color w:val="auto"/>
          <w:sz w:val="32"/>
          <w:szCs w:val="32"/>
          <w:highlight w:val="none"/>
        </w:rPr>
        <w:t>%，服务采购授予中小企业合同金额占服务支出金额的</w:t>
      </w:r>
      <w:r>
        <w:rPr>
          <w:rFonts w:hint="eastAsia" w:ascii="Times New Roman" w:hAnsi="Times New Roman" w:eastAsia="仿宋_GB2312"/>
          <w:color w:val="auto"/>
          <w:sz w:val="32"/>
          <w:szCs w:val="32"/>
          <w:highlight w:val="none"/>
          <w:lang w:val="en-US" w:eastAsia="zh-CN"/>
        </w:rPr>
        <w:t>77.58</w:t>
      </w:r>
      <w:r>
        <w:rPr>
          <w:rFonts w:hint="eastAsia" w:ascii="Times New Roman" w:hAnsi="Times New Roman" w:eastAsia="仿宋_GB2312"/>
          <w:color w:val="auto"/>
          <w:sz w:val="32"/>
          <w:szCs w:val="32"/>
          <w:highlight w:val="none"/>
        </w:rPr>
        <w:t>%。</w:t>
      </w:r>
    </w:p>
    <w:p w14:paraId="6D1642D9">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十二、关于国有资产占用情况说明</w:t>
      </w:r>
    </w:p>
    <w:p w14:paraId="6A09EE60">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截至202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年12月31日，</w:t>
      </w:r>
      <w:r>
        <w:rPr>
          <w:rFonts w:hint="eastAsia" w:ascii="Times New Roman" w:hAnsi="Times New Roman" w:eastAsia="仿宋_GB2312"/>
          <w:color w:val="auto"/>
          <w:sz w:val="32"/>
          <w:szCs w:val="32"/>
          <w:highlight w:val="none"/>
          <w:lang w:eastAsia="zh-CN"/>
        </w:rPr>
        <w:t>部门</w:t>
      </w:r>
      <w:r>
        <w:rPr>
          <w:rFonts w:hint="eastAsia" w:ascii="Times New Roman" w:hAnsi="Times New Roman" w:eastAsia="仿宋_GB2312"/>
          <w:color w:val="auto"/>
          <w:sz w:val="32"/>
          <w:szCs w:val="32"/>
          <w:highlight w:val="none"/>
        </w:rPr>
        <w:t>共有车辆</w:t>
      </w:r>
      <w:r>
        <w:rPr>
          <w:rFonts w:hint="eastAsia" w:ascii="Times New Roman" w:hAnsi="Times New Roman" w:eastAsia="仿宋_GB2312"/>
          <w:color w:val="auto"/>
          <w:sz w:val="32"/>
          <w:szCs w:val="32"/>
          <w:highlight w:val="none"/>
          <w:lang w:val="en-US" w:eastAsia="zh-CN"/>
        </w:rPr>
        <w:t>54</w:t>
      </w:r>
      <w:r>
        <w:rPr>
          <w:rFonts w:hint="eastAsia" w:ascii="Times New Roman" w:hAnsi="Times New Roman" w:eastAsia="仿宋_GB2312"/>
          <w:color w:val="auto"/>
          <w:sz w:val="32"/>
          <w:szCs w:val="32"/>
          <w:highlight w:val="none"/>
        </w:rPr>
        <w:t>辆，其中</w:t>
      </w:r>
      <w:r>
        <w:rPr>
          <w:rFonts w:hint="eastAsia" w:ascii="Times New Roman" w:hAnsi="Times New Roman" w:eastAsia="仿宋_GB2312"/>
          <w:color w:val="auto"/>
          <w:sz w:val="32"/>
          <w:szCs w:val="32"/>
          <w:highlight w:val="none"/>
          <w:lang w:eastAsia="zh-CN"/>
        </w:rPr>
        <w:t>，副部（省）级及以上领导用车</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辆</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主要</w:t>
      </w:r>
      <w:r>
        <w:rPr>
          <w:rFonts w:hint="eastAsia" w:ascii="Times New Roman" w:hAnsi="Times New Roman" w:eastAsia="仿宋_GB2312"/>
          <w:color w:val="auto"/>
          <w:sz w:val="32"/>
          <w:szCs w:val="32"/>
          <w:highlight w:val="none"/>
          <w:lang w:eastAsia="zh-CN"/>
        </w:rPr>
        <w:t>负责人</w:t>
      </w:r>
      <w:r>
        <w:rPr>
          <w:rFonts w:hint="eastAsia" w:ascii="Times New Roman" w:hAnsi="Times New Roman" w:eastAsia="仿宋_GB2312"/>
          <w:color w:val="auto"/>
          <w:sz w:val="32"/>
          <w:szCs w:val="32"/>
          <w:highlight w:val="none"/>
        </w:rPr>
        <w:t>用车</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辆</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机要通信用车</w:t>
      </w:r>
      <w:r>
        <w:rPr>
          <w:rFonts w:hint="eastAsia" w:ascii="Times New Roman" w:hAnsi="Times New Roman" w:eastAsia="仿宋_GB2312"/>
          <w:color w:val="auto"/>
          <w:sz w:val="32"/>
          <w:szCs w:val="32"/>
          <w:highlight w:val="none"/>
          <w:lang w:val="en-US" w:eastAsia="zh-CN"/>
        </w:rPr>
        <w:t>5</w:t>
      </w:r>
      <w:r>
        <w:rPr>
          <w:rFonts w:hint="eastAsia" w:ascii="Times New Roman" w:hAnsi="Times New Roman" w:eastAsia="仿宋_GB2312"/>
          <w:color w:val="auto"/>
          <w:sz w:val="32"/>
          <w:szCs w:val="32"/>
          <w:highlight w:val="none"/>
        </w:rPr>
        <w:t>辆、应急保障用车</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辆、执法执勤用车</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辆、特种专业技术用车</w:t>
      </w:r>
      <w:r>
        <w:rPr>
          <w:rFonts w:hint="eastAsia" w:ascii="Times New Roman" w:hAnsi="Times New Roman" w:eastAsia="仿宋_GB2312"/>
          <w:color w:val="auto"/>
          <w:sz w:val="32"/>
          <w:szCs w:val="32"/>
          <w:highlight w:val="none"/>
          <w:lang w:val="en-US" w:eastAsia="zh-CN"/>
        </w:rPr>
        <w:t>6</w:t>
      </w:r>
      <w:r>
        <w:rPr>
          <w:rFonts w:hint="eastAsia" w:ascii="Times New Roman" w:hAnsi="Times New Roman" w:eastAsia="仿宋_GB2312"/>
          <w:color w:val="auto"/>
          <w:sz w:val="32"/>
          <w:szCs w:val="32"/>
          <w:highlight w:val="none"/>
        </w:rPr>
        <w:t>辆、</w:t>
      </w:r>
      <w:r>
        <w:rPr>
          <w:rFonts w:hint="eastAsia" w:ascii="Times New Roman" w:hAnsi="Times New Roman" w:eastAsia="仿宋_GB2312"/>
          <w:color w:val="auto"/>
          <w:sz w:val="32"/>
          <w:szCs w:val="32"/>
          <w:highlight w:val="none"/>
          <w:lang w:eastAsia="zh-CN"/>
        </w:rPr>
        <w:t>离退休干部服务用车</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辆、其他用车</w:t>
      </w:r>
      <w:r>
        <w:rPr>
          <w:rFonts w:hint="eastAsia" w:ascii="Times New Roman" w:hAnsi="Times New Roman" w:eastAsia="仿宋_GB2312"/>
          <w:color w:val="auto"/>
          <w:sz w:val="32"/>
          <w:szCs w:val="32"/>
          <w:highlight w:val="none"/>
          <w:lang w:val="en-US" w:eastAsia="zh-CN"/>
        </w:rPr>
        <w:t>37</w:t>
      </w:r>
      <w:r>
        <w:rPr>
          <w:rFonts w:hint="eastAsia" w:ascii="Times New Roman" w:hAnsi="Times New Roman" w:eastAsia="仿宋_GB2312"/>
          <w:color w:val="auto"/>
          <w:sz w:val="32"/>
          <w:szCs w:val="32"/>
          <w:highlight w:val="none"/>
        </w:rPr>
        <w:t>辆，其他用车主要是</w:t>
      </w:r>
      <w:r>
        <w:rPr>
          <w:rFonts w:hint="eastAsia" w:ascii="Times New Roman" w:hAnsi="Times New Roman" w:eastAsia="仿宋_GB2312"/>
          <w:color w:val="auto"/>
          <w:sz w:val="32"/>
          <w:szCs w:val="32"/>
          <w:highlight w:val="none"/>
          <w:lang w:val="en-US" w:eastAsia="zh-CN"/>
        </w:rPr>
        <w:t>学校教学用车及农用车</w:t>
      </w:r>
      <w:r>
        <w:rPr>
          <w:rFonts w:hint="eastAsia" w:ascii="Times New Roman" w:hAnsi="Times New Roman" w:eastAsia="仿宋_GB2312"/>
          <w:color w:val="auto"/>
          <w:sz w:val="32"/>
          <w:szCs w:val="32"/>
          <w:highlight w:val="none"/>
        </w:rPr>
        <w:t>；单位价值100万元以上设备</w:t>
      </w:r>
      <w:r>
        <w:rPr>
          <w:rFonts w:hint="eastAsia" w:ascii="Times New Roman" w:hAnsi="Times New Roman" w:eastAsia="仿宋_GB2312"/>
          <w:color w:val="auto"/>
          <w:sz w:val="32"/>
          <w:szCs w:val="32"/>
          <w:highlight w:val="none"/>
          <w:lang w:eastAsia="zh-CN"/>
        </w:rPr>
        <w:t>（不含车辆）</w:t>
      </w:r>
      <w:r>
        <w:rPr>
          <w:rFonts w:hint="eastAsia" w:ascii="Times New Roman" w:hAnsi="Times New Roman" w:eastAsia="仿宋_GB2312"/>
          <w:color w:val="auto"/>
          <w:sz w:val="32"/>
          <w:szCs w:val="32"/>
          <w:highlight w:val="none"/>
          <w:lang w:val="en-US" w:eastAsia="zh-CN"/>
        </w:rPr>
        <w:t>37</w:t>
      </w:r>
      <w:r>
        <w:rPr>
          <w:rFonts w:hint="eastAsia" w:ascii="Times New Roman" w:hAnsi="Times New Roman" w:eastAsia="仿宋_GB2312"/>
          <w:color w:val="auto"/>
          <w:sz w:val="32"/>
          <w:szCs w:val="32"/>
          <w:highlight w:val="none"/>
        </w:rPr>
        <w:t>台（套）。</w:t>
      </w:r>
    </w:p>
    <w:p w14:paraId="26093621">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十三、关于</w:t>
      </w: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黑体" w:hAnsi="黑体" w:eastAsia="黑体" w:cs="黑体"/>
          <w:b w:val="0"/>
          <w:bCs/>
          <w:color w:val="auto"/>
          <w:sz w:val="32"/>
          <w:szCs w:val="32"/>
          <w:highlight w:val="none"/>
        </w:rPr>
        <w:t>年度</w:t>
      </w:r>
      <w:r>
        <w:rPr>
          <w:rFonts w:hint="eastAsia" w:hAnsi="黑体" w:cs="黑体"/>
          <w:b w:val="0"/>
          <w:bCs/>
          <w:color w:val="auto"/>
          <w:sz w:val="32"/>
          <w:szCs w:val="32"/>
          <w:highlight w:val="none"/>
          <w:lang w:eastAsia="zh-CN"/>
        </w:rPr>
        <w:t>预算</w:t>
      </w:r>
      <w:r>
        <w:rPr>
          <w:rFonts w:hint="eastAsia" w:ascii="黑体" w:hAnsi="黑体" w:eastAsia="黑体" w:cs="黑体"/>
          <w:b w:val="0"/>
          <w:bCs/>
          <w:color w:val="auto"/>
          <w:sz w:val="32"/>
          <w:szCs w:val="32"/>
          <w:highlight w:val="none"/>
        </w:rPr>
        <w:t>绩效情况的说明</w:t>
      </w:r>
    </w:p>
    <w:p w14:paraId="2F279307">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楷体" w:hAnsi="楷体" w:eastAsia="楷体" w:cs="楷体"/>
          <w:b/>
          <w:bCs/>
          <w:color w:val="auto"/>
          <w:sz w:val="32"/>
          <w:szCs w:val="32"/>
          <w:highlight w:val="none"/>
          <w:lang w:eastAsia="zh-CN"/>
        </w:rPr>
      </w:pPr>
      <w:r>
        <w:rPr>
          <w:rFonts w:hint="eastAsia" w:ascii="楷体" w:hAnsi="楷体" w:eastAsia="楷体" w:cs="楷体"/>
          <w:b/>
          <w:bCs/>
          <w:color w:val="auto"/>
          <w:sz w:val="32"/>
          <w:szCs w:val="32"/>
          <w:highlight w:val="none"/>
          <w:lang w:eastAsia="zh-CN"/>
        </w:rPr>
        <w:t>（一）绩效管理工作开展情况</w:t>
      </w:r>
    </w:p>
    <w:p w14:paraId="2E1C728B">
      <w:pPr>
        <w:pStyle w:val="4"/>
        <w:spacing w:line="580" w:lineRule="exact"/>
        <w:ind w:firstLine="640" w:firstLineChars="200"/>
        <w:rPr>
          <w:rFonts w:hint="eastAsia" w:ascii="Times New Roman" w:hAnsi="Times New Roman" w:eastAsia="仿宋_GB2312" w:cs="Times New Roman"/>
          <w:b w:val="0"/>
          <w:bCs w:val="0"/>
          <w:color w:val="auto"/>
          <w:kern w:val="2"/>
          <w:sz w:val="32"/>
          <w:szCs w:val="32"/>
          <w:highlight w:val="none"/>
          <w:lang w:val="en-US" w:eastAsia="zh-CN" w:bidi="ar-SA"/>
        </w:rPr>
      </w:pPr>
      <w:bookmarkStart w:id="2" w:name="_Toc26299"/>
      <w:bookmarkStart w:id="3" w:name="_Toc16228"/>
      <w:r>
        <w:rPr>
          <w:rFonts w:hint="eastAsia" w:ascii="Times New Roman" w:hAnsi="Times New Roman" w:eastAsia="仿宋_GB2312" w:cs="Times New Roman"/>
          <w:b w:val="0"/>
          <w:bCs w:val="0"/>
          <w:color w:val="auto"/>
          <w:kern w:val="2"/>
          <w:sz w:val="32"/>
          <w:szCs w:val="32"/>
          <w:highlight w:val="none"/>
          <w:lang w:val="en-US" w:eastAsia="zh-CN" w:bidi="ar-SA"/>
        </w:rPr>
        <w:t>1.加强组织领导，明确工作要求</w:t>
      </w:r>
      <w:bookmarkEnd w:id="2"/>
      <w:bookmarkEnd w:id="3"/>
    </w:p>
    <w:p w14:paraId="1C2C21E5">
      <w:pPr>
        <w:ind w:firstLine="640"/>
        <w:rPr>
          <w:rFonts w:hint="eastAsia" w:ascii="Times New Roman" w:hAnsi="Times New Roman" w:eastAsia="仿宋_GB2312" w:cs="Times New Roman"/>
          <w:b w:val="0"/>
          <w:bCs w:val="0"/>
          <w:color w:val="auto"/>
          <w:kern w:val="2"/>
          <w:sz w:val="32"/>
          <w:szCs w:val="32"/>
          <w:highlight w:val="none"/>
          <w:lang w:val="en-US" w:eastAsia="zh-CN" w:bidi="ar-SA"/>
        </w:rPr>
      </w:pPr>
      <w:bookmarkStart w:id="4" w:name="_Toc22303"/>
      <w:r>
        <w:rPr>
          <w:rFonts w:hint="eastAsia" w:ascii="Times New Roman" w:hAnsi="Times New Roman" w:eastAsia="仿宋_GB2312" w:cs="Times New Roman"/>
          <w:b w:val="0"/>
          <w:bCs w:val="0"/>
          <w:color w:val="auto"/>
          <w:kern w:val="2"/>
          <w:sz w:val="32"/>
          <w:szCs w:val="32"/>
          <w:highlight w:val="none"/>
          <w:lang w:val="en-US" w:eastAsia="zh-CN" w:bidi="ar-SA"/>
        </w:rPr>
        <w:t>根据《湖南省财政厅关于开展2023年度省级预算部门绩效自评和部门评价的通知》（湘财绩〔2024〕1号）的相关要求，省农业农村厅成立了绩效自评工作小组，由计划财务处具体负责牵头，拟制了绩效自评工作方案，下达了《湖南省农业农村厅关于开展2023年度部门整体支出绩效自评工作的通知》，要求各处室和所属单位做好本部门绩效自评工作，并按要求上报相关资料。</w:t>
      </w:r>
    </w:p>
    <w:p w14:paraId="3E99CDF5">
      <w:pPr>
        <w:pStyle w:val="4"/>
        <w:spacing w:line="580" w:lineRule="exact"/>
        <w:ind w:firstLine="640" w:firstLineChars="200"/>
        <w:rPr>
          <w:rFonts w:hint="default" w:ascii="Times New Roman" w:hAnsi="Times New Roman" w:eastAsia="仿宋_GB2312" w:cs="Times New Roman"/>
          <w:b w:val="0"/>
          <w:bCs w:val="0"/>
          <w:color w:val="auto"/>
          <w:kern w:val="2"/>
          <w:sz w:val="32"/>
          <w:szCs w:val="32"/>
          <w:highlight w:val="none"/>
          <w:lang w:val="en-US" w:eastAsia="zh-CN" w:bidi="ar-SA"/>
        </w:rPr>
      </w:pPr>
      <w:bookmarkStart w:id="5" w:name="_Toc8015"/>
      <w:bookmarkStart w:id="6" w:name="_Toc3707"/>
      <w:r>
        <w:rPr>
          <w:rFonts w:hint="eastAsia" w:ascii="Times New Roman" w:hAnsi="Times New Roman" w:eastAsia="仿宋_GB2312" w:cs="Times New Roman"/>
          <w:b w:val="0"/>
          <w:bCs w:val="0"/>
          <w:color w:val="auto"/>
          <w:kern w:val="2"/>
          <w:sz w:val="32"/>
          <w:szCs w:val="32"/>
          <w:highlight w:val="none"/>
          <w:lang w:val="en-US" w:eastAsia="zh-CN" w:bidi="ar-SA"/>
        </w:rPr>
        <w:t>2.强化绩效意识，</w:t>
      </w:r>
      <w:bookmarkEnd w:id="5"/>
      <w:r>
        <w:rPr>
          <w:rFonts w:hint="eastAsia" w:ascii="Times New Roman" w:hAnsi="Times New Roman" w:eastAsia="仿宋_GB2312" w:cs="Times New Roman"/>
          <w:b w:val="0"/>
          <w:bCs w:val="0"/>
          <w:color w:val="auto"/>
          <w:kern w:val="2"/>
          <w:sz w:val="32"/>
          <w:szCs w:val="32"/>
          <w:highlight w:val="none"/>
          <w:lang w:val="en-US" w:eastAsia="zh-CN" w:bidi="ar-SA"/>
        </w:rPr>
        <w:t>确保绩效自评全覆盖</w:t>
      </w:r>
      <w:bookmarkEnd w:id="6"/>
    </w:p>
    <w:p w14:paraId="182BC16A">
      <w:pPr>
        <w:ind w:firstLine="640"/>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省农业农村厅强化全员全系统的绩效意识，要求各处室、各直属单位认真开展绩效自评工作，确保绩效自评全覆盖。本次绩效自评范围包括一般公共预算支出、省级专项资金、事业单位经营支出等资金的绩效自评。</w:t>
      </w:r>
    </w:p>
    <w:bookmarkEnd w:id="4"/>
    <w:p w14:paraId="71E144FE">
      <w:pPr>
        <w:pStyle w:val="4"/>
        <w:spacing w:line="580" w:lineRule="exact"/>
        <w:ind w:firstLine="640" w:firstLineChars="200"/>
        <w:rPr>
          <w:rFonts w:hint="eastAsia" w:ascii="Times New Roman" w:hAnsi="Times New Roman" w:eastAsia="仿宋_GB2312" w:cs="Times New Roman"/>
          <w:b w:val="0"/>
          <w:bCs w:val="0"/>
          <w:color w:val="auto"/>
          <w:kern w:val="2"/>
          <w:sz w:val="32"/>
          <w:szCs w:val="32"/>
          <w:highlight w:val="none"/>
          <w:lang w:val="en-US" w:eastAsia="zh-CN" w:bidi="ar-SA"/>
        </w:rPr>
      </w:pPr>
      <w:bookmarkStart w:id="7" w:name="_Toc7299"/>
      <w:bookmarkStart w:id="8" w:name="_Toc10202"/>
      <w:r>
        <w:rPr>
          <w:rFonts w:hint="eastAsia" w:ascii="Times New Roman" w:hAnsi="Times New Roman" w:eastAsia="仿宋_GB2312" w:cs="Times New Roman"/>
          <w:b w:val="0"/>
          <w:bCs w:val="0"/>
          <w:color w:val="auto"/>
          <w:kern w:val="2"/>
          <w:sz w:val="32"/>
          <w:szCs w:val="32"/>
          <w:highlight w:val="none"/>
          <w:lang w:val="en-US" w:eastAsia="zh-CN" w:bidi="ar-SA"/>
        </w:rPr>
        <w:t>3.抓好细节落实，提高自评质量</w:t>
      </w:r>
      <w:bookmarkEnd w:id="7"/>
      <w:bookmarkEnd w:id="8"/>
    </w:p>
    <w:p w14:paraId="62B81FE1">
      <w:pPr>
        <w:ind w:firstLine="640"/>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根据绩效自评工作方案，绩效自评工作小组从各项数据入手抓好细节的落实，通过汇总整理客观、全面、精准的自评数据材料，提高绩效自评质量。增加量化指标占比，通过以数据评指标，提高自评质量。</w:t>
      </w:r>
    </w:p>
    <w:p w14:paraId="03128264">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lang w:eastAsia="zh-CN"/>
        </w:rPr>
        <w:t>（二）</w:t>
      </w:r>
      <w:r>
        <w:rPr>
          <w:rFonts w:hint="eastAsia" w:ascii="楷体" w:hAnsi="楷体" w:eastAsia="楷体" w:cs="楷体"/>
          <w:b/>
          <w:bCs/>
          <w:color w:val="auto"/>
          <w:sz w:val="32"/>
          <w:szCs w:val="32"/>
          <w:highlight w:val="none"/>
        </w:rPr>
        <w:t>部门</w:t>
      </w:r>
      <w:r>
        <w:rPr>
          <w:rFonts w:hint="eastAsia" w:ascii="楷体" w:hAnsi="楷体" w:eastAsia="楷体" w:cs="楷体"/>
          <w:b/>
          <w:bCs/>
          <w:color w:val="auto"/>
          <w:sz w:val="32"/>
          <w:szCs w:val="32"/>
          <w:highlight w:val="none"/>
          <w:lang w:eastAsia="zh-CN"/>
        </w:rPr>
        <w:t>（单位）</w:t>
      </w:r>
      <w:r>
        <w:rPr>
          <w:rFonts w:hint="eastAsia" w:ascii="楷体" w:hAnsi="楷体" w:eastAsia="楷体" w:cs="楷体"/>
          <w:b/>
          <w:bCs/>
          <w:color w:val="auto"/>
          <w:sz w:val="32"/>
          <w:szCs w:val="32"/>
          <w:highlight w:val="none"/>
        </w:rPr>
        <w:t>整体支出绩效情况</w:t>
      </w:r>
    </w:p>
    <w:p w14:paraId="452AEE87">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bookmarkStart w:id="9" w:name="_Toc11362"/>
      <w:bookmarkStart w:id="10" w:name="_Toc24930"/>
      <w:r>
        <w:rPr>
          <w:rFonts w:hint="eastAsia" w:ascii="Times New Roman" w:hAnsi="Times New Roman" w:eastAsia="仿宋_GB2312"/>
          <w:color w:val="auto"/>
          <w:sz w:val="32"/>
          <w:szCs w:val="32"/>
          <w:highlight w:val="none"/>
          <w:lang w:val="en-US" w:eastAsia="zh-CN"/>
        </w:rPr>
        <w:t>1.单位职责履行主要情况</w:t>
      </w:r>
      <w:bookmarkEnd w:id="9"/>
      <w:bookmarkEnd w:id="10"/>
    </w:p>
    <w:p w14:paraId="3540DF28">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rPr>
        <w:t>年，省农业农村厅根据中央重点任务目标、省政府重要工作部署、本厅年初工作计划、立法工作计划和监督工作计划的要求，认真履行职责，较好地完成了年初确定的各项工作任务</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单位职责履行情况如下：</w:t>
      </w:r>
    </w:p>
    <w:p w14:paraId="73D0A1F7">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1</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坚持党管农村工作，把“三农”工作摆在重中之重位置。</w:t>
      </w:r>
      <w:r>
        <w:rPr>
          <w:rFonts w:hint="eastAsia" w:ascii="Times New Roman" w:hAnsi="Times New Roman" w:eastAsia="仿宋_GB2312"/>
          <w:color w:val="auto"/>
          <w:sz w:val="32"/>
          <w:szCs w:val="32"/>
          <w:highlight w:val="none"/>
          <w:lang w:val="en-US" w:eastAsia="zh-CN"/>
        </w:rPr>
        <w:t>一是</w:t>
      </w:r>
      <w:r>
        <w:rPr>
          <w:rFonts w:hint="eastAsia" w:ascii="Times New Roman" w:hAnsi="Times New Roman" w:eastAsia="仿宋_GB2312"/>
          <w:color w:val="auto"/>
          <w:sz w:val="32"/>
          <w:szCs w:val="32"/>
          <w:highlight w:val="none"/>
        </w:rPr>
        <w:t>加强组织领导</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召开高规格省委农村工作会议，对加快建设农业强省作出整体安排。坚持问题导向，深入开展“走找想促”活动，省委、省政府主要领导带头下沉一线，开展实地调研和暗访，着力办好民生实事，千方百计促进农民增收。出台《关于锚定建设农业强省目标扎实做好2023年全面推进乡村振兴重点工作的意见》《关于学习借鉴浙江“千万工程”经验实施“五千工程”建设“和美湘村”的意见》等文件，抓好各项“三农”任务落实落细。二是全面压实责任。出台《关于落实乡村振兴责任制若干措施》，统筹开展市县党委和政府推进乡村振兴战略实绩考核、巩固拓展脱贫攻坚成果同乡村振兴有效衔接考核及省直部门（中央驻湘单位）乡村振兴责任制考核。将抓党建促乡村振兴作为市县乡村党组织书记抓基层党建述职评议考核的重要内容，14名市州委书记、2066名县乡党委书记、2.9万余名村（社）党组织书记全部参加述职。三是强化改革赋能。出台方案细化18项农村改革任务，稳步推进第二轮土地承包到期后再延长30年试点，省市县三级农村土地承包地信息化平台全面贯通。在全国率先创新开展《农村土地经营权证》颁发试点工作。持续推进林地、草地及供销合作社改革。四是完善投入机制。坚持把农业农村作为财政优先保障领域，安排国省衔接推进乡村振兴补助资金125.78亿元、增长5.4%。争取中央预算内涉农投资89.3亿元、增长8.9%。发行涉农专项债144.4亿元，已核定高标准农田项目建设36.5亿元。出台《湖南省金融支持全面推进乡村振兴加快建设农业强省实施方案》，增强涉农金融服务质效。今年1—11月，全省农林水支出851.4亿元，同比增长5.25%，土地出让收入用于农业农村资金241.85亿元，占比16.39%。</w:t>
      </w:r>
    </w:p>
    <w:p w14:paraId="5B940AF1">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2</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聚焦“国之大者”，确保粮食和重要农产品稳产保供。一是切实加强耕地保护。省委、省政府主要领导出席全省耕地保护和粮食安全工作会议，编制全国首个省级耕地保护专项规划，带位置落实5431.71万亩耕地保有量、4812万亩永久基本农田保护目标（均高于国家指标）。构建了全覆盖的田长制责任体系，设立各级田长14.8万名。切实抓好各地党委和政府耕地保护和粮食安全考核。多部门联合开展耕地“非农化”“非粮化”专项督导，目前问题整改率达99%。二是夯实农业基础设施。推行高标准农田“投贷联动”创新模式，撬动社会资本19亿元，建设高标准农田345万亩。省级筹措资金11亿元，启动小型农业水利设施建设和管护三年行动。截至10月，清淤、新建及改造渠道2065.93公里，提升27.26万亩山上经济作物灌溉水源保障能力。三是全力稳面积提单产。严格落实粮食安全党政同责，建立省领导联系粮食生产示范片机制，16位省领导联系18个万亩示范片。投入5.13亿新（改）建集中育秧设施1137个。全年粮食播种面积7145.3万亩，超目标任务10.3万亩，总产613.6亿斤，较上年增长1.7%，水稻面积和产量居全国第1位。大豆玉米复合种植面积110.4万亩，超任务4.4万亩。四是守护好“菜篮子”。持续实施优质湘猪工程，累计建设1694个省级以上生猪产能调控基地，预计全年出栏生猪6300万头以上。前三季度工厂化设施渔业养殖面积114.51万立方米，同比增长45.98%。夏收油菜2222万亩，同比增长6.7%，总产258.8万吨，面积和增量均居全国第1位。全国油菜秋冬种暨大面积单产提升推进会在我省召开。预计全年蔬菜累积播种面积2165.8万亩，增长2.6%；总产4522.3万吨，增长3.8%。</w:t>
      </w:r>
    </w:p>
    <w:p w14:paraId="177668FE">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3</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巩固拓展脱贫攻坚成果，守住不发生规模性返贫底线。一是抓好问题整改。中央通报2022年度考核评估结果后，省委、省政府主要领导召开省委实施乡村振兴战略领导小组会议和问题整改动员大会，研究制定整改方案，部署推进整改工作。聚焦4大类13个方面问题，行业部门制定的64个整改措施全部落实。二是强化精准监测帮扶。调整监测收入基准线至7500元</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健全“三员、三网、一户一画像”监测机制</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截至11月，累计识别监测对象19.09万户49.74万人，已消除风险9.04万户23.05万人。全省脱贫户和监测户户均帮扶措施提高到4.3条。三是提升产业就业帮扶质量。出台《脱贫人口持续增收三年行动方案》，狠抓产业就业关键。截至11月，我省中央衔接资金用于产业的比重达60.03%，推动帮扶产业可持续发展。开展巩固易地扶贫搬迁成果专项行动和搬迁群众就业帮扶专项行动。截至11月，全省脱贫人口（含监测对象）务工人数达253.22万人，完成国家下达我省目标108.91%。前三季度，脱贫县农村居民人均可支配收入11766元，同比增长8.8%，高于全省平均水平2.1个百分点。</w:t>
      </w:r>
    </w:p>
    <w:p w14:paraId="751631FD">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4</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突出产业强省富民，推进乡村产业高质量发展。一是推进特色产业融合。加快培育农业优势特色千亿产业，新增“湘南供粤港澳”蔬菜国家级优势特色产业集群1个，国家产业集群累计达到7个，新增国家农业产业强镇10个、累计达到71个。蔬菜出口首次突破百亿元，增长40%以上。出台《关于加快推进预制菜产业高质量发展的意见》《关于加快竹产业高质量发展的意见》。实施农产品加工企业培育行动，预计农产品加工业营收2.27万亿元，连续6年保持7%以上增长。全年休闲农业经营收入预计达535亿元，同比增长8.6%。办好第二十四届中国中部（湖南）农博会，现场销售10.1亿元，同比增长95.7%。二是大力发展县域经济。省委、省政府主要领导召开全省县域经济发展座谈会，制定县域经济高质量发展实施方案及考核评价办法，将县域经济高质量发展纳入省政府真抓实干督查激励，推动形成“一县一策”发展格局。前三季度全省县域实现地区生产总值19751.9亿元，占全省GDP的53.45%。新增4个县市区入选国家乡村振兴示范县创建名单。三是抓好农村新型集体经济。省人大专门审议《全省新型农村集体经济发展情况工作报告》，大力实施村级集体经济“消薄攻坚”行动，指导市县“一村一策”制定发展规划，推动集体经济薄弱村全面清零。四是促进产业联农带农。开展“万企兴万村”行动，截至11月，参与民营企业8130家，增长190%，结对帮扶7241个村，投资总额约1132亿元，增长1.8倍。开展返乡创业三年专项行动，预计新增返乡创业人员38万人，带动就业人数150万人。前三季度全省农村居民人均可支配收入14766元，增长6.7%，高于城镇居民收入增速2.6个百分点。</w:t>
      </w:r>
    </w:p>
    <w:p w14:paraId="1EF0A39C">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5</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强化农业科技创新，打造种业和农机发展高地。一是加强种业关键核心技术攻关。高标准建成国家级现代种业产业园、省南繁科研育种园。统筹种业领域国家级、省级创新平台，高起点建好岳麓山实验室，目前已进入试运行。我省杂交稻连续实现五轮高产跃升，杂交水稻种子产销量居全国首位。西北万亩连片耐盐碱水稻示范片亩产突破573.8公斤。示范推广具有镉低积累特性水稻品种107万亩。育成首个通过国家审定的镉低积累水稻品种（西子3号）。开发出地方猪首款基因芯片。二是加快补齐丘陵山区农机研发应用短板。已自主研发出轻型履带拖拉机、油茶采收机等41款适合南方丘陵山区的特色机具。以关键共性技术为重点，安排2亿元开展“揭榜挂帅”攻关，着力破解高性能通用动力底盘、智能导航避障等技术难点。引导中联重科等4家“全球50强”工程机械企业加大农机研发力度。全国农机装备补短板暨农业机械稳链强链工作会议在我省召开。</w:t>
      </w:r>
    </w:p>
    <w:p w14:paraId="1419B009">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6</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学习借鉴“千万工程”经验，建设宜居宜业和美乡村。一是深化农村人居环境整治提升。省政府召开全省村庄规划工作视频会议，推进村庄规划质量提升行动。对2013年以来政府组织实施改造的农村户厕开展问题摸排整改再“回头看”，年底前全部整改到位或列入长期整改规划。分湘中、湘北、湘西、湘南4个片区，召开全省农村人居环境整治提升暨和美乡村建设现场推进会，累计创建省级美丽乡村示范村1079个。持续抓好长江十年禁渔，监测到江豚数量由2017年的110头增加到162头，全国长江十年禁渔“三年强基础”现场会在湖南召开。二是完善农村基础设施和公共服务。完成农村供水工程513处，147.57万人受益；维修养护工程6639处，1575万人受益。安排10千伏及以下农网改造投资57.45亿元，农村供电可靠率提升至99.85%。完成农村公路新改建5703公里，安防工程7039公里、危桥改造686座。建立优质学校与薄弱学校对口帮扶制度，结对帮扶校达2200多对，促进优质教育资源城乡共建共享。省委农办、省卫健委等15部门联合出台《关于进一步深化改革促进乡村医疗卫生体系健康发展的若干政策措施》。招聘农村特岗教师1748人，订单培养医学生1401人、农林水特岗生1275人。三是加强农业农村突出环境问题整治。印发《湖南省2023年农村环境整治实施方案》，大力整治农村生活污水和黑臭水体。新建乡镇污水管网61.7公里，乡镇垃圾中转站102座。持续加强农业面源污染防治，组织58个畜牧大县完成畜禽养殖污染防治规划编制。四是推进乡村治理能力现代化。探索推行“三长制”（片长、组长、邻长），整顿软弱涣散村（社区）党组织618个，完成全省新一轮8856支驻村工作队轮换。全面开展“三湘护农”专项行动，聚焦惠农补贴资金、农村集体“三资”管理等方面，坚决整治乡村振兴领域不正之风和腐败问题。持续推进平安乡村建设、农村移风易俗和“听党话、感党恩、跟党走”宣传教育活动。</w:t>
      </w:r>
    </w:p>
    <w:p w14:paraId="54296FE7">
      <w:pPr>
        <w:keepNext w:val="0"/>
        <w:keepLines w:val="0"/>
        <w:pageBreakBefore w:val="0"/>
        <w:numPr>
          <w:ilvl w:val="0"/>
          <w:numId w:val="0"/>
        </w:numPr>
        <w:kinsoku/>
        <w:wordWrap/>
        <w:overflowPunct/>
        <w:topLinePunct w:val="0"/>
        <w:autoSpaceDE/>
        <w:autoSpaceDN/>
        <w:bidi w:val="0"/>
        <w:spacing w:line="560" w:lineRule="exact"/>
        <w:ind w:firstLine="640" w:firstLineChars="200"/>
        <w:outlineLvl w:val="1"/>
        <w:rPr>
          <w:rFonts w:hint="eastAsia" w:ascii="Times New Roman" w:hAnsi="Times New Roman" w:eastAsia="仿宋_GB2312" w:cs="黑体"/>
          <w:color w:val="auto"/>
          <w:kern w:val="0"/>
          <w:sz w:val="32"/>
          <w:szCs w:val="32"/>
          <w:highlight w:val="none"/>
          <w:lang w:val="en-US" w:eastAsia="zh-CN" w:bidi="ar-SA"/>
        </w:rPr>
      </w:pPr>
      <w:bookmarkStart w:id="11" w:name="_Toc26789"/>
      <w:r>
        <w:rPr>
          <w:rFonts w:hint="eastAsia" w:ascii="Times New Roman" w:hAnsi="Times New Roman" w:eastAsia="仿宋_GB2312" w:cs="黑体"/>
          <w:color w:val="auto"/>
          <w:kern w:val="0"/>
          <w:sz w:val="32"/>
          <w:szCs w:val="32"/>
          <w:highlight w:val="none"/>
          <w:lang w:val="en-US" w:eastAsia="zh-CN" w:bidi="ar-SA"/>
        </w:rPr>
        <w:t>2.绩效目标及效益完成情况</w:t>
      </w:r>
      <w:bookmarkEnd w:id="11"/>
    </w:p>
    <w:p w14:paraId="7CAEC159">
      <w:pPr>
        <w:ind w:firstLine="640"/>
        <w:outlineLvl w:val="9"/>
        <w:rPr>
          <w:rFonts w:hint="default" w:ascii="Times New Roman" w:hAnsi="Times New Roman" w:eastAsia="仿宋_GB2312" w:cs="黑体"/>
          <w:color w:val="auto"/>
          <w:kern w:val="0"/>
          <w:sz w:val="32"/>
          <w:szCs w:val="32"/>
          <w:highlight w:val="none"/>
          <w:lang w:val="en-US" w:eastAsia="zh-CN" w:bidi="ar-SA"/>
        </w:rPr>
      </w:pPr>
      <w:r>
        <w:rPr>
          <w:rFonts w:hint="eastAsia" w:ascii="Times New Roman" w:hAnsi="Times New Roman" w:eastAsia="仿宋_GB2312" w:cs="黑体"/>
          <w:color w:val="auto"/>
          <w:kern w:val="0"/>
          <w:sz w:val="32"/>
          <w:szCs w:val="32"/>
          <w:highlight w:val="none"/>
          <w:lang w:val="en-US" w:eastAsia="zh-CN" w:bidi="ar-SA"/>
        </w:rPr>
        <w:t>（1）部门整体绩效自评情况</w:t>
      </w:r>
    </w:p>
    <w:p w14:paraId="7A02AE1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2023年，省农业农村厅根据中央重点任务目标、省政府重要工作部署、本厅年初工作计划、立法工作计划和监督工作计划，分级分类制定了绩效目标和绩效指标。部门整体绩效自评得分“97.5分”，详见附件2，绩效目标及效益完成情况较好。</w:t>
      </w:r>
    </w:p>
    <w:tbl>
      <w:tblPr>
        <w:tblStyle w:val="12"/>
        <w:tblW w:w="8400" w:type="dxa"/>
        <w:tblInd w:w="8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1322"/>
        <w:gridCol w:w="2531"/>
        <w:gridCol w:w="1363"/>
        <w:gridCol w:w="1058"/>
        <w:gridCol w:w="1271"/>
      </w:tblGrid>
      <w:tr w14:paraId="3B1F2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8400" w:type="dxa"/>
            <w:gridSpan w:val="6"/>
            <w:tcBorders>
              <w:top w:val="nil"/>
              <w:left w:val="nil"/>
              <w:bottom w:val="single" w:color="000000" w:sz="12" w:space="0"/>
              <w:right w:val="nil"/>
            </w:tcBorders>
            <w:shd w:val="clear" w:color="auto" w:fill="auto"/>
            <w:noWrap/>
            <w:vAlign w:val="center"/>
          </w:tcPr>
          <w:p w14:paraId="28A0B22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8"/>
                <w:szCs w:val="28"/>
                <w:highlight w:val="none"/>
                <w:u w:val="none"/>
                <w:lang w:val="en-US" w:eastAsia="zh-CN" w:bidi="ar"/>
              </w:rPr>
              <w:t>部门整体绩效自评指标得分率情况表</w:t>
            </w:r>
          </w:p>
        </w:tc>
      </w:tr>
      <w:tr w14:paraId="47DA4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855" w:type="dxa"/>
            <w:tcBorders>
              <w:top w:val="single" w:color="000000" w:sz="12" w:space="0"/>
              <w:left w:val="nil"/>
              <w:bottom w:val="dotted" w:color="000000" w:sz="4" w:space="0"/>
              <w:right w:val="dotted" w:color="000000" w:sz="4" w:space="0"/>
            </w:tcBorders>
            <w:shd w:val="clear" w:color="auto" w:fill="auto"/>
            <w:noWrap/>
            <w:vAlign w:val="center"/>
          </w:tcPr>
          <w:p w14:paraId="5992C1F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序号</w:t>
            </w:r>
          </w:p>
        </w:tc>
        <w:tc>
          <w:tcPr>
            <w:tcW w:w="1322"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648431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一级指标</w:t>
            </w:r>
          </w:p>
        </w:tc>
        <w:tc>
          <w:tcPr>
            <w:tcW w:w="2531"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39E890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二级指标</w:t>
            </w:r>
          </w:p>
        </w:tc>
        <w:tc>
          <w:tcPr>
            <w:tcW w:w="1363"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992DE8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分值</w:t>
            </w:r>
          </w:p>
        </w:tc>
        <w:tc>
          <w:tcPr>
            <w:tcW w:w="1058"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9CE3DD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w:t>
            </w:r>
          </w:p>
        </w:tc>
        <w:tc>
          <w:tcPr>
            <w:tcW w:w="1271" w:type="dxa"/>
            <w:tcBorders>
              <w:top w:val="single" w:color="000000" w:sz="12" w:space="0"/>
              <w:left w:val="dotted" w:color="000000" w:sz="4" w:space="0"/>
              <w:bottom w:val="dotted" w:color="000000" w:sz="4" w:space="0"/>
              <w:right w:val="nil"/>
            </w:tcBorders>
            <w:shd w:val="clear" w:color="auto" w:fill="auto"/>
            <w:noWrap/>
            <w:vAlign w:val="center"/>
          </w:tcPr>
          <w:p w14:paraId="77155AF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得分率</w:t>
            </w:r>
          </w:p>
        </w:tc>
      </w:tr>
      <w:tr w14:paraId="480B2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7D5FFB2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w:t>
            </w:r>
          </w:p>
        </w:tc>
        <w:tc>
          <w:tcPr>
            <w:tcW w:w="3853" w:type="dxa"/>
            <w:gridSpan w:val="2"/>
            <w:tcBorders>
              <w:top w:val="dotted" w:color="000000" w:sz="4" w:space="0"/>
              <w:left w:val="dotted" w:color="000000" w:sz="4" w:space="0"/>
              <w:bottom w:val="dotted" w:color="000000" w:sz="4" w:space="0"/>
              <w:right w:val="dotted" w:color="000000" w:sz="4" w:space="0"/>
            </w:tcBorders>
            <w:shd w:val="clear" w:color="auto" w:fill="auto"/>
            <w:noWrap/>
            <w:vAlign w:val="center"/>
          </w:tcPr>
          <w:p w14:paraId="46CACC0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预算执行率</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F96B63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1A01DA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7.50</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7CE71BD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75.00%</w:t>
            </w:r>
          </w:p>
        </w:tc>
      </w:tr>
      <w:tr w14:paraId="653E0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2538060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812E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D7613E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数量</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E48B75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29</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E27D2C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29</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7DE1A7C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783F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500779E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0769C6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0F140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质量</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B5CD2F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E65E46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2514693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E7DC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5AEC91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B97244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0102E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时效</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169A40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C6F477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39EC32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0E86A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4CE3C4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6B36BE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D7FBA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成本</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75F4E3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DAEB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64411B2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2F553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0CF38F3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819FD9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3461A5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经济效益</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D51F52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4EA00F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3BAAD7F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07FC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19A6EBC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6B0F7E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B4D35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社会效益</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9DCC0B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12</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98C61D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12</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5C1584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0A1F9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4C717F6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EA0CE2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4DFAC4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生态效益</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3A3179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32CC8B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0B7B765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5FBE3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554913E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9D1C0D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9BEFE7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可持续影响</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EB5047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B259EF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1AE5668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518F7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4EA9DE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DD4E07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满意度</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932247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服务对象满意度指标</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AA4B4D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AD55A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4144A9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20B37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855" w:type="dxa"/>
            <w:tcBorders>
              <w:top w:val="dotted" w:color="000000" w:sz="4" w:space="0"/>
              <w:left w:val="nil"/>
              <w:bottom w:val="single" w:color="000000" w:sz="12" w:space="0"/>
              <w:right w:val="dotted" w:color="000000" w:sz="4" w:space="0"/>
            </w:tcBorders>
            <w:shd w:val="clear" w:color="auto" w:fill="auto"/>
            <w:noWrap/>
            <w:vAlign w:val="center"/>
          </w:tcPr>
          <w:p w14:paraId="50FB5B8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11</w:t>
            </w:r>
          </w:p>
        </w:tc>
        <w:tc>
          <w:tcPr>
            <w:tcW w:w="3853"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9FE38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合计</w:t>
            </w:r>
          </w:p>
        </w:tc>
        <w:tc>
          <w:tcPr>
            <w:tcW w:w="1363"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47E450F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w:t>
            </w:r>
          </w:p>
        </w:tc>
        <w:tc>
          <w:tcPr>
            <w:tcW w:w="1058"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689062A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97.5</w:t>
            </w:r>
          </w:p>
        </w:tc>
        <w:tc>
          <w:tcPr>
            <w:tcW w:w="1271" w:type="dxa"/>
            <w:tcBorders>
              <w:top w:val="dotted" w:color="000000" w:sz="4" w:space="0"/>
              <w:left w:val="dotted" w:color="000000" w:sz="4" w:space="0"/>
              <w:bottom w:val="single" w:color="000000" w:sz="12" w:space="0"/>
              <w:right w:val="nil"/>
            </w:tcBorders>
            <w:shd w:val="clear" w:color="auto" w:fill="auto"/>
            <w:noWrap/>
            <w:vAlign w:val="center"/>
          </w:tcPr>
          <w:p w14:paraId="51012F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97.5%</w:t>
            </w:r>
          </w:p>
        </w:tc>
      </w:tr>
    </w:tbl>
    <w:p w14:paraId="1F2C7F3E">
      <w:pPr>
        <w:ind w:left="0" w:leftChars="0" w:firstLine="640" w:firstLineChars="200"/>
        <w:outlineLvl w:val="9"/>
        <w:rPr>
          <w:rFonts w:hint="default"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（2）项目绩效自评情况</w:t>
      </w:r>
    </w:p>
    <w:p w14:paraId="03EE8B22">
      <w:pPr>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农业农村厅业务维护经费项目支出绩效自评得分“97.2</w:t>
      </w:r>
      <w:r>
        <w:rPr>
          <w:rFonts w:hint="default" w:ascii="Times New Roman Regular" w:hAnsi="Times New Roman Regular" w:eastAsia="仿宋_GB2312" w:cs="Times New Roman Regular"/>
          <w:b w:val="0"/>
          <w:bCs w:val="0"/>
          <w:color w:val="auto"/>
          <w:kern w:val="2"/>
          <w:sz w:val="32"/>
          <w:szCs w:val="32"/>
          <w:highlight w:val="none"/>
          <w:lang w:val="en" w:eastAsia="zh-CN" w:bidi="ar-SA"/>
        </w:rPr>
        <w:t>6</w:t>
      </w: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分”、运行维护经费（其他运转类）项目支出绩效自评得分“94.20分”、其他事业发展资金项目支出绩效自评得分“94.42分”，详见附件3-5，绩效完成情况较好。各项目支出绩效自评主要指标得分率情况如下表：</w:t>
      </w:r>
    </w:p>
    <w:p w14:paraId="0F66D4D9">
      <w:pPr>
        <w:numPr>
          <w:ilvl w:val="0"/>
          <w:numId w:val="0"/>
        </w:numPr>
        <w:ind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default" w:ascii="Calibri" w:hAnsi="Calibri" w:eastAsia="仿宋_GB2312" w:cs="Calibri"/>
          <w:b w:val="0"/>
          <w:bCs w:val="0"/>
          <w:color w:val="auto"/>
          <w:kern w:val="2"/>
          <w:sz w:val="32"/>
          <w:szCs w:val="32"/>
          <w:highlight w:val="none"/>
          <w:lang w:val="en-US" w:eastAsia="zh-CN" w:bidi="ar-SA"/>
        </w:rPr>
        <w:t>①</w:t>
      </w: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业务维护经费项目</w:t>
      </w:r>
    </w:p>
    <w:tbl>
      <w:tblPr>
        <w:tblStyle w:val="12"/>
        <w:tblW w:w="8260" w:type="dxa"/>
        <w:tblInd w:w="86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1"/>
        <w:gridCol w:w="1784"/>
        <w:gridCol w:w="2593"/>
        <w:gridCol w:w="1038"/>
        <w:gridCol w:w="997"/>
        <w:gridCol w:w="1027"/>
      </w:tblGrid>
      <w:tr w14:paraId="4EE0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8260" w:type="dxa"/>
            <w:gridSpan w:val="6"/>
            <w:tcBorders>
              <w:top w:val="nil"/>
              <w:left w:val="nil"/>
              <w:bottom w:val="single" w:color="000000" w:sz="12" w:space="0"/>
              <w:right w:val="nil"/>
            </w:tcBorders>
            <w:shd w:val="clear" w:color="auto" w:fill="auto"/>
            <w:noWrap/>
            <w:vAlign w:val="center"/>
          </w:tcPr>
          <w:p w14:paraId="0AB5B71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ascii="仿宋_GB2312" w:hAnsi="宋体" w:eastAsia="仿宋_GB2312" w:cs="仿宋_GB2312"/>
                <w:i w:val="0"/>
                <w:iCs w:val="0"/>
                <w:color w:val="auto"/>
                <w:sz w:val="21"/>
                <w:szCs w:val="21"/>
                <w:highlight w:val="none"/>
                <w:u w:val="none"/>
              </w:rPr>
            </w:pPr>
            <w:r>
              <w:rPr>
                <w:rFonts w:hint="eastAsia" w:ascii="Times New Roman Regular" w:hAnsi="Times New Roman Regular" w:eastAsia="仿宋_GB2312" w:cs="Times New Roman Regular"/>
                <w:b w:val="0"/>
                <w:bCs w:val="0"/>
                <w:color w:val="auto"/>
                <w:kern w:val="2"/>
                <w:sz w:val="28"/>
                <w:szCs w:val="28"/>
                <w:highlight w:val="none"/>
                <w:lang w:val="en-US" w:eastAsia="zh-CN" w:bidi="ar-SA"/>
              </w:rPr>
              <w:t>业务维护经费绩效自评</w:t>
            </w:r>
            <w:r>
              <w:rPr>
                <w:rFonts w:hint="eastAsia" w:ascii="仿宋_GB2312" w:hAnsi="宋体" w:eastAsia="仿宋_GB2312" w:cs="仿宋_GB2312"/>
                <w:i w:val="0"/>
                <w:iCs w:val="0"/>
                <w:color w:val="auto"/>
                <w:kern w:val="0"/>
                <w:sz w:val="28"/>
                <w:szCs w:val="28"/>
                <w:highlight w:val="none"/>
                <w:u w:val="none"/>
                <w:lang w:val="en-US" w:eastAsia="zh-CN" w:bidi="ar"/>
              </w:rPr>
              <w:t>指标得分率情况表</w:t>
            </w:r>
          </w:p>
        </w:tc>
      </w:tr>
      <w:tr w14:paraId="39084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821" w:type="dxa"/>
            <w:tcBorders>
              <w:top w:val="single" w:color="000000" w:sz="12" w:space="0"/>
              <w:left w:val="nil"/>
              <w:bottom w:val="dotted" w:color="000000" w:sz="4" w:space="0"/>
              <w:right w:val="dotted" w:color="000000" w:sz="4" w:space="0"/>
            </w:tcBorders>
            <w:shd w:val="clear" w:color="auto" w:fill="auto"/>
            <w:noWrap/>
            <w:vAlign w:val="center"/>
          </w:tcPr>
          <w:p w14:paraId="4381BC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序号</w:t>
            </w:r>
          </w:p>
        </w:tc>
        <w:tc>
          <w:tcPr>
            <w:tcW w:w="1784"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2E43DF7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一级指标</w:t>
            </w:r>
          </w:p>
        </w:tc>
        <w:tc>
          <w:tcPr>
            <w:tcW w:w="2593"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10EFD7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二级指标</w:t>
            </w:r>
          </w:p>
        </w:tc>
        <w:tc>
          <w:tcPr>
            <w:tcW w:w="1038"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0F72A34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分值</w:t>
            </w:r>
          </w:p>
        </w:tc>
        <w:tc>
          <w:tcPr>
            <w:tcW w:w="997"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6CC8C6E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w:t>
            </w:r>
          </w:p>
        </w:tc>
        <w:tc>
          <w:tcPr>
            <w:tcW w:w="1027" w:type="dxa"/>
            <w:tcBorders>
              <w:top w:val="single" w:color="000000" w:sz="12" w:space="0"/>
              <w:left w:val="dotted" w:color="000000" w:sz="4" w:space="0"/>
              <w:bottom w:val="dotted" w:color="000000" w:sz="4" w:space="0"/>
              <w:right w:val="nil"/>
            </w:tcBorders>
            <w:shd w:val="clear" w:color="auto" w:fill="auto"/>
            <w:noWrap/>
            <w:vAlign w:val="center"/>
          </w:tcPr>
          <w:p w14:paraId="6061DC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得分率</w:t>
            </w:r>
          </w:p>
        </w:tc>
      </w:tr>
      <w:tr w14:paraId="2D2B2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5F7E76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w:t>
            </w:r>
          </w:p>
        </w:tc>
        <w:tc>
          <w:tcPr>
            <w:tcW w:w="4377" w:type="dxa"/>
            <w:gridSpan w:val="2"/>
            <w:tcBorders>
              <w:top w:val="dotted" w:color="000000" w:sz="4" w:space="0"/>
              <w:left w:val="dotted" w:color="000000" w:sz="4" w:space="0"/>
              <w:bottom w:val="dotted" w:color="000000" w:sz="4" w:space="0"/>
              <w:right w:val="dotted" w:color="000000" w:sz="4" w:space="0"/>
            </w:tcBorders>
            <w:shd w:val="clear" w:color="auto" w:fill="auto"/>
            <w:noWrap/>
            <w:vAlign w:val="center"/>
          </w:tcPr>
          <w:p w14:paraId="20BE1C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预算执行率</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EA7102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F0BFA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7.2</w:t>
            </w:r>
            <w:r>
              <w:rPr>
                <w:rFonts w:hint="default" w:ascii="Times New Roman Regular" w:hAnsi="Times New Roman Regular" w:eastAsia="仿宋_GB2312" w:cs="Times New Roman Regular"/>
                <w:b w:val="0"/>
                <w:bCs w:val="0"/>
                <w:color w:val="auto"/>
                <w:kern w:val="2"/>
                <w:sz w:val="21"/>
                <w:szCs w:val="21"/>
                <w:highlight w:val="none"/>
                <w:lang w:val="en" w:eastAsia="zh-CN" w:bidi="ar-SA"/>
              </w:rPr>
              <w:t>6</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37430D8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72.</w:t>
            </w:r>
            <w:r>
              <w:rPr>
                <w:rFonts w:hint="default" w:ascii="Times New Roman Regular" w:hAnsi="Times New Roman Regular" w:eastAsia="仿宋_GB2312" w:cs="Times New Roman Regular"/>
                <w:b w:val="0"/>
                <w:bCs w:val="0"/>
                <w:color w:val="auto"/>
                <w:kern w:val="2"/>
                <w:sz w:val="21"/>
                <w:szCs w:val="21"/>
                <w:highlight w:val="none"/>
                <w:lang w:val="en" w:eastAsia="zh-CN" w:bidi="ar-SA"/>
              </w:rPr>
              <w:t>60</w:t>
            </w: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w:t>
            </w:r>
          </w:p>
        </w:tc>
      </w:tr>
      <w:tr w14:paraId="1709F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57C7CA7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1C97AB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145977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数量</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4D2F20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30</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674605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30</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12D8BAC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E99B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4E8706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371641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8E507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质量</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16C73F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5F0DEB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1FEC79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39AD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64C422F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138CDE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4B5C59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时效</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46E6CD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662CDE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11BC685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AC40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269EEF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8510E1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9159FB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成本</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FDA508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3A2BE4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30D5B6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8941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6D9362C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C5A038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7D1FFF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经济效益</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7C47FB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12</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225A6D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12</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17D7655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1FE4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10041A3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5C1C1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82E27B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社会效益</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C56FFE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F28E62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773C86C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F5F0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5F6B59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2C660D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79C9A8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生态效益</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1ECD3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20CB46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70593D0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055B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42B362D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C09154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8E8AEF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可持续影响</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7823C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8724ED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4F5501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5480C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50CD76D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49F4C8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满意度</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31654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服务对象满意度指标</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6C322D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40C303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18F953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B574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821" w:type="dxa"/>
            <w:tcBorders>
              <w:top w:val="dotted" w:color="000000" w:sz="4" w:space="0"/>
              <w:left w:val="nil"/>
              <w:bottom w:val="single" w:color="000000" w:sz="12" w:space="0"/>
              <w:right w:val="dotted" w:color="000000" w:sz="4" w:space="0"/>
            </w:tcBorders>
            <w:shd w:val="clear" w:color="auto" w:fill="auto"/>
            <w:noWrap/>
            <w:vAlign w:val="center"/>
          </w:tcPr>
          <w:p w14:paraId="4228960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11</w:t>
            </w:r>
          </w:p>
        </w:tc>
        <w:tc>
          <w:tcPr>
            <w:tcW w:w="4377"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5086EE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合计</w:t>
            </w:r>
          </w:p>
        </w:tc>
        <w:tc>
          <w:tcPr>
            <w:tcW w:w="1038"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7B02E37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w:t>
            </w:r>
          </w:p>
        </w:tc>
        <w:tc>
          <w:tcPr>
            <w:tcW w:w="997"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4EADA9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97.2</w:t>
            </w:r>
            <w:r>
              <w:rPr>
                <w:rFonts w:hint="default" w:ascii="Times New Roman Regular" w:hAnsi="Times New Roman Regular" w:eastAsia="仿宋_GB2312" w:cs="Times New Roman Regular"/>
                <w:b w:val="0"/>
                <w:bCs w:val="0"/>
                <w:color w:val="auto"/>
                <w:kern w:val="2"/>
                <w:sz w:val="21"/>
                <w:szCs w:val="21"/>
                <w:highlight w:val="none"/>
                <w:lang w:val="en" w:eastAsia="zh-CN" w:bidi="ar-SA"/>
              </w:rPr>
              <w:t>6</w:t>
            </w:r>
          </w:p>
        </w:tc>
        <w:tc>
          <w:tcPr>
            <w:tcW w:w="1027" w:type="dxa"/>
            <w:tcBorders>
              <w:top w:val="dotted" w:color="000000" w:sz="4" w:space="0"/>
              <w:left w:val="dotted" w:color="000000" w:sz="4" w:space="0"/>
              <w:bottom w:val="single" w:color="000000" w:sz="12" w:space="0"/>
              <w:right w:val="nil"/>
            </w:tcBorders>
            <w:shd w:val="clear" w:color="auto" w:fill="auto"/>
            <w:noWrap/>
            <w:vAlign w:val="center"/>
          </w:tcPr>
          <w:p w14:paraId="71A32C5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97.</w:t>
            </w:r>
            <w:r>
              <w:rPr>
                <w:rFonts w:hint="default" w:ascii="Times New Roman Regular" w:hAnsi="Times New Roman Regular" w:eastAsia="仿宋_GB2312" w:cs="Times New Roman Regular"/>
                <w:b w:val="0"/>
                <w:bCs w:val="0"/>
                <w:color w:val="auto"/>
                <w:kern w:val="2"/>
                <w:sz w:val="21"/>
                <w:szCs w:val="21"/>
                <w:highlight w:val="none"/>
                <w:lang w:val="en" w:eastAsia="zh-CN" w:bidi="ar-SA"/>
              </w:rPr>
              <w:t>26</w:t>
            </w: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w:t>
            </w:r>
          </w:p>
        </w:tc>
      </w:tr>
    </w:tbl>
    <w:p w14:paraId="0D81A02E">
      <w:pPr>
        <w:numPr>
          <w:ilvl w:val="0"/>
          <w:numId w:val="0"/>
        </w:numPr>
        <w:ind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default" w:ascii="Calibri" w:hAnsi="Calibri" w:eastAsia="仿宋_GB2312" w:cs="Calibri"/>
          <w:b w:val="0"/>
          <w:bCs w:val="0"/>
          <w:color w:val="auto"/>
          <w:kern w:val="2"/>
          <w:sz w:val="32"/>
          <w:szCs w:val="32"/>
          <w:highlight w:val="none"/>
          <w:lang w:val="en-US" w:eastAsia="zh-CN" w:bidi="ar-SA"/>
        </w:rPr>
        <w:t>②</w:t>
      </w: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运行维护经费（其他运转类）项目</w:t>
      </w:r>
    </w:p>
    <w:tbl>
      <w:tblPr>
        <w:tblStyle w:val="12"/>
        <w:tblW w:w="8200" w:type="dxa"/>
        <w:tblInd w:w="8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5"/>
        <w:gridCol w:w="1771"/>
        <w:gridCol w:w="2574"/>
        <w:gridCol w:w="1030"/>
        <w:gridCol w:w="989"/>
        <w:gridCol w:w="1021"/>
      </w:tblGrid>
      <w:tr w14:paraId="26505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tblHeader/>
        </w:trPr>
        <w:tc>
          <w:tcPr>
            <w:tcW w:w="8200" w:type="dxa"/>
            <w:gridSpan w:val="6"/>
            <w:tcBorders>
              <w:top w:val="nil"/>
              <w:left w:val="nil"/>
              <w:bottom w:val="single" w:color="000000" w:sz="12" w:space="0"/>
              <w:right w:val="nil"/>
            </w:tcBorders>
            <w:shd w:val="clear" w:color="auto" w:fill="auto"/>
            <w:noWrap/>
            <w:vAlign w:val="center"/>
          </w:tcPr>
          <w:p w14:paraId="7A6D2F6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仿宋_GB2312" w:hAnsi="宋体" w:eastAsia="仿宋_GB2312" w:cs="仿宋_GB2312"/>
                <w:i w:val="0"/>
                <w:iCs w:val="0"/>
                <w:color w:val="auto"/>
                <w:sz w:val="21"/>
                <w:szCs w:val="21"/>
                <w:highlight w:val="none"/>
                <w:u w:val="none"/>
                <w:lang w:val="en-US"/>
              </w:rPr>
            </w:pPr>
            <w:r>
              <w:rPr>
                <w:rFonts w:hint="eastAsia" w:ascii="Times New Roman Regular" w:hAnsi="Times New Roman Regular" w:eastAsia="仿宋_GB2312" w:cs="Times New Roman Regular"/>
                <w:b w:val="0"/>
                <w:bCs w:val="0"/>
                <w:color w:val="auto"/>
                <w:kern w:val="2"/>
                <w:sz w:val="28"/>
                <w:szCs w:val="28"/>
                <w:highlight w:val="none"/>
                <w:lang w:val="en-US" w:eastAsia="zh-CN" w:bidi="ar-SA"/>
              </w:rPr>
              <w:t>运行维护经费绩效自评</w:t>
            </w:r>
            <w:r>
              <w:rPr>
                <w:rFonts w:hint="eastAsia" w:ascii="仿宋_GB2312" w:hAnsi="宋体" w:eastAsia="仿宋_GB2312" w:cs="仿宋_GB2312"/>
                <w:i w:val="0"/>
                <w:iCs w:val="0"/>
                <w:color w:val="auto"/>
                <w:kern w:val="0"/>
                <w:sz w:val="28"/>
                <w:szCs w:val="28"/>
                <w:highlight w:val="none"/>
                <w:u w:val="none"/>
                <w:lang w:val="en-US" w:eastAsia="zh-CN" w:bidi="ar"/>
              </w:rPr>
              <w:t>指标得分率情况表</w:t>
            </w:r>
          </w:p>
        </w:tc>
      </w:tr>
      <w:tr w14:paraId="00CC7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blHeader/>
        </w:trPr>
        <w:tc>
          <w:tcPr>
            <w:tcW w:w="815" w:type="dxa"/>
            <w:tcBorders>
              <w:top w:val="single" w:color="000000" w:sz="12" w:space="0"/>
              <w:left w:val="nil"/>
              <w:bottom w:val="dotted" w:color="000000" w:sz="4" w:space="0"/>
              <w:right w:val="dotted" w:color="000000" w:sz="4" w:space="0"/>
            </w:tcBorders>
            <w:shd w:val="clear" w:color="auto" w:fill="auto"/>
            <w:noWrap/>
            <w:vAlign w:val="center"/>
          </w:tcPr>
          <w:p w14:paraId="5FE4D8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序号</w:t>
            </w:r>
          </w:p>
        </w:tc>
        <w:tc>
          <w:tcPr>
            <w:tcW w:w="1771"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0187703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一级指标</w:t>
            </w:r>
          </w:p>
        </w:tc>
        <w:tc>
          <w:tcPr>
            <w:tcW w:w="2574"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04833A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二级指标</w:t>
            </w:r>
          </w:p>
        </w:tc>
        <w:tc>
          <w:tcPr>
            <w:tcW w:w="1030"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19D2A6F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分值</w:t>
            </w:r>
          </w:p>
        </w:tc>
        <w:tc>
          <w:tcPr>
            <w:tcW w:w="989"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3433087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w:t>
            </w:r>
          </w:p>
        </w:tc>
        <w:tc>
          <w:tcPr>
            <w:tcW w:w="1021" w:type="dxa"/>
            <w:tcBorders>
              <w:top w:val="single" w:color="000000" w:sz="12" w:space="0"/>
              <w:left w:val="dotted" w:color="000000" w:sz="4" w:space="0"/>
              <w:bottom w:val="dotted" w:color="000000" w:sz="4" w:space="0"/>
              <w:right w:val="nil"/>
            </w:tcBorders>
            <w:shd w:val="clear" w:color="auto" w:fill="auto"/>
            <w:noWrap/>
            <w:vAlign w:val="center"/>
          </w:tcPr>
          <w:p w14:paraId="27084B6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得分率</w:t>
            </w:r>
          </w:p>
        </w:tc>
      </w:tr>
      <w:tr w14:paraId="4124E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6DAD92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w:t>
            </w:r>
          </w:p>
        </w:tc>
        <w:tc>
          <w:tcPr>
            <w:tcW w:w="4345" w:type="dxa"/>
            <w:gridSpan w:val="2"/>
            <w:tcBorders>
              <w:top w:val="dotted" w:color="000000" w:sz="4" w:space="0"/>
              <w:left w:val="dotted" w:color="000000" w:sz="4" w:space="0"/>
              <w:bottom w:val="dotted" w:color="000000" w:sz="4" w:space="0"/>
              <w:right w:val="dotted" w:color="000000" w:sz="4" w:space="0"/>
            </w:tcBorders>
            <w:shd w:val="clear" w:color="auto" w:fill="auto"/>
            <w:noWrap/>
            <w:vAlign w:val="center"/>
          </w:tcPr>
          <w:p w14:paraId="1AE6A99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预算执行率</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1BCB2A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540B32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4.2</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65670BA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42.01%</w:t>
            </w:r>
          </w:p>
        </w:tc>
      </w:tr>
      <w:tr w14:paraId="6DEAA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1A4EE9B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03BF90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DFC18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数量</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76568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DAA3C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2D40986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E71F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22EEAD5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97444E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25F66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质量</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7925AC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7B52E1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426B14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2C672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20BD34C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C0631D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550B23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时效</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D402B0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FBC8EE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5F2E9B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7E4AD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466B4C5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972B9D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789EE6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成本</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F02565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957EA2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133972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BFA4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5FCD804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FE1AF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938DAB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经济效益</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044FD4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96DBD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5628452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FE4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5144ADC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D1D33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BC8765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社会效益</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22D435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35310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0464912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C27D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7C3B301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1B9BC8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0D5841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生态效益</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C6B8E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9CF9C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36300BF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28F9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715C100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C6CE1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EEDF30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可持续影响</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9BCC4B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A4127D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20D1E90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7EC54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01A26F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DC9D78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满意度</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8AC56E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服务对象满意度指标</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52FF8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78F4D5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5F6AC93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2D47C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815" w:type="dxa"/>
            <w:tcBorders>
              <w:top w:val="dotted" w:color="000000" w:sz="4" w:space="0"/>
              <w:left w:val="nil"/>
              <w:bottom w:val="single" w:color="000000" w:sz="12" w:space="0"/>
              <w:right w:val="dotted" w:color="000000" w:sz="4" w:space="0"/>
            </w:tcBorders>
            <w:shd w:val="clear" w:color="auto" w:fill="auto"/>
            <w:noWrap/>
            <w:vAlign w:val="center"/>
          </w:tcPr>
          <w:p w14:paraId="1773C3E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11</w:t>
            </w:r>
          </w:p>
        </w:tc>
        <w:tc>
          <w:tcPr>
            <w:tcW w:w="4345"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2247A14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合计</w:t>
            </w:r>
          </w:p>
        </w:tc>
        <w:tc>
          <w:tcPr>
            <w:tcW w:w="1030"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7067DC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w:t>
            </w:r>
          </w:p>
        </w:tc>
        <w:tc>
          <w:tcPr>
            <w:tcW w:w="989"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5C1E417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94.2</w:t>
            </w:r>
          </w:p>
        </w:tc>
        <w:tc>
          <w:tcPr>
            <w:tcW w:w="1021" w:type="dxa"/>
            <w:tcBorders>
              <w:top w:val="dotted" w:color="000000" w:sz="4" w:space="0"/>
              <w:left w:val="dotted" w:color="000000" w:sz="4" w:space="0"/>
              <w:bottom w:val="single" w:color="000000" w:sz="12" w:space="0"/>
              <w:right w:val="nil"/>
            </w:tcBorders>
            <w:shd w:val="clear" w:color="auto" w:fill="auto"/>
            <w:noWrap/>
            <w:vAlign w:val="center"/>
          </w:tcPr>
          <w:p w14:paraId="66CA61B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94.20%</w:t>
            </w:r>
          </w:p>
        </w:tc>
      </w:tr>
    </w:tbl>
    <w:p w14:paraId="0AE90E8F">
      <w:pPr>
        <w:numPr>
          <w:ilvl w:val="0"/>
          <w:numId w:val="0"/>
        </w:numPr>
        <w:ind w:leftChars="200"/>
        <w:outlineLvl w:val="9"/>
        <w:rPr>
          <w:rFonts w:hint="default" w:ascii="Times New Roman Regular" w:hAnsi="Times New Roman Regular" w:eastAsia="仿宋_GB2312" w:cs="Times New Roman Regular"/>
          <w:b w:val="0"/>
          <w:bCs w:val="0"/>
          <w:color w:val="auto"/>
          <w:kern w:val="2"/>
          <w:sz w:val="32"/>
          <w:szCs w:val="32"/>
          <w:highlight w:val="none"/>
          <w:lang w:val="en-US" w:eastAsia="zh-CN" w:bidi="ar-SA"/>
        </w:rPr>
      </w:pPr>
      <w:r>
        <w:rPr>
          <w:rFonts w:hint="default" w:ascii="Calibri" w:hAnsi="Calibri" w:eastAsia="仿宋_GB2312" w:cs="Calibri"/>
          <w:b w:val="0"/>
          <w:bCs w:val="0"/>
          <w:color w:val="auto"/>
          <w:kern w:val="2"/>
          <w:sz w:val="32"/>
          <w:szCs w:val="32"/>
          <w:highlight w:val="none"/>
          <w:lang w:val="en-US" w:eastAsia="zh-CN" w:bidi="ar-SA"/>
        </w:rPr>
        <w:t>③</w:t>
      </w: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其他事业发展资金项目</w:t>
      </w:r>
    </w:p>
    <w:tbl>
      <w:tblPr>
        <w:tblStyle w:val="12"/>
        <w:tblW w:w="8240" w:type="dxa"/>
        <w:tblInd w:w="9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1779"/>
        <w:gridCol w:w="2586"/>
        <w:gridCol w:w="1035"/>
        <w:gridCol w:w="994"/>
        <w:gridCol w:w="1028"/>
      </w:tblGrid>
      <w:tr w14:paraId="159BB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blHeader/>
        </w:trPr>
        <w:tc>
          <w:tcPr>
            <w:tcW w:w="8240" w:type="dxa"/>
            <w:gridSpan w:val="6"/>
            <w:tcBorders>
              <w:top w:val="nil"/>
              <w:left w:val="nil"/>
              <w:bottom w:val="single" w:color="000000" w:sz="12" w:space="0"/>
              <w:right w:val="nil"/>
            </w:tcBorders>
            <w:shd w:val="clear" w:color="auto" w:fill="auto"/>
            <w:noWrap/>
            <w:vAlign w:val="center"/>
          </w:tcPr>
          <w:p w14:paraId="28E15B82">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ascii="仿宋_GB2312" w:hAnsi="宋体" w:eastAsia="仿宋_GB2312" w:cs="仿宋_GB2312"/>
                <w:i w:val="0"/>
                <w:iCs w:val="0"/>
                <w:color w:val="auto"/>
                <w:sz w:val="21"/>
                <w:szCs w:val="21"/>
                <w:highlight w:val="none"/>
                <w:u w:val="none"/>
              </w:rPr>
            </w:pPr>
            <w:r>
              <w:rPr>
                <w:rFonts w:hint="eastAsia" w:ascii="Times New Roman Regular" w:hAnsi="Times New Roman Regular" w:eastAsia="仿宋_GB2312" w:cs="Times New Roman Regular"/>
                <w:b w:val="0"/>
                <w:bCs w:val="0"/>
                <w:color w:val="auto"/>
                <w:kern w:val="2"/>
                <w:sz w:val="28"/>
                <w:szCs w:val="28"/>
                <w:highlight w:val="none"/>
                <w:lang w:val="en-US" w:eastAsia="zh-CN" w:bidi="ar-SA"/>
              </w:rPr>
              <w:t>其他事业发展资金绩效自评</w:t>
            </w:r>
            <w:r>
              <w:rPr>
                <w:rFonts w:hint="eastAsia" w:ascii="仿宋_GB2312" w:hAnsi="宋体" w:eastAsia="仿宋_GB2312" w:cs="仿宋_GB2312"/>
                <w:i w:val="0"/>
                <w:iCs w:val="0"/>
                <w:color w:val="auto"/>
                <w:kern w:val="0"/>
                <w:sz w:val="28"/>
                <w:szCs w:val="28"/>
                <w:highlight w:val="none"/>
                <w:u w:val="none"/>
                <w:lang w:val="en-US" w:eastAsia="zh-CN" w:bidi="ar"/>
              </w:rPr>
              <w:t>指标得分率情况表</w:t>
            </w:r>
          </w:p>
        </w:tc>
      </w:tr>
      <w:tr w14:paraId="06688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blHeader/>
        </w:trPr>
        <w:tc>
          <w:tcPr>
            <w:tcW w:w="818" w:type="dxa"/>
            <w:tcBorders>
              <w:top w:val="single" w:color="000000" w:sz="12" w:space="0"/>
              <w:left w:val="nil"/>
              <w:bottom w:val="dotted" w:color="000000" w:sz="4" w:space="0"/>
              <w:right w:val="dotted" w:color="000000" w:sz="4" w:space="0"/>
            </w:tcBorders>
            <w:shd w:val="clear" w:color="auto" w:fill="auto"/>
            <w:noWrap/>
            <w:vAlign w:val="center"/>
          </w:tcPr>
          <w:p w14:paraId="645B91A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序号</w:t>
            </w:r>
          </w:p>
        </w:tc>
        <w:tc>
          <w:tcPr>
            <w:tcW w:w="1779"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3F80A5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一级指标</w:t>
            </w:r>
          </w:p>
        </w:tc>
        <w:tc>
          <w:tcPr>
            <w:tcW w:w="2586"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66CBB9A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二级指标</w:t>
            </w:r>
          </w:p>
        </w:tc>
        <w:tc>
          <w:tcPr>
            <w:tcW w:w="1035"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2F64096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分值</w:t>
            </w:r>
          </w:p>
        </w:tc>
        <w:tc>
          <w:tcPr>
            <w:tcW w:w="994"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1988752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w:t>
            </w:r>
          </w:p>
        </w:tc>
        <w:tc>
          <w:tcPr>
            <w:tcW w:w="1028" w:type="dxa"/>
            <w:tcBorders>
              <w:top w:val="single" w:color="000000" w:sz="12" w:space="0"/>
              <w:left w:val="dotted" w:color="000000" w:sz="4" w:space="0"/>
              <w:bottom w:val="dotted" w:color="000000" w:sz="4" w:space="0"/>
              <w:right w:val="nil"/>
            </w:tcBorders>
            <w:shd w:val="clear" w:color="auto" w:fill="auto"/>
            <w:noWrap/>
            <w:vAlign w:val="center"/>
          </w:tcPr>
          <w:p w14:paraId="0F3C8BD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得分率</w:t>
            </w:r>
          </w:p>
        </w:tc>
      </w:tr>
      <w:tr w14:paraId="60E13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4359B2A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w:t>
            </w:r>
          </w:p>
        </w:tc>
        <w:tc>
          <w:tcPr>
            <w:tcW w:w="4365" w:type="dxa"/>
            <w:gridSpan w:val="2"/>
            <w:tcBorders>
              <w:top w:val="dotted" w:color="000000" w:sz="4" w:space="0"/>
              <w:left w:val="dotted" w:color="000000" w:sz="4" w:space="0"/>
              <w:bottom w:val="dotted" w:color="000000" w:sz="4" w:space="0"/>
              <w:right w:val="dotted" w:color="000000" w:sz="4" w:space="0"/>
            </w:tcBorders>
            <w:shd w:val="clear" w:color="auto" w:fill="auto"/>
            <w:noWrap/>
            <w:vAlign w:val="center"/>
          </w:tcPr>
          <w:p w14:paraId="2B060A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预算执行率</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FEE658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1E1DE7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4.42</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07A9904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44.24%</w:t>
            </w:r>
          </w:p>
        </w:tc>
      </w:tr>
      <w:tr w14:paraId="634C8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2020F6B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2B977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7EC394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数量</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256822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22.5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0D8E8A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22.5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280077C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94C8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3848533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1D767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30D0D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质量</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6DE2C9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17.5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EA2FD4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17.5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67B22BC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0AEB3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0255246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1B7F9F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BFE5B8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时效</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928818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CB5582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2792309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F0E1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614B153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B4D724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C4B808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成本</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EFCF89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E20CFE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7D9BFC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26E8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2AFDC0F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54817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BF70FA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经济效益</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9A2D0D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E565E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28840AA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2FF8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5BF227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7F0CE2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7136E8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社会效益</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446EDA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E46293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46EFBE8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08AD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4A8C08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19D56F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DFAB8F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可持续影响</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9A7131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E48EAD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132137E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528B3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153C26D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0F85A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满意度</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10BB0D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服务对象满意度指标</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BFBFE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C8A473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0CD8945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4D63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818" w:type="dxa"/>
            <w:tcBorders>
              <w:top w:val="dotted" w:color="000000" w:sz="4" w:space="0"/>
              <w:left w:val="nil"/>
              <w:bottom w:val="single" w:color="000000" w:sz="12" w:space="0"/>
              <w:right w:val="dotted" w:color="000000" w:sz="4" w:space="0"/>
            </w:tcBorders>
            <w:shd w:val="clear" w:color="auto" w:fill="auto"/>
            <w:noWrap/>
            <w:vAlign w:val="center"/>
          </w:tcPr>
          <w:p w14:paraId="6CFB7BA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4365"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449114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合计</w:t>
            </w:r>
          </w:p>
        </w:tc>
        <w:tc>
          <w:tcPr>
            <w:tcW w:w="1035"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6131512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w:t>
            </w:r>
          </w:p>
        </w:tc>
        <w:tc>
          <w:tcPr>
            <w:tcW w:w="994"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564C44C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94.42</w:t>
            </w:r>
          </w:p>
        </w:tc>
        <w:tc>
          <w:tcPr>
            <w:tcW w:w="1028" w:type="dxa"/>
            <w:tcBorders>
              <w:top w:val="dotted" w:color="000000" w:sz="4" w:space="0"/>
              <w:left w:val="dotted" w:color="000000" w:sz="4" w:space="0"/>
              <w:bottom w:val="single" w:color="000000" w:sz="12" w:space="0"/>
              <w:right w:val="nil"/>
            </w:tcBorders>
            <w:shd w:val="clear" w:color="auto" w:fill="auto"/>
            <w:noWrap/>
            <w:vAlign w:val="center"/>
          </w:tcPr>
          <w:p w14:paraId="1B6DA82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94.42%</w:t>
            </w:r>
          </w:p>
        </w:tc>
      </w:tr>
    </w:tbl>
    <w:p w14:paraId="1B34501A">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楷体" w:hAnsi="楷体" w:eastAsia="楷体" w:cs="楷体"/>
          <w:b/>
          <w:bCs/>
          <w:color w:val="auto"/>
          <w:sz w:val="32"/>
          <w:szCs w:val="32"/>
          <w:highlight w:val="none"/>
        </w:rPr>
      </w:pPr>
      <w:r>
        <w:rPr>
          <w:rFonts w:hint="eastAsia" w:ascii="楷体" w:hAnsi="楷体" w:eastAsia="楷体" w:cs="楷体"/>
          <w:b/>
          <w:bCs/>
          <w:color w:val="auto"/>
          <w:sz w:val="32"/>
          <w:szCs w:val="32"/>
          <w:highlight w:val="none"/>
          <w:lang w:eastAsia="zh-CN"/>
        </w:rPr>
        <w:t>（三）</w:t>
      </w:r>
      <w:r>
        <w:rPr>
          <w:rFonts w:hint="eastAsia" w:ascii="楷体" w:hAnsi="楷体" w:eastAsia="楷体" w:cs="楷体"/>
          <w:b/>
          <w:bCs/>
          <w:color w:val="auto"/>
          <w:sz w:val="32"/>
          <w:szCs w:val="32"/>
          <w:highlight w:val="none"/>
        </w:rPr>
        <w:t>存在的问题及原因分析</w:t>
      </w:r>
    </w:p>
    <w:p w14:paraId="096FBDF4">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bookmarkStart w:id="12" w:name="_Toc16222"/>
      <w:r>
        <w:rPr>
          <w:rFonts w:hint="eastAsia" w:ascii="Times New Roman" w:hAnsi="Times New Roman" w:eastAsia="仿宋_GB2312"/>
          <w:color w:val="auto"/>
          <w:sz w:val="32"/>
          <w:szCs w:val="32"/>
          <w:highlight w:val="none"/>
          <w:lang w:val="en-US" w:eastAsia="zh-CN"/>
        </w:rPr>
        <w:t>1.绩效目标和指标设置不够</w:t>
      </w:r>
      <w:bookmarkEnd w:id="12"/>
      <w:r>
        <w:rPr>
          <w:rFonts w:hint="eastAsia" w:ascii="Times New Roman" w:hAnsi="Times New Roman" w:eastAsia="仿宋_GB2312"/>
          <w:color w:val="auto"/>
          <w:sz w:val="32"/>
          <w:szCs w:val="32"/>
          <w:highlight w:val="none"/>
          <w:lang w:val="en-US" w:eastAsia="zh-CN"/>
        </w:rPr>
        <w:t>细化</w:t>
      </w:r>
    </w:p>
    <w:p w14:paraId="4EEAFBEC">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个别业务部门对绩效目标和指标认识和理解程度不够，设置绩效目标和指标未能与实际工作的目标任务有效结合，指标的数量、质量、时效、成本等不够细化，个别指标存在遗漏现象，不能全面反映工作成效和项目产出、效益等。</w:t>
      </w:r>
    </w:p>
    <w:p w14:paraId="7B7F62AB">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原因分析：个别业务部门对预算绩效管理相关文件学习不够，未能全面掌握绩效目标和指标的设置方法和指标值的取值标准，项目内容调整时未同步变更绩效目标和指标。</w:t>
      </w:r>
    </w:p>
    <w:p w14:paraId="043BE42E">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2.个别项目资金预算执行率有待提高</w:t>
      </w:r>
    </w:p>
    <w:p w14:paraId="38C8E97E">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2023年一般公共预算项目支出全年预算数为55,582.81万元，决算数为35,702.92万元，执行率为64.23%。存在个别项目预算执行率低问题。例如：湖南省畜牧兽医研究所“2023年中央国家保种场保护与畜禽生产性能测定资金”，预算金额77.00万元，决算金额21.67万元，执行率28.14%；湖南省动物疫病预防控制中心“现代农业产业技术体系建设与种业核心技术攻关资金”预算金额40.00万元，决算金额14.87万元，执行率37.19%。</w:t>
      </w:r>
    </w:p>
    <w:p w14:paraId="77B6DB11">
      <w:pPr>
        <w:pStyle w:val="17"/>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en-US" w:eastAsia="zh-CN"/>
        </w:rPr>
        <w:t>原因分析：一是部分项目系10月之后预算追加资金项目，资金下达时间晚；二是资金分配方案及实施方案上报较晚，相关项目任务和方案无法在预算年度内完全落实到位</w:t>
      </w:r>
    </w:p>
    <w:p w14:paraId="1EB353CE">
      <w:pPr>
        <w:pStyle w:val="17"/>
        <w:jc w:val="both"/>
        <w:rPr>
          <w:color w:val="auto"/>
          <w:sz w:val="72"/>
          <w:szCs w:val="72"/>
          <w:highlight w:val="none"/>
        </w:rPr>
      </w:pPr>
    </w:p>
    <w:p w14:paraId="1817612F">
      <w:pPr>
        <w:pStyle w:val="17"/>
        <w:jc w:val="center"/>
        <w:rPr>
          <w:color w:val="auto"/>
          <w:sz w:val="72"/>
          <w:szCs w:val="72"/>
          <w:highlight w:val="none"/>
        </w:rPr>
      </w:pPr>
    </w:p>
    <w:p w14:paraId="6A7538B7">
      <w:pPr>
        <w:pStyle w:val="17"/>
        <w:jc w:val="center"/>
        <w:rPr>
          <w:color w:val="auto"/>
          <w:sz w:val="72"/>
          <w:szCs w:val="72"/>
          <w:highlight w:val="none"/>
        </w:rPr>
      </w:pPr>
    </w:p>
    <w:p w14:paraId="404FBE9A">
      <w:pPr>
        <w:pStyle w:val="17"/>
        <w:jc w:val="both"/>
        <w:rPr>
          <w:rFonts w:hint="eastAsia" w:ascii="方正小标宋_GBK" w:hAnsi="方正小标宋_GBK" w:eastAsia="方正小标宋_GBK" w:cs="方正小标宋_GBK"/>
          <w:color w:val="auto"/>
          <w:sz w:val="72"/>
          <w:szCs w:val="72"/>
          <w:highlight w:val="none"/>
        </w:rPr>
      </w:pPr>
    </w:p>
    <w:p w14:paraId="403E8524">
      <w:pPr>
        <w:pStyle w:val="17"/>
        <w:jc w:val="center"/>
        <w:rPr>
          <w:rFonts w:hint="eastAsia" w:ascii="方正小标宋_GBK" w:hAnsi="方正小标宋_GBK" w:eastAsia="方正小标宋_GBK" w:cs="方正小标宋_GBK"/>
          <w:color w:val="auto"/>
          <w:sz w:val="72"/>
          <w:szCs w:val="72"/>
          <w:highlight w:val="none"/>
        </w:rPr>
      </w:pPr>
    </w:p>
    <w:p w14:paraId="3560C237">
      <w:pPr>
        <w:pStyle w:val="17"/>
        <w:jc w:val="center"/>
        <w:rPr>
          <w:rFonts w:hint="eastAsia" w:ascii="方正小标宋_GBK" w:hAnsi="方正小标宋_GBK" w:eastAsia="方正小标宋_GBK" w:cs="方正小标宋_GBK"/>
          <w:color w:val="auto"/>
          <w:sz w:val="72"/>
          <w:szCs w:val="72"/>
          <w:highlight w:val="none"/>
        </w:rPr>
      </w:pPr>
    </w:p>
    <w:p w14:paraId="4791B44B">
      <w:pPr>
        <w:pStyle w:val="17"/>
        <w:jc w:val="center"/>
        <w:rPr>
          <w:rFonts w:hint="eastAsia" w:ascii="方正小标宋_GBK" w:hAnsi="方正小标宋_GBK" w:eastAsia="方正小标宋_GBK" w:cs="方正小标宋_GBK"/>
          <w:color w:val="auto"/>
          <w:sz w:val="72"/>
          <w:szCs w:val="72"/>
          <w:highlight w:val="none"/>
        </w:rPr>
      </w:pPr>
    </w:p>
    <w:p w14:paraId="1E4C370D">
      <w:pPr>
        <w:pStyle w:val="17"/>
        <w:jc w:val="center"/>
        <w:rPr>
          <w:rFonts w:hint="eastAsia" w:ascii="方正小标宋_GBK" w:hAnsi="方正小标宋_GBK" w:eastAsia="方正小标宋_GBK" w:cs="方正小标宋_GBK"/>
          <w:color w:val="auto"/>
          <w:sz w:val="72"/>
          <w:szCs w:val="72"/>
          <w:highlight w:val="none"/>
        </w:rPr>
      </w:pPr>
    </w:p>
    <w:p w14:paraId="43FED8F4">
      <w:pPr>
        <w:pStyle w:val="17"/>
        <w:jc w:val="center"/>
        <w:rPr>
          <w:rFonts w:hint="eastAsia" w:ascii="方正小标宋_GBK" w:hAnsi="方正小标宋_GBK" w:eastAsia="方正小标宋_GBK" w:cs="方正小标宋_GBK"/>
          <w:color w:val="auto"/>
          <w:sz w:val="72"/>
          <w:szCs w:val="72"/>
          <w:highlight w:val="none"/>
        </w:rPr>
      </w:pPr>
    </w:p>
    <w:p w14:paraId="364946E8">
      <w:pPr>
        <w:pStyle w:val="17"/>
        <w:jc w:val="center"/>
        <w:rPr>
          <w:rFonts w:hint="eastAsia" w:ascii="方正小标宋_GBK" w:hAnsi="方正小标宋_GBK" w:eastAsia="方正小标宋_GBK" w:cs="方正小标宋_GBK"/>
          <w:color w:val="auto"/>
          <w:sz w:val="72"/>
          <w:szCs w:val="72"/>
          <w:highlight w:val="none"/>
        </w:rPr>
      </w:pPr>
    </w:p>
    <w:p w14:paraId="0E9DFF50">
      <w:pPr>
        <w:pStyle w:val="17"/>
        <w:jc w:val="center"/>
        <w:rPr>
          <w:rFonts w:hint="eastAsia" w:ascii="方正小标宋_GBK" w:hAnsi="方正小标宋_GBK" w:eastAsia="方正小标宋_GBK" w:cs="方正小标宋_GBK"/>
          <w:color w:val="auto"/>
          <w:sz w:val="72"/>
          <w:szCs w:val="72"/>
          <w:highlight w:val="none"/>
        </w:rPr>
      </w:pPr>
    </w:p>
    <w:p w14:paraId="77F66242">
      <w:pPr>
        <w:pStyle w:val="17"/>
        <w:jc w:val="center"/>
        <w:rPr>
          <w:rFonts w:hint="eastAsia" w:ascii="方正小标宋_GBK" w:hAnsi="方正小标宋_GBK" w:eastAsia="方正小标宋_GBK" w:cs="方正小标宋_GBK"/>
          <w:color w:val="auto"/>
          <w:sz w:val="72"/>
          <w:szCs w:val="72"/>
          <w:highlight w:val="none"/>
        </w:rPr>
      </w:pPr>
    </w:p>
    <w:p w14:paraId="7371C53F">
      <w:pPr>
        <w:pStyle w:val="17"/>
        <w:jc w:val="center"/>
        <w:rPr>
          <w:rFonts w:hint="eastAsia" w:ascii="方正小标宋_GBK" w:hAnsi="方正小标宋_GBK" w:eastAsia="方正小标宋_GBK" w:cs="方正小标宋_GBK"/>
          <w:color w:val="auto"/>
          <w:sz w:val="72"/>
          <w:szCs w:val="72"/>
          <w:highlight w:val="none"/>
        </w:rPr>
      </w:pPr>
    </w:p>
    <w:p w14:paraId="11708081">
      <w:pPr>
        <w:pStyle w:val="17"/>
        <w:jc w:val="center"/>
        <w:rPr>
          <w:rFonts w:hint="eastAsia" w:ascii="方正小标宋_GBK" w:hAnsi="方正小标宋_GBK" w:eastAsia="方正小标宋_GBK" w:cs="方正小标宋_GBK"/>
          <w:color w:val="auto"/>
          <w:sz w:val="72"/>
          <w:szCs w:val="72"/>
          <w:highlight w:val="none"/>
        </w:rPr>
      </w:pPr>
    </w:p>
    <w:p w14:paraId="48059543">
      <w:pPr>
        <w:pStyle w:val="17"/>
        <w:jc w:val="center"/>
        <w:rPr>
          <w:rFonts w:hint="eastAsia" w:ascii="方正小标宋_GBK" w:hAnsi="方正小标宋_GBK" w:eastAsia="方正小标宋_GBK" w:cs="方正小标宋_GBK"/>
          <w:color w:val="auto"/>
          <w:sz w:val="72"/>
          <w:szCs w:val="72"/>
          <w:highlight w:val="none"/>
        </w:rPr>
      </w:pPr>
      <w:r>
        <w:rPr>
          <w:rFonts w:hint="eastAsia" w:ascii="方正小标宋_GBK" w:hAnsi="方正小标宋_GBK" w:eastAsia="方正小标宋_GBK" w:cs="方正小标宋_GBK"/>
          <w:color w:val="auto"/>
          <w:sz w:val="72"/>
          <w:szCs w:val="72"/>
          <w:highlight w:val="none"/>
        </w:rPr>
        <w:t>第四部分</w:t>
      </w:r>
    </w:p>
    <w:p w14:paraId="4E9673E2">
      <w:pPr>
        <w:jc w:val="center"/>
        <w:rPr>
          <w:rFonts w:hint="eastAsia" w:ascii="方正小标宋_GBK" w:hAnsi="方正小标宋_GBK" w:eastAsia="方正小标宋_GBK" w:cs="方正小标宋_GBK"/>
          <w:color w:val="auto"/>
          <w:kern w:val="0"/>
          <w:sz w:val="70"/>
          <w:szCs w:val="70"/>
          <w:highlight w:val="none"/>
        </w:rPr>
      </w:pPr>
    </w:p>
    <w:p w14:paraId="2A19DBF4">
      <w:pPr>
        <w:jc w:val="center"/>
        <w:rPr>
          <w:rFonts w:hint="eastAsia" w:ascii="方正小标宋_GBK" w:hAnsi="方正小标宋_GBK" w:eastAsia="方正小标宋_GBK" w:cs="方正小标宋_GBK"/>
          <w:color w:val="auto"/>
          <w:kern w:val="0"/>
          <w:sz w:val="70"/>
          <w:szCs w:val="70"/>
          <w:highlight w:val="none"/>
        </w:rPr>
      </w:pPr>
      <w:r>
        <w:rPr>
          <w:rFonts w:hint="eastAsia" w:ascii="方正小标宋_GBK" w:hAnsi="方正小标宋_GBK" w:eastAsia="方正小标宋_GBK" w:cs="方正小标宋_GBK"/>
          <w:color w:val="auto"/>
          <w:kern w:val="0"/>
          <w:sz w:val="70"/>
          <w:szCs w:val="70"/>
          <w:highlight w:val="none"/>
        </w:rPr>
        <w:t>名词解释</w:t>
      </w:r>
    </w:p>
    <w:p w14:paraId="4942434F">
      <w:pPr>
        <w:widowControl/>
        <w:jc w:val="left"/>
        <w:rPr>
          <w:rFonts w:cs="黑体" w:asciiTheme="minorEastAsia" w:hAnsiTheme="minorEastAsia"/>
          <w:color w:val="auto"/>
          <w:kern w:val="0"/>
          <w:sz w:val="32"/>
          <w:szCs w:val="32"/>
          <w:highlight w:val="none"/>
        </w:rPr>
      </w:pPr>
      <w:r>
        <w:rPr>
          <w:rFonts w:hint="eastAsia" w:ascii="方正小标宋_GBK" w:hAnsi="方正小标宋_GBK" w:eastAsia="方正小标宋_GBK" w:cs="方正小标宋_GBK"/>
          <w:color w:val="auto"/>
          <w:kern w:val="0"/>
          <w:sz w:val="70"/>
          <w:szCs w:val="70"/>
          <w:highlight w:val="none"/>
        </w:rPr>
        <w:br w:type="page"/>
      </w:r>
    </w:p>
    <w:p w14:paraId="20513BA9">
      <w:pPr>
        <w:pStyle w:val="17"/>
        <w:ind w:firstLine="640" w:firstLineChars="200"/>
        <w:rPr>
          <w:rFonts w:ascii="Times New Roman" w:hAnsi="仿宋" w:eastAsia="仿宋" w:cs="Times New Roman"/>
          <w:color w:val="auto"/>
          <w:sz w:val="32"/>
          <w:szCs w:val="32"/>
          <w:highlight w:val="none"/>
        </w:rPr>
      </w:pPr>
      <w:r>
        <w:rPr>
          <w:rFonts w:hint="eastAsia" w:ascii="Times New Roman" w:hAnsi="仿宋" w:eastAsia="仿宋" w:cs="Times New Roman"/>
          <w:color w:val="auto"/>
          <w:sz w:val="32"/>
          <w:szCs w:val="32"/>
          <w:highlight w:val="none"/>
          <w:lang w:eastAsia="zh-CN"/>
        </w:rPr>
        <w:t>（</w:t>
      </w:r>
      <w:r>
        <w:rPr>
          <w:rFonts w:hint="eastAsia" w:ascii="Times New Roman" w:hAnsi="仿宋" w:eastAsia="仿宋" w:cs="Times New Roman"/>
          <w:color w:val="auto"/>
          <w:sz w:val="32"/>
          <w:szCs w:val="32"/>
          <w:highlight w:val="none"/>
          <w:lang w:val="en-US" w:eastAsia="zh-CN"/>
        </w:rPr>
        <w:t>一）</w:t>
      </w:r>
      <w:r>
        <w:rPr>
          <w:rFonts w:hint="eastAsia" w:ascii="Times New Roman" w:hAnsi="仿宋" w:eastAsia="仿宋" w:cs="Times New Roman"/>
          <w:color w:val="auto"/>
          <w:sz w:val="32"/>
          <w:szCs w:val="32"/>
          <w:highlight w:val="none"/>
        </w:rPr>
        <w:t>基</w:t>
      </w:r>
      <w:r>
        <w:rPr>
          <w:rFonts w:ascii="Times New Roman" w:hAnsi="仿宋" w:eastAsia="仿宋" w:cs="Times New Roman"/>
          <w:color w:val="auto"/>
          <w:sz w:val="32"/>
          <w:szCs w:val="32"/>
          <w:highlight w:val="none"/>
        </w:rPr>
        <w:t>本支出：指为保障机构正常运转、完成日常工作任务而 发生的各项支出，包括人员支出和公用支出。</w:t>
      </w:r>
    </w:p>
    <w:p w14:paraId="7D06AF3B">
      <w:pPr>
        <w:pStyle w:val="17"/>
        <w:ind w:firstLine="480" w:firstLineChars="150"/>
        <w:rPr>
          <w:rFonts w:ascii="Times New Roman" w:hAnsi="仿宋" w:eastAsia="仿宋" w:cs="Times New Roman"/>
          <w:color w:val="auto"/>
          <w:sz w:val="32"/>
          <w:szCs w:val="32"/>
          <w:highlight w:val="none"/>
        </w:rPr>
      </w:pPr>
      <w:r>
        <w:rPr>
          <w:rFonts w:hint="eastAsia" w:ascii="Times New Roman" w:hAnsi="仿宋" w:eastAsia="仿宋" w:cs="Times New Roman"/>
          <w:color w:val="auto"/>
          <w:sz w:val="32"/>
          <w:szCs w:val="32"/>
          <w:highlight w:val="none"/>
          <w:lang w:eastAsia="zh-CN"/>
        </w:rPr>
        <w:t>（</w:t>
      </w:r>
      <w:r>
        <w:rPr>
          <w:rFonts w:hint="eastAsia" w:ascii="Times New Roman" w:hAnsi="仿宋" w:eastAsia="仿宋" w:cs="Times New Roman"/>
          <w:color w:val="auto"/>
          <w:sz w:val="32"/>
          <w:szCs w:val="32"/>
          <w:highlight w:val="none"/>
          <w:lang w:val="en-US" w:eastAsia="zh-CN"/>
        </w:rPr>
        <w:t>二）</w:t>
      </w:r>
      <w:r>
        <w:rPr>
          <w:rFonts w:ascii="Times New Roman" w:hAnsi="仿宋" w:eastAsia="仿宋" w:cs="Times New Roman"/>
          <w:color w:val="auto"/>
          <w:sz w:val="32"/>
          <w:szCs w:val="32"/>
          <w:highlight w:val="none"/>
        </w:rPr>
        <w:t xml:space="preserve"> 项目支出：指在基本支出以外为完成相关行政任务和事业 发展目标所发生的各项支出。 </w:t>
      </w:r>
    </w:p>
    <w:p w14:paraId="2CFC9AD9">
      <w:pPr>
        <w:pStyle w:val="17"/>
        <w:ind w:firstLine="480" w:firstLineChars="150"/>
        <w:rPr>
          <w:rFonts w:ascii="Times New Roman" w:hAnsi="仿宋" w:eastAsia="仿宋" w:cs="Times New Roman"/>
          <w:color w:val="auto"/>
          <w:sz w:val="32"/>
          <w:szCs w:val="32"/>
          <w:highlight w:val="none"/>
        </w:rPr>
      </w:pPr>
      <w:r>
        <w:rPr>
          <w:rFonts w:hint="eastAsia" w:ascii="Times New Roman" w:hAnsi="仿宋" w:eastAsia="仿宋" w:cs="Times New Roman"/>
          <w:color w:val="auto"/>
          <w:sz w:val="32"/>
          <w:szCs w:val="32"/>
          <w:highlight w:val="none"/>
          <w:lang w:eastAsia="zh-CN"/>
        </w:rPr>
        <w:t>（</w:t>
      </w:r>
      <w:r>
        <w:rPr>
          <w:rFonts w:hint="eastAsia" w:ascii="Times New Roman" w:hAnsi="仿宋" w:eastAsia="仿宋" w:cs="Times New Roman"/>
          <w:color w:val="auto"/>
          <w:sz w:val="32"/>
          <w:szCs w:val="32"/>
          <w:highlight w:val="none"/>
          <w:lang w:val="en-US" w:eastAsia="zh-CN"/>
        </w:rPr>
        <w:t>三）</w:t>
      </w:r>
      <w:r>
        <w:rPr>
          <w:rFonts w:ascii="Times New Roman" w:hAnsi="仿宋" w:eastAsia="仿宋" w:cs="Times New Roman"/>
          <w:color w:val="auto"/>
          <w:sz w:val="32"/>
          <w:szCs w:val="32"/>
          <w:highlight w:val="none"/>
        </w:rPr>
        <w:t xml:space="preserve">“三公”经费：指通过财政拨款资金安排的因公出国（境） 费、公务用车购置及运行费和公务接待费支出。 </w:t>
      </w:r>
    </w:p>
    <w:p w14:paraId="1772492C">
      <w:pPr>
        <w:widowControl/>
        <w:ind w:firstLine="320" w:firstLineChars="100"/>
        <w:jc w:val="left"/>
        <w:rPr>
          <w:rFonts w:ascii="黑体" w:eastAsia="黑体" w:cs="黑体"/>
          <w:color w:val="auto"/>
          <w:kern w:val="0"/>
          <w:sz w:val="32"/>
          <w:szCs w:val="32"/>
          <w:highlight w:val="none"/>
        </w:rPr>
      </w:pPr>
      <w:r>
        <w:rPr>
          <w:rFonts w:hint="eastAsia" w:ascii="Times New Roman" w:hAnsi="仿宋" w:eastAsia="仿宋" w:cs="Times New Roman"/>
          <w:color w:val="auto"/>
          <w:sz w:val="32"/>
          <w:szCs w:val="32"/>
          <w:highlight w:val="none"/>
          <w:lang w:eastAsia="zh-CN"/>
        </w:rPr>
        <w:t>（</w:t>
      </w:r>
      <w:r>
        <w:rPr>
          <w:rFonts w:hint="eastAsia" w:ascii="Times New Roman" w:hAnsi="仿宋" w:eastAsia="仿宋" w:cs="Times New Roman"/>
          <w:color w:val="auto"/>
          <w:sz w:val="32"/>
          <w:szCs w:val="32"/>
          <w:highlight w:val="none"/>
          <w:lang w:val="en-US" w:eastAsia="zh-CN"/>
        </w:rPr>
        <w:t>四）</w:t>
      </w:r>
      <w:r>
        <w:rPr>
          <w:rFonts w:ascii="Times New Roman" w:hAnsi="仿宋" w:eastAsia="仿宋" w:cs="Times New Roman"/>
          <w:color w:val="auto"/>
          <w:sz w:val="32"/>
          <w:szCs w:val="32"/>
          <w:highlight w:val="none"/>
        </w:rPr>
        <w:t>机关运行经费：是指各部门的公用经费，包括办公及印刷 费、邮电费、差旅费、会议费、福利费、日常维修费、专用材 料及一般设备购置费、办公用房水电费、办公用房取暖费、办公用房物业管理费、公务用车运行维护费以及其他费用。</w:t>
      </w:r>
    </w:p>
    <w:p w14:paraId="5C23B5BC">
      <w:pPr>
        <w:pStyle w:val="17"/>
        <w:jc w:val="center"/>
        <w:rPr>
          <w:color w:val="auto"/>
          <w:sz w:val="72"/>
          <w:szCs w:val="72"/>
          <w:highlight w:val="none"/>
        </w:rPr>
      </w:pPr>
    </w:p>
    <w:p w14:paraId="5BF9916D">
      <w:pPr>
        <w:pStyle w:val="17"/>
        <w:jc w:val="center"/>
        <w:rPr>
          <w:color w:val="auto"/>
          <w:sz w:val="72"/>
          <w:szCs w:val="72"/>
          <w:highlight w:val="none"/>
        </w:rPr>
      </w:pPr>
    </w:p>
    <w:p w14:paraId="3BE72BC6">
      <w:pPr>
        <w:pStyle w:val="17"/>
        <w:jc w:val="center"/>
        <w:rPr>
          <w:color w:val="auto"/>
          <w:sz w:val="72"/>
          <w:szCs w:val="72"/>
          <w:highlight w:val="none"/>
        </w:rPr>
      </w:pPr>
    </w:p>
    <w:p w14:paraId="0FDD395D">
      <w:pPr>
        <w:pStyle w:val="17"/>
        <w:jc w:val="center"/>
        <w:rPr>
          <w:color w:val="auto"/>
          <w:sz w:val="72"/>
          <w:szCs w:val="72"/>
          <w:highlight w:val="none"/>
        </w:rPr>
      </w:pPr>
    </w:p>
    <w:p w14:paraId="29EA893A">
      <w:pPr>
        <w:pStyle w:val="17"/>
        <w:jc w:val="center"/>
        <w:rPr>
          <w:color w:val="auto"/>
          <w:sz w:val="72"/>
          <w:szCs w:val="72"/>
          <w:highlight w:val="none"/>
        </w:rPr>
      </w:pPr>
    </w:p>
    <w:p w14:paraId="138EF601">
      <w:pPr>
        <w:pStyle w:val="17"/>
        <w:jc w:val="center"/>
        <w:rPr>
          <w:color w:val="auto"/>
          <w:sz w:val="72"/>
          <w:szCs w:val="72"/>
          <w:highlight w:val="none"/>
        </w:rPr>
      </w:pPr>
    </w:p>
    <w:p w14:paraId="71B766EF">
      <w:pPr>
        <w:pStyle w:val="17"/>
        <w:jc w:val="center"/>
        <w:rPr>
          <w:color w:val="auto"/>
          <w:sz w:val="72"/>
          <w:szCs w:val="72"/>
          <w:highlight w:val="none"/>
        </w:rPr>
      </w:pPr>
    </w:p>
    <w:p w14:paraId="7AB701F1">
      <w:pPr>
        <w:pStyle w:val="17"/>
        <w:jc w:val="center"/>
        <w:rPr>
          <w:color w:val="auto"/>
          <w:sz w:val="72"/>
          <w:szCs w:val="72"/>
          <w:highlight w:val="none"/>
        </w:rPr>
      </w:pPr>
    </w:p>
    <w:p w14:paraId="5D4960BB">
      <w:pPr>
        <w:rPr>
          <w:color w:val="auto"/>
          <w:sz w:val="72"/>
          <w:szCs w:val="72"/>
          <w:highlight w:val="none"/>
        </w:rPr>
      </w:pPr>
      <w:r>
        <w:rPr>
          <w:color w:val="auto"/>
          <w:sz w:val="72"/>
          <w:szCs w:val="72"/>
          <w:highlight w:val="none"/>
        </w:rPr>
        <w:br w:type="page"/>
      </w:r>
    </w:p>
    <w:p w14:paraId="1C18A075">
      <w:pPr>
        <w:pStyle w:val="17"/>
        <w:jc w:val="center"/>
        <w:rPr>
          <w:rFonts w:hint="eastAsia" w:ascii="方正小标宋_GBK" w:hAnsi="方正小标宋_GBK" w:eastAsia="方正小标宋_GBK" w:cs="方正小标宋_GBK"/>
          <w:color w:val="auto"/>
          <w:sz w:val="72"/>
          <w:szCs w:val="72"/>
          <w:highlight w:val="none"/>
        </w:rPr>
      </w:pPr>
    </w:p>
    <w:p w14:paraId="1632DAC9">
      <w:pPr>
        <w:pStyle w:val="17"/>
        <w:jc w:val="center"/>
        <w:rPr>
          <w:rFonts w:hint="eastAsia" w:ascii="方正小标宋_GBK" w:hAnsi="方正小标宋_GBK" w:eastAsia="方正小标宋_GBK" w:cs="方正小标宋_GBK"/>
          <w:color w:val="auto"/>
          <w:sz w:val="72"/>
          <w:szCs w:val="72"/>
          <w:highlight w:val="none"/>
        </w:rPr>
      </w:pPr>
    </w:p>
    <w:p w14:paraId="19EA9F26">
      <w:pPr>
        <w:pStyle w:val="17"/>
        <w:jc w:val="center"/>
        <w:rPr>
          <w:rFonts w:hint="eastAsia" w:ascii="方正小标宋_GBK" w:hAnsi="方正小标宋_GBK" w:eastAsia="方正小标宋_GBK" w:cs="方正小标宋_GBK"/>
          <w:color w:val="auto"/>
          <w:sz w:val="72"/>
          <w:szCs w:val="72"/>
          <w:highlight w:val="none"/>
        </w:rPr>
      </w:pPr>
    </w:p>
    <w:p w14:paraId="5CC84DC9">
      <w:pPr>
        <w:pStyle w:val="17"/>
        <w:jc w:val="center"/>
        <w:rPr>
          <w:rFonts w:hint="eastAsia" w:ascii="方正小标宋_GBK" w:hAnsi="方正小标宋_GBK" w:eastAsia="方正小标宋_GBK" w:cs="方正小标宋_GBK"/>
          <w:color w:val="auto"/>
          <w:sz w:val="72"/>
          <w:szCs w:val="72"/>
          <w:highlight w:val="none"/>
        </w:rPr>
      </w:pPr>
    </w:p>
    <w:p w14:paraId="1F4B3019">
      <w:pPr>
        <w:pStyle w:val="17"/>
        <w:jc w:val="center"/>
        <w:rPr>
          <w:rFonts w:hint="eastAsia" w:ascii="方正小标宋_GBK" w:hAnsi="方正小标宋_GBK" w:eastAsia="方正小标宋_GBK" w:cs="方正小标宋_GBK"/>
          <w:color w:val="auto"/>
          <w:sz w:val="72"/>
          <w:szCs w:val="72"/>
          <w:highlight w:val="none"/>
        </w:rPr>
      </w:pPr>
    </w:p>
    <w:p w14:paraId="13214F3A">
      <w:pPr>
        <w:pStyle w:val="17"/>
        <w:jc w:val="center"/>
        <w:rPr>
          <w:rFonts w:hint="eastAsia" w:ascii="方正小标宋_GBK" w:hAnsi="方正小标宋_GBK" w:eastAsia="方正小标宋_GBK" w:cs="方正小标宋_GBK"/>
          <w:color w:val="auto"/>
          <w:sz w:val="72"/>
          <w:szCs w:val="72"/>
          <w:highlight w:val="none"/>
        </w:rPr>
      </w:pPr>
      <w:r>
        <w:rPr>
          <w:rFonts w:hint="eastAsia" w:ascii="方正小标宋_GBK" w:hAnsi="方正小标宋_GBK" w:eastAsia="方正小标宋_GBK" w:cs="方正小标宋_GBK"/>
          <w:color w:val="auto"/>
          <w:sz w:val="72"/>
          <w:szCs w:val="72"/>
          <w:highlight w:val="none"/>
        </w:rPr>
        <w:t>第</w:t>
      </w:r>
      <w:r>
        <w:rPr>
          <w:rFonts w:hint="eastAsia" w:ascii="方正小标宋_GBK" w:hAnsi="方正小标宋_GBK" w:eastAsia="方正小标宋_GBK" w:cs="方正小标宋_GBK"/>
          <w:color w:val="auto"/>
          <w:sz w:val="72"/>
          <w:szCs w:val="72"/>
          <w:highlight w:val="none"/>
          <w:lang w:eastAsia="zh-CN"/>
        </w:rPr>
        <w:t>五</w:t>
      </w:r>
      <w:r>
        <w:rPr>
          <w:rFonts w:hint="eastAsia" w:ascii="方正小标宋_GBK" w:hAnsi="方正小标宋_GBK" w:eastAsia="方正小标宋_GBK" w:cs="方正小标宋_GBK"/>
          <w:color w:val="auto"/>
          <w:sz w:val="72"/>
          <w:szCs w:val="72"/>
          <w:highlight w:val="none"/>
        </w:rPr>
        <w:t>部分</w:t>
      </w:r>
    </w:p>
    <w:p w14:paraId="4EB7C5FD">
      <w:pPr>
        <w:pStyle w:val="17"/>
        <w:jc w:val="center"/>
        <w:rPr>
          <w:rFonts w:hint="eastAsia" w:ascii="方正小标宋_GBK" w:hAnsi="方正小标宋_GBK" w:eastAsia="方正小标宋_GBK" w:cs="方正小标宋_GBK"/>
          <w:color w:val="auto"/>
          <w:sz w:val="70"/>
          <w:szCs w:val="70"/>
          <w:highlight w:val="none"/>
        </w:rPr>
      </w:pPr>
    </w:p>
    <w:p w14:paraId="735983DB">
      <w:pPr>
        <w:pStyle w:val="17"/>
        <w:jc w:val="center"/>
        <w:rPr>
          <w:rFonts w:hint="eastAsia" w:eastAsia="黑体"/>
          <w:color w:val="auto"/>
          <w:sz w:val="72"/>
          <w:szCs w:val="72"/>
          <w:highlight w:val="none"/>
          <w:lang w:eastAsia="zh-CN"/>
        </w:rPr>
      </w:pPr>
      <w:r>
        <w:rPr>
          <w:rFonts w:hint="eastAsia" w:ascii="方正小标宋_GBK" w:hAnsi="方正小标宋_GBK" w:eastAsia="方正小标宋_GBK" w:cs="方正小标宋_GBK"/>
          <w:color w:val="auto"/>
          <w:sz w:val="70"/>
          <w:szCs w:val="70"/>
          <w:highlight w:val="none"/>
          <w:lang w:eastAsia="zh-CN"/>
        </w:rPr>
        <w:t>附</w:t>
      </w:r>
      <w:r>
        <w:rPr>
          <w:rFonts w:hint="eastAsia" w:ascii="方正小标宋_GBK" w:hAnsi="方正小标宋_GBK" w:eastAsia="方正小标宋_GBK" w:cs="方正小标宋_GBK"/>
          <w:color w:val="auto"/>
          <w:sz w:val="70"/>
          <w:szCs w:val="70"/>
          <w:highlight w:val="none"/>
          <w:lang w:val="en-US" w:eastAsia="zh-CN"/>
        </w:rPr>
        <w:t xml:space="preserve"> </w:t>
      </w:r>
      <w:r>
        <w:rPr>
          <w:rFonts w:hint="eastAsia" w:ascii="方正小标宋_GBK" w:hAnsi="方正小标宋_GBK" w:eastAsia="方正小标宋_GBK" w:cs="方正小标宋_GBK"/>
          <w:color w:val="auto"/>
          <w:sz w:val="70"/>
          <w:szCs w:val="70"/>
          <w:highlight w:val="none"/>
          <w:lang w:eastAsia="zh-CN"/>
        </w:rPr>
        <w:t>件</w:t>
      </w:r>
    </w:p>
    <w:p w14:paraId="44BF75A5">
      <w:pPr>
        <w:rPr>
          <w:color w:val="auto"/>
          <w:sz w:val="72"/>
          <w:szCs w:val="72"/>
          <w:highlight w:val="none"/>
        </w:rPr>
      </w:pPr>
      <w:r>
        <w:rPr>
          <w:color w:val="auto"/>
          <w:sz w:val="72"/>
          <w:szCs w:val="72"/>
          <w:highlight w:val="none"/>
        </w:rPr>
        <w:br w:type="page"/>
      </w:r>
    </w:p>
    <w:p w14:paraId="0E0AC92F">
      <w:pPr>
        <w:pStyle w:val="17"/>
        <w:keepNext w:val="0"/>
        <w:keepLines w:val="0"/>
        <w:pageBreakBefore w:val="0"/>
        <w:widowControl w:val="0"/>
        <w:kinsoku/>
        <w:wordWrap/>
        <w:overflowPunct/>
        <w:topLinePunct w:val="0"/>
        <w:bidi w:val="0"/>
        <w:snapToGrid/>
        <w:spacing w:line="600" w:lineRule="exact"/>
        <w:ind w:firstLine="640" w:firstLineChars="200"/>
        <w:jc w:val="left"/>
        <w:textAlignment w:val="auto"/>
        <w:rPr>
          <w:rFonts w:hint="eastAsia" w:ascii="Times New Roman" w:hAnsi="Times New Roman" w:eastAsia="仿宋_GB2312"/>
          <w:color w:val="auto"/>
          <w:sz w:val="32"/>
          <w:szCs w:val="32"/>
          <w:highlight w:val="none"/>
          <w:lang w:val="en-US" w:eastAsia="zh-CN"/>
        </w:rPr>
      </w:pPr>
      <w:r>
        <w:rPr>
          <w:rFonts w:hint="eastAsia" w:ascii="楷体" w:hAnsi="楷体" w:eastAsia="楷体" w:cs="楷体"/>
          <w:b/>
          <w:bCs/>
          <w:color w:val="auto"/>
          <w:sz w:val="32"/>
          <w:szCs w:val="32"/>
          <w:highlight w:val="none"/>
          <w:lang w:eastAsia="zh-CN"/>
        </w:rPr>
        <w:t>一、</w:t>
      </w:r>
      <w:r>
        <w:rPr>
          <w:rFonts w:hint="eastAsia" w:ascii="Times New Roman" w:hAnsi="Times New Roman" w:eastAsia="仿宋_GB2312"/>
          <w:color w:val="auto"/>
          <w:sz w:val="32"/>
          <w:szCs w:val="32"/>
          <w:highlight w:val="none"/>
          <w:lang w:val="en-US" w:eastAsia="zh-CN"/>
        </w:rPr>
        <w:t>2023年度部门整体支出绩效自评报告。</w:t>
      </w:r>
    </w:p>
    <w:p w14:paraId="74FD08F0">
      <w:pPr>
        <w:pStyle w:val="9"/>
        <w:widowControl w:val="0"/>
        <w:adjustRightInd w:val="0"/>
        <w:snapToGrid w:val="0"/>
        <w:spacing w:line="760" w:lineRule="exact"/>
        <w:textAlignment w:val="center"/>
        <w:rPr>
          <w:rFonts w:ascii="Times New Roman" w:hAnsi="Times New Roman" w:eastAsia="方正小标宋简体"/>
          <w:b w:val="0"/>
          <w:color w:val="auto"/>
          <w:highlight w:val="none"/>
        </w:rPr>
      </w:pPr>
      <w:r>
        <w:rPr>
          <w:rFonts w:ascii="Times New Roman" w:hAnsi="Times New Roman" w:eastAsia="方正小标宋简体"/>
          <w:b w:val="0"/>
          <w:color w:val="auto"/>
          <w:highlight w:val="none"/>
        </w:rPr>
        <w:t>湖南省农业农村厅</w:t>
      </w:r>
    </w:p>
    <w:p w14:paraId="44D84448">
      <w:pPr>
        <w:pStyle w:val="9"/>
        <w:widowControl w:val="0"/>
        <w:adjustRightInd w:val="0"/>
        <w:snapToGrid w:val="0"/>
        <w:spacing w:line="760" w:lineRule="exact"/>
        <w:textAlignment w:val="center"/>
        <w:rPr>
          <w:rFonts w:ascii="Times New Roman" w:hAnsi="Times New Roman" w:eastAsia="方正小标宋简体" w:cs="Times New Roman"/>
          <w:b w:val="0"/>
          <w:bCs w:val="0"/>
          <w:color w:val="auto"/>
          <w:highlight w:val="none"/>
          <w:lang w:val="en-US" w:eastAsia="zh-CN"/>
        </w:rPr>
      </w:pPr>
      <w:r>
        <w:rPr>
          <w:rFonts w:hint="eastAsia" w:ascii="Times New Roman" w:hAnsi="Times New Roman" w:eastAsia="方正小标宋简体" w:cs="Times New Roman"/>
          <w:b w:val="0"/>
          <w:bCs w:val="0"/>
          <w:color w:val="auto"/>
          <w:highlight w:val="none"/>
          <w:lang w:val="en-US" w:eastAsia="zh-CN"/>
        </w:rPr>
        <w:t>2023</w:t>
      </w:r>
      <w:r>
        <w:rPr>
          <w:rFonts w:ascii="Times New Roman" w:hAnsi="Times New Roman" w:eastAsia="方正小标宋简体" w:cs="Times New Roman"/>
          <w:b w:val="0"/>
          <w:bCs w:val="0"/>
          <w:color w:val="auto"/>
          <w:highlight w:val="none"/>
          <w:lang w:val="en-US" w:eastAsia="zh-CN"/>
        </w:rPr>
        <w:t>年</w:t>
      </w:r>
      <w:r>
        <w:rPr>
          <w:rFonts w:hint="eastAsia" w:ascii="Times New Roman" w:hAnsi="Times New Roman" w:eastAsia="方正小标宋简体" w:cs="Times New Roman"/>
          <w:b w:val="0"/>
          <w:bCs w:val="0"/>
          <w:color w:val="auto"/>
          <w:highlight w:val="none"/>
          <w:lang w:val="en-US" w:eastAsia="zh-CN"/>
        </w:rPr>
        <w:t>度</w:t>
      </w:r>
      <w:r>
        <w:rPr>
          <w:rFonts w:ascii="Times New Roman" w:hAnsi="Times New Roman" w:eastAsia="方正小标宋简体" w:cs="Times New Roman"/>
          <w:b w:val="0"/>
          <w:bCs w:val="0"/>
          <w:color w:val="auto"/>
          <w:highlight w:val="none"/>
          <w:lang w:val="en-US" w:eastAsia="zh-CN"/>
        </w:rPr>
        <w:t>部门整体支出绩效自评报告</w:t>
      </w:r>
    </w:p>
    <w:p w14:paraId="15F6EFA4">
      <w:pPr>
        <w:adjustRightInd w:val="0"/>
        <w:snapToGrid w:val="0"/>
        <w:spacing w:line="596" w:lineRule="atLeast"/>
        <w:ind w:firstLine="0" w:firstLineChars="0"/>
        <w:textAlignment w:val="center"/>
        <w:rPr>
          <w:rFonts w:eastAsia="仿宋_GB2312"/>
          <w:color w:val="auto"/>
          <w:kern w:val="0"/>
          <w:szCs w:val="32"/>
          <w:highlight w:val="none"/>
        </w:rPr>
      </w:pPr>
    </w:p>
    <w:p w14:paraId="46140479">
      <w:pPr>
        <w:pStyle w:val="17"/>
        <w:ind w:firstLine="640" w:firstLineChars="200"/>
        <w:rPr>
          <w:rFonts w:hint="eastAsia"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为加强财政支出管理，提高财政资金使用效益，根据《中共中央 国务院关于全面实施预算绩效管理的意见》（中发〔2018〕34号）、财政部《财政支出绩效评价管理暂行办法》（财预〔2020〕10号）、《湖南省人民政府关于深化预算管理制度改革的实施意见》（湘政发〔2015〕8号）、《中共湖南省委办公厅 湖南省人民政府办公厅关于全面实施预算绩效管理的实施意见》（湘办发〔2019〕10号）和《湖南省财政厅关于开展2023年度省级预算部门绩效自评和部门评价的通知》（湘财绩〔2024〕1号）等文件，湖南省农业农村厅于202</w:t>
      </w:r>
      <w:r>
        <w:rPr>
          <w:rFonts w:hint="eastAsia" w:ascii="Times New Roman" w:hAnsi="Times New Roman" w:eastAsia="仿宋_GB2312" w:cs="Times New Roman"/>
          <w:color w:val="auto"/>
          <w:kern w:val="2"/>
          <w:sz w:val="32"/>
          <w:szCs w:val="32"/>
          <w:highlight w:val="none"/>
          <w:lang w:val="en-US" w:eastAsia="zh-CN"/>
        </w:rPr>
        <w:t>4</w:t>
      </w:r>
      <w:r>
        <w:rPr>
          <w:rFonts w:hint="eastAsia" w:ascii="Times New Roman" w:hAnsi="Times New Roman" w:eastAsia="仿宋_GB2312" w:cs="Times New Roman"/>
          <w:color w:val="auto"/>
          <w:kern w:val="2"/>
          <w:sz w:val="32"/>
          <w:szCs w:val="32"/>
          <w:highlight w:val="none"/>
        </w:rPr>
        <w:t>年4月至5月对202</w:t>
      </w:r>
      <w:r>
        <w:rPr>
          <w:rFonts w:hint="eastAsia" w:ascii="Times New Roman" w:hAnsi="Times New Roman" w:eastAsia="仿宋_GB2312" w:cs="Times New Roman"/>
          <w:color w:val="auto"/>
          <w:kern w:val="2"/>
          <w:sz w:val="32"/>
          <w:szCs w:val="32"/>
          <w:highlight w:val="none"/>
          <w:lang w:val="en-US" w:eastAsia="zh-CN"/>
        </w:rPr>
        <w:t>3</w:t>
      </w:r>
      <w:r>
        <w:rPr>
          <w:rFonts w:hint="eastAsia" w:ascii="Times New Roman" w:hAnsi="Times New Roman" w:eastAsia="仿宋_GB2312" w:cs="Times New Roman"/>
          <w:color w:val="auto"/>
          <w:kern w:val="2"/>
          <w:sz w:val="32"/>
          <w:szCs w:val="32"/>
          <w:highlight w:val="none"/>
        </w:rPr>
        <w:t>年部门整体支出进行了绩效自评，现将自评情况报告如下：</w:t>
      </w:r>
    </w:p>
    <w:p w14:paraId="48895C91">
      <w:pPr>
        <w:pStyle w:val="3"/>
        <w:spacing w:line="580" w:lineRule="exact"/>
        <w:ind w:firstLine="640"/>
        <w:rPr>
          <w:rFonts w:ascii="Times New Roman" w:hAnsi="Times New Roman" w:cs="Times New Roman"/>
          <w:b w:val="0"/>
          <w:color w:val="auto"/>
          <w:sz w:val="32"/>
          <w:szCs w:val="32"/>
          <w:highlight w:val="none"/>
        </w:rPr>
      </w:pPr>
      <w:r>
        <w:rPr>
          <w:rFonts w:ascii="Times New Roman" w:hAnsi="Times New Roman" w:cs="Times New Roman"/>
          <w:b w:val="0"/>
          <w:color w:val="auto"/>
          <w:sz w:val="32"/>
          <w:szCs w:val="32"/>
          <w:highlight w:val="none"/>
        </w:rPr>
        <w:t>一、部门基本情况</w:t>
      </w:r>
    </w:p>
    <w:p w14:paraId="5BF4F1CF">
      <w:pPr>
        <w:pStyle w:val="17"/>
        <w:keepNext w:val="0"/>
        <w:keepLines w:val="0"/>
        <w:pageBreakBefore w:val="0"/>
        <w:widowControl w:val="0"/>
        <w:kinsoku/>
        <w:wordWrap/>
        <w:overflowPunct/>
        <w:topLinePunct w:val="0"/>
        <w:bidi w:val="0"/>
        <w:snapToGrid w:val="0"/>
        <w:spacing w:line="560" w:lineRule="exact"/>
        <w:ind w:firstLine="640" w:firstLineChars="200"/>
        <w:textAlignment w:val="center"/>
        <w:outlineLvl w:val="1"/>
        <w:rPr>
          <w:rFonts w:ascii="Times New Roman" w:hAnsi="Times New Roman" w:eastAsia="仿宋_GB2312" w:cs="Times New Roman"/>
          <w:b/>
          <w:bCs/>
          <w:color w:val="auto"/>
          <w:kern w:val="2"/>
          <w:sz w:val="32"/>
          <w:szCs w:val="22"/>
          <w:highlight w:val="none"/>
        </w:rPr>
      </w:pPr>
      <w:r>
        <w:rPr>
          <w:rFonts w:hint="eastAsia" w:ascii="Times New Roman" w:hAnsi="Times New Roman" w:eastAsia="仿宋_GB2312" w:cs="Times New Roman"/>
          <w:b/>
          <w:bCs/>
          <w:color w:val="auto"/>
          <w:kern w:val="2"/>
          <w:sz w:val="32"/>
          <w:szCs w:val="22"/>
          <w:highlight w:val="none"/>
        </w:rPr>
        <w:t>（</w:t>
      </w:r>
      <w:r>
        <w:rPr>
          <w:rFonts w:hint="eastAsia" w:ascii="Times New Roman" w:hAnsi="Times New Roman" w:eastAsia="楷体_GB2312" w:cs="Times New Roman"/>
          <w:b/>
          <w:color w:val="auto"/>
          <w:kern w:val="2"/>
          <w:sz w:val="32"/>
          <w:szCs w:val="22"/>
          <w:highlight w:val="none"/>
        </w:rPr>
        <w:t>一）职责情况</w:t>
      </w:r>
    </w:p>
    <w:p w14:paraId="67A47AC2">
      <w:pPr>
        <w:pStyle w:val="17"/>
        <w:ind w:firstLine="640" w:firstLineChars="20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湖南省农业农村厅（以下简称</w:t>
      </w:r>
      <w:r>
        <w:rPr>
          <w:rFonts w:hint="eastAsia" w:ascii="Times New Roman" w:hAnsi="Times New Roman" w:eastAsia="仿宋_GB2312" w:cs="Times New Roman"/>
          <w:color w:val="auto"/>
          <w:kern w:val="2"/>
          <w:sz w:val="32"/>
          <w:szCs w:val="32"/>
          <w:highlight w:val="none"/>
          <w:lang w:eastAsia="zh-CN"/>
        </w:rPr>
        <w:t>“</w:t>
      </w:r>
      <w:r>
        <w:rPr>
          <w:rFonts w:hint="eastAsia" w:ascii="Times New Roman" w:hAnsi="Times New Roman" w:eastAsia="仿宋_GB2312" w:cs="Times New Roman"/>
          <w:color w:val="auto"/>
          <w:kern w:val="2"/>
          <w:sz w:val="32"/>
          <w:szCs w:val="32"/>
          <w:highlight w:val="none"/>
        </w:rPr>
        <w:t>省农业农村厅</w:t>
      </w:r>
      <w:r>
        <w:rPr>
          <w:rFonts w:hint="eastAsia" w:ascii="Times New Roman" w:hAnsi="Times New Roman" w:eastAsia="仿宋_GB2312" w:cs="Times New Roman"/>
          <w:color w:val="auto"/>
          <w:kern w:val="2"/>
          <w:sz w:val="32"/>
          <w:szCs w:val="32"/>
          <w:highlight w:val="none"/>
          <w:lang w:eastAsia="zh-CN"/>
        </w:rPr>
        <w:t>”</w:t>
      </w:r>
      <w:r>
        <w:rPr>
          <w:rFonts w:hint="eastAsia" w:ascii="Times New Roman" w:hAnsi="Times New Roman" w:eastAsia="仿宋_GB2312" w:cs="Times New Roman"/>
          <w:color w:val="auto"/>
          <w:kern w:val="2"/>
          <w:sz w:val="32"/>
          <w:szCs w:val="32"/>
          <w:highlight w:val="none"/>
        </w:rPr>
        <w:t>）是省政府组成部门，为正厅级。</w:t>
      </w:r>
    </w:p>
    <w:p w14:paraId="32C56FBF">
      <w:pPr>
        <w:pStyle w:val="17"/>
        <w:ind w:firstLine="640" w:firstLineChars="20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省委农村工作领导小组办公室（以下简称省委农办）设在省农业农村厅，接受省委农村工作领导小组的直接领导，承担省委农村工作领导小组具体工作，组织开展“三农”重大问题的政策研究，协调督促有关方面落实省委农村工作领导小组决定事项、工作部署和要求等。设置省委农办秘书处，负责处理省委农办日常事务。省农业农村厅内设机构根据工作需要承担省委农办相关工作，接受省委农办统筹协调。</w:t>
      </w:r>
    </w:p>
    <w:p w14:paraId="40393337">
      <w:pPr>
        <w:pStyle w:val="17"/>
        <w:ind w:firstLine="640" w:firstLineChars="20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省农业农村厅贯彻落实党中央关于“三农”工作的方针政策和决策部署，全面落实省委关于“三农”工作的部署要求，在履行职责过程中坚持和加强党对“三农”工作的集中统一领导。主要职责是：</w:t>
      </w:r>
    </w:p>
    <w:p w14:paraId="03BA5130">
      <w:pPr>
        <w:pStyle w:val="17"/>
        <w:ind w:firstLine="640" w:firstLineChars="20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lang w:eastAsia="zh-CN"/>
        </w:rPr>
        <w:t>（</w:t>
      </w:r>
      <w:r>
        <w:rPr>
          <w:rFonts w:hint="eastAsia" w:ascii="Times New Roman" w:hAnsi="Times New Roman" w:eastAsia="仿宋_GB2312" w:cs="Times New Roman"/>
          <w:color w:val="auto"/>
          <w:kern w:val="2"/>
          <w:sz w:val="32"/>
          <w:szCs w:val="32"/>
          <w:highlight w:val="none"/>
        </w:rPr>
        <w:t>1)统筹研究和组织实施“三农”工作的发展中长期规划、重大政策。组织起草农业农村有关地方性法规和省政府规章草案，指导农业综合执法。参与涉农的价格、收储、金融保险、进出口等政策制定。</w:t>
      </w:r>
    </w:p>
    <w:p w14:paraId="0959FE8D">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（2）统筹推动发展农村社会事业、农村公共服务、农村文化、农村基础设施和乡村治理。牵头组织改善农村人居环境。指导农村精神文明和优秀农耕文化建设。指导农业行业安全生产工作。</w:t>
      </w:r>
    </w:p>
    <w:p w14:paraId="55341BB2">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3）研究提出深化农村经济体制改革和巩固完善农村基本经营制度的政策建议。负责农民承包地、农村宅基地改革和管理有关工作。负责农村集体产权制度改革，指导农村集体经济组织发展和集体资产管理工作。指导农民合作经济组织、农业社会化服务体系、新型农业经营主体建设与发展。</w:t>
      </w:r>
    </w:p>
    <w:p w14:paraId="2B229519">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4）指导乡村特色产业、农产品加工业、休闲农业和乡镇企业发展工作。提出促进大宗农产品流通的建议，培育、保护农业品牌。发布农业农村经济信息，监测分析农业农村经济运行。承担农业统计和农业农村信息化有关工作。</w:t>
      </w:r>
    </w:p>
    <w:p w14:paraId="7A81500B">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（5）负责种植业、畜牧业、渔业、农垦、农业机械化等农业各产业的监督管理。指导粮食等农产品生产。组织构建现代农业产业体系、生产体系、经营体系，指导农业标准化生产。负责渔政渔港监督管理。</w:t>
      </w:r>
    </w:p>
    <w:p w14:paraId="24E12FBF">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6）负责农产品质量安全监督管理。组织开展农产品质量安全监测、追溯、风险评估，发布农产品质量安全信息。贯彻执行农产品质量安全国家标准，参与制定农产品质量安全地方标准并会同有关部门组织实施。指导农业检验检测体系建设。</w:t>
      </w:r>
    </w:p>
    <w:p w14:paraId="4B9764F0">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7）组织农业资源区划工作。指导农用地、渔业水域以及农业生物物种资源的保护与管理，负责水生野生动植物保护、耕地及永久基本农田质量保护工作。指导农产品产地环境管理和农业清洁生产。指导设施农业、生态循环农业、节水农业发展以及农村可再生能源综合开发利用、农业生物质产业发展。牵头管理外来物种。</w:t>
      </w:r>
    </w:p>
    <w:p w14:paraId="7936D455">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8）负责有关农业生产资料和农业投入品的监督管理。组织农业生产资料市场体系建设。贯彻执行农业生产资料、兽药质量、兽药残留限量和残留检测方法国家标准并监督实施。组织兽医医政、兽药药政药检工作，负责执业兽医和畜禽屠宰行业管理。</w:t>
      </w:r>
    </w:p>
    <w:p w14:paraId="6F11A5C7">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（9）负责农业防灾减灾、农作物重大病虫害防治工作。指导动植物防疫检疫体系建设，组织、监督省内动植物防疫检疫工作，发布疫情并组织扑灭。配合有关部门制定血吸虫病防治工作计划并组织实施。</w:t>
      </w:r>
    </w:p>
    <w:p w14:paraId="01E265D1">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（10）负责农业投资管理。编制农业投资项目建设规划，提出农业投资规模和方向、扶持农业农村发展财政项目的建议，按规定权限审批农业投资项目，负责农业投资项目资金安排和监督管理。</w:t>
      </w:r>
    </w:p>
    <w:p w14:paraId="6DC13CF3">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11）推动农业科技体制改革和农业科技创新体系建设。指导农业产业技术体系和农技推广体系建设，组织开展农业领域的高新技术和应用技术研究、科技成果转化和技术推广。负责农业转基因生物安全监督管理和农业植物新品种保护。</w:t>
      </w:r>
    </w:p>
    <w:p w14:paraId="4CCC2A75">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（12）指导农业农村人才工作。拟订农业农村人才队伍建设规划并组织实施，指导农业教育和农业职业技能开发，指导新型职业农民培育、农业科技人才培养和农村实用人才培训工作。</w:t>
      </w:r>
    </w:p>
    <w:p w14:paraId="2C10DC22">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（13）组织参与农业对外合作工作。承办有关农业涉外事务，组织开展农业贸易促进和有关对外交流合作，具体执行有关农业援外项目。</w:t>
      </w:r>
    </w:p>
    <w:p w14:paraId="374B5B75">
      <w:pPr>
        <w:pStyle w:val="17"/>
        <w:ind w:firstLine="480" w:firstLineChars="150"/>
        <w:rPr>
          <w:rFonts w:ascii="Times New Roman" w:hAnsi="Times New Roman" w:eastAsia="仿宋_GB2312" w:cs="Times New Roman"/>
          <w:color w:val="auto"/>
          <w:kern w:val="2"/>
          <w:sz w:val="32"/>
          <w:szCs w:val="32"/>
          <w:highlight w:val="none"/>
        </w:rPr>
      </w:pPr>
      <w:r>
        <w:rPr>
          <w:rFonts w:hint="eastAsia" w:ascii="Times New Roman" w:hAnsi="Times New Roman" w:eastAsia="仿宋_GB2312" w:cs="Times New Roman"/>
          <w:color w:val="auto"/>
          <w:kern w:val="2"/>
          <w:sz w:val="32"/>
          <w:szCs w:val="32"/>
          <w:highlight w:val="none"/>
        </w:rPr>
        <w:t>（14）完成省委、省政府和省委农村工作领导小组交办的其他任务。</w:t>
      </w:r>
    </w:p>
    <w:p w14:paraId="66E9153D">
      <w:pPr>
        <w:keepNext w:val="0"/>
        <w:keepLines w:val="0"/>
        <w:pageBreakBefore w:val="0"/>
        <w:widowControl w:val="0"/>
        <w:kinsoku/>
        <w:wordWrap/>
        <w:overflowPunct/>
        <w:topLinePunct w:val="0"/>
        <w:bidi w:val="0"/>
        <w:spacing w:line="560" w:lineRule="exact"/>
        <w:ind w:firstLine="643"/>
        <w:outlineLvl w:val="1"/>
        <w:rPr>
          <w:rFonts w:hint="eastAsia" w:eastAsia="楷体_GB2312"/>
          <w:b/>
          <w:color w:val="auto"/>
          <w:sz w:val="32"/>
          <w:szCs w:val="32"/>
          <w:highlight w:val="none"/>
        </w:rPr>
      </w:pPr>
      <w:r>
        <w:rPr>
          <w:rFonts w:hint="eastAsia" w:eastAsia="楷体_GB2312"/>
          <w:b/>
          <w:color w:val="auto"/>
          <w:sz w:val="32"/>
          <w:szCs w:val="32"/>
          <w:highlight w:val="none"/>
        </w:rPr>
        <w:t>（二）机构情况</w:t>
      </w:r>
    </w:p>
    <w:p w14:paraId="6E2D6852">
      <w:pPr>
        <w:widowControl/>
        <w:spacing w:line="600" w:lineRule="exact"/>
        <w:ind w:firstLine="627" w:firstLineChars="196"/>
        <w:jc w:val="left"/>
        <w:rPr>
          <w:rFonts w:eastAsia="楷体_GB2312"/>
          <w:b/>
          <w:color w:val="auto"/>
          <w:sz w:val="32"/>
          <w:szCs w:val="32"/>
          <w:highlight w:val="none"/>
        </w:rPr>
      </w:pPr>
      <w:r>
        <w:rPr>
          <w:rFonts w:hint="eastAsia" w:eastAsia="仿宋_GB2312"/>
          <w:color w:val="auto"/>
          <w:sz w:val="32"/>
          <w:szCs w:val="32"/>
          <w:highlight w:val="none"/>
        </w:rPr>
        <w:t>省委农村工作领导小组办公室设有省委农办秘书处。</w:t>
      </w:r>
    </w:p>
    <w:p w14:paraId="6199FBB3">
      <w:pPr>
        <w:snapToGrid w:val="0"/>
        <w:spacing w:line="520" w:lineRule="exact"/>
        <w:ind w:firstLine="640" w:firstLineChars="200"/>
        <w:rPr>
          <w:rFonts w:ascii="Times New Roman" w:hAnsi="Times New Roman" w:eastAsia="仿宋_GB2312" w:cs="Times New Roman"/>
          <w:color w:val="auto"/>
          <w:highlight w:val="none"/>
        </w:rPr>
      </w:pPr>
      <w:r>
        <w:rPr>
          <w:rFonts w:hint="eastAsia" w:eastAsia="仿宋_GB2312"/>
          <w:color w:val="auto"/>
          <w:sz w:val="32"/>
          <w:szCs w:val="32"/>
          <w:highlight w:val="none"/>
        </w:rPr>
        <w:t>湖南省农业农村厅设有办公室、人事处、法规处、政策与改革处、发展规划处、计划财务处、乡村产业发展处、农村社会事业促进处、农村合作经济指导处、市场与信息化处、对外交流与合作处、科技教育处（省农业转基因生物安全管理办公室）、农业资源保护与利用处、农产品质量安全监管处、种植业管理处（农药管理处）、畜牧兽医处、渔业渔政管理处、种业管理处、农业机械化管理处、农田建设与农垦处、机关党委、离退休人员管理服务处。</w:t>
      </w:r>
    </w:p>
    <w:p w14:paraId="0162FA91">
      <w:pPr>
        <w:keepNext w:val="0"/>
        <w:keepLines w:val="0"/>
        <w:pageBreakBefore w:val="0"/>
        <w:widowControl w:val="0"/>
        <w:kinsoku/>
        <w:wordWrap/>
        <w:overflowPunct/>
        <w:topLinePunct w:val="0"/>
        <w:bidi w:val="0"/>
        <w:spacing w:line="560" w:lineRule="exact"/>
        <w:ind w:firstLine="643"/>
        <w:outlineLvl w:val="1"/>
        <w:rPr>
          <w:rFonts w:eastAsia="楷体_GB2312"/>
          <w:b/>
          <w:color w:val="auto"/>
          <w:sz w:val="32"/>
          <w:szCs w:val="32"/>
          <w:highlight w:val="none"/>
        </w:rPr>
      </w:pPr>
      <w:r>
        <w:rPr>
          <w:rFonts w:hint="eastAsia" w:eastAsia="楷体_GB2312"/>
          <w:b/>
          <w:color w:val="auto"/>
          <w:sz w:val="32"/>
          <w:szCs w:val="32"/>
          <w:highlight w:val="none"/>
        </w:rPr>
        <w:t>（三）</w:t>
      </w:r>
      <w:r>
        <w:rPr>
          <w:rFonts w:eastAsia="楷体_GB2312"/>
          <w:b/>
          <w:color w:val="auto"/>
          <w:sz w:val="32"/>
          <w:szCs w:val="32"/>
          <w:highlight w:val="none"/>
        </w:rPr>
        <w:t>人员情况</w:t>
      </w:r>
    </w:p>
    <w:p w14:paraId="349F70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hint="eastAsia"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202</w:t>
      </w:r>
      <w:r>
        <w:rPr>
          <w:rFonts w:hint="eastAsia" w:eastAsia="仿宋_GB2312" w:cs="Times New Roman"/>
          <w:color w:val="auto"/>
          <w:sz w:val="32"/>
          <w:szCs w:val="32"/>
          <w:highlight w:val="none"/>
          <w:lang w:val="en-US" w:eastAsia="zh-CN"/>
        </w:rPr>
        <w:t>3</w:t>
      </w:r>
      <w:r>
        <w:rPr>
          <w:rFonts w:ascii="Times New Roman" w:hAnsi="Times New Roman" w:eastAsia="仿宋_GB2312" w:cs="Times New Roman"/>
          <w:color w:val="auto"/>
          <w:sz w:val="32"/>
          <w:szCs w:val="32"/>
          <w:highlight w:val="none"/>
        </w:rPr>
        <w:t>年末省农业农村厅实有编制人</w:t>
      </w:r>
      <w:r>
        <w:rPr>
          <w:rFonts w:hint="eastAsia" w:ascii="Times New Roman" w:hAnsi="Times New Roman" w:eastAsia="仿宋_GB2312" w:cs="Times New Roman"/>
          <w:color w:val="auto"/>
          <w:sz w:val="32"/>
          <w:szCs w:val="32"/>
          <w:highlight w:val="none"/>
        </w:rPr>
        <w:t>16</w:t>
      </w:r>
      <w:r>
        <w:rPr>
          <w:rFonts w:hint="eastAsia" w:eastAsia="仿宋_GB2312" w:cs="Times New Roman"/>
          <w:color w:val="auto"/>
          <w:sz w:val="32"/>
          <w:szCs w:val="32"/>
          <w:highlight w:val="none"/>
          <w:lang w:val="en-US" w:eastAsia="zh-CN"/>
        </w:rPr>
        <w:t>02</w:t>
      </w:r>
      <w:r>
        <w:rPr>
          <w:rFonts w:hint="eastAsia" w:ascii="Times New Roman" w:hAnsi="Times New Roman" w:eastAsia="仿宋_GB2312" w:cs="Times New Roman"/>
          <w:color w:val="auto"/>
          <w:sz w:val="32"/>
          <w:szCs w:val="32"/>
          <w:highlight w:val="none"/>
        </w:rPr>
        <w:t>人</w:t>
      </w:r>
      <w:r>
        <w:rPr>
          <w:rFonts w:ascii="Times New Roman" w:hAnsi="Times New Roman" w:eastAsia="仿宋_GB2312" w:cs="Times New Roman"/>
          <w:color w:val="auto"/>
          <w:sz w:val="32"/>
          <w:szCs w:val="32"/>
          <w:highlight w:val="none"/>
        </w:rPr>
        <w:t>，其中行政编制</w:t>
      </w:r>
      <w:r>
        <w:rPr>
          <w:rFonts w:hint="eastAsia" w:eastAsia="仿宋_GB2312" w:cs="Times New Roman"/>
          <w:color w:val="auto"/>
          <w:sz w:val="32"/>
          <w:szCs w:val="32"/>
          <w:highlight w:val="none"/>
          <w:lang w:val="en-US" w:eastAsia="zh-CN"/>
        </w:rPr>
        <w:t>564</w:t>
      </w:r>
      <w:r>
        <w:rPr>
          <w:rFonts w:ascii="Times New Roman" w:hAnsi="Times New Roman" w:eastAsia="仿宋_GB2312" w:cs="Times New Roman"/>
          <w:color w:val="auto"/>
          <w:sz w:val="32"/>
          <w:szCs w:val="32"/>
          <w:highlight w:val="none"/>
        </w:rPr>
        <w:t>人，事业编制人</w:t>
      </w:r>
      <w:r>
        <w:rPr>
          <w:rFonts w:hint="eastAsia" w:eastAsia="仿宋_GB2312" w:cs="Times New Roman"/>
          <w:color w:val="auto"/>
          <w:sz w:val="32"/>
          <w:szCs w:val="32"/>
          <w:highlight w:val="none"/>
          <w:lang w:val="en-US" w:eastAsia="zh-CN"/>
        </w:rPr>
        <w:t>1038</w:t>
      </w:r>
      <w:r>
        <w:rPr>
          <w:rFonts w:hint="eastAsia" w:ascii="Times New Roman" w:hAnsi="Times New Roman" w:eastAsia="仿宋_GB2312" w:cs="Times New Roman"/>
          <w:color w:val="auto"/>
          <w:sz w:val="32"/>
          <w:szCs w:val="32"/>
          <w:highlight w:val="none"/>
          <w:lang w:eastAsia="zh-CN"/>
        </w:rPr>
        <w:t>人；</w:t>
      </w:r>
      <w:r>
        <w:rPr>
          <w:rFonts w:hint="eastAsia" w:ascii="Times New Roman" w:hAnsi="Times New Roman" w:eastAsia="仿宋_GB2312" w:cs="Times New Roman"/>
          <w:color w:val="auto"/>
          <w:sz w:val="32"/>
          <w:szCs w:val="32"/>
          <w:highlight w:val="none"/>
        </w:rPr>
        <w:t>年末共有在职人员</w:t>
      </w:r>
      <w:r>
        <w:rPr>
          <w:rFonts w:hint="eastAsia" w:eastAsia="仿宋_GB2312"/>
          <w:color w:val="auto"/>
          <w:sz w:val="32"/>
          <w:szCs w:val="32"/>
          <w:highlight w:val="none"/>
          <w:lang w:val="en-US" w:eastAsia="zh-CN"/>
        </w:rPr>
        <w:t>1459</w:t>
      </w:r>
      <w:r>
        <w:rPr>
          <w:rFonts w:hint="eastAsia" w:ascii="Times New Roman" w:hAnsi="Times New Roman" w:eastAsia="仿宋_GB2312" w:cs="Times New Roman"/>
          <w:color w:val="auto"/>
          <w:sz w:val="32"/>
          <w:szCs w:val="32"/>
          <w:highlight w:val="none"/>
        </w:rPr>
        <w:t>人，离休人员</w:t>
      </w:r>
      <w:r>
        <w:rPr>
          <w:rFonts w:hint="eastAsia" w:eastAsia="仿宋_GB2312" w:cs="Times New Roman"/>
          <w:color w:val="auto"/>
          <w:sz w:val="32"/>
          <w:szCs w:val="32"/>
          <w:highlight w:val="none"/>
          <w:lang w:val="en-US" w:eastAsia="zh-CN"/>
        </w:rPr>
        <w:t>8</w:t>
      </w:r>
      <w:r>
        <w:rPr>
          <w:rFonts w:hint="eastAsia" w:ascii="Times New Roman" w:hAnsi="Times New Roman" w:eastAsia="仿宋_GB2312" w:cs="Times New Roman"/>
          <w:color w:val="auto"/>
          <w:sz w:val="32"/>
          <w:szCs w:val="32"/>
          <w:highlight w:val="none"/>
        </w:rPr>
        <w:t>人，退休人员</w:t>
      </w:r>
      <w:r>
        <w:rPr>
          <w:rFonts w:hint="eastAsia" w:eastAsia="仿宋_GB2312"/>
          <w:color w:val="auto"/>
          <w:sz w:val="32"/>
          <w:szCs w:val="32"/>
          <w:highlight w:val="none"/>
          <w:lang w:val="en-US" w:eastAsia="zh-CN"/>
        </w:rPr>
        <w:t>1674</w:t>
      </w:r>
      <w:r>
        <w:rPr>
          <w:rFonts w:hint="eastAsia" w:ascii="Times New Roman" w:hAnsi="Times New Roman" w:eastAsia="仿宋_GB2312" w:cs="Times New Roman"/>
          <w:color w:val="auto"/>
          <w:sz w:val="32"/>
          <w:szCs w:val="32"/>
          <w:highlight w:val="none"/>
        </w:rPr>
        <w:t>人。</w:t>
      </w:r>
    </w:p>
    <w:p w14:paraId="4379215C">
      <w:pPr>
        <w:pStyle w:val="3"/>
        <w:spacing w:line="580" w:lineRule="exact"/>
        <w:ind w:firstLine="640"/>
        <w:rPr>
          <w:rFonts w:ascii="Times New Roman" w:hAnsi="Times New Roman" w:cs="Times New Roman"/>
          <w:b w:val="0"/>
          <w:color w:val="auto"/>
          <w:sz w:val="32"/>
          <w:szCs w:val="32"/>
          <w:highlight w:val="none"/>
        </w:rPr>
      </w:pPr>
      <w:bookmarkStart w:id="13" w:name="_Toc32665"/>
      <w:bookmarkStart w:id="14" w:name="_Toc4719"/>
      <w:r>
        <w:rPr>
          <w:rFonts w:ascii="Times New Roman" w:hAnsi="Times New Roman" w:cs="Times New Roman"/>
          <w:b w:val="0"/>
          <w:color w:val="auto"/>
          <w:sz w:val="32"/>
          <w:szCs w:val="32"/>
          <w:highlight w:val="none"/>
        </w:rPr>
        <w:t>二、绩效自评工作开展情况</w:t>
      </w:r>
      <w:bookmarkEnd w:id="13"/>
      <w:bookmarkEnd w:id="14"/>
    </w:p>
    <w:p w14:paraId="701C322F">
      <w:pPr>
        <w:pStyle w:val="4"/>
        <w:spacing w:line="580" w:lineRule="exact"/>
        <w:ind w:firstLine="480" w:firstLineChars="150"/>
        <w:rPr>
          <w:rFonts w:hint="eastAsia" w:ascii="楷体_GB2312" w:hAnsi="楷体_GB2312" w:eastAsia="楷体_GB2312" w:cs="楷体_GB2312"/>
          <w:b w:val="0"/>
          <w:bCs/>
          <w:color w:val="auto"/>
          <w:sz w:val="32"/>
          <w:szCs w:val="32"/>
          <w:highlight w:val="none"/>
        </w:rPr>
      </w:pPr>
      <w:r>
        <w:rPr>
          <w:rFonts w:hint="eastAsia" w:ascii="楷体_GB2312" w:hAnsi="楷体_GB2312" w:eastAsia="楷体_GB2312" w:cs="楷体_GB2312"/>
          <w:b w:val="0"/>
          <w:bCs/>
          <w:color w:val="auto"/>
          <w:sz w:val="32"/>
          <w:szCs w:val="32"/>
          <w:highlight w:val="none"/>
        </w:rPr>
        <w:t>（一）加强组织领导，明确工作要求</w:t>
      </w:r>
    </w:p>
    <w:p w14:paraId="1C1E91EE">
      <w:pPr>
        <w:ind w:firstLine="640"/>
        <w:rPr>
          <w:color w:val="auto"/>
          <w:sz w:val="32"/>
          <w:szCs w:val="32"/>
          <w:highlight w:val="none"/>
        </w:rPr>
      </w:pPr>
      <w:r>
        <w:rPr>
          <w:rFonts w:hint="eastAsia" w:ascii="Times New Roman" w:hAnsi="Times New Roman" w:eastAsia="仿宋_GB2312" w:cs="Times New Roman"/>
          <w:color w:val="auto"/>
          <w:sz w:val="32"/>
          <w:szCs w:val="32"/>
          <w:highlight w:val="none"/>
          <w:lang w:eastAsia="zh-CN"/>
        </w:rPr>
        <w:t>根据</w:t>
      </w:r>
      <w:r>
        <w:rPr>
          <w:rFonts w:hint="eastAsia" w:ascii="Times New Roman" w:hAnsi="Times New Roman" w:eastAsia="仿宋_GB2312" w:cs="Times New Roman"/>
          <w:color w:val="auto"/>
          <w:sz w:val="32"/>
          <w:szCs w:val="32"/>
          <w:highlight w:val="none"/>
          <w:lang w:val="en-US" w:eastAsia="zh-CN"/>
        </w:rPr>
        <w:t>《湖南省财政厅关于开展2023年度省级预算部门绩效自评和部门评价的通知》（湘财绩〔2024〕1号）</w:t>
      </w:r>
      <w:r>
        <w:rPr>
          <w:rFonts w:hint="eastAsia" w:ascii="Times New Roman" w:hAnsi="Times New Roman" w:eastAsia="仿宋_GB2312" w:cs="Times New Roman"/>
          <w:color w:val="auto"/>
          <w:sz w:val="32"/>
          <w:szCs w:val="32"/>
          <w:highlight w:val="none"/>
          <w:lang w:eastAsia="zh-CN"/>
        </w:rPr>
        <w:t>的相关要求，</w:t>
      </w:r>
      <w:r>
        <w:rPr>
          <w:rFonts w:hint="eastAsia" w:ascii="Times New Roman" w:hAnsi="Times New Roman" w:eastAsia="仿宋_GB2312" w:cs="Times New Roman"/>
          <w:color w:val="auto"/>
          <w:kern w:val="2"/>
          <w:sz w:val="32"/>
          <w:szCs w:val="32"/>
          <w:highlight w:val="none"/>
        </w:rPr>
        <w:t>省农业农村厅</w:t>
      </w:r>
      <w:r>
        <w:rPr>
          <w:rFonts w:hint="eastAsia" w:ascii="Times New Roman" w:hAnsi="Times New Roman" w:eastAsia="仿宋_GB2312" w:cs="Times New Roman"/>
          <w:color w:val="auto"/>
          <w:sz w:val="32"/>
          <w:szCs w:val="32"/>
          <w:highlight w:val="none"/>
          <w:lang w:eastAsia="zh-CN"/>
        </w:rPr>
        <w:t>成立了绩效自评</w:t>
      </w:r>
      <w:r>
        <w:rPr>
          <w:rFonts w:hint="eastAsia" w:ascii="Times New Roman" w:hAnsi="Times New Roman" w:eastAsia="仿宋_GB2312" w:cs="Times New Roman"/>
          <w:color w:val="auto"/>
          <w:sz w:val="32"/>
          <w:szCs w:val="32"/>
          <w:highlight w:val="none"/>
          <w:lang w:val="en-US" w:eastAsia="zh-CN"/>
        </w:rPr>
        <w:t>工作</w:t>
      </w:r>
      <w:r>
        <w:rPr>
          <w:rFonts w:hint="eastAsia" w:ascii="Times New Roman" w:hAnsi="Times New Roman" w:eastAsia="仿宋_GB2312" w:cs="Times New Roman"/>
          <w:color w:val="auto"/>
          <w:sz w:val="32"/>
          <w:szCs w:val="32"/>
          <w:highlight w:val="none"/>
          <w:lang w:eastAsia="zh-CN"/>
        </w:rPr>
        <w:t>小组，由</w:t>
      </w:r>
      <w:r>
        <w:rPr>
          <w:rFonts w:hint="eastAsia" w:eastAsia="仿宋_GB2312" w:cs="Times New Roman"/>
          <w:color w:val="auto"/>
          <w:sz w:val="32"/>
          <w:szCs w:val="32"/>
          <w:highlight w:val="none"/>
          <w:lang w:val="en-US" w:eastAsia="zh-CN"/>
        </w:rPr>
        <w:t>计划财务处</w:t>
      </w:r>
      <w:r>
        <w:rPr>
          <w:rFonts w:hint="eastAsia" w:ascii="Times New Roman" w:hAnsi="Times New Roman" w:eastAsia="仿宋_GB2312" w:cs="Times New Roman"/>
          <w:color w:val="auto"/>
          <w:sz w:val="32"/>
          <w:szCs w:val="32"/>
          <w:highlight w:val="none"/>
          <w:lang w:eastAsia="zh-CN"/>
        </w:rPr>
        <w:t>具体负责牵头，拟制了绩效自评工作方案，</w:t>
      </w:r>
      <w:r>
        <w:rPr>
          <w:rFonts w:hint="eastAsia" w:ascii="Times New Roman" w:hAnsi="Times New Roman" w:eastAsia="仿宋_GB2312" w:cs="Times New Roman"/>
          <w:color w:val="auto"/>
          <w:sz w:val="32"/>
          <w:szCs w:val="32"/>
          <w:highlight w:val="none"/>
          <w:lang w:val="en-US" w:eastAsia="zh-CN"/>
        </w:rPr>
        <w:t>下达了</w:t>
      </w:r>
      <w:r>
        <w:rPr>
          <w:rFonts w:hint="eastAsia" w:ascii="Times New Roman" w:hAnsi="Times New Roman" w:eastAsia="仿宋_GB2312" w:cs="Times New Roman"/>
          <w:color w:val="auto"/>
          <w:sz w:val="32"/>
          <w:szCs w:val="32"/>
          <w:highlight w:val="none"/>
          <w:lang w:eastAsia="zh-CN"/>
        </w:rPr>
        <w:t>《湖南</w:t>
      </w:r>
      <w:r>
        <w:rPr>
          <w:rFonts w:hint="eastAsia" w:ascii="Times New Roman" w:hAnsi="Times New Roman" w:eastAsia="仿宋_GB2312" w:cs="Times New Roman"/>
          <w:color w:val="auto"/>
          <w:kern w:val="2"/>
          <w:sz w:val="32"/>
          <w:szCs w:val="32"/>
          <w:highlight w:val="none"/>
        </w:rPr>
        <w:t>省农业农村厅</w:t>
      </w:r>
      <w:r>
        <w:rPr>
          <w:rFonts w:hint="eastAsia" w:ascii="Times New Roman" w:hAnsi="Times New Roman" w:eastAsia="仿宋_GB2312" w:cs="Times New Roman"/>
          <w:color w:val="auto"/>
          <w:kern w:val="2"/>
          <w:sz w:val="32"/>
          <w:szCs w:val="32"/>
          <w:highlight w:val="none"/>
          <w:lang w:eastAsia="zh-CN"/>
        </w:rPr>
        <w:t>关于</w:t>
      </w:r>
      <w:r>
        <w:rPr>
          <w:rFonts w:hint="eastAsia" w:ascii="Times New Roman" w:hAnsi="Times New Roman" w:eastAsia="仿宋_GB2312" w:cs="Times New Roman"/>
          <w:color w:val="auto"/>
          <w:sz w:val="32"/>
          <w:szCs w:val="32"/>
          <w:highlight w:val="none"/>
          <w:lang w:eastAsia="zh-CN"/>
        </w:rPr>
        <w:t>开展202</w:t>
      </w:r>
      <w:r>
        <w:rPr>
          <w:rFonts w:hint="eastAsia"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eastAsia="zh-CN"/>
        </w:rPr>
        <w:t>年度部门整体支出绩效自评工作的通知》，要求</w:t>
      </w:r>
      <w:r>
        <w:rPr>
          <w:rFonts w:hint="eastAsia" w:ascii="Times New Roman" w:hAnsi="Times New Roman" w:eastAsia="仿宋_GB2312" w:cs="Times New Roman"/>
          <w:color w:val="auto"/>
          <w:sz w:val="32"/>
          <w:szCs w:val="32"/>
          <w:highlight w:val="none"/>
          <w:lang w:val="en-US" w:eastAsia="zh-CN"/>
        </w:rPr>
        <w:t>各处室和所属单位</w:t>
      </w:r>
      <w:r>
        <w:rPr>
          <w:rFonts w:hint="eastAsia" w:ascii="Times New Roman" w:hAnsi="Times New Roman" w:eastAsia="仿宋_GB2312" w:cs="Times New Roman"/>
          <w:color w:val="auto"/>
          <w:sz w:val="32"/>
          <w:szCs w:val="32"/>
          <w:highlight w:val="none"/>
          <w:lang w:eastAsia="zh-CN"/>
        </w:rPr>
        <w:t>做好本部门绩效自评工作，并按要求上报相关资料。</w:t>
      </w:r>
    </w:p>
    <w:p w14:paraId="1543D6AA">
      <w:pPr>
        <w:pStyle w:val="4"/>
        <w:spacing w:line="580" w:lineRule="exact"/>
        <w:ind w:firstLine="480" w:firstLineChars="150"/>
        <w:rPr>
          <w:rFonts w:hint="default" w:ascii="楷体_GB2312" w:hAnsi="楷体_GB2312" w:eastAsia="楷体_GB2312" w:cs="楷体_GB2312"/>
          <w:b w:val="0"/>
          <w:bCs/>
          <w:color w:val="auto"/>
          <w:sz w:val="32"/>
          <w:szCs w:val="32"/>
          <w:highlight w:val="none"/>
          <w:lang w:val="en-US" w:eastAsia="zh-CN"/>
        </w:rPr>
      </w:pPr>
      <w:r>
        <w:rPr>
          <w:rFonts w:hint="eastAsia" w:ascii="楷体_GB2312" w:hAnsi="楷体_GB2312" w:eastAsia="楷体_GB2312" w:cs="楷体_GB2312"/>
          <w:b w:val="0"/>
          <w:bCs/>
          <w:color w:val="auto"/>
          <w:sz w:val="32"/>
          <w:szCs w:val="32"/>
          <w:highlight w:val="none"/>
        </w:rPr>
        <w:t>（二）强化绩效意识，</w:t>
      </w:r>
      <w:r>
        <w:rPr>
          <w:rFonts w:hint="eastAsia" w:ascii="楷体_GB2312" w:hAnsi="楷体_GB2312" w:eastAsia="楷体_GB2312" w:cs="楷体_GB2312"/>
          <w:b w:val="0"/>
          <w:bCs/>
          <w:color w:val="auto"/>
          <w:sz w:val="32"/>
          <w:szCs w:val="32"/>
          <w:highlight w:val="none"/>
          <w:lang w:val="en-US" w:eastAsia="zh-CN"/>
        </w:rPr>
        <w:t>确保绩效自评全覆盖</w:t>
      </w:r>
    </w:p>
    <w:p w14:paraId="121AF70B">
      <w:pPr>
        <w:ind w:firstLine="64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rPr>
        <w:t>省农业农村厅</w:t>
      </w:r>
      <w:r>
        <w:rPr>
          <w:rFonts w:hint="eastAsia" w:ascii="Times New Roman" w:hAnsi="Times New Roman" w:eastAsia="仿宋_GB2312" w:cs="Times New Roman"/>
          <w:color w:val="auto"/>
          <w:sz w:val="32"/>
          <w:szCs w:val="32"/>
          <w:highlight w:val="none"/>
          <w:lang w:eastAsia="zh-CN"/>
        </w:rPr>
        <w:t>强化全员</w:t>
      </w:r>
      <w:r>
        <w:rPr>
          <w:rFonts w:hint="eastAsia" w:ascii="Times New Roman" w:hAnsi="Times New Roman" w:eastAsia="仿宋_GB2312" w:cs="Times New Roman"/>
          <w:color w:val="auto"/>
          <w:sz w:val="32"/>
          <w:szCs w:val="32"/>
          <w:highlight w:val="none"/>
          <w:lang w:val="en-US" w:eastAsia="zh-CN"/>
        </w:rPr>
        <w:t>全系统</w:t>
      </w:r>
      <w:r>
        <w:rPr>
          <w:rFonts w:hint="eastAsia" w:ascii="Times New Roman" w:hAnsi="Times New Roman" w:eastAsia="仿宋_GB2312" w:cs="Times New Roman"/>
          <w:color w:val="auto"/>
          <w:sz w:val="32"/>
          <w:szCs w:val="32"/>
          <w:highlight w:val="none"/>
          <w:lang w:eastAsia="zh-CN"/>
        </w:rPr>
        <w:t>的绩效意识，</w:t>
      </w:r>
      <w:r>
        <w:rPr>
          <w:rFonts w:hint="eastAsia" w:ascii="Times New Roman" w:hAnsi="Times New Roman" w:eastAsia="仿宋_GB2312" w:cs="Times New Roman"/>
          <w:color w:val="auto"/>
          <w:sz w:val="32"/>
          <w:szCs w:val="32"/>
          <w:highlight w:val="none"/>
          <w:lang w:val="en-US" w:eastAsia="zh-CN"/>
        </w:rPr>
        <w:t>要求各处室、各直属单位认真开展绩效自评工作，确保绩效自评全</w:t>
      </w:r>
      <w:r>
        <w:rPr>
          <w:rFonts w:hint="eastAsia"/>
          <w:b w:val="0"/>
          <w:bCs/>
          <w:color w:val="auto"/>
          <w:sz w:val="32"/>
          <w:szCs w:val="32"/>
          <w:highlight w:val="none"/>
          <w:lang w:val="en-US" w:eastAsia="zh-CN"/>
        </w:rPr>
        <w:t>覆盖</w:t>
      </w:r>
      <w:r>
        <w:rPr>
          <w:rFonts w:hint="eastAsia" w:ascii="Times New Roman" w:hAnsi="Times New Roman" w:eastAsia="仿宋_GB2312" w:cs="Times New Roman"/>
          <w:color w:val="auto"/>
          <w:sz w:val="32"/>
          <w:szCs w:val="32"/>
          <w:highlight w:val="none"/>
          <w:lang w:eastAsia="zh-CN"/>
        </w:rPr>
        <w:t>。本次绩效</w:t>
      </w:r>
      <w:r>
        <w:rPr>
          <w:rFonts w:hint="eastAsia" w:ascii="Times New Roman" w:hAnsi="Times New Roman" w:eastAsia="仿宋_GB2312" w:cs="Times New Roman"/>
          <w:color w:val="auto"/>
          <w:sz w:val="32"/>
          <w:szCs w:val="32"/>
          <w:highlight w:val="none"/>
          <w:lang w:val="en-US" w:eastAsia="zh-CN"/>
        </w:rPr>
        <w:t>自评</w:t>
      </w:r>
      <w:r>
        <w:rPr>
          <w:rFonts w:hint="eastAsia" w:ascii="Times New Roman" w:hAnsi="Times New Roman" w:eastAsia="仿宋_GB2312" w:cs="Times New Roman"/>
          <w:color w:val="auto"/>
          <w:sz w:val="32"/>
          <w:szCs w:val="32"/>
          <w:highlight w:val="none"/>
          <w:lang w:eastAsia="zh-CN"/>
        </w:rPr>
        <w:t>范围包括一般公共预算支出、</w:t>
      </w:r>
      <w:r>
        <w:rPr>
          <w:rFonts w:hint="eastAsia" w:ascii="Times New Roman" w:hAnsi="Times New Roman" w:eastAsia="仿宋_GB2312" w:cs="Times New Roman"/>
          <w:color w:val="auto"/>
          <w:sz w:val="32"/>
          <w:szCs w:val="32"/>
          <w:highlight w:val="none"/>
          <w:lang w:val="en-US" w:eastAsia="zh-CN"/>
        </w:rPr>
        <w:t>省级专项资金</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事业单位经营支出等资金的绩效自评。</w:t>
      </w:r>
    </w:p>
    <w:p w14:paraId="402AEA07">
      <w:pPr>
        <w:pStyle w:val="4"/>
        <w:spacing w:line="580" w:lineRule="exact"/>
        <w:ind w:firstLine="480" w:firstLineChars="150"/>
        <w:rPr>
          <w:rFonts w:hint="eastAsia" w:ascii="楷体_GB2312" w:hAnsi="楷体_GB2312" w:eastAsia="楷体_GB2312" w:cs="楷体_GB2312"/>
          <w:b w:val="0"/>
          <w:bCs/>
          <w:color w:val="auto"/>
          <w:sz w:val="32"/>
          <w:szCs w:val="32"/>
          <w:highlight w:val="none"/>
        </w:rPr>
      </w:pPr>
      <w:r>
        <w:rPr>
          <w:rFonts w:hint="eastAsia" w:ascii="楷体_GB2312" w:hAnsi="楷体_GB2312" w:eastAsia="楷体_GB2312" w:cs="楷体_GB2312"/>
          <w:b w:val="0"/>
          <w:bCs/>
          <w:color w:val="auto"/>
          <w:sz w:val="32"/>
          <w:szCs w:val="32"/>
          <w:highlight w:val="none"/>
        </w:rPr>
        <w:t>（三）抓好细节落实，提高自评质量</w:t>
      </w:r>
    </w:p>
    <w:p w14:paraId="15E66E31">
      <w:pPr>
        <w:ind w:firstLine="64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eastAsia="zh-CN"/>
        </w:rPr>
        <w:t>根据绩效自评工作方案，绩效自评工作小组从各项数据入手抓好细节的落实，通过汇总整理客观、全面、精准的自评数据材料，提高绩效自评质量。</w:t>
      </w:r>
      <w:r>
        <w:rPr>
          <w:rFonts w:hint="eastAsia" w:ascii="Times New Roman" w:hAnsi="Times New Roman" w:eastAsia="仿宋_GB2312" w:cs="Times New Roman"/>
          <w:color w:val="auto"/>
          <w:sz w:val="32"/>
          <w:szCs w:val="32"/>
          <w:highlight w:val="none"/>
          <w:lang w:val="en-US" w:eastAsia="zh-CN"/>
        </w:rPr>
        <w:t>增加量化指标占比，通过以数据评指标，提高自评质量。</w:t>
      </w:r>
    </w:p>
    <w:p w14:paraId="487467BA">
      <w:pPr>
        <w:pStyle w:val="3"/>
        <w:keepNext w:val="0"/>
        <w:keepLines w:val="0"/>
        <w:pageBreakBefore w:val="0"/>
        <w:widowControl w:val="0"/>
        <w:kinsoku/>
        <w:wordWrap/>
        <w:overflowPunct/>
        <w:topLinePunct w:val="0"/>
        <w:bidi w:val="0"/>
        <w:adjustRightInd w:val="0"/>
        <w:snapToGrid w:val="0"/>
        <w:spacing w:line="560" w:lineRule="exact"/>
        <w:ind w:firstLine="640"/>
        <w:textAlignment w:val="center"/>
        <w:rPr>
          <w:rFonts w:ascii="Times New Roman"/>
          <w:b w:val="0"/>
          <w:color w:val="auto"/>
          <w:sz w:val="32"/>
          <w:szCs w:val="32"/>
          <w:highlight w:val="none"/>
        </w:rPr>
      </w:pPr>
      <w:r>
        <w:rPr>
          <w:rFonts w:hint="eastAsia" w:ascii="Times New Roman"/>
          <w:b w:val="0"/>
          <w:color w:val="auto"/>
          <w:sz w:val="32"/>
          <w:szCs w:val="32"/>
          <w:highlight w:val="none"/>
          <w:lang w:eastAsia="zh-CN"/>
        </w:rPr>
        <w:t>三</w:t>
      </w:r>
      <w:r>
        <w:rPr>
          <w:rFonts w:ascii="Times New Roman"/>
          <w:b w:val="0"/>
          <w:color w:val="auto"/>
          <w:sz w:val="32"/>
          <w:szCs w:val="32"/>
          <w:highlight w:val="none"/>
        </w:rPr>
        <w:t>、一般公共预算支出情况</w:t>
      </w:r>
    </w:p>
    <w:p w14:paraId="0CA5D95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省农业农村厅2023年度一般公共预算年初预算数75,419.18万元，全年预算数为103,169.30万元，决算数为81,162.35万元，执行率为78.67%。如下表所示：</w:t>
      </w:r>
    </w:p>
    <w:tbl>
      <w:tblPr>
        <w:tblStyle w:val="12"/>
        <w:tblW w:w="8617" w:type="dxa"/>
        <w:tblInd w:w="7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39"/>
        <w:gridCol w:w="1786"/>
        <w:gridCol w:w="1930"/>
        <w:gridCol w:w="1701"/>
        <w:gridCol w:w="1261"/>
      </w:tblGrid>
      <w:tr w14:paraId="6E808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blHeader/>
        </w:trPr>
        <w:tc>
          <w:tcPr>
            <w:tcW w:w="1939" w:type="dxa"/>
            <w:tcBorders>
              <w:top w:val="nil"/>
              <w:left w:val="nil"/>
              <w:bottom w:val="single" w:color="000000" w:sz="12" w:space="0"/>
              <w:right w:val="nil"/>
            </w:tcBorders>
            <w:shd w:val="clear" w:color="auto" w:fill="auto"/>
            <w:noWrap/>
            <w:vAlign w:val="center"/>
          </w:tcPr>
          <w:p w14:paraId="4B44BAB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786" w:type="dxa"/>
            <w:tcBorders>
              <w:top w:val="nil"/>
              <w:left w:val="nil"/>
              <w:bottom w:val="single" w:color="000000" w:sz="12" w:space="0"/>
              <w:right w:val="nil"/>
            </w:tcBorders>
            <w:shd w:val="clear" w:color="auto" w:fill="auto"/>
            <w:noWrap/>
            <w:vAlign w:val="center"/>
          </w:tcPr>
          <w:p w14:paraId="324A5FA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930" w:type="dxa"/>
            <w:tcBorders>
              <w:top w:val="nil"/>
              <w:left w:val="nil"/>
              <w:bottom w:val="single" w:color="000000" w:sz="12" w:space="0"/>
              <w:right w:val="nil"/>
            </w:tcBorders>
            <w:shd w:val="clear" w:color="auto" w:fill="auto"/>
            <w:noWrap/>
            <w:vAlign w:val="center"/>
          </w:tcPr>
          <w:p w14:paraId="45EF803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701" w:type="dxa"/>
            <w:tcBorders>
              <w:top w:val="nil"/>
              <w:left w:val="nil"/>
              <w:bottom w:val="single" w:color="000000" w:sz="12" w:space="0"/>
              <w:right w:val="nil"/>
            </w:tcBorders>
            <w:shd w:val="clear" w:color="auto" w:fill="auto"/>
            <w:noWrap/>
            <w:vAlign w:val="center"/>
          </w:tcPr>
          <w:p w14:paraId="0DE1378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261" w:type="dxa"/>
            <w:tcBorders>
              <w:top w:val="nil"/>
              <w:left w:val="nil"/>
              <w:bottom w:val="single" w:color="000000" w:sz="12" w:space="0"/>
              <w:right w:val="nil"/>
            </w:tcBorders>
            <w:shd w:val="clear" w:color="auto" w:fill="auto"/>
            <w:noWrap/>
            <w:vAlign w:val="center"/>
          </w:tcPr>
          <w:p w14:paraId="4A91A42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单位：万元</w:t>
            </w:r>
          </w:p>
        </w:tc>
      </w:tr>
      <w:tr w14:paraId="68AD4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blHeader/>
        </w:trPr>
        <w:tc>
          <w:tcPr>
            <w:tcW w:w="1939" w:type="dxa"/>
            <w:tcBorders>
              <w:top w:val="single" w:color="000000" w:sz="12" w:space="0"/>
              <w:left w:val="nil"/>
              <w:bottom w:val="dotted" w:color="000000" w:sz="4" w:space="0"/>
              <w:right w:val="dotted" w:color="000000" w:sz="4" w:space="0"/>
            </w:tcBorders>
            <w:shd w:val="clear" w:color="auto" w:fill="auto"/>
            <w:noWrap/>
            <w:vAlign w:val="center"/>
          </w:tcPr>
          <w:p w14:paraId="2185BAE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项目</w:t>
            </w:r>
          </w:p>
        </w:tc>
        <w:tc>
          <w:tcPr>
            <w:tcW w:w="1786"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542E36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年初预算数</w:t>
            </w:r>
          </w:p>
        </w:tc>
        <w:tc>
          <w:tcPr>
            <w:tcW w:w="1930"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39CCAB8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全年预算数</w:t>
            </w:r>
          </w:p>
        </w:tc>
        <w:tc>
          <w:tcPr>
            <w:tcW w:w="1701"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600BA43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决算数</w:t>
            </w:r>
          </w:p>
        </w:tc>
        <w:tc>
          <w:tcPr>
            <w:tcW w:w="1261" w:type="dxa"/>
            <w:tcBorders>
              <w:top w:val="single" w:color="000000" w:sz="12" w:space="0"/>
              <w:left w:val="dotted" w:color="000000" w:sz="4" w:space="0"/>
              <w:bottom w:val="dotted" w:color="000000" w:sz="4" w:space="0"/>
              <w:right w:val="nil"/>
            </w:tcBorders>
            <w:shd w:val="clear" w:color="auto" w:fill="auto"/>
            <w:noWrap/>
            <w:vAlign w:val="center"/>
          </w:tcPr>
          <w:p w14:paraId="4A2136F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执行率</w:t>
            </w:r>
          </w:p>
        </w:tc>
      </w:tr>
      <w:tr w14:paraId="75D12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1939" w:type="dxa"/>
            <w:tcBorders>
              <w:top w:val="dotted" w:color="000000" w:sz="4" w:space="0"/>
              <w:left w:val="nil"/>
              <w:bottom w:val="dotted" w:color="000000" w:sz="4" w:space="0"/>
              <w:right w:val="dotted" w:color="000000" w:sz="4" w:space="0"/>
            </w:tcBorders>
            <w:shd w:val="clear" w:color="auto" w:fill="auto"/>
            <w:noWrap/>
            <w:vAlign w:val="center"/>
          </w:tcPr>
          <w:p w14:paraId="2B697B6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基本支出</w:t>
            </w:r>
          </w:p>
        </w:tc>
        <w:tc>
          <w:tcPr>
            <w:tcW w:w="17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0355DC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40</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102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66</w:t>
            </w:r>
          </w:p>
        </w:tc>
        <w:tc>
          <w:tcPr>
            <w:tcW w:w="19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F4C85D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47,586</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w:t>
            </w:r>
            <w:r>
              <w:rPr>
                <w:rFonts w:hint="eastAsia" w:eastAsia="仿宋_GB2312" w:cs="Times New Roman"/>
                <w:color w:val="auto"/>
                <w:sz w:val="21"/>
                <w:szCs w:val="21"/>
                <w:highlight w:val="none"/>
                <w:lang w:val="en-US" w:eastAsia="zh-CN"/>
              </w:rPr>
              <w:t>9</w:t>
            </w:r>
          </w:p>
        </w:tc>
        <w:tc>
          <w:tcPr>
            <w:tcW w:w="170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09ADA6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45,459</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w:t>
            </w:r>
            <w:r>
              <w:rPr>
                <w:rFonts w:hint="eastAsia" w:eastAsia="仿宋_GB2312" w:cs="Times New Roman"/>
                <w:color w:val="auto"/>
                <w:sz w:val="21"/>
                <w:szCs w:val="21"/>
                <w:highlight w:val="none"/>
                <w:lang w:val="en-US" w:eastAsia="zh-CN"/>
              </w:rPr>
              <w:t>3</w:t>
            </w:r>
          </w:p>
        </w:tc>
        <w:tc>
          <w:tcPr>
            <w:tcW w:w="1261" w:type="dxa"/>
            <w:tcBorders>
              <w:top w:val="dotted" w:color="000000" w:sz="4" w:space="0"/>
              <w:left w:val="dotted" w:color="000000" w:sz="4" w:space="0"/>
              <w:bottom w:val="dotted" w:color="000000" w:sz="4" w:space="0"/>
              <w:right w:val="nil"/>
            </w:tcBorders>
            <w:shd w:val="clear" w:color="auto" w:fill="auto"/>
            <w:noWrap/>
            <w:vAlign w:val="center"/>
          </w:tcPr>
          <w:p w14:paraId="4CDB944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95.53%</w:t>
            </w:r>
          </w:p>
        </w:tc>
      </w:tr>
      <w:tr w14:paraId="7419A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939" w:type="dxa"/>
            <w:tcBorders>
              <w:top w:val="dotted" w:color="000000" w:sz="4" w:space="0"/>
              <w:left w:val="nil"/>
              <w:bottom w:val="dotted" w:color="000000" w:sz="4" w:space="0"/>
              <w:right w:val="dotted" w:color="000000" w:sz="4" w:space="0"/>
            </w:tcBorders>
            <w:shd w:val="clear" w:color="auto" w:fill="auto"/>
            <w:noWrap/>
            <w:vAlign w:val="center"/>
          </w:tcPr>
          <w:p w14:paraId="5A229FB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项目支出</w:t>
            </w:r>
          </w:p>
        </w:tc>
        <w:tc>
          <w:tcPr>
            <w:tcW w:w="17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F3CD13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35</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316</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52</w:t>
            </w:r>
          </w:p>
        </w:tc>
        <w:tc>
          <w:tcPr>
            <w:tcW w:w="19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ED5285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55,582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8</w:t>
            </w:r>
            <w:r>
              <w:rPr>
                <w:rFonts w:hint="eastAsia" w:eastAsia="仿宋_GB2312" w:cs="Times New Roman"/>
                <w:color w:val="auto"/>
                <w:sz w:val="21"/>
                <w:szCs w:val="21"/>
                <w:highlight w:val="none"/>
                <w:lang w:val="en-US" w:eastAsia="zh-CN"/>
              </w:rPr>
              <w:t>1</w:t>
            </w:r>
          </w:p>
        </w:tc>
        <w:tc>
          <w:tcPr>
            <w:tcW w:w="170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8775F4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35,702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92</w:t>
            </w:r>
          </w:p>
        </w:tc>
        <w:tc>
          <w:tcPr>
            <w:tcW w:w="1261" w:type="dxa"/>
            <w:tcBorders>
              <w:top w:val="dotted" w:color="000000" w:sz="4" w:space="0"/>
              <w:left w:val="dotted" w:color="000000" w:sz="4" w:space="0"/>
              <w:bottom w:val="dotted" w:color="000000" w:sz="4" w:space="0"/>
              <w:right w:val="nil"/>
            </w:tcBorders>
            <w:shd w:val="clear" w:color="auto" w:fill="auto"/>
            <w:noWrap/>
            <w:vAlign w:val="center"/>
          </w:tcPr>
          <w:p w14:paraId="23849ED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64.23%</w:t>
            </w:r>
          </w:p>
        </w:tc>
      </w:tr>
      <w:tr w14:paraId="371DE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939" w:type="dxa"/>
            <w:tcBorders>
              <w:top w:val="dotted" w:color="000000" w:sz="4" w:space="0"/>
              <w:left w:val="nil"/>
              <w:bottom w:val="single" w:color="000000" w:sz="12" w:space="0"/>
              <w:right w:val="dotted" w:color="000000" w:sz="4" w:space="0"/>
            </w:tcBorders>
            <w:shd w:val="clear" w:color="auto" w:fill="auto"/>
            <w:noWrap/>
            <w:vAlign w:val="center"/>
          </w:tcPr>
          <w:p w14:paraId="2FB8C6D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合计</w:t>
            </w:r>
          </w:p>
        </w:tc>
        <w:tc>
          <w:tcPr>
            <w:tcW w:w="1786"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7D9A59E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75</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419</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18</w:t>
            </w:r>
          </w:p>
        </w:tc>
        <w:tc>
          <w:tcPr>
            <w:tcW w:w="1930"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5E9134C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103,169</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30</w:t>
            </w:r>
          </w:p>
        </w:tc>
        <w:tc>
          <w:tcPr>
            <w:tcW w:w="1701"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433D23BB">
            <w:pPr>
              <w:keepNext w:val="0"/>
              <w:keepLines w:val="0"/>
              <w:widowControl/>
              <w:suppressLineNumbers w:val="0"/>
              <w:jc w:val="righ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Times New Roman" w:hAnsi="Times New Roman" w:eastAsia="仿宋_GB2312" w:cs="Times New Roman"/>
                <w:color w:val="auto"/>
                <w:sz w:val="21"/>
                <w:szCs w:val="21"/>
                <w:highlight w:val="none"/>
                <w:lang w:val="en-US" w:eastAsia="zh-CN"/>
              </w:rPr>
              <w:t>81,162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3</w:t>
            </w:r>
            <w:r>
              <w:rPr>
                <w:rFonts w:hint="eastAsia" w:eastAsia="仿宋_GB2312" w:cs="Times New Roman"/>
                <w:color w:val="auto"/>
                <w:sz w:val="21"/>
                <w:szCs w:val="21"/>
                <w:highlight w:val="none"/>
                <w:lang w:val="en-US" w:eastAsia="zh-CN"/>
              </w:rPr>
              <w:t>5</w:t>
            </w:r>
          </w:p>
        </w:tc>
        <w:tc>
          <w:tcPr>
            <w:tcW w:w="1261" w:type="dxa"/>
            <w:tcBorders>
              <w:top w:val="dotted" w:color="000000" w:sz="4" w:space="0"/>
              <w:left w:val="dotted" w:color="000000" w:sz="4" w:space="0"/>
              <w:bottom w:val="single" w:color="000000" w:sz="12" w:space="0"/>
              <w:right w:val="nil"/>
            </w:tcBorders>
            <w:shd w:val="clear" w:color="auto" w:fill="auto"/>
            <w:noWrap/>
            <w:vAlign w:val="center"/>
          </w:tcPr>
          <w:p w14:paraId="0568C3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78.67%</w:t>
            </w:r>
          </w:p>
        </w:tc>
      </w:tr>
    </w:tbl>
    <w:p w14:paraId="5E66DFC9">
      <w:pPr>
        <w:pStyle w:val="18"/>
        <w:keepNext w:val="0"/>
        <w:keepLines w:val="0"/>
        <w:pageBreakBefore w:val="0"/>
        <w:widowControl w:val="0"/>
        <w:numPr>
          <w:ilvl w:val="0"/>
          <w:numId w:val="7"/>
        </w:numPr>
        <w:kinsoku/>
        <w:wordWrap/>
        <w:overflowPunct/>
        <w:topLinePunct w:val="0"/>
        <w:bidi w:val="0"/>
        <w:adjustRightInd w:val="0"/>
        <w:snapToGrid w:val="0"/>
        <w:spacing w:line="560" w:lineRule="exact"/>
        <w:ind w:firstLine="643"/>
        <w:textAlignment w:val="center"/>
        <w:outlineLvl w:val="1"/>
        <w:rPr>
          <w:rFonts w:eastAsia="楷体_GB2312"/>
          <w:b/>
          <w:color w:val="auto"/>
          <w:sz w:val="32"/>
          <w:szCs w:val="32"/>
          <w:highlight w:val="none"/>
        </w:rPr>
      </w:pPr>
      <w:r>
        <w:rPr>
          <w:rFonts w:eastAsia="楷体_GB2312"/>
          <w:b/>
          <w:color w:val="auto"/>
          <w:sz w:val="32"/>
          <w:szCs w:val="32"/>
          <w:highlight w:val="none"/>
        </w:rPr>
        <w:t>基本支出</w:t>
      </w:r>
      <w:r>
        <w:rPr>
          <w:rFonts w:hint="eastAsia" w:eastAsia="楷体_GB2312"/>
          <w:b/>
          <w:color w:val="auto"/>
          <w:sz w:val="32"/>
          <w:szCs w:val="32"/>
          <w:highlight w:val="none"/>
        </w:rPr>
        <w:t>情况</w:t>
      </w:r>
    </w:p>
    <w:p w14:paraId="66DDDE7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2023年度</w:t>
      </w:r>
      <w:r>
        <w:rPr>
          <w:rFonts w:hint="eastAsia"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一般公共预算基本支出年初预算数40,102.66万元，全年预算数为47,586.49万元，决算数为45,459.43万元，执行率为95.53%。其中：人员经费年初预算数35,123.40万元，全年预算数为42,523.62万元，决算数为40,848.58万元，执行率为96.06%；公用经费年初预算数4,979.26万元，全年预算数为5,062.87万元，决算数为4,610.85万元，执行率为91.07%。如下表所示：</w:t>
      </w:r>
    </w:p>
    <w:tbl>
      <w:tblPr>
        <w:tblStyle w:val="12"/>
        <w:tblW w:w="8617" w:type="dxa"/>
        <w:tblInd w:w="81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39"/>
        <w:gridCol w:w="1786"/>
        <w:gridCol w:w="1694"/>
        <w:gridCol w:w="1797"/>
        <w:gridCol w:w="1401"/>
      </w:tblGrid>
      <w:tr w14:paraId="5EC80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blHeader/>
        </w:trPr>
        <w:tc>
          <w:tcPr>
            <w:tcW w:w="1939" w:type="dxa"/>
            <w:tcBorders>
              <w:top w:val="nil"/>
              <w:left w:val="nil"/>
              <w:bottom w:val="single" w:color="000000" w:sz="12" w:space="0"/>
              <w:right w:val="nil"/>
            </w:tcBorders>
            <w:shd w:val="clear" w:color="auto" w:fill="auto"/>
            <w:noWrap/>
            <w:vAlign w:val="center"/>
          </w:tcPr>
          <w:p w14:paraId="4D8566E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786" w:type="dxa"/>
            <w:tcBorders>
              <w:top w:val="nil"/>
              <w:left w:val="nil"/>
              <w:bottom w:val="single" w:color="000000" w:sz="12" w:space="0"/>
              <w:right w:val="nil"/>
            </w:tcBorders>
            <w:shd w:val="clear" w:color="auto" w:fill="auto"/>
            <w:noWrap/>
            <w:vAlign w:val="center"/>
          </w:tcPr>
          <w:p w14:paraId="5533316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694" w:type="dxa"/>
            <w:tcBorders>
              <w:top w:val="nil"/>
              <w:left w:val="nil"/>
              <w:bottom w:val="single" w:color="000000" w:sz="12" w:space="0"/>
              <w:right w:val="nil"/>
            </w:tcBorders>
            <w:shd w:val="clear" w:color="auto" w:fill="auto"/>
            <w:noWrap/>
            <w:vAlign w:val="center"/>
          </w:tcPr>
          <w:p w14:paraId="5D184E8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797" w:type="dxa"/>
            <w:tcBorders>
              <w:top w:val="nil"/>
              <w:left w:val="nil"/>
              <w:bottom w:val="single" w:color="000000" w:sz="12" w:space="0"/>
              <w:right w:val="nil"/>
            </w:tcBorders>
            <w:shd w:val="clear" w:color="auto" w:fill="auto"/>
            <w:noWrap/>
            <w:vAlign w:val="center"/>
          </w:tcPr>
          <w:p w14:paraId="0B53A4F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401" w:type="dxa"/>
            <w:tcBorders>
              <w:top w:val="nil"/>
              <w:left w:val="nil"/>
              <w:bottom w:val="single" w:color="000000" w:sz="12" w:space="0"/>
              <w:right w:val="nil"/>
            </w:tcBorders>
            <w:shd w:val="clear" w:color="auto" w:fill="auto"/>
            <w:noWrap/>
            <w:vAlign w:val="center"/>
          </w:tcPr>
          <w:p w14:paraId="316354D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单位：万元</w:t>
            </w:r>
          </w:p>
        </w:tc>
      </w:tr>
      <w:tr w14:paraId="7EB41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blHeader/>
        </w:trPr>
        <w:tc>
          <w:tcPr>
            <w:tcW w:w="1939" w:type="dxa"/>
            <w:tcBorders>
              <w:top w:val="single" w:color="000000" w:sz="12" w:space="0"/>
              <w:left w:val="nil"/>
              <w:bottom w:val="dotted" w:color="000000" w:sz="4" w:space="0"/>
              <w:right w:val="dotted" w:color="000000" w:sz="4" w:space="0"/>
            </w:tcBorders>
            <w:shd w:val="clear" w:color="auto" w:fill="auto"/>
            <w:noWrap/>
            <w:vAlign w:val="center"/>
          </w:tcPr>
          <w:p w14:paraId="7FF524B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项目</w:t>
            </w:r>
          </w:p>
        </w:tc>
        <w:tc>
          <w:tcPr>
            <w:tcW w:w="1786"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D64D08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年初预算数</w:t>
            </w:r>
          </w:p>
        </w:tc>
        <w:tc>
          <w:tcPr>
            <w:tcW w:w="1694"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48B00D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全年预算数</w:t>
            </w:r>
          </w:p>
        </w:tc>
        <w:tc>
          <w:tcPr>
            <w:tcW w:w="1797"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55FA2E3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决算数</w:t>
            </w:r>
          </w:p>
        </w:tc>
        <w:tc>
          <w:tcPr>
            <w:tcW w:w="1401" w:type="dxa"/>
            <w:tcBorders>
              <w:top w:val="single" w:color="000000" w:sz="12" w:space="0"/>
              <w:left w:val="dotted" w:color="000000" w:sz="4" w:space="0"/>
              <w:bottom w:val="dotted" w:color="000000" w:sz="4" w:space="0"/>
              <w:right w:val="nil"/>
            </w:tcBorders>
            <w:shd w:val="clear" w:color="auto" w:fill="auto"/>
            <w:noWrap/>
            <w:vAlign w:val="center"/>
          </w:tcPr>
          <w:p w14:paraId="2C0C241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执行率</w:t>
            </w:r>
          </w:p>
        </w:tc>
      </w:tr>
      <w:tr w14:paraId="6853B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1939" w:type="dxa"/>
            <w:tcBorders>
              <w:top w:val="dotted" w:color="000000" w:sz="4" w:space="0"/>
              <w:left w:val="nil"/>
              <w:bottom w:val="dotted" w:color="000000" w:sz="4" w:space="0"/>
              <w:right w:val="dotted" w:color="000000" w:sz="4" w:space="0"/>
            </w:tcBorders>
            <w:shd w:val="clear" w:color="auto" w:fill="auto"/>
            <w:noWrap/>
            <w:vAlign w:val="center"/>
          </w:tcPr>
          <w:p w14:paraId="79D436F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仿宋_GB2312" w:hAnsi="仿宋_GB2312" w:eastAsia="仿宋_GB2312" w:cs="仿宋_GB2312"/>
                <w:i w:val="0"/>
                <w:iCs w:val="0"/>
                <w:color w:val="auto"/>
                <w:sz w:val="21"/>
                <w:szCs w:val="21"/>
                <w:highlight w:val="none"/>
                <w:u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人员经费</w:t>
            </w:r>
          </w:p>
        </w:tc>
        <w:tc>
          <w:tcPr>
            <w:tcW w:w="17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171B63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35,123</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40</w:t>
            </w:r>
          </w:p>
        </w:tc>
        <w:tc>
          <w:tcPr>
            <w:tcW w:w="16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27D057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42,523</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6</w:t>
            </w:r>
            <w:r>
              <w:rPr>
                <w:rFonts w:hint="eastAsia" w:eastAsia="仿宋_GB2312" w:cs="Times New Roman"/>
                <w:color w:val="auto"/>
                <w:sz w:val="21"/>
                <w:szCs w:val="21"/>
                <w:highlight w:val="none"/>
                <w:lang w:val="en-US" w:eastAsia="zh-CN"/>
              </w:rPr>
              <w:t>2</w:t>
            </w:r>
          </w:p>
        </w:tc>
        <w:tc>
          <w:tcPr>
            <w:tcW w:w="17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913B5D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40,848</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5</w:t>
            </w:r>
            <w:r>
              <w:rPr>
                <w:rFonts w:hint="eastAsia" w:eastAsia="仿宋_GB2312" w:cs="Times New Roman"/>
                <w:color w:val="auto"/>
                <w:sz w:val="21"/>
                <w:szCs w:val="21"/>
                <w:highlight w:val="none"/>
                <w:lang w:val="en-US" w:eastAsia="zh-CN"/>
              </w:rPr>
              <w:t>8</w:t>
            </w:r>
          </w:p>
        </w:tc>
        <w:tc>
          <w:tcPr>
            <w:tcW w:w="1401" w:type="dxa"/>
            <w:tcBorders>
              <w:top w:val="dotted" w:color="000000" w:sz="4" w:space="0"/>
              <w:left w:val="dotted" w:color="000000" w:sz="4" w:space="0"/>
              <w:bottom w:val="dotted" w:color="000000" w:sz="4" w:space="0"/>
              <w:right w:val="nil"/>
            </w:tcBorders>
            <w:shd w:val="clear" w:color="auto" w:fill="auto"/>
            <w:noWrap/>
            <w:vAlign w:val="center"/>
          </w:tcPr>
          <w:p w14:paraId="357DA25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96.06%</w:t>
            </w:r>
          </w:p>
        </w:tc>
      </w:tr>
      <w:tr w14:paraId="26A4F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939" w:type="dxa"/>
            <w:tcBorders>
              <w:top w:val="dotted" w:color="000000" w:sz="4" w:space="0"/>
              <w:left w:val="nil"/>
              <w:bottom w:val="dotted" w:color="000000" w:sz="4" w:space="0"/>
              <w:right w:val="dotted" w:color="000000" w:sz="4" w:space="0"/>
            </w:tcBorders>
            <w:shd w:val="clear" w:color="auto" w:fill="auto"/>
            <w:noWrap/>
            <w:vAlign w:val="center"/>
          </w:tcPr>
          <w:p w14:paraId="0B9801F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仿宋_GB2312" w:hAnsi="仿宋_GB2312" w:eastAsia="仿宋_GB2312" w:cs="仿宋_GB2312"/>
                <w:i w:val="0"/>
                <w:iCs w:val="0"/>
                <w:color w:val="auto"/>
                <w:sz w:val="21"/>
                <w:szCs w:val="21"/>
                <w:highlight w:val="none"/>
                <w:u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公用经费</w:t>
            </w:r>
          </w:p>
        </w:tc>
        <w:tc>
          <w:tcPr>
            <w:tcW w:w="17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A10F7A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4,979</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26</w:t>
            </w:r>
          </w:p>
        </w:tc>
        <w:tc>
          <w:tcPr>
            <w:tcW w:w="16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D640C6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5</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062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87</w:t>
            </w:r>
          </w:p>
        </w:tc>
        <w:tc>
          <w:tcPr>
            <w:tcW w:w="17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A6E252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610</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8</w:t>
            </w:r>
            <w:r>
              <w:rPr>
                <w:rFonts w:hint="eastAsia" w:eastAsia="仿宋_GB2312" w:cs="Times New Roman"/>
                <w:color w:val="auto"/>
                <w:sz w:val="21"/>
                <w:szCs w:val="21"/>
                <w:highlight w:val="none"/>
                <w:lang w:val="en-US" w:eastAsia="zh-CN"/>
              </w:rPr>
              <w:t>5</w:t>
            </w:r>
          </w:p>
        </w:tc>
        <w:tc>
          <w:tcPr>
            <w:tcW w:w="1401" w:type="dxa"/>
            <w:tcBorders>
              <w:top w:val="dotted" w:color="000000" w:sz="4" w:space="0"/>
              <w:left w:val="dotted" w:color="000000" w:sz="4" w:space="0"/>
              <w:bottom w:val="dotted" w:color="000000" w:sz="4" w:space="0"/>
              <w:right w:val="nil"/>
            </w:tcBorders>
            <w:shd w:val="clear" w:color="auto" w:fill="auto"/>
            <w:noWrap/>
            <w:vAlign w:val="center"/>
          </w:tcPr>
          <w:p w14:paraId="4F2601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91.07%</w:t>
            </w:r>
          </w:p>
        </w:tc>
      </w:tr>
      <w:tr w14:paraId="69EFD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939" w:type="dxa"/>
            <w:tcBorders>
              <w:top w:val="dotted" w:color="000000" w:sz="4" w:space="0"/>
              <w:left w:val="nil"/>
              <w:bottom w:val="single" w:color="000000" w:sz="12" w:space="0"/>
              <w:right w:val="dotted" w:color="000000" w:sz="4" w:space="0"/>
            </w:tcBorders>
            <w:shd w:val="clear" w:color="auto" w:fill="auto"/>
            <w:noWrap/>
            <w:vAlign w:val="center"/>
          </w:tcPr>
          <w:p w14:paraId="21B99F8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合计</w:t>
            </w:r>
          </w:p>
        </w:tc>
        <w:tc>
          <w:tcPr>
            <w:tcW w:w="1786"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734C88E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40</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102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66</w:t>
            </w:r>
          </w:p>
        </w:tc>
        <w:tc>
          <w:tcPr>
            <w:tcW w:w="1694"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4D5BAC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47,586</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w:t>
            </w:r>
            <w:r>
              <w:rPr>
                <w:rFonts w:hint="eastAsia" w:eastAsia="仿宋_GB2312" w:cs="Times New Roman"/>
                <w:color w:val="auto"/>
                <w:sz w:val="21"/>
                <w:szCs w:val="21"/>
                <w:highlight w:val="none"/>
                <w:lang w:val="en-US" w:eastAsia="zh-CN"/>
              </w:rPr>
              <w:t>9</w:t>
            </w:r>
          </w:p>
        </w:tc>
        <w:tc>
          <w:tcPr>
            <w:tcW w:w="1797"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A55BFF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45,459</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w:t>
            </w:r>
            <w:r>
              <w:rPr>
                <w:rFonts w:hint="eastAsia" w:eastAsia="仿宋_GB2312" w:cs="Times New Roman"/>
                <w:color w:val="auto"/>
                <w:sz w:val="21"/>
                <w:szCs w:val="21"/>
                <w:highlight w:val="none"/>
                <w:lang w:val="en-US" w:eastAsia="zh-CN"/>
              </w:rPr>
              <w:t>3</w:t>
            </w:r>
          </w:p>
        </w:tc>
        <w:tc>
          <w:tcPr>
            <w:tcW w:w="1401" w:type="dxa"/>
            <w:tcBorders>
              <w:top w:val="dotted" w:color="000000" w:sz="4" w:space="0"/>
              <w:left w:val="dotted" w:color="000000" w:sz="4" w:space="0"/>
              <w:bottom w:val="single" w:color="000000" w:sz="12" w:space="0"/>
              <w:right w:val="nil"/>
            </w:tcBorders>
            <w:shd w:val="clear" w:color="auto" w:fill="auto"/>
            <w:noWrap/>
            <w:vAlign w:val="center"/>
          </w:tcPr>
          <w:p w14:paraId="1AD4BF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95.53%</w:t>
            </w:r>
          </w:p>
        </w:tc>
      </w:tr>
    </w:tbl>
    <w:p w14:paraId="26331E5D">
      <w:pPr>
        <w:pStyle w:val="18"/>
        <w:keepNext w:val="0"/>
        <w:keepLines w:val="0"/>
        <w:pageBreakBefore w:val="0"/>
        <w:widowControl w:val="0"/>
        <w:numPr>
          <w:ilvl w:val="0"/>
          <w:numId w:val="0"/>
        </w:numPr>
        <w:kinsoku/>
        <w:wordWrap/>
        <w:overflowPunct/>
        <w:topLinePunct w:val="0"/>
        <w:bidi w:val="0"/>
        <w:adjustRightInd w:val="0"/>
        <w:snapToGrid w:val="0"/>
        <w:spacing w:line="560" w:lineRule="exact"/>
        <w:ind w:firstLine="480" w:firstLineChars="150"/>
        <w:textAlignment w:val="center"/>
        <w:outlineLvl w:val="1"/>
        <w:rPr>
          <w:rFonts w:hint="eastAsia" w:eastAsia="楷体_GB2312"/>
          <w:b/>
          <w:color w:val="auto"/>
          <w:sz w:val="32"/>
          <w:szCs w:val="32"/>
          <w:highlight w:val="none"/>
        </w:rPr>
      </w:pPr>
      <w:r>
        <w:rPr>
          <w:rFonts w:eastAsia="楷体_GB2312"/>
          <w:b/>
          <w:color w:val="auto"/>
          <w:sz w:val="32"/>
          <w:szCs w:val="32"/>
          <w:highlight w:val="none"/>
        </w:rPr>
        <w:t>（二）项目支出</w:t>
      </w:r>
      <w:r>
        <w:rPr>
          <w:rFonts w:hint="eastAsia" w:eastAsia="楷体_GB2312"/>
          <w:b/>
          <w:color w:val="auto"/>
          <w:sz w:val="32"/>
          <w:szCs w:val="32"/>
          <w:highlight w:val="none"/>
        </w:rPr>
        <w:t>情况</w:t>
      </w:r>
    </w:p>
    <w:p w14:paraId="02267DA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省农业农村厅2023年度一般公共预算</w:t>
      </w:r>
      <w:r>
        <w:rPr>
          <w:rFonts w:hint="eastAsia" w:eastAsia="仿宋_GB2312" w:cs="Times New Roman"/>
          <w:color w:val="auto"/>
          <w:sz w:val="32"/>
          <w:szCs w:val="32"/>
          <w:highlight w:val="none"/>
          <w:lang w:val="en-US" w:eastAsia="zh-CN"/>
        </w:rPr>
        <w:t>项目</w:t>
      </w:r>
      <w:r>
        <w:rPr>
          <w:rFonts w:hint="eastAsia" w:ascii="Times New Roman" w:hAnsi="Times New Roman" w:eastAsia="仿宋_GB2312" w:cs="Times New Roman"/>
          <w:color w:val="auto"/>
          <w:sz w:val="32"/>
          <w:szCs w:val="32"/>
          <w:highlight w:val="none"/>
          <w:lang w:val="en-US" w:eastAsia="zh-CN"/>
        </w:rPr>
        <w:t>支出年初预算数35,316.52万元，全年预算数为55,582.81万元，决算数为35,702.92万元，执行率为64.23%。如下表所示：</w:t>
      </w:r>
    </w:p>
    <w:tbl>
      <w:tblPr>
        <w:tblStyle w:val="12"/>
        <w:tblW w:w="8617" w:type="dxa"/>
        <w:tblInd w:w="116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73"/>
        <w:gridCol w:w="1614"/>
        <w:gridCol w:w="1702"/>
        <w:gridCol w:w="1735"/>
        <w:gridCol w:w="1293"/>
      </w:tblGrid>
      <w:tr w14:paraId="035FD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blHeader/>
        </w:trPr>
        <w:tc>
          <w:tcPr>
            <w:tcW w:w="2273" w:type="dxa"/>
            <w:tcBorders>
              <w:top w:val="nil"/>
              <w:left w:val="nil"/>
              <w:bottom w:val="single" w:color="000000" w:sz="12" w:space="0"/>
              <w:right w:val="nil"/>
            </w:tcBorders>
            <w:shd w:val="clear" w:color="auto" w:fill="auto"/>
            <w:noWrap/>
            <w:vAlign w:val="center"/>
          </w:tcPr>
          <w:p w14:paraId="6DFAC41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614" w:type="dxa"/>
            <w:tcBorders>
              <w:top w:val="nil"/>
              <w:left w:val="nil"/>
              <w:bottom w:val="single" w:color="000000" w:sz="12" w:space="0"/>
              <w:right w:val="nil"/>
            </w:tcBorders>
            <w:shd w:val="clear" w:color="auto" w:fill="auto"/>
            <w:noWrap/>
            <w:vAlign w:val="center"/>
          </w:tcPr>
          <w:p w14:paraId="23DB79C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702" w:type="dxa"/>
            <w:tcBorders>
              <w:top w:val="nil"/>
              <w:left w:val="nil"/>
              <w:bottom w:val="single" w:color="000000" w:sz="12" w:space="0"/>
              <w:right w:val="nil"/>
            </w:tcBorders>
            <w:shd w:val="clear" w:color="auto" w:fill="auto"/>
            <w:noWrap/>
            <w:vAlign w:val="center"/>
          </w:tcPr>
          <w:p w14:paraId="3A872CC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735" w:type="dxa"/>
            <w:tcBorders>
              <w:top w:val="nil"/>
              <w:left w:val="nil"/>
              <w:bottom w:val="single" w:color="000000" w:sz="12" w:space="0"/>
              <w:right w:val="nil"/>
            </w:tcBorders>
            <w:shd w:val="clear" w:color="auto" w:fill="auto"/>
            <w:noWrap/>
            <w:vAlign w:val="center"/>
          </w:tcPr>
          <w:p w14:paraId="111C347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p>
        </w:tc>
        <w:tc>
          <w:tcPr>
            <w:tcW w:w="1293" w:type="dxa"/>
            <w:tcBorders>
              <w:top w:val="nil"/>
              <w:left w:val="nil"/>
              <w:bottom w:val="single" w:color="000000" w:sz="12" w:space="0"/>
              <w:right w:val="nil"/>
            </w:tcBorders>
            <w:shd w:val="clear" w:color="auto" w:fill="auto"/>
            <w:noWrap/>
            <w:vAlign w:val="center"/>
          </w:tcPr>
          <w:p w14:paraId="433846D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单位：万元</w:t>
            </w:r>
          </w:p>
        </w:tc>
      </w:tr>
      <w:tr w14:paraId="4F6DE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blHeader/>
        </w:trPr>
        <w:tc>
          <w:tcPr>
            <w:tcW w:w="2273" w:type="dxa"/>
            <w:tcBorders>
              <w:top w:val="single" w:color="000000" w:sz="12" w:space="0"/>
              <w:left w:val="nil"/>
              <w:bottom w:val="dotted" w:color="000000" w:sz="4" w:space="0"/>
              <w:right w:val="dotted" w:color="000000" w:sz="4" w:space="0"/>
            </w:tcBorders>
            <w:shd w:val="clear" w:color="auto" w:fill="auto"/>
            <w:noWrap/>
            <w:vAlign w:val="center"/>
          </w:tcPr>
          <w:p w14:paraId="615EDFC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项目</w:t>
            </w:r>
          </w:p>
        </w:tc>
        <w:tc>
          <w:tcPr>
            <w:tcW w:w="1614"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ACF39F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年初预算数</w:t>
            </w:r>
          </w:p>
        </w:tc>
        <w:tc>
          <w:tcPr>
            <w:tcW w:w="1702"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AB43FA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全年预算数</w:t>
            </w:r>
          </w:p>
        </w:tc>
        <w:tc>
          <w:tcPr>
            <w:tcW w:w="1735"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0DEC92B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2"/>
                <w:sz w:val="21"/>
                <w:szCs w:val="21"/>
                <w:highlight w:val="none"/>
                <w:u w:val="none"/>
                <w:lang w:val="en-US" w:eastAsia="zh-CN" w:bidi="ar-SA"/>
              </w:rPr>
            </w:pPr>
            <w:r>
              <w:rPr>
                <w:rFonts w:hint="eastAsia" w:ascii="仿宋_GB2312" w:hAnsi="仿宋_GB2312" w:eastAsia="仿宋_GB2312" w:cs="仿宋_GB2312"/>
                <w:i w:val="0"/>
                <w:iCs w:val="0"/>
                <w:color w:val="auto"/>
                <w:kern w:val="0"/>
                <w:sz w:val="21"/>
                <w:szCs w:val="21"/>
                <w:highlight w:val="none"/>
                <w:u w:val="none"/>
                <w:lang w:val="en-US" w:eastAsia="zh-CN" w:bidi="ar"/>
              </w:rPr>
              <w:t>决算数</w:t>
            </w:r>
          </w:p>
        </w:tc>
        <w:tc>
          <w:tcPr>
            <w:tcW w:w="1293" w:type="dxa"/>
            <w:tcBorders>
              <w:top w:val="single" w:color="000000" w:sz="12" w:space="0"/>
              <w:left w:val="dotted" w:color="000000" w:sz="4" w:space="0"/>
              <w:bottom w:val="dotted" w:color="000000" w:sz="4" w:space="0"/>
              <w:right w:val="nil"/>
            </w:tcBorders>
            <w:shd w:val="clear" w:color="auto" w:fill="auto"/>
            <w:noWrap/>
            <w:vAlign w:val="center"/>
          </w:tcPr>
          <w:p w14:paraId="2F07B69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执行率</w:t>
            </w:r>
          </w:p>
        </w:tc>
      </w:tr>
      <w:tr w14:paraId="0DED7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273" w:type="dxa"/>
            <w:tcBorders>
              <w:top w:val="dotted" w:color="000000" w:sz="4" w:space="0"/>
              <w:left w:val="nil"/>
              <w:bottom w:val="dotted" w:color="000000" w:sz="4" w:space="0"/>
              <w:right w:val="dotted" w:color="000000" w:sz="4" w:space="0"/>
            </w:tcBorders>
            <w:shd w:val="clear" w:color="auto" w:fill="auto"/>
            <w:noWrap/>
            <w:vAlign w:val="center"/>
          </w:tcPr>
          <w:p w14:paraId="3E0095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仿宋_GB2312" w:hAnsi="仿宋_GB2312" w:eastAsia="仿宋_GB2312" w:cs="仿宋_GB2312"/>
                <w:i w:val="0"/>
                <w:iCs w:val="0"/>
                <w:color w:val="auto"/>
                <w:sz w:val="21"/>
                <w:szCs w:val="21"/>
                <w:highlight w:val="none"/>
                <w:u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项目支出</w:t>
            </w:r>
          </w:p>
        </w:tc>
        <w:tc>
          <w:tcPr>
            <w:tcW w:w="161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E2DC1E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35</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316</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52</w:t>
            </w:r>
          </w:p>
        </w:tc>
        <w:tc>
          <w:tcPr>
            <w:tcW w:w="170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D4DD90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55</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582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81</w:t>
            </w:r>
          </w:p>
        </w:tc>
        <w:tc>
          <w:tcPr>
            <w:tcW w:w="17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FA37B0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35</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702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92</w:t>
            </w:r>
          </w:p>
        </w:tc>
        <w:tc>
          <w:tcPr>
            <w:tcW w:w="1293" w:type="dxa"/>
            <w:tcBorders>
              <w:top w:val="dotted" w:color="000000" w:sz="4" w:space="0"/>
              <w:left w:val="dotted" w:color="000000" w:sz="4" w:space="0"/>
              <w:bottom w:val="dotted" w:color="000000" w:sz="4" w:space="0"/>
              <w:right w:val="nil"/>
            </w:tcBorders>
            <w:shd w:val="clear" w:color="auto" w:fill="auto"/>
            <w:noWrap/>
            <w:vAlign w:val="center"/>
          </w:tcPr>
          <w:p w14:paraId="5BEEB10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64.23%</w:t>
            </w:r>
          </w:p>
        </w:tc>
      </w:tr>
      <w:tr w14:paraId="728B2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273" w:type="dxa"/>
            <w:tcBorders>
              <w:top w:val="dotted" w:color="000000" w:sz="4" w:space="0"/>
              <w:left w:val="nil"/>
              <w:bottom w:val="single" w:color="000000" w:sz="12" w:space="0"/>
              <w:right w:val="dotted" w:color="000000" w:sz="4" w:space="0"/>
            </w:tcBorders>
            <w:shd w:val="clear" w:color="auto" w:fill="auto"/>
            <w:noWrap/>
            <w:vAlign w:val="center"/>
          </w:tcPr>
          <w:p w14:paraId="0538F5B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其中：基本建设类项目</w:t>
            </w:r>
          </w:p>
        </w:tc>
        <w:tc>
          <w:tcPr>
            <w:tcW w:w="1614"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2125C6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117</w:t>
            </w:r>
            <w:r>
              <w:rPr>
                <w:rFonts w:hint="eastAsia" w:eastAsia="仿宋_GB2312" w:cs="Times New Roman"/>
                <w:color w:val="auto"/>
                <w:sz w:val="21"/>
                <w:szCs w:val="21"/>
                <w:highlight w:val="none"/>
                <w:lang w:val="en-US" w:eastAsia="zh-CN"/>
              </w:rPr>
              <w:t>.40</w:t>
            </w:r>
          </w:p>
        </w:tc>
        <w:tc>
          <w:tcPr>
            <w:tcW w:w="1702"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6D6A680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6</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153</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00</w:t>
            </w:r>
          </w:p>
        </w:tc>
        <w:tc>
          <w:tcPr>
            <w:tcW w:w="1735"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304F3B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998</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6</w:t>
            </w:r>
            <w:r>
              <w:rPr>
                <w:rFonts w:hint="eastAsia" w:eastAsia="仿宋_GB2312" w:cs="Times New Roman"/>
                <w:color w:val="auto"/>
                <w:sz w:val="21"/>
                <w:szCs w:val="21"/>
                <w:highlight w:val="none"/>
                <w:lang w:val="en-US" w:eastAsia="zh-CN"/>
              </w:rPr>
              <w:t>9</w:t>
            </w:r>
          </w:p>
        </w:tc>
        <w:tc>
          <w:tcPr>
            <w:tcW w:w="1293" w:type="dxa"/>
            <w:tcBorders>
              <w:top w:val="dotted" w:color="000000" w:sz="4" w:space="0"/>
              <w:left w:val="dotted" w:color="000000" w:sz="4" w:space="0"/>
              <w:bottom w:val="single" w:color="000000" w:sz="12" w:space="0"/>
              <w:right w:val="nil"/>
            </w:tcBorders>
            <w:shd w:val="clear" w:color="auto" w:fill="auto"/>
            <w:noWrap/>
            <w:vAlign w:val="center"/>
          </w:tcPr>
          <w:p w14:paraId="340227B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32.48%</w:t>
            </w:r>
          </w:p>
        </w:tc>
      </w:tr>
    </w:tbl>
    <w:p w14:paraId="7B4A998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一般公共预算</w:t>
      </w:r>
      <w:r>
        <w:rPr>
          <w:rFonts w:hint="eastAsia" w:eastAsia="仿宋_GB2312" w:cs="Times New Roman"/>
          <w:color w:val="auto"/>
          <w:sz w:val="32"/>
          <w:szCs w:val="32"/>
          <w:highlight w:val="none"/>
          <w:lang w:val="en-US" w:eastAsia="zh-CN"/>
        </w:rPr>
        <w:t>项目</w:t>
      </w:r>
      <w:r>
        <w:rPr>
          <w:rFonts w:hint="eastAsia" w:ascii="Times New Roman" w:hAnsi="Times New Roman" w:eastAsia="仿宋_GB2312" w:cs="Times New Roman"/>
          <w:color w:val="auto"/>
          <w:sz w:val="32"/>
          <w:szCs w:val="32"/>
          <w:highlight w:val="none"/>
          <w:lang w:val="en-US" w:eastAsia="zh-CN"/>
        </w:rPr>
        <w:t>支出</w:t>
      </w:r>
      <w:r>
        <w:rPr>
          <w:rFonts w:hint="eastAsia" w:ascii="Times New Roman" w:hAnsi="Times New Roman" w:eastAsia="仿宋_GB2312" w:cs="Times New Roman"/>
          <w:color w:val="auto"/>
          <w:sz w:val="32"/>
          <w:szCs w:val="32"/>
          <w:highlight w:val="none"/>
        </w:rPr>
        <w:t>按支出功能分类</w:t>
      </w:r>
      <w:r>
        <w:rPr>
          <w:rFonts w:hint="eastAsia" w:eastAsia="仿宋_GB2312" w:cs="Times New Roman"/>
          <w:color w:val="auto"/>
          <w:sz w:val="32"/>
          <w:szCs w:val="32"/>
          <w:highlight w:val="none"/>
          <w:lang w:eastAsia="zh-CN"/>
        </w:rPr>
        <w:t>，</w:t>
      </w:r>
      <w:r>
        <w:rPr>
          <w:rFonts w:hint="eastAsia" w:eastAsia="仿宋_GB2312" w:cs="Times New Roman"/>
          <w:color w:val="auto"/>
          <w:sz w:val="32"/>
          <w:szCs w:val="32"/>
          <w:highlight w:val="none"/>
          <w:lang w:val="en-US" w:eastAsia="zh-CN"/>
        </w:rPr>
        <w:t>2023年预算执行情况</w:t>
      </w:r>
      <w:r>
        <w:rPr>
          <w:rFonts w:hint="eastAsia" w:ascii="Times New Roman" w:hAnsi="Times New Roman" w:eastAsia="仿宋_GB2312" w:cs="Times New Roman"/>
          <w:color w:val="auto"/>
          <w:sz w:val="32"/>
          <w:szCs w:val="32"/>
          <w:highlight w:val="none"/>
        </w:rPr>
        <w:t>明细</w:t>
      </w:r>
      <w:r>
        <w:rPr>
          <w:rFonts w:hint="eastAsia"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如下</w:t>
      </w:r>
      <w:r>
        <w:rPr>
          <w:rFonts w:hint="eastAsia" w:eastAsia="仿宋_GB2312" w:cs="Times New Roman"/>
          <w:color w:val="auto"/>
          <w:sz w:val="32"/>
          <w:szCs w:val="32"/>
          <w:highlight w:val="none"/>
          <w:lang w:val="en-US" w:eastAsia="zh-CN"/>
        </w:rPr>
        <w:t>表所示</w:t>
      </w:r>
      <w:r>
        <w:rPr>
          <w:rFonts w:hint="eastAsia" w:ascii="Times New Roman" w:hAnsi="Times New Roman" w:eastAsia="仿宋_GB2312" w:cs="Times New Roman"/>
          <w:color w:val="auto"/>
          <w:sz w:val="32"/>
          <w:szCs w:val="32"/>
          <w:highlight w:val="none"/>
        </w:rPr>
        <w:t>：</w:t>
      </w:r>
    </w:p>
    <w:tbl>
      <w:tblPr>
        <w:tblStyle w:val="12"/>
        <w:tblW w:w="8567" w:type="dxa"/>
        <w:tblInd w:w="11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1056"/>
        <w:gridCol w:w="3450"/>
        <w:gridCol w:w="1233"/>
        <w:gridCol w:w="1123"/>
        <w:gridCol w:w="1069"/>
      </w:tblGrid>
      <w:tr w14:paraId="5B70D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tblHeader/>
        </w:trPr>
        <w:tc>
          <w:tcPr>
            <w:tcW w:w="8567" w:type="dxa"/>
            <w:gridSpan w:val="6"/>
            <w:tcBorders>
              <w:top w:val="nil"/>
              <w:left w:val="nil"/>
              <w:bottom w:val="single" w:color="000000" w:sz="12" w:space="0"/>
              <w:right w:val="nil"/>
            </w:tcBorders>
            <w:shd w:val="clear" w:color="auto" w:fill="auto"/>
            <w:noWrap/>
            <w:vAlign w:val="center"/>
          </w:tcPr>
          <w:p w14:paraId="296A5D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单位：万元</w:t>
            </w:r>
          </w:p>
        </w:tc>
      </w:tr>
      <w:tr w14:paraId="69850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636" w:type="dxa"/>
            <w:tcBorders>
              <w:top w:val="single" w:color="000000" w:sz="12" w:space="0"/>
              <w:left w:val="nil"/>
              <w:bottom w:val="dotted" w:color="000000" w:sz="4" w:space="0"/>
              <w:right w:val="dotted" w:color="000000" w:sz="4" w:space="0"/>
            </w:tcBorders>
            <w:shd w:val="clear" w:color="auto" w:fill="auto"/>
            <w:noWrap/>
            <w:vAlign w:val="center"/>
          </w:tcPr>
          <w:p w14:paraId="063830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序号</w:t>
            </w:r>
          </w:p>
        </w:tc>
        <w:tc>
          <w:tcPr>
            <w:tcW w:w="1056"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A9AE1D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科目编码</w:t>
            </w:r>
          </w:p>
        </w:tc>
        <w:tc>
          <w:tcPr>
            <w:tcW w:w="3450"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115A694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科目</w:t>
            </w:r>
          </w:p>
        </w:tc>
        <w:tc>
          <w:tcPr>
            <w:tcW w:w="1233"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58EE57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预算数</w:t>
            </w:r>
          </w:p>
        </w:tc>
        <w:tc>
          <w:tcPr>
            <w:tcW w:w="1123"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56DD2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_GB2312" w:hAnsi="仿宋_GB2312" w:eastAsia="仿宋_GB2312" w:cs="仿宋_GB2312"/>
                <w:i w:val="0"/>
                <w:iCs w:val="0"/>
                <w:color w:val="auto"/>
                <w:sz w:val="21"/>
                <w:szCs w:val="21"/>
                <w:highlight w:val="none"/>
                <w:u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决算数</w:t>
            </w:r>
          </w:p>
        </w:tc>
        <w:tc>
          <w:tcPr>
            <w:tcW w:w="1069" w:type="dxa"/>
            <w:tcBorders>
              <w:top w:val="single" w:color="000000" w:sz="12" w:space="0"/>
              <w:left w:val="dotted" w:color="000000" w:sz="4" w:space="0"/>
              <w:bottom w:val="dotted" w:color="000000" w:sz="4" w:space="0"/>
              <w:right w:val="nil"/>
            </w:tcBorders>
            <w:shd w:val="clear" w:color="auto" w:fill="auto"/>
            <w:noWrap/>
            <w:vAlign w:val="center"/>
          </w:tcPr>
          <w:p w14:paraId="3632AD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结余数</w:t>
            </w:r>
          </w:p>
        </w:tc>
      </w:tr>
      <w:tr w14:paraId="6E5CF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71D550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326C2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2010499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80E981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其他发展与改革事务支出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6C67CC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30.00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C5F454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30.00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4DD9AC1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0.00 </w:t>
            </w:r>
          </w:p>
        </w:tc>
      </w:tr>
      <w:tr w14:paraId="3B6A5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27C7FAA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82E9B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2010699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0818FA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其他财政事务支出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596A59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243.34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DC2854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209.55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32A48F6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33.80 </w:t>
            </w:r>
          </w:p>
        </w:tc>
      </w:tr>
      <w:tr w14:paraId="7BC4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3871B91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CBC1E6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2013602</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B2E0F8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一般行政管理事务</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6263F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813BC4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3C45E16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1.00 </w:t>
            </w:r>
          </w:p>
        </w:tc>
      </w:tr>
      <w:tr w14:paraId="127EB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1484B89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D3ED6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2013810</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F6DE4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质量基础</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F0F786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20.25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E1B15E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16.08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7345CFE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4.17 </w:t>
            </w:r>
          </w:p>
        </w:tc>
      </w:tr>
      <w:tr w14:paraId="34400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2FD0CF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5</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726A3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2013899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2467BE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其他市场监督管理事务</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91B179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64CC35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5.08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057ACD7C">
            <w:pPr>
              <w:keepNext w:val="0"/>
              <w:keepLines w:val="0"/>
              <w:widowControl/>
              <w:suppressLineNumbers w:val="0"/>
              <w:ind w:firstLine="420" w:firstLineChars="20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4.92</w:t>
            </w:r>
            <w:r>
              <w:rPr>
                <w:rFonts w:hint="eastAsia" w:ascii="宋体" w:hAnsi="宋体" w:eastAsia="宋体" w:cs="宋体"/>
                <w:i w:val="0"/>
                <w:iCs w:val="0"/>
                <w:color w:val="auto"/>
                <w:kern w:val="0"/>
                <w:sz w:val="22"/>
                <w:szCs w:val="22"/>
                <w:highlight w:val="none"/>
                <w:u w:val="none"/>
                <w:lang w:val="en-US" w:eastAsia="zh-CN" w:bidi="ar"/>
              </w:rPr>
              <w:t xml:space="preserve"> </w:t>
            </w:r>
          </w:p>
        </w:tc>
      </w:tr>
      <w:tr w14:paraId="13314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21324A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6</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4B5B2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2050302</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B6AB1F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中等职业教育</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6C764D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2,831.76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E798D4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1,778.15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6BCA157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1053.61 </w:t>
            </w:r>
          </w:p>
        </w:tc>
      </w:tr>
      <w:tr w14:paraId="7FE06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463615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7</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DC9794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2060203</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5641E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自然科学基金</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A3A0E2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17.48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2760FE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13.01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090B5B7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4.47 </w:t>
            </w:r>
          </w:p>
        </w:tc>
      </w:tr>
      <w:tr w14:paraId="7BF1C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31AB8E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8</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977A1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2060702</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CF453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科普活动</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174971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2F7F10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7A00111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3CB65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39ADED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9</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9DFAE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2060704</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49B848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学术交流活动</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6152C2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3.25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ADF106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3.25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2C63A00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0F804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5B840B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10</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278B2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2060799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F8CCF9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其他科学技术普及支出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C0FD26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77D9DE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2268CE5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59DCE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7AE0C6E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11</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57B080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2060902</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AB7634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重点研发计划</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CFF503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271.55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6E9BF9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218.32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3091C20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53.23 </w:t>
            </w:r>
          </w:p>
        </w:tc>
      </w:tr>
      <w:tr w14:paraId="60145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538AF2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12</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DC9AD4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2069901</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83244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科技奖励</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748A1A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15.00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47C33C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15.00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09181A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64D29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7B525D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13</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755719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2080199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4D95C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其他人力资源和社会保障管理事务支出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B32D60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2.20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C7988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2.20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69A0E4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1B476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478B0EC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14</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0C659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2089999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CBFCA7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其他社会保障和就业支出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4B09B0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0.52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E8CCF6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0.48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5BBF68C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 </w:t>
            </w:r>
          </w:p>
        </w:tc>
      </w:tr>
      <w:tr w14:paraId="28EE7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61E2C9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15</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2996A4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2100409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9A922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重大公共卫生服务</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D5DFD7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9898A2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1.44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629EED2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3.56 </w:t>
            </w:r>
          </w:p>
        </w:tc>
      </w:tr>
      <w:tr w14:paraId="5B3A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502E53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16</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CBF33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2109999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C72CB2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其他卫生健康支出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B4BDFB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0.40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48908A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2BDA8EB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 </w:t>
            </w:r>
          </w:p>
        </w:tc>
      </w:tr>
      <w:tr w14:paraId="253FC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74C4D2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17</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A8552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2111001</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AA6C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能源节约利用</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A1A82B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40.00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E0F759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40.00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136DE8E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5B70E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13750FB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18</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D8A9B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2130101</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180D7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行政运行</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16C62F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1,427.92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8A45F4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980.42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1CEFB52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447.50 </w:t>
            </w:r>
          </w:p>
        </w:tc>
      </w:tr>
      <w:tr w14:paraId="5EF01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392431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19</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D473F6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2130102</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C38C0E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一般行政管理事务</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012F54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810.53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21B57C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807.48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48E1B7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3.05 </w:t>
            </w:r>
          </w:p>
        </w:tc>
      </w:tr>
      <w:tr w14:paraId="688FA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3C8BEA4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9F0CD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2130103</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5A4038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机关服务</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B51149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6.00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AEF5BC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6.00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0C29E2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0A19B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34908C3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1CDD7C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2130104</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A8740C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事业运行</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C8D1D6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701.95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909173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674.40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452A89A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27.54 </w:t>
            </w:r>
          </w:p>
        </w:tc>
      </w:tr>
      <w:tr w14:paraId="2D32D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63B6793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22</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623AC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2130105</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7CB951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农垦运行</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64C420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30.98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D10D3F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23.71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5A3ED3B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7.26 </w:t>
            </w:r>
          </w:p>
        </w:tc>
      </w:tr>
      <w:tr w14:paraId="2BF98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0F270AE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23</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49E9C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2130106</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6FB88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科技转化与推广服务</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2B069B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2,712.12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1C51F9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1,261.84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1578866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1450.28 </w:t>
            </w:r>
          </w:p>
        </w:tc>
      </w:tr>
      <w:tr w14:paraId="3F118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3398135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24</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C904AD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2130108</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A56575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病虫害控制</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172DC1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5,375.93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D376C6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5,074.50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41E4E69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301.43 </w:t>
            </w:r>
          </w:p>
        </w:tc>
      </w:tr>
      <w:tr w14:paraId="4C6A2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72A8799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25</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2592FE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2130109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4F9BA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农产品质量安全</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691DB8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1,717.62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F7AFB3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1,291.91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32099EC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425.71 </w:t>
            </w:r>
          </w:p>
        </w:tc>
      </w:tr>
      <w:tr w14:paraId="7973B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219539C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26</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9F8E8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2130110</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0B2904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执法监管</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CA4525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1,134.70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FAC233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853.19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517813D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281.52 </w:t>
            </w:r>
          </w:p>
        </w:tc>
      </w:tr>
      <w:tr w14:paraId="72400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4E902A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27</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E482C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2130111</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1FABB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统计监测与信息服务</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CB9A1D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291.02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94F637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270.99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1EBD89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20.03 </w:t>
            </w:r>
          </w:p>
        </w:tc>
      </w:tr>
      <w:tr w14:paraId="78DB5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6B2FFA0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28</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64C58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2130114</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0AA9B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对外交流与合作</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165877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1,131.08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85F87D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1,110.00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1AC11FC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21.08 </w:t>
            </w:r>
          </w:p>
        </w:tc>
      </w:tr>
      <w:tr w14:paraId="7C10C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28B7809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29</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E95CA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2130122</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4BF18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农业生产发展</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4F31CC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14,865.73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CE5E84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11,765.51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2649DD4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3100.23 </w:t>
            </w:r>
          </w:p>
        </w:tc>
      </w:tr>
      <w:tr w14:paraId="4B1E1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70A88C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30</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60218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2130125</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71515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农产品加工与促销</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93BBCB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234.38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CBEE4F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234.38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508F5D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18E5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2BEE4F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31</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3AABD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2130126</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ED4B1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农村社会事业</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DDA86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345.14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0B534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190.89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72052C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154.25 </w:t>
            </w:r>
          </w:p>
        </w:tc>
      </w:tr>
      <w:tr w14:paraId="753FC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53AEE1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32</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D27EC0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2130135</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283AB6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农业资源保护修复与利用</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365AE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3,033.19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80DC7F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1,707.32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1192C67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1325.87 </w:t>
            </w:r>
          </w:p>
        </w:tc>
      </w:tr>
      <w:tr w14:paraId="05A4B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6988518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33</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84307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2130153</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B66A7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农田建设</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8C419B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491.56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B86E10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451.42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3D32488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40.14 </w:t>
            </w:r>
          </w:p>
        </w:tc>
      </w:tr>
      <w:tr w14:paraId="62D3C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72C503D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34</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A8781B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2130199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2D071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其他农业农村支出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D0283D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8,808.11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05F03C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3,148.92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197E43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5659.19 </w:t>
            </w:r>
          </w:p>
        </w:tc>
      </w:tr>
      <w:tr w14:paraId="55688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27DFB9B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35</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F5B25D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2130299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1BFBC5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其他林业和草原支出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5FEB26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6,026.76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A06FED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1,821.06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5FE0A5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4205.70 </w:t>
            </w:r>
          </w:p>
        </w:tc>
      </w:tr>
      <w:tr w14:paraId="182C9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2C870E2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36</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186B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2130901</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5141C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棉花目标价格补贴</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3C73A3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2,622.92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F03BF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1,505.19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2F3915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1117.73 </w:t>
            </w:r>
          </w:p>
        </w:tc>
      </w:tr>
      <w:tr w14:paraId="0F5F9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05125C6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37</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95F9BB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2139999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789BC7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其他农林水支出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BE8F63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263.00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FA73B9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133.80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068D11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129.20 </w:t>
            </w:r>
          </w:p>
        </w:tc>
      </w:tr>
      <w:tr w14:paraId="0C9B4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0EBCFE8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38</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9B744A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2160699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A6DC8B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其他涉外发展服务支出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9E3BD7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3.00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EBBEA8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0.00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449E515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r>
      <w:tr w14:paraId="3E3B0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dotted" w:color="000000" w:sz="4" w:space="0"/>
              <w:right w:val="dotted" w:color="000000" w:sz="4" w:space="0"/>
            </w:tcBorders>
            <w:shd w:val="clear" w:color="auto" w:fill="auto"/>
            <w:noWrap/>
            <w:vAlign w:val="center"/>
          </w:tcPr>
          <w:p w14:paraId="6DC0D7C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39</w:t>
            </w:r>
          </w:p>
        </w:tc>
        <w:tc>
          <w:tcPr>
            <w:tcW w:w="105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E085A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2220199</w:t>
            </w:r>
          </w:p>
        </w:tc>
        <w:tc>
          <w:tcPr>
            <w:tcW w:w="345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BF29A8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其他粮油物资事务支出</w:t>
            </w:r>
          </w:p>
        </w:tc>
        <w:tc>
          <w:tcPr>
            <w:tcW w:w="123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35095B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51.43 </w:t>
            </w:r>
          </w:p>
        </w:tc>
        <w:tc>
          <w:tcPr>
            <w:tcW w:w="112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9569AC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51.43 </w:t>
            </w:r>
          </w:p>
        </w:tc>
        <w:tc>
          <w:tcPr>
            <w:tcW w:w="1069" w:type="dxa"/>
            <w:tcBorders>
              <w:top w:val="dotted" w:color="000000" w:sz="4" w:space="0"/>
              <w:left w:val="dotted" w:color="000000" w:sz="4" w:space="0"/>
              <w:bottom w:val="dotted" w:color="000000" w:sz="4" w:space="0"/>
              <w:right w:val="nil"/>
            </w:tcBorders>
            <w:shd w:val="clear" w:color="auto" w:fill="auto"/>
            <w:noWrap/>
            <w:vAlign w:val="center"/>
          </w:tcPr>
          <w:p w14:paraId="053C330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 </w:t>
            </w:r>
          </w:p>
        </w:tc>
      </w:tr>
      <w:tr w14:paraId="20572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36" w:type="dxa"/>
            <w:tcBorders>
              <w:top w:val="dotted" w:color="000000" w:sz="4" w:space="0"/>
              <w:left w:val="nil"/>
              <w:bottom w:val="single" w:color="000000" w:sz="12" w:space="0"/>
              <w:right w:val="dotted" w:color="000000" w:sz="4" w:space="0"/>
            </w:tcBorders>
            <w:shd w:val="clear" w:color="auto" w:fill="auto"/>
            <w:noWrap/>
            <w:vAlign w:val="center"/>
          </w:tcPr>
          <w:p w14:paraId="7554E8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Times New Roman" w:hAnsi="Times New Roman" w:eastAsia="仿宋_GB2312" w:cs="Times New Roman"/>
                <w:color w:val="auto"/>
                <w:sz w:val="21"/>
                <w:szCs w:val="21"/>
                <w:highlight w:val="none"/>
                <w:lang w:val="en-US" w:eastAsia="zh-CN"/>
              </w:rPr>
              <w:t>40</w:t>
            </w:r>
          </w:p>
        </w:tc>
        <w:tc>
          <w:tcPr>
            <w:tcW w:w="4506"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3816FAF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合计</w:t>
            </w:r>
          </w:p>
        </w:tc>
        <w:tc>
          <w:tcPr>
            <w:tcW w:w="1233"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30AD45A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55,582.81 </w:t>
            </w:r>
          </w:p>
        </w:tc>
        <w:tc>
          <w:tcPr>
            <w:tcW w:w="1123"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57B736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35,702.92 </w:t>
            </w:r>
          </w:p>
        </w:tc>
        <w:tc>
          <w:tcPr>
            <w:tcW w:w="1069" w:type="dxa"/>
            <w:tcBorders>
              <w:top w:val="dotted" w:color="000000" w:sz="4" w:space="0"/>
              <w:left w:val="dotted" w:color="000000" w:sz="4" w:space="0"/>
              <w:bottom w:val="single" w:color="000000" w:sz="12" w:space="0"/>
              <w:right w:val="nil"/>
            </w:tcBorders>
            <w:shd w:val="clear" w:color="auto" w:fill="auto"/>
            <w:noWrap/>
            <w:vAlign w:val="center"/>
          </w:tcPr>
          <w:p w14:paraId="43A3B2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19879.89 </w:t>
            </w:r>
          </w:p>
        </w:tc>
      </w:tr>
    </w:tbl>
    <w:p w14:paraId="69CD4E5F">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根据上述项目支出统计表，项目支出存在部分资金结余的情况，存在资金下达较晚等影响因素（2023年11-12月份下达指标金额9107.89万元，支出3300.34万元，执行率为36.24%），项目资金预算执行有待进一步加强。</w:t>
      </w:r>
    </w:p>
    <w:p w14:paraId="2C1069A2">
      <w:pPr>
        <w:keepNext w:val="0"/>
        <w:keepLines w:val="0"/>
        <w:pageBreakBefore w:val="0"/>
        <w:widowControl/>
        <w:kinsoku/>
        <w:wordWrap/>
        <w:overflowPunct/>
        <w:topLinePunct w:val="0"/>
        <w:autoSpaceDE/>
        <w:autoSpaceDN/>
        <w:bidi w:val="0"/>
        <w:snapToGrid/>
        <w:spacing w:before="0" w:beforeAutospacing="0" w:after="0" w:afterAutospacing="0" w:line="560" w:lineRule="exact"/>
        <w:ind w:firstLine="640" w:firstLineChars="200"/>
        <w:jc w:val="both"/>
        <w:textAlignment w:val="baseline"/>
        <w:outlineLvl w:val="1"/>
        <w:rPr>
          <w:rFonts w:hint="eastAsia" w:ascii="Times New Roman" w:hAnsi="Times New Roman" w:eastAsia="楷体_GB2312" w:cs="Times New Roman"/>
          <w:b/>
          <w:bCs/>
          <w:color w:val="auto"/>
          <w:kern w:val="0"/>
          <w:sz w:val="32"/>
          <w:szCs w:val="32"/>
          <w:highlight w:val="none"/>
          <w:lang w:val="en-US" w:eastAsia="zh-CN" w:bidi="ar-SA"/>
        </w:rPr>
      </w:pPr>
      <w:r>
        <w:rPr>
          <w:rFonts w:hint="eastAsia" w:ascii="Times New Roman" w:hAnsi="Times New Roman" w:eastAsia="楷体_GB2312" w:cs="Times New Roman"/>
          <w:b/>
          <w:bCs/>
          <w:color w:val="auto"/>
          <w:kern w:val="0"/>
          <w:sz w:val="32"/>
          <w:szCs w:val="32"/>
          <w:highlight w:val="none"/>
          <w:lang w:val="en-US" w:eastAsia="zh-CN" w:bidi="ar-SA"/>
        </w:rPr>
        <w:t>（三）“三公”经费情况</w:t>
      </w:r>
    </w:p>
    <w:p w14:paraId="64B6440B">
      <w:pPr>
        <w:spacing w:line="580" w:lineRule="exact"/>
        <w:ind w:left="0" w:leftChars="0" w:firstLine="640" w:firstLineChars="200"/>
        <w:outlineLvl w:val="9"/>
        <w:rPr>
          <w:rFonts w:hint="default"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省农业农村厅2023年度“三公”经费年初预算数501.88万元，决算数为359.46万元，节约142.42万元。其中：因公出国经费年初预算数111.00万元，决算数87.86万元，节约23.14万元；公务用车购置费和维护经费年初预算数266.48万元，决算数239.01万元，节约27.47万元；公务接待费年初预算数124.40万元、决算数32.59万元，节约91.81万元，如下表所示：</w:t>
      </w:r>
    </w:p>
    <w:tbl>
      <w:tblPr>
        <w:tblStyle w:val="12"/>
        <w:tblW w:w="8237" w:type="dxa"/>
        <w:tblInd w:w="8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65"/>
        <w:gridCol w:w="1527"/>
        <w:gridCol w:w="1730"/>
        <w:gridCol w:w="1648"/>
        <w:gridCol w:w="1567"/>
      </w:tblGrid>
      <w:tr w14:paraId="60312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1765" w:type="dxa"/>
            <w:tcBorders>
              <w:top w:val="nil"/>
              <w:left w:val="nil"/>
              <w:bottom w:val="single" w:color="000000" w:sz="12" w:space="0"/>
              <w:right w:val="nil"/>
            </w:tcBorders>
            <w:shd w:val="clear" w:color="auto" w:fill="auto"/>
            <w:noWrap/>
            <w:vAlign w:val="center"/>
          </w:tcPr>
          <w:p w14:paraId="3848A90E">
            <w:pPr>
              <w:keepNext w:val="0"/>
              <w:keepLines w:val="0"/>
              <w:pageBreakBefore w:val="0"/>
              <w:widowControl/>
              <w:kinsoku/>
              <w:wordWrap/>
              <w:overflowPunct/>
              <w:topLinePunct w:val="0"/>
              <w:autoSpaceDE/>
              <w:autoSpaceDN/>
              <w:bidi w:val="0"/>
              <w:adjustRightInd/>
              <w:snapToGrid/>
              <w:spacing w:line="300" w:lineRule="atLeast"/>
              <w:ind w:firstLine="0" w:firstLineChars="0"/>
              <w:jc w:val="center"/>
              <w:rPr>
                <w:rFonts w:hint="eastAsia" w:ascii="仿宋_GB2312" w:hAnsi="仿宋_GB2312" w:eastAsia="仿宋_GB2312" w:cs="仿宋_GB2312"/>
                <w:i w:val="0"/>
                <w:iCs w:val="0"/>
                <w:color w:val="auto"/>
                <w:sz w:val="21"/>
                <w:szCs w:val="21"/>
                <w:highlight w:val="none"/>
                <w:u w:val="none"/>
              </w:rPr>
            </w:pPr>
          </w:p>
        </w:tc>
        <w:tc>
          <w:tcPr>
            <w:tcW w:w="1527" w:type="dxa"/>
            <w:tcBorders>
              <w:top w:val="nil"/>
              <w:left w:val="nil"/>
              <w:bottom w:val="single" w:color="000000" w:sz="12" w:space="0"/>
              <w:right w:val="nil"/>
            </w:tcBorders>
            <w:shd w:val="clear" w:color="auto" w:fill="auto"/>
            <w:noWrap/>
            <w:vAlign w:val="center"/>
          </w:tcPr>
          <w:p w14:paraId="36F1D7D8">
            <w:pPr>
              <w:keepNext w:val="0"/>
              <w:keepLines w:val="0"/>
              <w:pageBreakBefore w:val="0"/>
              <w:widowControl/>
              <w:kinsoku/>
              <w:wordWrap/>
              <w:overflowPunct/>
              <w:topLinePunct w:val="0"/>
              <w:autoSpaceDE/>
              <w:autoSpaceDN/>
              <w:bidi w:val="0"/>
              <w:adjustRightInd/>
              <w:snapToGrid/>
              <w:spacing w:line="300" w:lineRule="atLeast"/>
              <w:ind w:firstLine="0" w:firstLineChars="0"/>
              <w:jc w:val="center"/>
              <w:rPr>
                <w:rFonts w:hint="eastAsia" w:ascii="仿宋_GB2312" w:hAnsi="仿宋_GB2312" w:eastAsia="仿宋_GB2312" w:cs="仿宋_GB2312"/>
                <w:i w:val="0"/>
                <w:iCs w:val="0"/>
                <w:color w:val="auto"/>
                <w:sz w:val="21"/>
                <w:szCs w:val="21"/>
                <w:highlight w:val="none"/>
                <w:u w:val="none"/>
              </w:rPr>
            </w:pPr>
          </w:p>
        </w:tc>
        <w:tc>
          <w:tcPr>
            <w:tcW w:w="1730" w:type="dxa"/>
            <w:tcBorders>
              <w:top w:val="nil"/>
              <w:left w:val="nil"/>
              <w:bottom w:val="single" w:color="000000" w:sz="12" w:space="0"/>
              <w:right w:val="nil"/>
            </w:tcBorders>
            <w:shd w:val="clear" w:color="auto" w:fill="auto"/>
            <w:noWrap/>
            <w:vAlign w:val="center"/>
          </w:tcPr>
          <w:p w14:paraId="572912BC">
            <w:pPr>
              <w:keepNext w:val="0"/>
              <w:keepLines w:val="0"/>
              <w:pageBreakBefore w:val="0"/>
              <w:widowControl/>
              <w:kinsoku/>
              <w:wordWrap/>
              <w:overflowPunct/>
              <w:topLinePunct w:val="0"/>
              <w:autoSpaceDE/>
              <w:autoSpaceDN/>
              <w:bidi w:val="0"/>
              <w:adjustRightInd/>
              <w:snapToGrid/>
              <w:spacing w:line="300" w:lineRule="atLeast"/>
              <w:ind w:firstLine="0" w:firstLineChars="0"/>
              <w:jc w:val="center"/>
              <w:rPr>
                <w:rFonts w:hint="eastAsia" w:ascii="仿宋_GB2312" w:hAnsi="仿宋_GB2312" w:eastAsia="仿宋_GB2312" w:cs="仿宋_GB2312"/>
                <w:i w:val="0"/>
                <w:iCs w:val="0"/>
                <w:color w:val="auto"/>
                <w:sz w:val="21"/>
                <w:szCs w:val="21"/>
                <w:highlight w:val="none"/>
                <w:u w:val="none"/>
              </w:rPr>
            </w:pPr>
          </w:p>
        </w:tc>
        <w:tc>
          <w:tcPr>
            <w:tcW w:w="1648" w:type="dxa"/>
            <w:tcBorders>
              <w:top w:val="nil"/>
              <w:left w:val="nil"/>
              <w:bottom w:val="single" w:color="000000" w:sz="12" w:space="0"/>
              <w:right w:val="nil"/>
            </w:tcBorders>
            <w:shd w:val="clear" w:color="auto" w:fill="auto"/>
            <w:noWrap/>
            <w:vAlign w:val="center"/>
          </w:tcPr>
          <w:p w14:paraId="239B86A7">
            <w:pPr>
              <w:keepNext w:val="0"/>
              <w:keepLines w:val="0"/>
              <w:pageBreakBefore w:val="0"/>
              <w:widowControl/>
              <w:kinsoku/>
              <w:wordWrap/>
              <w:overflowPunct/>
              <w:topLinePunct w:val="0"/>
              <w:autoSpaceDE/>
              <w:autoSpaceDN/>
              <w:bidi w:val="0"/>
              <w:adjustRightInd/>
              <w:snapToGrid/>
              <w:spacing w:line="300" w:lineRule="atLeast"/>
              <w:ind w:firstLine="0" w:firstLineChars="0"/>
              <w:jc w:val="center"/>
              <w:rPr>
                <w:rFonts w:hint="eastAsia" w:ascii="仿宋_GB2312" w:hAnsi="仿宋_GB2312" w:eastAsia="仿宋_GB2312" w:cs="仿宋_GB2312"/>
                <w:i w:val="0"/>
                <w:iCs w:val="0"/>
                <w:color w:val="auto"/>
                <w:sz w:val="21"/>
                <w:szCs w:val="21"/>
                <w:highlight w:val="none"/>
                <w:u w:val="none"/>
              </w:rPr>
            </w:pPr>
          </w:p>
        </w:tc>
        <w:tc>
          <w:tcPr>
            <w:tcW w:w="1567" w:type="dxa"/>
            <w:tcBorders>
              <w:top w:val="nil"/>
              <w:left w:val="nil"/>
              <w:bottom w:val="single" w:color="000000" w:sz="12" w:space="0"/>
              <w:right w:val="nil"/>
            </w:tcBorders>
            <w:shd w:val="clear" w:color="auto" w:fill="auto"/>
            <w:noWrap/>
            <w:vAlign w:val="center"/>
          </w:tcPr>
          <w:p w14:paraId="42B5F81C">
            <w:pPr>
              <w:keepNext w:val="0"/>
              <w:keepLines w:val="0"/>
              <w:pageBreakBefore w:val="0"/>
              <w:widowControl/>
              <w:suppressLineNumbers w:val="0"/>
              <w:kinsoku/>
              <w:wordWrap/>
              <w:overflowPunct/>
              <w:topLinePunct w:val="0"/>
              <w:autoSpaceDE/>
              <w:autoSpaceDN/>
              <w:bidi w:val="0"/>
              <w:adjustRightInd/>
              <w:snapToGrid/>
              <w:spacing w:line="300" w:lineRule="atLeast"/>
              <w:ind w:firstLine="0" w:firstLineChars="0"/>
              <w:jc w:val="righ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单位：万元</w:t>
            </w:r>
          </w:p>
        </w:tc>
      </w:tr>
      <w:tr w14:paraId="6578B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blHeader/>
        </w:trPr>
        <w:tc>
          <w:tcPr>
            <w:tcW w:w="1765"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36DAA5B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项目</w:t>
            </w:r>
          </w:p>
        </w:tc>
        <w:tc>
          <w:tcPr>
            <w:tcW w:w="1527"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5D3F9B1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全年预算数</w:t>
            </w:r>
          </w:p>
        </w:tc>
        <w:tc>
          <w:tcPr>
            <w:tcW w:w="1730"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0F4B86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决算数</w:t>
            </w:r>
          </w:p>
        </w:tc>
        <w:tc>
          <w:tcPr>
            <w:tcW w:w="1648" w:type="dxa"/>
            <w:tcBorders>
              <w:top w:val="single" w:color="000000" w:sz="12" w:space="0"/>
              <w:left w:val="dotted" w:color="000000" w:sz="4" w:space="0"/>
              <w:bottom w:val="dotted" w:color="000000" w:sz="4" w:space="0"/>
              <w:right w:val="dotted" w:color="000000" w:sz="4" w:space="0"/>
            </w:tcBorders>
            <w:shd w:val="clear" w:color="auto" w:fill="auto"/>
            <w:vAlign w:val="center"/>
          </w:tcPr>
          <w:p w14:paraId="65362CB9">
            <w:pPr>
              <w:keepNext w:val="0"/>
              <w:keepLines w:val="0"/>
              <w:pageBreakBefore w:val="0"/>
              <w:widowControl/>
              <w:suppressLineNumbers w:val="0"/>
              <w:kinsoku/>
              <w:wordWrap/>
              <w:overflowPunct/>
              <w:topLinePunct w:val="0"/>
              <w:autoSpaceDE/>
              <w:autoSpaceDN/>
              <w:bidi w:val="0"/>
              <w:adjustRightInd/>
              <w:snapToGrid/>
              <w:spacing w:line="220" w:lineRule="atLeast"/>
              <w:ind w:firstLine="0" w:firstLineChars="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超支（－）或</w:t>
            </w:r>
          </w:p>
          <w:p w14:paraId="31E34D9C">
            <w:pPr>
              <w:keepNext w:val="0"/>
              <w:keepLines w:val="0"/>
              <w:pageBreakBefore w:val="0"/>
              <w:widowControl/>
              <w:suppressLineNumbers w:val="0"/>
              <w:kinsoku/>
              <w:wordWrap/>
              <w:overflowPunct/>
              <w:topLinePunct w:val="0"/>
              <w:autoSpaceDE/>
              <w:autoSpaceDN/>
              <w:bidi w:val="0"/>
              <w:adjustRightInd/>
              <w:snapToGrid/>
              <w:spacing w:line="220" w:lineRule="atLeas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节约（+）</w:t>
            </w:r>
          </w:p>
        </w:tc>
        <w:tc>
          <w:tcPr>
            <w:tcW w:w="1567" w:type="dxa"/>
            <w:tcBorders>
              <w:top w:val="single" w:color="000000" w:sz="12" w:space="0"/>
              <w:left w:val="dotted" w:color="000000" w:sz="4" w:space="0"/>
              <w:bottom w:val="dotted" w:color="000000" w:sz="4" w:space="0"/>
              <w:right w:val="nil"/>
            </w:tcBorders>
            <w:shd w:val="clear" w:color="auto" w:fill="auto"/>
            <w:noWrap/>
            <w:vAlign w:val="center"/>
          </w:tcPr>
          <w:p w14:paraId="1597CFE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预算执行率</w:t>
            </w:r>
          </w:p>
        </w:tc>
      </w:tr>
      <w:tr w14:paraId="06FFB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6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917F268">
            <w:pPr>
              <w:keepNext w:val="0"/>
              <w:keepLines w:val="0"/>
              <w:pageBreakBefore w:val="0"/>
              <w:widowControl/>
              <w:suppressLineNumbers w:val="0"/>
              <w:kinsoku/>
              <w:wordWrap/>
              <w:overflowPunct/>
              <w:topLinePunct w:val="0"/>
              <w:autoSpaceDE/>
              <w:autoSpaceDN/>
              <w:bidi w:val="0"/>
              <w:adjustRightInd/>
              <w:snapToGrid/>
              <w:spacing w:line="300" w:lineRule="atLeast"/>
              <w:ind w:firstLine="0" w:firstLineChars="0"/>
              <w:jc w:val="center"/>
              <w:textAlignment w:val="center"/>
              <w:rPr>
                <w:rFonts w:hint="default" w:ascii="仿宋_GB2312" w:hAnsi="仿宋_GB2312" w:eastAsia="仿宋_GB2312" w:cs="仿宋_GB2312"/>
                <w:i w:val="0"/>
                <w:iCs w:val="0"/>
                <w:color w:val="auto"/>
                <w:sz w:val="21"/>
                <w:szCs w:val="21"/>
                <w:highlight w:val="none"/>
                <w:u w:val="none"/>
                <w:lang w:val="en-US"/>
              </w:rPr>
            </w:pPr>
            <w:r>
              <w:rPr>
                <w:rFonts w:hint="default" w:ascii="仿宋_GB2312" w:hAnsi="仿宋_GB2312" w:eastAsia="仿宋_GB2312" w:cs="仿宋_GB2312"/>
                <w:i w:val="0"/>
                <w:iCs w:val="0"/>
                <w:color w:val="auto"/>
                <w:kern w:val="0"/>
                <w:sz w:val="21"/>
                <w:szCs w:val="21"/>
                <w:highlight w:val="none"/>
                <w:u w:val="none"/>
                <w:lang w:val="en-US" w:eastAsia="zh-CN" w:bidi="ar"/>
              </w:rPr>
              <w:t>“</w:t>
            </w:r>
            <w:r>
              <w:rPr>
                <w:rFonts w:hint="eastAsia" w:ascii="仿宋_GB2312" w:hAnsi="仿宋_GB2312" w:eastAsia="仿宋_GB2312" w:cs="仿宋_GB2312"/>
                <w:i w:val="0"/>
                <w:iCs w:val="0"/>
                <w:color w:val="auto"/>
                <w:kern w:val="0"/>
                <w:sz w:val="21"/>
                <w:szCs w:val="21"/>
                <w:highlight w:val="none"/>
                <w:u w:val="none"/>
                <w:lang w:val="en-US" w:eastAsia="zh-CN" w:bidi="ar"/>
              </w:rPr>
              <w:t>三公</w:t>
            </w:r>
            <w:r>
              <w:rPr>
                <w:rFonts w:hint="default" w:ascii="仿宋_GB2312" w:hAnsi="仿宋_GB2312" w:eastAsia="仿宋_GB2312" w:cs="仿宋_GB2312"/>
                <w:i w:val="0"/>
                <w:iCs w:val="0"/>
                <w:color w:val="auto"/>
                <w:kern w:val="0"/>
                <w:sz w:val="21"/>
                <w:szCs w:val="21"/>
                <w:highlight w:val="none"/>
                <w:u w:val="none"/>
                <w:lang w:val="en-US" w:eastAsia="zh-CN" w:bidi="ar"/>
              </w:rPr>
              <w:t>”</w:t>
            </w:r>
            <w:r>
              <w:rPr>
                <w:rFonts w:hint="eastAsia" w:ascii="仿宋_GB2312" w:hAnsi="仿宋_GB2312" w:eastAsia="仿宋_GB2312" w:cs="仿宋_GB2312"/>
                <w:i w:val="0"/>
                <w:iCs w:val="0"/>
                <w:color w:val="auto"/>
                <w:kern w:val="0"/>
                <w:sz w:val="21"/>
                <w:szCs w:val="21"/>
                <w:highlight w:val="none"/>
                <w:u w:val="none"/>
                <w:lang w:val="en-US" w:eastAsia="zh-CN" w:bidi="ar"/>
              </w:rPr>
              <w:t>经费</w:t>
            </w:r>
          </w:p>
        </w:tc>
        <w:tc>
          <w:tcPr>
            <w:tcW w:w="152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A798F0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501</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88</w:t>
            </w:r>
          </w:p>
        </w:tc>
        <w:tc>
          <w:tcPr>
            <w:tcW w:w="17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6E1EE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359</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46</w:t>
            </w:r>
          </w:p>
        </w:tc>
        <w:tc>
          <w:tcPr>
            <w:tcW w:w="164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B92C66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142</w:t>
            </w:r>
            <w:r>
              <w:rPr>
                <w:rFonts w:hint="eastAsia" w:eastAsia="仿宋_GB2312" w:cs="Times New Roman"/>
                <w:color w:val="auto"/>
                <w:sz w:val="21"/>
                <w:szCs w:val="21"/>
                <w:highlight w:val="none"/>
                <w:lang w:val="en-US" w:eastAsia="zh-CN"/>
              </w:rPr>
              <w:t>.</w:t>
            </w:r>
            <w:r>
              <w:rPr>
                <w:rFonts w:hint="default" w:ascii="Times New Roman" w:hAnsi="Times New Roman" w:eastAsia="仿宋_GB2312" w:cs="Times New Roman"/>
                <w:color w:val="auto"/>
                <w:sz w:val="21"/>
                <w:szCs w:val="21"/>
                <w:highlight w:val="none"/>
                <w:lang w:val="en-US" w:eastAsia="zh-CN"/>
              </w:rPr>
              <w:t>4</w:t>
            </w:r>
            <w:r>
              <w:rPr>
                <w:rFonts w:hint="eastAsia" w:eastAsia="仿宋_GB2312" w:cs="Times New Roman"/>
                <w:color w:val="auto"/>
                <w:sz w:val="21"/>
                <w:szCs w:val="21"/>
                <w:highlight w:val="none"/>
                <w:lang w:val="en-US" w:eastAsia="zh-CN"/>
              </w:rPr>
              <w:t>2</w:t>
            </w:r>
          </w:p>
        </w:tc>
        <w:tc>
          <w:tcPr>
            <w:tcW w:w="1567" w:type="dxa"/>
            <w:tcBorders>
              <w:top w:val="dotted" w:color="000000" w:sz="4" w:space="0"/>
              <w:left w:val="dotted" w:color="000000" w:sz="4" w:space="0"/>
              <w:bottom w:val="dotted" w:color="000000" w:sz="4" w:space="0"/>
              <w:right w:val="nil"/>
            </w:tcBorders>
            <w:shd w:val="clear" w:color="auto" w:fill="auto"/>
            <w:noWrap/>
            <w:vAlign w:val="center"/>
          </w:tcPr>
          <w:p w14:paraId="19D786F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71.62%</w:t>
            </w:r>
          </w:p>
        </w:tc>
      </w:tr>
      <w:tr w14:paraId="04E80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65"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286739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其中：公务用车购置和维护经费</w:t>
            </w:r>
          </w:p>
        </w:tc>
        <w:tc>
          <w:tcPr>
            <w:tcW w:w="152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D6533E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266</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48</w:t>
            </w:r>
          </w:p>
        </w:tc>
        <w:tc>
          <w:tcPr>
            <w:tcW w:w="17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4D4538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239</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01</w:t>
            </w:r>
          </w:p>
        </w:tc>
        <w:tc>
          <w:tcPr>
            <w:tcW w:w="164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C8AC99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27</w:t>
            </w:r>
            <w:r>
              <w:rPr>
                <w:rFonts w:hint="eastAsia" w:eastAsia="仿宋_GB2312" w:cs="Times New Roman"/>
                <w:color w:val="auto"/>
                <w:sz w:val="21"/>
                <w:szCs w:val="21"/>
                <w:highlight w:val="none"/>
                <w:lang w:val="en-US" w:eastAsia="zh-CN"/>
              </w:rPr>
              <w:t>.</w:t>
            </w:r>
            <w:r>
              <w:rPr>
                <w:rFonts w:hint="default" w:ascii="Times New Roman" w:hAnsi="Times New Roman" w:eastAsia="仿宋_GB2312" w:cs="Times New Roman"/>
                <w:color w:val="auto"/>
                <w:sz w:val="21"/>
                <w:szCs w:val="21"/>
                <w:highlight w:val="none"/>
                <w:lang w:val="en-US" w:eastAsia="zh-CN"/>
              </w:rPr>
              <w:t>4</w:t>
            </w:r>
            <w:r>
              <w:rPr>
                <w:rFonts w:hint="eastAsia" w:eastAsia="仿宋_GB2312" w:cs="Times New Roman"/>
                <w:color w:val="auto"/>
                <w:sz w:val="21"/>
                <w:szCs w:val="21"/>
                <w:highlight w:val="none"/>
                <w:lang w:val="en-US" w:eastAsia="zh-CN"/>
              </w:rPr>
              <w:t>7</w:t>
            </w:r>
          </w:p>
        </w:tc>
        <w:tc>
          <w:tcPr>
            <w:tcW w:w="1567" w:type="dxa"/>
            <w:tcBorders>
              <w:top w:val="dotted" w:color="000000" w:sz="4" w:space="0"/>
              <w:left w:val="dotted" w:color="000000" w:sz="4" w:space="0"/>
              <w:bottom w:val="dotted" w:color="000000" w:sz="4" w:space="0"/>
              <w:right w:val="nil"/>
            </w:tcBorders>
            <w:shd w:val="clear" w:color="auto" w:fill="auto"/>
            <w:noWrap/>
            <w:vAlign w:val="center"/>
          </w:tcPr>
          <w:p w14:paraId="26A0C42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89.69%</w:t>
            </w:r>
          </w:p>
        </w:tc>
      </w:tr>
      <w:tr w14:paraId="627B5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65"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8C6DDC9">
            <w:pPr>
              <w:keepNext w:val="0"/>
              <w:keepLines w:val="0"/>
              <w:pageBreakBefore w:val="0"/>
              <w:widowControl/>
              <w:suppressLineNumbers w:val="0"/>
              <w:kinsoku/>
              <w:wordWrap/>
              <w:overflowPunct/>
              <w:topLinePunct w:val="0"/>
              <w:autoSpaceDE/>
              <w:autoSpaceDN/>
              <w:bidi w:val="0"/>
              <w:adjustRightInd/>
              <w:snapToGrid/>
              <w:spacing w:line="300" w:lineRule="atLeas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因公出国（境）</w:t>
            </w:r>
          </w:p>
        </w:tc>
        <w:tc>
          <w:tcPr>
            <w:tcW w:w="152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0C6D36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111</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00</w:t>
            </w:r>
          </w:p>
        </w:tc>
        <w:tc>
          <w:tcPr>
            <w:tcW w:w="17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821B13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87</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86</w:t>
            </w:r>
          </w:p>
        </w:tc>
        <w:tc>
          <w:tcPr>
            <w:tcW w:w="164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8A17C6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23</w:t>
            </w:r>
            <w:r>
              <w:rPr>
                <w:rFonts w:hint="eastAsia" w:eastAsia="仿宋_GB2312" w:cs="Times New Roman"/>
                <w:color w:val="auto"/>
                <w:sz w:val="21"/>
                <w:szCs w:val="21"/>
                <w:highlight w:val="none"/>
                <w:lang w:val="en-US" w:eastAsia="zh-CN"/>
              </w:rPr>
              <w:t>.</w:t>
            </w:r>
            <w:r>
              <w:rPr>
                <w:rFonts w:hint="default" w:ascii="Times New Roman" w:hAnsi="Times New Roman" w:eastAsia="仿宋_GB2312" w:cs="Times New Roman"/>
                <w:color w:val="auto"/>
                <w:sz w:val="21"/>
                <w:szCs w:val="21"/>
                <w:highlight w:val="none"/>
                <w:lang w:val="en-US" w:eastAsia="zh-CN"/>
              </w:rPr>
              <w:t>1</w:t>
            </w:r>
            <w:r>
              <w:rPr>
                <w:rFonts w:hint="eastAsia" w:eastAsia="仿宋_GB2312" w:cs="Times New Roman"/>
                <w:color w:val="auto"/>
                <w:sz w:val="21"/>
                <w:szCs w:val="21"/>
                <w:highlight w:val="none"/>
                <w:lang w:val="en-US" w:eastAsia="zh-CN"/>
              </w:rPr>
              <w:t>4</w:t>
            </w:r>
          </w:p>
        </w:tc>
        <w:tc>
          <w:tcPr>
            <w:tcW w:w="1567" w:type="dxa"/>
            <w:tcBorders>
              <w:top w:val="dotted" w:color="000000" w:sz="4" w:space="0"/>
              <w:left w:val="dotted" w:color="000000" w:sz="4" w:space="0"/>
              <w:bottom w:val="dotted" w:color="000000" w:sz="4" w:space="0"/>
              <w:right w:val="nil"/>
            </w:tcBorders>
            <w:shd w:val="clear" w:color="auto" w:fill="auto"/>
            <w:noWrap/>
            <w:vAlign w:val="center"/>
          </w:tcPr>
          <w:p w14:paraId="138B27B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79.15%</w:t>
            </w:r>
          </w:p>
        </w:tc>
      </w:tr>
      <w:tr w14:paraId="2A6A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65" w:type="dxa"/>
            <w:tcBorders>
              <w:top w:val="dotted" w:color="000000" w:sz="4" w:space="0"/>
              <w:left w:val="dotted" w:color="000000" w:sz="4" w:space="0"/>
              <w:bottom w:val="single" w:color="000000" w:sz="12" w:space="0"/>
              <w:right w:val="dotted" w:color="000000" w:sz="4" w:space="0"/>
            </w:tcBorders>
            <w:shd w:val="clear" w:color="auto" w:fill="auto"/>
            <w:vAlign w:val="center"/>
          </w:tcPr>
          <w:p w14:paraId="2EC3E144">
            <w:pPr>
              <w:keepNext w:val="0"/>
              <w:keepLines w:val="0"/>
              <w:pageBreakBefore w:val="0"/>
              <w:widowControl/>
              <w:suppressLineNumbers w:val="0"/>
              <w:kinsoku/>
              <w:wordWrap/>
              <w:overflowPunct/>
              <w:topLinePunct w:val="0"/>
              <w:autoSpaceDE/>
              <w:autoSpaceDN/>
              <w:bidi w:val="0"/>
              <w:adjustRightInd/>
              <w:snapToGrid/>
              <w:spacing w:line="300" w:lineRule="atLeast"/>
              <w:ind w:firstLine="0" w:firstLineChars="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公务接待费</w:t>
            </w:r>
          </w:p>
        </w:tc>
        <w:tc>
          <w:tcPr>
            <w:tcW w:w="1527"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1DF808E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124</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40</w:t>
            </w:r>
          </w:p>
        </w:tc>
        <w:tc>
          <w:tcPr>
            <w:tcW w:w="1730"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FC55A0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32</w:t>
            </w:r>
            <w:r>
              <w:rPr>
                <w:rFonts w:hint="eastAsia" w:eastAsia="仿宋_GB2312" w:cs="Times New Roman"/>
                <w:color w:val="auto"/>
                <w:sz w:val="21"/>
                <w:szCs w:val="21"/>
                <w:highlight w:val="none"/>
                <w:lang w:val="en-US" w:eastAsia="zh-CN"/>
              </w:rPr>
              <w:t>.</w:t>
            </w:r>
            <w:r>
              <w:rPr>
                <w:rFonts w:hint="eastAsia" w:ascii="Times New Roman" w:hAnsi="Times New Roman" w:eastAsia="仿宋_GB2312" w:cs="Times New Roman"/>
                <w:color w:val="auto"/>
                <w:sz w:val="21"/>
                <w:szCs w:val="21"/>
                <w:highlight w:val="none"/>
                <w:lang w:val="en-US" w:eastAsia="zh-CN"/>
              </w:rPr>
              <w:t>5</w:t>
            </w:r>
            <w:r>
              <w:rPr>
                <w:rFonts w:hint="eastAsia" w:eastAsia="仿宋_GB2312" w:cs="Times New Roman"/>
                <w:color w:val="auto"/>
                <w:sz w:val="21"/>
                <w:szCs w:val="21"/>
                <w:highlight w:val="none"/>
                <w:lang w:val="en-US" w:eastAsia="zh-CN"/>
              </w:rPr>
              <w:t>9</w:t>
            </w:r>
          </w:p>
        </w:tc>
        <w:tc>
          <w:tcPr>
            <w:tcW w:w="1648"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3DBFB61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91</w:t>
            </w:r>
            <w:r>
              <w:rPr>
                <w:rFonts w:hint="eastAsia" w:eastAsia="仿宋_GB2312" w:cs="Times New Roman"/>
                <w:color w:val="auto"/>
                <w:sz w:val="21"/>
                <w:szCs w:val="21"/>
                <w:highlight w:val="none"/>
                <w:lang w:val="en-US" w:eastAsia="zh-CN"/>
              </w:rPr>
              <w:t>.</w:t>
            </w:r>
            <w:r>
              <w:rPr>
                <w:rFonts w:hint="default" w:ascii="Times New Roman" w:hAnsi="Times New Roman" w:eastAsia="仿宋_GB2312" w:cs="Times New Roman"/>
                <w:color w:val="auto"/>
                <w:sz w:val="21"/>
                <w:szCs w:val="21"/>
                <w:highlight w:val="none"/>
                <w:lang w:val="en-US" w:eastAsia="zh-CN"/>
              </w:rPr>
              <w:t>8</w:t>
            </w:r>
            <w:r>
              <w:rPr>
                <w:rFonts w:hint="eastAsia" w:eastAsia="仿宋_GB2312" w:cs="Times New Roman"/>
                <w:color w:val="auto"/>
                <w:sz w:val="21"/>
                <w:szCs w:val="21"/>
                <w:highlight w:val="none"/>
                <w:lang w:val="en-US" w:eastAsia="zh-CN"/>
              </w:rPr>
              <w:t>1</w:t>
            </w:r>
          </w:p>
        </w:tc>
        <w:tc>
          <w:tcPr>
            <w:tcW w:w="1567" w:type="dxa"/>
            <w:tcBorders>
              <w:top w:val="dotted" w:color="000000" w:sz="4" w:space="0"/>
              <w:left w:val="dotted" w:color="000000" w:sz="4" w:space="0"/>
              <w:bottom w:val="single" w:color="000000" w:sz="12" w:space="0"/>
              <w:right w:val="nil"/>
            </w:tcBorders>
            <w:shd w:val="clear" w:color="auto" w:fill="auto"/>
            <w:noWrap/>
            <w:vAlign w:val="center"/>
          </w:tcPr>
          <w:p w14:paraId="039E83D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right"/>
              <w:textAlignment w:val="center"/>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26.20%</w:t>
            </w:r>
          </w:p>
        </w:tc>
      </w:tr>
    </w:tbl>
    <w:p w14:paraId="69B4A9C0">
      <w:pPr>
        <w:keepNext w:val="0"/>
        <w:keepLines w:val="0"/>
        <w:pageBreakBefore w:val="0"/>
        <w:kinsoku/>
        <w:wordWrap/>
        <w:overflowPunct/>
        <w:topLinePunct w:val="0"/>
        <w:autoSpaceDE/>
        <w:autoSpaceDN/>
        <w:bidi w:val="0"/>
        <w:spacing w:line="560" w:lineRule="exact"/>
        <w:ind w:firstLine="640"/>
        <w:contextualSpacing/>
        <w:outlineLvl w:val="0"/>
        <w:rPr>
          <w:rFonts w:ascii="Times New Roman" w:hAnsi="Times New Roman" w:eastAsia="黑体" w:cs="宋体"/>
          <w:color w:val="auto"/>
          <w:kern w:val="0"/>
          <w:sz w:val="32"/>
          <w:szCs w:val="22"/>
          <w:highlight w:val="none"/>
          <w:lang w:val="en-US" w:eastAsia="zh-CN" w:bidi="ar-SA"/>
        </w:rPr>
      </w:pPr>
      <w:r>
        <w:rPr>
          <w:rFonts w:hint="eastAsia" w:ascii="Times New Roman" w:hAnsi="Times New Roman" w:eastAsia="黑体" w:cs="宋体"/>
          <w:color w:val="auto"/>
          <w:kern w:val="0"/>
          <w:sz w:val="32"/>
          <w:szCs w:val="22"/>
          <w:highlight w:val="none"/>
          <w:lang w:val="en-US" w:eastAsia="zh-CN" w:bidi="ar-SA"/>
        </w:rPr>
        <w:t>四、</w:t>
      </w:r>
      <w:r>
        <w:rPr>
          <w:rFonts w:ascii="Times New Roman" w:hAnsi="Times New Roman" w:eastAsia="黑体" w:cs="宋体"/>
          <w:color w:val="auto"/>
          <w:kern w:val="0"/>
          <w:sz w:val="32"/>
          <w:szCs w:val="22"/>
          <w:highlight w:val="none"/>
          <w:lang w:val="en-US" w:eastAsia="zh-CN" w:bidi="ar-SA"/>
        </w:rPr>
        <w:t>政府性基金预算支出情况</w:t>
      </w:r>
    </w:p>
    <w:p w14:paraId="328EB49D">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省农业农村厅2023年度无国有资本经营预算支出。</w:t>
      </w:r>
    </w:p>
    <w:p w14:paraId="0187BA62">
      <w:pPr>
        <w:pStyle w:val="11"/>
        <w:keepNext w:val="0"/>
        <w:keepLines w:val="0"/>
        <w:pageBreakBefore w:val="0"/>
        <w:kinsoku/>
        <w:wordWrap/>
        <w:overflowPunct/>
        <w:topLinePunct w:val="0"/>
        <w:autoSpaceDE/>
        <w:autoSpaceDN/>
        <w:bidi w:val="0"/>
        <w:spacing w:after="0" w:line="560" w:lineRule="exact"/>
        <w:ind w:left="0" w:leftChars="0" w:firstLine="640"/>
        <w:outlineLvl w:val="0"/>
        <w:rPr>
          <w:rFonts w:ascii="Times New Roman" w:hAnsi="Times New Roman" w:eastAsia="黑体" w:cs="宋体"/>
          <w:color w:val="auto"/>
          <w:kern w:val="0"/>
          <w:sz w:val="32"/>
          <w:szCs w:val="22"/>
          <w:highlight w:val="none"/>
          <w:lang w:val="en-US" w:eastAsia="zh-CN" w:bidi="ar-SA"/>
        </w:rPr>
      </w:pPr>
      <w:r>
        <w:rPr>
          <w:rFonts w:hint="eastAsia" w:ascii="Times New Roman" w:hAnsi="Times New Roman" w:eastAsia="黑体" w:cs="宋体"/>
          <w:color w:val="auto"/>
          <w:kern w:val="0"/>
          <w:sz w:val="32"/>
          <w:szCs w:val="22"/>
          <w:highlight w:val="none"/>
          <w:lang w:val="en-US" w:eastAsia="zh-CN" w:bidi="ar-SA"/>
        </w:rPr>
        <w:t>五、</w:t>
      </w:r>
      <w:r>
        <w:rPr>
          <w:rFonts w:ascii="Times New Roman" w:hAnsi="Times New Roman" w:eastAsia="黑体" w:cs="宋体"/>
          <w:color w:val="auto"/>
          <w:kern w:val="0"/>
          <w:sz w:val="32"/>
          <w:szCs w:val="22"/>
          <w:highlight w:val="none"/>
          <w:lang w:val="en-US" w:eastAsia="zh-CN" w:bidi="ar-SA"/>
        </w:rPr>
        <w:t>国有资本经营预算支出情况</w:t>
      </w:r>
    </w:p>
    <w:p w14:paraId="3E7A9329">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省农业农村厅2023年度无国有资本经营预算支出。</w:t>
      </w:r>
    </w:p>
    <w:p w14:paraId="4683BAE7">
      <w:pPr>
        <w:keepNext w:val="0"/>
        <w:keepLines w:val="0"/>
        <w:pageBreakBefore w:val="0"/>
        <w:kinsoku/>
        <w:wordWrap/>
        <w:overflowPunct/>
        <w:topLinePunct w:val="0"/>
        <w:autoSpaceDE/>
        <w:autoSpaceDN/>
        <w:bidi w:val="0"/>
        <w:spacing w:line="560" w:lineRule="exact"/>
        <w:ind w:firstLine="640"/>
        <w:outlineLvl w:val="0"/>
        <w:rPr>
          <w:rFonts w:ascii="Times New Roman" w:hAnsi="Times New Roman" w:eastAsia="黑体" w:cs="宋体"/>
          <w:color w:val="auto"/>
          <w:kern w:val="0"/>
          <w:sz w:val="32"/>
          <w:szCs w:val="22"/>
          <w:highlight w:val="none"/>
          <w:lang w:val="en-US" w:eastAsia="zh-CN" w:bidi="ar-SA"/>
        </w:rPr>
      </w:pPr>
      <w:r>
        <w:rPr>
          <w:rFonts w:hint="eastAsia" w:ascii="Times New Roman" w:hAnsi="Times New Roman" w:eastAsia="黑体" w:cs="宋体"/>
          <w:color w:val="auto"/>
          <w:kern w:val="0"/>
          <w:sz w:val="32"/>
          <w:szCs w:val="22"/>
          <w:highlight w:val="none"/>
          <w:lang w:val="en-US" w:eastAsia="zh-CN" w:bidi="ar-SA"/>
        </w:rPr>
        <w:t>六、</w:t>
      </w:r>
      <w:r>
        <w:rPr>
          <w:rFonts w:ascii="Times New Roman" w:hAnsi="Times New Roman" w:eastAsia="黑体" w:cs="宋体"/>
          <w:color w:val="auto"/>
          <w:kern w:val="0"/>
          <w:sz w:val="32"/>
          <w:szCs w:val="22"/>
          <w:highlight w:val="none"/>
          <w:lang w:val="en-US" w:eastAsia="zh-CN" w:bidi="ar-SA"/>
        </w:rPr>
        <w:t>社会保险基金预算支出情况</w:t>
      </w:r>
    </w:p>
    <w:p w14:paraId="33380E86">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省农业农村厅2023年度无社会保险基金预算支出。</w:t>
      </w:r>
    </w:p>
    <w:p w14:paraId="19EA8E34">
      <w:pPr>
        <w:keepNext w:val="0"/>
        <w:keepLines w:val="0"/>
        <w:pageBreakBefore w:val="0"/>
        <w:kinsoku/>
        <w:wordWrap/>
        <w:overflowPunct/>
        <w:topLinePunct w:val="0"/>
        <w:autoSpaceDE/>
        <w:autoSpaceDN/>
        <w:bidi w:val="0"/>
        <w:spacing w:line="560" w:lineRule="exact"/>
        <w:ind w:firstLine="640"/>
        <w:outlineLvl w:val="0"/>
        <w:rPr>
          <w:rFonts w:hint="eastAsia" w:ascii="Times New Roman" w:hAnsi="Times New Roman" w:eastAsia="黑体" w:cs="宋体"/>
          <w:color w:val="auto"/>
          <w:kern w:val="0"/>
          <w:sz w:val="32"/>
          <w:szCs w:val="22"/>
          <w:highlight w:val="none"/>
          <w:lang w:val="en-US" w:eastAsia="zh-CN" w:bidi="ar-SA"/>
        </w:rPr>
      </w:pPr>
      <w:r>
        <w:rPr>
          <w:rFonts w:hint="eastAsia" w:ascii="Times New Roman" w:hAnsi="Times New Roman" w:eastAsia="黑体" w:cs="宋体"/>
          <w:color w:val="auto"/>
          <w:kern w:val="0"/>
          <w:sz w:val="32"/>
          <w:szCs w:val="22"/>
          <w:highlight w:val="none"/>
          <w:lang w:val="en-US" w:eastAsia="zh-CN" w:bidi="ar-SA"/>
        </w:rPr>
        <w:t>七、经营支出情况</w:t>
      </w:r>
    </w:p>
    <w:p w14:paraId="5D5565D8">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农业农村厅下属单位湖南省农作物种质资源保护与良种繁育中心，设有经营收入与经营支出预算。</w:t>
      </w:r>
    </w:p>
    <w:p w14:paraId="3D872187">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bookmarkStart w:id="15" w:name="_Toc14296"/>
      <w:r>
        <w:rPr>
          <w:rFonts w:hint="eastAsia" w:ascii="Times New Roman Regular" w:hAnsi="Times New Roman Regular" w:eastAsia="仿宋_GB2312" w:cs="Times New Roman Regular"/>
          <w:b w:val="0"/>
          <w:bCs w:val="0"/>
          <w:color w:val="auto"/>
          <w:kern w:val="2"/>
          <w:sz w:val="32"/>
          <w:szCs w:val="32"/>
          <w:highlight w:val="none"/>
          <w:lang w:val="en-US" w:eastAsia="zh-CN" w:bidi="ar-SA"/>
        </w:rPr>
        <w:t>（一）经营收入情况</w:t>
      </w:r>
      <w:bookmarkEnd w:id="15"/>
    </w:p>
    <w:p w14:paraId="72332556">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2023年，经营收入预算为382.36元，经营收入决算为488.37万元，经营收入完成率为100%。经营收入较为平稳，较上年度经营收入增长0.57%。</w:t>
      </w:r>
    </w:p>
    <w:p w14:paraId="1BC553BE">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bookmarkStart w:id="16" w:name="_Toc22387"/>
      <w:r>
        <w:rPr>
          <w:rFonts w:hint="eastAsia" w:ascii="Times New Roman Regular" w:hAnsi="Times New Roman Regular" w:eastAsia="仿宋_GB2312" w:cs="Times New Roman Regular"/>
          <w:b w:val="0"/>
          <w:bCs w:val="0"/>
          <w:color w:val="auto"/>
          <w:kern w:val="2"/>
          <w:sz w:val="32"/>
          <w:szCs w:val="32"/>
          <w:highlight w:val="none"/>
          <w:lang w:val="en-US" w:eastAsia="zh-CN" w:bidi="ar-SA"/>
        </w:rPr>
        <w:t>（二）经营支出情况</w:t>
      </w:r>
      <w:bookmarkEnd w:id="16"/>
    </w:p>
    <w:p w14:paraId="0040ACCE">
      <w:pPr>
        <w:spacing w:line="580" w:lineRule="exact"/>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经营支出年初预算为0万元，全年预算为488.37万元，决算为488.37万元，预算执行率100%。经营支出明细详见下表：</w:t>
      </w:r>
    </w:p>
    <w:tbl>
      <w:tblPr>
        <w:tblStyle w:val="12"/>
        <w:tblW w:w="8232" w:type="dxa"/>
        <w:tblInd w:w="12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4"/>
        <w:gridCol w:w="3763"/>
        <w:gridCol w:w="3305"/>
      </w:tblGrid>
      <w:tr w14:paraId="52C94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8232" w:type="dxa"/>
            <w:gridSpan w:val="3"/>
            <w:tcBorders>
              <w:top w:val="nil"/>
              <w:left w:val="nil"/>
              <w:bottom w:val="nil"/>
              <w:right w:val="nil"/>
            </w:tcBorders>
            <w:shd w:val="clear" w:color="auto" w:fill="auto"/>
            <w:noWrap/>
            <w:vAlign w:val="center"/>
          </w:tcPr>
          <w:p w14:paraId="6284F1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经营支出明细表</w:t>
            </w:r>
          </w:p>
        </w:tc>
      </w:tr>
      <w:tr w14:paraId="27CF9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1164" w:type="dxa"/>
            <w:tcBorders>
              <w:top w:val="nil"/>
              <w:left w:val="nil"/>
              <w:bottom w:val="single" w:color="000000" w:sz="12" w:space="0"/>
              <w:right w:val="nil"/>
            </w:tcBorders>
            <w:shd w:val="clear" w:color="auto" w:fill="auto"/>
            <w:noWrap/>
            <w:vAlign w:val="center"/>
          </w:tcPr>
          <w:p w14:paraId="174ED1D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auto"/>
                <w:sz w:val="21"/>
                <w:szCs w:val="21"/>
                <w:highlight w:val="none"/>
                <w:u w:val="none"/>
              </w:rPr>
            </w:pPr>
          </w:p>
        </w:tc>
        <w:tc>
          <w:tcPr>
            <w:tcW w:w="3763" w:type="dxa"/>
            <w:tcBorders>
              <w:top w:val="nil"/>
              <w:left w:val="nil"/>
              <w:bottom w:val="single" w:color="000000" w:sz="12" w:space="0"/>
              <w:right w:val="nil"/>
            </w:tcBorders>
            <w:shd w:val="clear" w:color="auto" w:fill="auto"/>
            <w:noWrap/>
            <w:vAlign w:val="center"/>
          </w:tcPr>
          <w:p w14:paraId="2601F14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auto"/>
                <w:sz w:val="21"/>
                <w:szCs w:val="21"/>
                <w:highlight w:val="none"/>
                <w:u w:val="none"/>
              </w:rPr>
            </w:pPr>
          </w:p>
        </w:tc>
        <w:tc>
          <w:tcPr>
            <w:tcW w:w="3305" w:type="dxa"/>
            <w:tcBorders>
              <w:top w:val="nil"/>
              <w:left w:val="nil"/>
              <w:bottom w:val="single" w:color="000000" w:sz="12" w:space="0"/>
              <w:right w:val="nil"/>
            </w:tcBorders>
            <w:shd w:val="clear" w:color="auto" w:fill="auto"/>
            <w:noWrap/>
            <w:vAlign w:val="center"/>
          </w:tcPr>
          <w:p w14:paraId="77AA04FA">
            <w:pPr>
              <w:keepNext w:val="0"/>
              <w:keepLines w:val="0"/>
              <w:pageBreakBefore w:val="0"/>
              <w:widowControl/>
              <w:suppressLineNumbers w:val="0"/>
              <w:kinsoku/>
              <w:wordWrap/>
              <w:overflowPunct/>
              <w:topLinePunct w:val="0"/>
              <w:autoSpaceDE/>
              <w:autoSpaceDN/>
              <w:bidi w:val="0"/>
              <w:adjustRightInd/>
              <w:snapToGrid/>
              <w:spacing w:line="300" w:lineRule="exact"/>
              <w:jc w:val="righ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单位：万元</w:t>
            </w:r>
          </w:p>
        </w:tc>
      </w:tr>
      <w:tr w14:paraId="15C17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1164" w:type="dxa"/>
            <w:tcBorders>
              <w:top w:val="single" w:color="000000" w:sz="12" w:space="0"/>
              <w:left w:val="nil"/>
              <w:bottom w:val="dotted" w:color="000000" w:sz="4" w:space="0"/>
              <w:right w:val="dotted" w:color="000000" w:sz="4" w:space="0"/>
            </w:tcBorders>
            <w:shd w:val="clear" w:color="auto" w:fill="auto"/>
            <w:noWrap/>
            <w:vAlign w:val="center"/>
          </w:tcPr>
          <w:p w14:paraId="317730D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序号</w:t>
            </w:r>
          </w:p>
        </w:tc>
        <w:tc>
          <w:tcPr>
            <w:tcW w:w="3763"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0183BF3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项目</w:t>
            </w:r>
          </w:p>
        </w:tc>
        <w:tc>
          <w:tcPr>
            <w:tcW w:w="3305" w:type="dxa"/>
            <w:tcBorders>
              <w:top w:val="single" w:color="000000" w:sz="12" w:space="0"/>
              <w:left w:val="dotted" w:color="000000" w:sz="4" w:space="0"/>
              <w:bottom w:val="dotted" w:color="000000" w:sz="4" w:space="0"/>
              <w:right w:val="nil"/>
            </w:tcBorders>
            <w:shd w:val="clear" w:color="auto" w:fill="auto"/>
            <w:noWrap/>
            <w:vAlign w:val="center"/>
          </w:tcPr>
          <w:p w14:paraId="606E679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金额</w:t>
            </w:r>
          </w:p>
        </w:tc>
      </w:tr>
      <w:tr w14:paraId="085B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64" w:type="dxa"/>
            <w:tcBorders>
              <w:top w:val="dotted" w:color="000000" w:sz="4" w:space="0"/>
              <w:left w:val="nil"/>
              <w:bottom w:val="dotted" w:color="000000" w:sz="4" w:space="0"/>
              <w:right w:val="dotted" w:color="000000" w:sz="4" w:space="0"/>
            </w:tcBorders>
            <w:shd w:val="clear" w:color="auto" w:fill="auto"/>
            <w:noWrap/>
            <w:vAlign w:val="center"/>
          </w:tcPr>
          <w:p w14:paraId="2A5894A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1</w:t>
            </w:r>
          </w:p>
        </w:tc>
        <w:tc>
          <w:tcPr>
            <w:tcW w:w="37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2496A9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工资福利支出</w:t>
            </w:r>
          </w:p>
        </w:tc>
        <w:tc>
          <w:tcPr>
            <w:tcW w:w="3305" w:type="dxa"/>
            <w:tcBorders>
              <w:top w:val="dotted" w:color="000000" w:sz="4" w:space="0"/>
              <w:left w:val="dotted" w:color="000000" w:sz="4" w:space="0"/>
              <w:bottom w:val="dotted" w:color="000000" w:sz="4" w:space="0"/>
              <w:right w:val="nil"/>
            </w:tcBorders>
            <w:shd w:val="clear" w:color="auto" w:fill="auto"/>
            <w:noWrap/>
            <w:vAlign w:val="center"/>
          </w:tcPr>
          <w:p w14:paraId="782D42E7">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jc w:val="right"/>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118.50</w:t>
            </w:r>
          </w:p>
        </w:tc>
      </w:tr>
      <w:tr w14:paraId="44740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64" w:type="dxa"/>
            <w:tcBorders>
              <w:top w:val="dotted" w:color="000000" w:sz="4" w:space="0"/>
              <w:left w:val="nil"/>
              <w:bottom w:val="dotted" w:color="000000" w:sz="4" w:space="0"/>
              <w:right w:val="dotted" w:color="000000" w:sz="4" w:space="0"/>
            </w:tcBorders>
            <w:shd w:val="clear" w:color="auto" w:fill="auto"/>
            <w:noWrap/>
            <w:vAlign w:val="center"/>
          </w:tcPr>
          <w:p w14:paraId="7914B59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2</w:t>
            </w:r>
          </w:p>
        </w:tc>
        <w:tc>
          <w:tcPr>
            <w:tcW w:w="37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F364C7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商品和服务支出</w:t>
            </w:r>
          </w:p>
        </w:tc>
        <w:tc>
          <w:tcPr>
            <w:tcW w:w="3305" w:type="dxa"/>
            <w:tcBorders>
              <w:top w:val="dotted" w:color="000000" w:sz="4" w:space="0"/>
              <w:left w:val="dotted" w:color="000000" w:sz="4" w:space="0"/>
              <w:bottom w:val="dotted" w:color="000000" w:sz="4" w:space="0"/>
              <w:right w:val="nil"/>
            </w:tcBorders>
            <w:shd w:val="clear" w:color="auto" w:fill="auto"/>
            <w:noWrap/>
            <w:vAlign w:val="center"/>
          </w:tcPr>
          <w:p w14:paraId="388C6E95">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jc w:val="right"/>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364.94</w:t>
            </w:r>
          </w:p>
        </w:tc>
      </w:tr>
      <w:tr w14:paraId="63082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64" w:type="dxa"/>
            <w:tcBorders>
              <w:top w:val="dotted" w:color="000000" w:sz="4" w:space="0"/>
              <w:left w:val="nil"/>
              <w:bottom w:val="dotted" w:color="000000" w:sz="4" w:space="0"/>
              <w:right w:val="dotted" w:color="000000" w:sz="4" w:space="0"/>
            </w:tcBorders>
            <w:shd w:val="clear" w:color="auto" w:fill="auto"/>
            <w:noWrap/>
            <w:vAlign w:val="center"/>
          </w:tcPr>
          <w:p w14:paraId="6AB50084">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3</w:t>
            </w:r>
          </w:p>
        </w:tc>
        <w:tc>
          <w:tcPr>
            <w:tcW w:w="37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491CCB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对个人和家庭的补助</w:t>
            </w:r>
          </w:p>
        </w:tc>
        <w:tc>
          <w:tcPr>
            <w:tcW w:w="3305" w:type="dxa"/>
            <w:tcBorders>
              <w:top w:val="dotted" w:color="000000" w:sz="4" w:space="0"/>
              <w:left w:val="dotted" w:color="000000" w:sz="4" w:space="0"/>
              <w:bottom w:val="dotted" w:color="000000" w:sz="4" w:space="0"/>
              <w:right w:val="nil"/>
            </w:tcBorders>
            <w:shd w:val="clear" w:color="auto" w:fill="auto"/>
            <w:noWrap/>
            <w:vAlign w:val="center"/>
          </w:tcPr>
          <w:p w14:paraId="64808D83">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jc w:val="right"/>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4.93</w:t>
            </w:r>
          </w:p>
        </w:tc>
      </w:tr>
      <w:tr w14:paraId="476D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64" w:type="dxa"/>
            <w:tcBorders>
              <w:top w:val="dotted" w:color="000000" w:sz="4" w:space="0"/>
              <w:left w:val="nil"/>
              <w:bottom w:val="single" w:color="000000" w:sz="12" w:space="0"/>
              <w:right w:val="dotted" w:color="000000" w:sz="4" w:space="0"/>
            </w:tcBorders>
            <w:shd w:val="clear" w:color="auto" w:fill="auto"/>
            <w:noWrap/>
            <w:vAlign w:val="center"/>
          </w:tcPr>
          <w:p w14:paraId="2E72B39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4</w:t>
            </w:r>
          </w:p>
        </w:tc>
        <w:tc>
          <w:tcPr>
            <w:tcW w:w="3763"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1CEFA87B">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合计</w:t>
            </w:r>
          </w:p>
        </w:tc>
        <w:tc>
          <w:tcPr>
            <w:tcW w:w="3305" w:type="dxa"/>
            <w:tcBorders>
              <w:top w:val="dotted" w:color="000000" w:sz="4" w:space="0"/>
              <w:left w:val="dotted" w:color="000000" w:sz="4" w:space="0"/>
              <w:bottom w:val="single" w:color="000000" w:sz="12" w:space="0"/>
              <w:right w:val="nil"/>
            </w:tcBorders>
            <w:shd w:val="clear" w:color="auto" w:fill="auto"/>
            <w:noWrap/>
            <w:vAlign w:val="center"/>
          </w:tcPr>
          <w:p w14:paraId="7BF369CA">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jc w:val="right"/>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488.37</w:t>
            </w:r>
          </w:p>
        </w:tc>
      </w:tr>
    </w:tbl>
    <w:p w14:paraId="23301CC6">
      <w:pPr>
        <w:keepNext w:val="0"/>
        <w:keepLines w:val="0"/>
        <w:pageBreakBefore w:val="0"/>
        <w:kinsoku/>
        <w:wordWrap/>
        <w:overflowPunct/>
        <w:topLinePunct w:val="0"/>
        <w:autoSpaceDE/>
        <w:autoSpaceDN/>
        <w:bidi w:val="0"/>
        <w:spacing w:line="560" w:lineRule="exact"/>
        <w:ind w:firstLine="640"/>
        <w:outlineLvl w:val="0"/>
        <w:rPr>
          <w:rFonts w:ascii="Times New Roman" w:hAnsi="Times New Roman" w:eastAsia="黑体" w:cs="宋体"/>
          <w:color w:val="auto"/>
          <w:kern w:val="0"/>
          <w:sz w:val="32"/>
          <w:szCs w:val="22"/>
          <w:highlight w:val="none"/>
          <w:lang w:val="en-US" w:eastAsia="zh-CN" w:bidi="ar-SA"/>
        </w:rPr>
      </w:pPr>
      <w:r>
        <w:rPr>
          <w:rFonts w:hint="eastAsia" w:ascii="Times New Roman" w:hAnsi="Times New Roman" w:eastAsia="黑体" w:cs="宋体"/>
          <w:color w:val="auto"/>
          <w:kern w:val="0"/>
          <w:sz w:val="32"/>
          <w:szCs w:val="22"/>
          <w:highlight w:val="none"/>
          <w:lang w:val="en-US" w:eastAsia="zh-CN" w:bidi="ar-SA"/>
        </w:rPr>
        <w:t>八、</w:t>
      </w:r>
      <w:r>
        <w:rPr>
          <w:rFonts w:ascii="Times New Roman" w:hAnsi="Times New Roman" w:eastAsia="黑体" w:cs="宋体"/>
          <w:color w:val="auto"/>
          <w:kern w:val="0"/>
          <w:sz w:val="32"/>
          <w:szCs w:val="22"/>
          <w:highlight w:val="none"/>
          <w:lang w:val="en-US" w:eastAsia="zh-CN" w:bidi="ar-SA"/>
        </w:rPr>
        <w:t>部门整体支出绩效情况</w:t>
      </w:r>
    </w:p>
    <w:p w14:paraId="3C3BEC70">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1"/>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（一）单位职责履行主要情况</w:t>
      </w:r>
    </w:p>
    <w:p w14:paraId="44395869">
      <w:pPr>
        <w:spacing w:line="580" w:lineRule="exact"/>
        <w:ind w:firstLine="562"/>
        <w:rPr>
          <w:rFonts w:hint="default" w:eastAsia="仿宋_GB2312"/>
          <w:color w:val="auto"/>
          <w:sz w:val="32"/>
          <w:szCs w:val="32"/>
          <w:highlight w:val="none"/>
          <w:lang w:val="en-US" w:eastAsia="zh-CN"/>
        </w:rPr>
      </w:pPr>
      <w:r>
        <w:rPr>
          <w:rFonts w:hint="eastAsia" w:eastAsia="仿宋_GB2312"/>
          <w:color w:val="auto"/>
          <w:sz w:val="32"/>
          <w:szCs w:val="32"/>
          <w:highlight w:val="none"/>
        </w:rPr>
        <w:t>202</w:t>
      </w:r>
      <w:r>
        <w:rPr>
          <w:rFonts w:hint="eastAsia" w:eastAsia="仿宋_GB2312"/>
          <w:color w:val="auto"/>
          <w:sz w:val="32"/>
          <w:szCs w:val="32"/>
          <w:highlight w:val="none"/>
          <w:lang w:val="en-US" w:eastAsia="zh-CN"/>
        </w:rPr>
        <w:t>3</w:t>
      </w:r>
      <w:r>
        <w:rPr>
          <w:rFonts w:hint="eastAsia" w:eastAsia="仿宋_GB2312"/>
          <w:color w:val="auto"/>
          <w:sz w:val="32"/>
          <w:szCs w:val="32"/>
          <w:highlight w:val="none"/>
        </w:rPr>
        <w:t>年，省农业农村厅根据中央重点任务目标、省政府重要工作部署、本厅年初工作计划、立法工作计划和监督工作计划的要求，认真履行职责，较好地完成了年初确定的各项工作任务</w:t>
      </w:r>
      <w:r>
        <w:rPr>
          <w:rFonts w:hint="eastAsia" w:eastAsia="仿宋_GB2312"/>
          <w:color w:val="auto"/>
          <w:sz w:val="32"/>
          <w:szCs w:val="32"/>
          <w:highlight w:val="none"/>
          <w:lang w:eastAsia="zh-CN"/>
        </w:rPr>
        <w:t>。</w:t>
      </w:r>
      <w:r>
        <w:rPr>
          <w:rFonts w:hint="eastAsia" w:eastAsia="仿宋_GB2312"/>
          <w:color w:val="auto"/>
          <w:sz w:val="32"/>
          <w:szCs w:val="32"/>
          <w:highlight w:val="none"/>
          <w:lang w:val="en-US" w:eastAsia="zh-CN"/>
        </w:rPr>
        <w:t>单位职责履行情况如下：</w:t>
      </w:r>
    </w:p>
    <w:p w14:paraId="0DFFCAD3">
      <w:pPr>
        <w:spacing w:line="580" w:lineRule="exact"/>
        <w:ind w:firstLine="562"/>
        <w:rPr>
          <w:rFonts w:eastAsia="仿宋_GB2312"/>
          <w:color w:val="auto"/>
          <w:sz w:val="32"/>
          <w:szCs w:val="32"/>
          <w:highlight w:val="none"/>
        </w:rPr>
      </w:pPr>
      <w:r>
        <w:rPr>
          <w:rFonts w:hint="eastAsia" w:eastAsia="仿宋_GB2312"/>
          <w:color w:val="auto"/>
          <w:sz w:val="32"/>
          <w:szCs w:val="32"/>
          <w:highlight w:val="none"/>
        </w:rPr>
        <w:t>1</w:t>
      </w:r>
      <w:r>
        <w:rPr>
          <w:rFonts w:hint="eastAsia" w:eastAsia="仿宋_GB2312"/>
          <w:color w:val="auto"/>
          <w:sz w:val="32"/>
          <w:szCs w:val="32"/>
          <w:highlight w:val="none"/>
          <w:lang w:val="en-US" w:eastAsia="zh-CN"/>
        </w:rPr>
        <w:t>.</w:t>
      </w:r>
      <w:r>
        <w:rPr>
          <w:rFonts w:hint="eastAsia" w:eastAsia="仿宋_GB2312"/>
          <w:color w:val="auto"/>
          <w:sz w:val="32"/>
          <w:szCs w:val="32"/>
          <w:highlight w:val="none"/>
        </w:rPr>
        <w:t>坚持党管农村工作，把“三农”工作摆在重中之重位置。</w:t>
      </w:r>
      <w:r>
        <w:rPr>
          <w:rFonts w:hint="eastAsia" w:eastAsia="仿宋_GB2312"/>
          <w:color w:val="auto"/>
          <w:sz w:val="32"/>
          <w:szCs w:val="32"/>
          <w:highlight w:val="none"/>
          <w:lang w:val="en-US" w:eastAsia="zh-CN"/>
        </w:rPr>
        <w:t>一是</w:t>
      </w:r>
      <w:r>
        <w:rPr>
          <w:rFonts w:hint="eastAsia" w:eastAsia="仿宋_GB2312"/>
          <w:color w:val="auto"/>
          <w:sz w:val="32"/>
          <w:szCs w:val="32"/>
          <w:highlight w:val="none"/>
        </w:rPr>
        <w:t>加强组织领导</w:t>
      </w:r>
      <w:r>
        <w:rPr>
          <w:rFonts w:hint="eastAsia" w:eastAsia="仿宋_GB2312"/>
          <w:color w:val="auto"/>
          <w:sz w:val="32"/>
          <w:szCs w:val="32"/>
          <w:highlight w:val="none"/>
          <w:lang w:eastAsia="zh-CN"/>
        </w:rPr>
        <w:t>，</w:t>
      </w:r>
      <w:r>
        <w:rPr>
          <w:rFonts w:hint="eastAsia" w:eastAsia="仿宋_GB2312"/>
          <w:color w:val="auto"/>
          <w:sz w:val="32"/>
          <w:szCs w:val="32"/>
          <w:highlight w:val="none"/>
        </w:rPr>
        <w:t>召开高规格省委农村工作会议，对加快建设农业强省作出整体安排。坚持问题导向，深入开展“走找想促”活动，省委、省政府主要领导带头下沉一线，开展实地调研和暗访，着力办好民生实事，千方百计促进农民增收。出台《关于锚定建设农业强省目标扎实做好2023年全面推进乡村振兴重点工作的意见》《关于学习借鉴浙江“千万工程”经验实施“五千工程”建设“和美湘村”的意见》等文件，抓好各项“三农”任务落实落细。二是全面压实责任。出台《关于落实乡村振兴责任制若干措施》，统筹开展市县党委和政府推进乡村振兴战略实绩考核、巩固拓展脱贫攻坚成果同乡村振兴有效衔接考核及省直部门（中央驻湘单位）乡村振兴责任制考核。将抓党建促乡村振兴作为市县乡村党组织书记抓基层党建述职评议考核的重要内容，14名市州委书记、2066名县乡党委书记、2.9万余名村（社）党组织书记全部参加述职。三是强化改革赋能。出台方案细化18项农村改革任务，稳步推进第二轮土地承包到期后再延长30年试点，省市县三级农村土地承包地信息化平台全面贯通。在全国率先创新开展《农村土地经营权证》颁发试点工作。持续推进林地、草地及供销合作社改革。四是完善投入机制。坚持把农业农村作为财政优先保障领域，安排国省衔接推进乡村振兴补助资金125.78亿元、增长5.4%。争取中央预算内涉农投资89.3亿元、增长8.9%。发行涉农专项债144.4亿元，已核定高标准农田项目建设36.5亿元。出台《湖南省金融支持全面推进乡村振兴加快建设农业强省实施方案》，增强涉农金融服务质效。今年1—11月，全省农林水支出851.4亿元，同比增长5.25%，土地出让收入用于农业农村资金241.85亿元，占比16.39%。</w:t>
      </w:r>
    </w:p>
    <w:p w14:paraId="3526EA34">
      <w:pPr>
        <w:spacing w:line="580" w:lineRule="exact"/>
        <w:ind w:firstLine="562"/>
        <w:rPr>
          <w:rFonts w:eastAsia="仿宋_GB2312"/>
          <w:color w:val="auto"/>
          <w:sz w:val="32"/>
          <w:szCs w:val="32"/>
          <w:highlight w:val="none"/>
        </w:rPr>
      </w:pPr>
      <w:r>
        <w:rPr>
          <w:rFonts w:hint="eastAsia" w:eastAsia="仿宋_GB2312"/>
          <w:color w:val="auto"/>
          <w:sz w:val="32"/>
          <w:szCs w:val="32"/>
          <w:highlight w:val="none"/>
        </w:rPr>
        <w:t>2</w:t>
      </w:r>
      <w:r>
        <w:rPr>
          <w:rFonts w:hint="eastAsia" w:eastAsia="仿宋_GB2312"/>
          <w:color w:val="auto"/>
          <w:sz w:val="32"/>
          <w:szCs w:val="32"/>
          <w:highlight w:val="none"/>
          <w:lang w:eastAsia="zh-CN"/>
        </w:rPr>
        <w:t>.</w:t>
      </w:r>
      <w:r>
        <w:rPr>
          <w:rFonts w:hint="eastAsia" w:eastAsia="仿宋_GB2312"/>
          <w:color w:val="auto"/>
          <w:sz w:val="32"/>
          <w:szCs w:val="32"/>
          <w:highlight w:val="none"/>
        </w:rPr>
        <w:t>聚焦“国之大者”，确保粮食和重要农产品稳产保供。一是切实加强耕地保护。省委、省政府主要领导出席全省耕地保护和粮食安全工作会议，编制全国首个省级耕地保护专项规划，带位置落实5431.71万亩耕地保有量、4812万亩永久基本农田保护目标（均高于国家指标）。构建了全覆盖的田长制责任体系，设立各级田长14.8万名。切实抓好各地党委和政府耕地保护和粮食安全考核。多部门联合开展耕地“非农化”“非粮化”专项督导，目前问题整改率达99%。二是夯实农业基础设施。推行高标准农田“投贷联动”创新模式，撬动社会资本19亿元，建设高标准农田345万亩。省级筹措资金11亿元，启动小型农业水利设施建设和管护三年行动。截至10月，清淤、新建及改造渠道2065.93公里，提升27.26万亩山上经济作物灌溉水源保障能力。三是全力稳面积提单产。严格落实粮食安全党政同责，建立省领导联系粮食生产示范片机制，16位省领导联系18个万亩示范片。投入5.13亿新（改）建集中育秧设施1137个。全年粮食播种面积7145.3万亩，超目标任务10.3万亩，总产613.6亿斤，较上年增长1.7%，水稻面积和产量居全国第1位。大豆玉米复合种植面积110.4万亩，超任务4.4万亩。四是守护好“菜篮子”。持续实施优质湘猪工程，累计建设1694个省级以上生猪产能调控基地，预计全年出栏生猪6300万头以上。前三季度工厂化设施渔业养殖面积114.51万立方米，同比增长45.98%。夏收油菜2222万亩，同比增长6.7%，总产258.8万吨，面积和增量均居全国第1位。全国油菜秋冬种暨大面积单产提升推进会在我省召开。预计全年蔬菜累积播种面积2165.8万亩，增长2.6%；总产4522.3万吨，增长3.8%。</w:t>
      </w:r>
    </w:p>
    <w:p w14:paraId="285E65ED">
      <w:pPr>
        <w:spacing w:line="580" w:lineRule="exact"/>
        <w:ind w:firstLine="640" w:firstLineChars="200"/>
        <w:rPr>
          <w:rFonts w:eastAsia="仿宋_GB2312"/>
          <w:color w:val="auto"/>
          <w:sz w:val="32"/>
          <w:szCs w:val="32"/>
          <w:highlight w:val="none"/>
        </w:rPr>
      </w:pPr>
      <w:r>
        <w:rPr>
          <w:rFonts w:hint="eastAsia" w:eastAsia="仿宋_GB2312"/>
          <w:color w:val="auto"/>
          <w:sz w:val="32"/>
          <w:szCs w:val="32"/>
          <w:highlight w:val="none"/>
        </w:rPr>
        <w:t>3</w:t>
      </w:r>
      <w:r>
        <w:rPr>
          <w:rFonts w:hint="eastAsia" w:eastAsia="仿宋_GB2312"/>
          <w:color w:val="auto"/>
          <w:sz w:val="32"/>
          <w:szCs w:val="32"/>
          <w:highlight w:val="none"/>
          <w:lang w:val="en-US" w:eastAsia="zh-CN"/>
        </w:rPr>
        <w:t>.</w:t>
      </w:r>
      <w:r>
        <w:rPr>
          <w:rFonts w:hint="eastAsia" w:eastAsia="仿宋_GB2312"/>
          <w:color w:val="auto"/>
          <w:sz w:val="32"/>
          <w:szCs w:val="32"/>
          <w:highlight w:val="none"/>
        </w:rPr>
        <w:t>巩固拓展脱贫攻坚成果，守住不发生规模性返贫底线。一是抓好问题整改。中央通报2022年度考核评估结果后，省委、省政府主要领导召开省委实施乡村振兴战略领导小组会议和问题整改动员大会，研究制定整改方案，部署推进整改工作。聚焦4大类13个方面问题，行业部门制定的64个整改措施全部落实。二是强化精准监测帮扶。调整监测收入基准线至7500元</w:t>
      </w:r>
      <w:r>
        <w:rPr>
          <w:rFonts w:hint="eastAsia" w:eastAsia="仿宋_GB2312"/>
          <w:color w:val="auto"/>
          <w:sz w:val="32"/>
          <w:szCs w:val="32"/>
          <w:highlight w:val="none"/>
          <w:lang w:eastAsia="zh-CN"/>
        </w:rPr>
        <w:t>，</w:t>
      </w:r>
      <w:r>
        <w:rPr>
          <w:rFonts w:hint="eastAsia" w:eastAsia="仿宋_GB2312"/>
          <w:color w:val="auto"/>
          <w:sz w:val="32"/>
          <w:szCs w:val="32"/>
          <w:highlight w:val="none"/>
        </w:rPr>
        <w:t>健全“三员、三网、一户一画像”监测机制</w:t>
      </w:r>
      <w:r>
        <w:rPr>
          <w:rFonts w:hint="eastAsia" w:eastAsia="仿宋_GB2312"/>
          <w:color w:val="auto"/>
          <w:sz w:val="32"/>
          <w:szCs w:val="32"/>
          <w:highlight w:val="none"/>
          <w:lang w:eastAsia="zh-CN"/>
        </w:rPr>
        <w:t>。</w:t>
      </w:r>
      <w:r>
        <w:rPr>
          <w:rFonts w:hint="eastAsia" w:eastAsia="仿宋_GB2312"/>
          <w:color w:val="auto"/>
          <w:sz w:val="32"/>
          <w:szCs w:val="32"/>
          <w:highlight w:val="none"/>
        </w:rPr>
        <w:t>截至11月，累计识别监测对象19.09万户49.74万人，已消除风险9.04万户23.05万人。全省脱贫户和监测户户均帮扶措施提高到4.3条。三是提升产业就业帮扶质量。出台《脱贫人口持续增收三年行动方案》，狠抓产业就业关键。截至11月，我省中央衔接资金用于产业的比重达60.03%，推动帮扶产业可持续发展。开展巩固易地扶贫搬迁成果专项行动和搬迁群众就业帮扶专项行动。截至11月，全省脱贫人口（含监测对象）务工人数达253.22万人，完成国家下达我省目标108.91%。前三季度，脱贫县农村居民人均可支配收入11766元，同比增长8.8%，高于全省平均水平2.1个百分点。</w:t>
      </w:r>
    </w:p>
    <w:p w14:paraId="176BA483">
      <w:pPr>
        <w:spacing w:line="580" w:lineRule="exact"/>
        <w:ind w:firstLine="640" w:firstLineChars="200"/>
        <w:rPr>
          <w:rFonts w:eastAsia="仿宋_GB2312"/>
          <w:color w:val="auto"/>
          <w:sz w:val="32"/>
          <w:szCs w:val="32"/>
          <w:highlight w:val="none"/>
        </w:rPr>
      </w:pPr>
      <w:r>
        <w:rPr>
          <w:rFonts w:hint="eastAsia" w:eastAsia="仿宋_GB2312"/>
          <w:color w:val="auto"/>
          <w:sz w:val="32"/>
          <w:szCs w:val="32"/>
          <w:highlight w:val="none"/>
        </w:rPr>
        <w:t>4</w:t>
      </w:r>
      <w:r>
        <w:rPr>
          <w:rFonts w:hint="eastAsia" w:eastAsia="仿宋_GB2312"/>
          <w:color w:val="auto"/>
          <w:sz w:val="32"/>
          <w:szCs w:val="32"/>
          <w:highlight w:val="none"/>
          <w:lang w:eastAsia="zh-CN"/>
        </w:rPr>
        <w:t>.</w:t>
      </w:r>
      <w:r>
        <w:rPr>
          <w:rFonts w:hint="eastAsia" w:eastAsia="仿宋_GB2312"/>
          <w:color w:val="auto"/>
          <w:sz w:val="32"/>
          <w:szCs w:val="32"/>
          <w:highlight w:val="none"/>
        </w:rPr>
        <w:t>突出产业强省富民，推进乡村产业高质量发展。一是推进特色产业融合。加快培育农业优势特色千亿产业，新增“湘南供粤港澳”蔬菜国家级优势特色产业集群1个，国家产业集群累计达到7个，新增国家农业产业强镇10个、累计达到71个。蔬菜出口首次突破百亿元，增长40%以上。出台《关于加快推进预制菜产业高质量发展的意见》《关于加快竹产业高质量发展的意见》。实施农产品加工企业培育行动，预计农产品加工业营收2.27万亿元，连续6年保持7%以上增长。全年休闲农业经营收入预计达535亿元，同比增长8.6%。办好第二十四届中国中部（湖南）农博会，现场销售10.1亿元，同比增长95.7%。二是大力发展县域经济。省委、省政府主要领导召开全省县域经济发展座谈会，制定县域经济高质量发展实施方案及考核评价办法，将县域经济高质量发展纳入省政府真抓实干督查激励，推动形成“一县一策”发展格局。前三季度全省县域实现地区生产总值19751.9亿元，占全省GDP的53.45%。新增4个县市区入选国家乡村振兴示范县创建名单。三是抓好农村新型集体经济。省人大专门审议《全省新型农村集体经济发展情况工作报告》，大力实施村级集体经济“消薄攻坚”行动，指导市县“一村一策”制定发展规划，推动集体经济薄弱村全面清零。四是促进产业联农带农。开展“万企兴万村”行动，截至11月，参与民营企业8130家，增长190%，结对帮扶7241个村，投资总额约1132亿元，增长1.8倍。开展返乡创业三年专项行动，预计新增返乡创业人员38万人，带动就业人数150万人。前三季度全省农村居民人均可支配收入14766元，增长6.7%，高于城镇居民收入增速2.6个百分点。</w:t>
      </w:r>
    </w:p>
    <w:p w14:paraId="4D4C5274">
      <w:pPr>
        <w:spacing w:line="580" w:lineRule="exact"/>
        <w:ind w:firstLine="640" w:firstLineChars="200"/>
        <w:rPr>
          <w:rFonts w:eastAsia="仿宋_GB2312"/>
          <w:color w:val="auto"/>
          <w:sz w:val="32"/>
          <w:szCs w:val="32"/>
          <w:highlight w:val="none"/>
        </w:rPr>
      </w:pPr>
      <w:r>
        <w:rPr>
          <w:rFonts w:hint="eastAsia" w:eastAsia="仿宋_GB2312"/>
          <w:color w:val="auto"/>
          <w:sz w:val="32"/>
          <w:szCs w:val="32"/>
          <w:highlight w:val="none"/>
        </w:rPr>
        <w:t>5</w:t>
      </w:r>
      <w:r>
        <w:rPr>
          <w:rFonts w:hint="eastAsia" w:eastAsia="仿宋_GB2312"/>
          <w:color w:val="auto"/>
          <w:sz w:val="32"/>
          <w:szCs w:val="32"/>
          <w:highlight w:val="none"/>
          <w:lang w:val="en-US" w:eastAsia="zh-CN"/>
        </w:rPr>
        <w:t>.</w:t>
      </w:r>
      <w:r>
        <w:rPr>
          <w:rFonts w:hint="eastAsia" w:eastAsia="仿宋_GB2312"/>
          <w:color w:val="auto"/>
          <w:sz w:val="32"/>
          <w:szCs w:val="32"/>
          <w:highlight w:val="none"/>
        </w:rPr>
        <w:t>强化农业科技创新，打造种业和农机发展高地。一是加强种业关键核心技术攻关。高标准建成国家级现代种业产业园、省南繁科研育种园。统筹种业领域国家级、省级创新平台，高起点建好岳麓山实验室，目前已进入试运行。我省杂交稻连续实现五轮高产跃升，杂交水稻种子产销量居全国首位。西北万亩连片耐盐碱水稻示范片亩产突破573.8公斤。示范推广具有镉低积累特性水稻品种107万亩。育成首个通过国家审定的镉低积累水稻品种（西子3号）。开发出地方猪首款基因芯片。二是加快补齐丘陵山区农机研发应用短板。已自主研发出轻型履带拖拉机、油茶采收机等41款适合南方丘陵山区的特色机具。以关键共性技术为重点，安排2亿元开展“揭榜挂帅”攻关，着力破解高性能通用动力底盘、智能导航避障等技术难点。引导中联重科等4家“全球50强”工程机械企业加大农机研发力度。全国农机装备补短板暨农业机械稳链强链工作会议在我省召开。</w:t>
      </w:r>
    </w:p>
    <w:p w14:paraId="1C4A7DB9">
      <w:pPr>
        <w:spacing w:line="580" w:lineRule="exact"/>
        <w:ind w:firstLine="640" w:firstLineChars="200"/>
        <w:rPr>
          <w:rFonts w:eastAsia="仿宋_GB2312"/>
          <w:color w:val="auto"/>
          <w:sz w:val="32"/>
          <w:szCs w:val="32"/>
          <w:highlight w:val="none"/>
        </w:rPr>
      </w:pPr>
      <w:r>
        <w:rPr>
          <w:rFonts w:hint="eastAsia" w:eastAsia="仿宋_GB2312"/>
          <w:color w:val="auto"/>
          <w:sz w:val="32"/>
          <w:szCs w:val="32"/>
          <w:highlight w:val="none"/>
        </w:rPr>
        <w:t>6</w:t>
      </w:r>
      <w:r>
        <w:rPr>
          <w:rFonts w:hint="eastAsia" w:eastAsia="仿宋_GB2312"/>
          <w:color w:val="auto"/>
          <w:sz w:val="32"/>
          <w:szCs w:val="32"/>
          <w:highlight w:val="none"/>
          <w:lang w:val="en-US" w:eastAsia="zh-CN"/>
        </w:rPr>
        <w:t>.</w:t>
      </w:r>
      <w:r>
        <w:rPr>
          <w:rFonts w:hint="eastAsia" w:eastAsia="仿宋_GB2312"/>
          <w:color w:val="auto"/>
          <w:sz w:val="32"/>
          <w:szCs w:val="32"/>
          <w:highlight w:val="none"/>
        </w:rPr>
        <w:t>学习借鉴“千万工程”经验，建设宜居宜业和美乡村。一是深化农村人居环境整治提升。省政府召开全省村庄规划工作视频会议，推进村庄规划质量提升行动。对2013年以来政府组织实施改造的农村户厕开展问题摸排整改再“回头看”，年底前全部整改到位或列入长期整改规划。分湘中、湘北、湘西、湘南4个片区，召开全省农村人居环境整治提升暨和美乡村建设现场推进会，累计创建省级美丽乡村示范村1079个。持续抓好长江十年禁渔，监测到江豚数量由2017年的110头增加到162头，全国长江十年禁渔“三年强基础”现场会在湖南召开。二是完善农村基础设施和公共服务。完成农村供水工程513处，147.57万人受益；维修养护工程6639处，1575万人受益。安排10千伏及以下农网改造投资57.45亿元，农村供电可靠率提升至99.85%。完成农村公路新改建5703公里，安防工程7039公里、危桥改造686座。建立优质学校与薄弱学校对口帮扶制度，结对帮扶校达2200多对，促进优质教育资源城乡共建共享。省委农办、省卫健委等15部门联合出台《关于进一步深化改革促进乡村医疗卫生体系健康发展的若干政策措施》。招聘农村特岗教师1748人，订单培养医学生1401人、农林水特岗生1275人。三是加强农业农村突出环境问题整治。印发《湖南省2023年农村环境整治实施方案》，大力整治农村生活污水和黑臭水体。新建乡镇污水管网61.7公里，乡镇垃圾中转站102座。持续加强农业面源污染防治，组织58个畜牧大县完成畜禽养殖污染防治规划编制。四是推进乡村治理能力现代化。探索推行“三长制”（片长、组长、邻长），整顿软弱涣散村（社区）党组织618个，完成全省新一轮8856支驻村工作队轮换。全面开展“三湘护农”专项行动，聚焦惠农补贴资金、农村集体“三资”管理等方面，坚决整治乡村振兴领域不正之风和腐败问题。持续推进平安乡村建设、农村移风易俗和“听党话、感党恩、跟党走”宣传教育活动。</w:t>
      </w:r>
    </w:p>
    <w:p w14:paraId="6A5CBBBC">
      <w:pPr>
        <w:keepNext w:val="0"/>
        <w:keepLines w:val="0"/>
        <w:pageBreakBefore w:val="0"/>
        <w:numPr>
          <w:ilvl w:val="0"/>
          <w:numId w:val="0"/>
        </w:numPr>
        <w:kinsoku/>
        <w:wordWrap/>
        <w:overflowPunct/>
        <w:topLinePunct w:val="0"/>
        <w:autoSpaceDE/>
        <w:autoSpaceDN/>
        <w:bidi w:val="0"/>
        <w:spacing w:line="560" w:lineRule="exact"/>
        <w:ind w:firstLine="640" w:firstLineChars="200"/>
        <w:outlineLvl w:val="1"/>
        <w:rPr>
          <w:rFonts w:hint="eastAsia" w:eastAsia="楷体_GB2312"/>
          <w:b/>
          <w:color w:val="auto"/>
          <w:sz w:val="32"/>
          <w:szCs w:val="32"/>
          <w:highlight w:val="none"/>
          <w:lang w:val="en-US" w:eastAsia="zh-CN"/>
        </w:rPr>
      </w:pPr>
      <w:r>
        <w:rPr>
          <w:rFonts w:hint="eastAsia" w:eastAsia="楷体_GB2312"/>
          <w:b/>
          <w:color w:val="auto"/>
          <w:sz w:val="32"/>
          <w:szCs w:val="32"/>
          <w:highlight w:val="none"/>
          <w:lang w:eastAsia="zh-CN"/>
        </w:rPr>
        <w:t>（</w:t>
      </w:r>
      <w:r>
        <w:rPr>
          <w:rFonts w:hint="eastAsia" w:eastAsia="楷体_GB2312"/>
          <w:b/>
          <w:color w:val="auto"/>
          <w:sz w:val="32"/>
          <w:szCs w:val="32"/>
          <w:highlight w:val="none"/>
          <w:lang w:val="en-US" w:eastAsia="zh-CN"/>
        </w:rPr>
        <w:t>二）绩效目标及效益完成情况</w:t>
      </w:r>
    </w:p>
    <w:p w14:paraId="6F15CFD6">
      <w:pPr>
        <w:ind w:firstLine="640"/>
        <w:outlineLvl w:val="9"/>
        <w:rPr>
          <w:rFonts w:hint="default"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1.部门整体绩效自评情况</w:t>
      </w:r>
    </w:p>
    <w:p w14:paraId="425A2C9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2023年，省农业农村厅</w:t>
      </w:r>
      <w:r>
        <w:rPr>
          <w:rFonts w:ascii="Times New Roman" w:hAnsi="Times New Roman" w:eastAsia="仿宋_GB2312" w:cs="Times New Roman"/>
          <w:color w:val="auto"/>
          <w:sz w:val="32"/>
          <w:szCs w:val="32"/>
          <w:highlight w:val="none"/>
        </w:rPr>
        <w:t>根据中央重点任务目标、省政府重要工作部署、本厅年初工作计划、立法工作计划和监督工作计划</w:t>
      </w: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，分级分类制定了绩效目标和绩效指标。部门整体绩效自评得分“97.5分”，详见附件2，绩效目标及效益完成情况较好。</w:t>
      </w:r>
    </w:p>
    <w:tbl>
      <w:tblPr>
        <w:tblStyle w:val="12"/>
        <w:tblW w:w="8400" w:type="dxa"/>
        <w:tblInd w:w="1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1322"/>
        <w:gridCol w:w="2531"/>
        <w:gridCol w:w="1363"/>
        <w:gridCol w:w="1058"/>
        <w:gridCol w:w="1271"/>
      </w:tblGrid>
      <w:tr w14:paraId="06836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8400" w:type="dxa"/>
            <w:gridSpan w:val="6"/>
            <w:tcBorders>
              <w:top w:val="nil"/>
              <w:left w:val="nil"/>
              <w:bottom w:val="single" w:color="000000" w:sz="12" w:space="0"/>
              <w:right w:val="nil"/>
            </w:tcBorders>
            <w:shd w:val="clear" w:color="auto" w:fill="auto"/>
            <w:noWrap/>
            <w:vAlign w:val="center"/>
          </w:tcPr>
          <w:p w14:paraId="1D1C6CF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8"/>
                <w:szCs w:val="28"/>
                <w:highlight w:val="none"/>
                <w:u w:val="none"/>
                <w:lang w:val="en-US" w:eastAsia="zh-CN" w:bidi="ar"/>
              </w:rPr>
              <w:t>部门整体绩效自评指标得分率情况表</w:t>
            </w:r>
          </w:p>
        </w:tc>
      </w:tr>
      <w:tr w14:paraId="6466D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855" w:type="dxa"/>
            <w:tcBorders>
              <w:top w:val="single" w:color="000000" w:sz="12" w:space="0"/>
              <w:left w:val="nil"/>
              <w:bottom w:val="dotted" w:color="000000" w:sz="4" w:space="0"/>
              <w:right w:val="dotted" w:color="000000" w:sz="4" w:space="0"/>
            </w:tcBorders>
            <w:shd w:val="clear" w:color="auto" w:fill="auto"/>
            <w:noWrap/>
            <w:vAlign w:val="center"/>
          </w:tcPr>
          <w:p w14:paraId="5A6E0B9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序号</w:t>
            </w:r>
          </w:p>
        </w:tc>
        <w:tc>
          <w:tcPr>
            <w:tcW w:w="1322"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5B1FE6C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一级指标</w:t>
            </w:r>
          </w:p>
        </w:tc>
        <w:tc>
          <w:tcPr>
            <w:tcW w:w="2531"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5BF6F3E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二级指标</w:t>
            </w:r>
          </w:p>
        </w:tc>
        <w:tc>
          <w:tcPr>
            <w:tcW w:w="1363"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A3F565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分值</w:t>
            </w:r>
          </w:p>
        </w:tc>
        <w:tc>
          <w:tcPr>
            <w:tcW w:w="1058"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0BAA47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w:t>
            </w:r>
          </w:p>
        </w:tc>
        <w:tc>
          <w:tcPr>
            <w:tcW w:w="1271" w:type="dxa"/>
            <w:tcBorders>
              <w:top w:val="single" w:color="000000" w:sz="12" w:space="0"/>
              <w:left w:val="dotted" w:color="000000" w:sz="4" w:space="0"/>
              <w:bottom w:val="dotted" w:color="000000" w:sz="4" w:space="0"/>
              <w:right w:val="nil"/>
            </w:tcBorders>
            <w:shd w:val="clear" w:color="auto" w:fill="auto"/>
            <w:noWrap/>
            <w:vAlign w:val="center"/>
          </w:tcPr>
          <w:p w14:paraId="6023D74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得分率</w:t>
            </w:r>
          </w:p>
        </w:tc>
      </w:tr>
      <w:tr w14:paraId="609E9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4AD4C93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w:t>
            </w:r>
          </w:p>
        </w:tc>
        <w:tc>
          <w:tcPr>
            <w:tcW w:w="3853" w:type="dxa"/>
            <w:gridSpan w:val="2"/>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8DBB7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预算执行率</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5A93E4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A7B354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7.50</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05A768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75.00%</w:t>
            </w:r>
          </w:p>
        </w:tc>
      </w:tr>
      <w:tr w14:paraId="3EB4E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77AAAE0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AA2F2F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BFF681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数量</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5902B6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29</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562170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29</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5265D97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757EF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0C4D796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61EE11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0E88B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质量</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66E648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B7E401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6D2EDC1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411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3809C4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4DBF6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628CA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时效</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C6C86A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856E8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7AB741C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AB28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1100DEF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26D9F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C79D1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成本</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9B31AF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4B5147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6224DDE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322F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452B541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64488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B941A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经济效益</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30ABF6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CB365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7ED34AD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5F51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5D60022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12200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F7171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社会效益</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F5EF7D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12</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D35D8F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12</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50B38A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2D858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7EBB650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A064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6468E4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生态效益</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52613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AEE44A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78CD0A2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45E4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471395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10621B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C3A688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可持续影响</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A4B4C7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988E0F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3511BC0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737E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55" w:type="dxa"/>
            <w:tcBorders>
              <w:top w:val="dotted" w:color="000000" w:sz="4" w:space="0"/>
              <w:left w:val="nil"/>
              <w:bottom w:val="dotted" w:color="000000" w:sz="4" w:space="0"/>
              <w:right w:val="dotted" w:color="000000" w:sz="4" w:space="0"/>
            </w:tcBorders>
            <w:shd w:val="clear" w:color="auto" w:fill="auto"/>
            <w:noWrap/>
            <w:vAlign w:val="center"/>
          </w:tcPr>
          <w:p w14:paraId="4C2EC01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322"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51725C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满意度</w:t>
            </w:r>
          </w:p>
        </w:tc>
        <w:tc>
          <w:tcPr>
            <w:tcW w:w="253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BEFDAD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服务对象满意度指标</w:t>
            </w:r>
          </w:p>
        </w:tc>
        <w:tc>
          <w:tcPr>
            <w:tcW w:w="136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B43E39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5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D5E033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271" w:type="dxa"/>
            <w:tcBorders>
              <w:top w:val="dotted" w:color="000000" w:sz="4" w:space="0"/>
              <w:left w:val="dotted" w:color="000000" w:sz="4" w:space="0"/>
              <w:bottom w:val="dotted" w:color="000000" w:sz="4" w:space="0"/>
              <w:right w:val="nil"/>
            </w:tcBorders>
            <w:shd w:val="clear" w:color="auto" w:fill="auto"/>
            <w:noWrap/>
            <w:vAlign w:val="center"/>
          </w:tcPr>
          <w:p w14:paraId="335ADEB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28DA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855" w:type="dxa"/>
            <w:tcBorders>
              <w:top w:val="dotted" w:color="000000" w:sz="4" w:space="0"/>
              <w:left w:val="nil"/>
              <w:bottom w:val="single" w:color="000000" w:sz="12" w:space="0"/>
              <w:right w:val="dotted" w:color="000000" w:sz="4" w:space="0"/>
            </w:tcBorders>
            <w:shd w:val="clear" w:color="auto" w:fill="auto"/>
            <w:noWrap/>
            <w:vAlign w:val="center"/>
          </w:tcPr>
          <w:p w14:paraId="0E844F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11</w:t>
            </w:r>
          </w:p>
        </w:tc>
        <w:tc>
          <w:tcPr>
            <w:tcW w:w="3853"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11D5E27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合计</w:t>
            </w:r>
          </w:p>
        </w:tc>
        <w:tc>
          <w:tcPr>
            <w:tcW w:w="1363"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6179558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w:t>
            </w:r>
          </w:p>
        </w:tc>
        <w:tc>
          <w:tcPr>
            <w:tcW w:w="1058"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719DF33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97.5</w:t>
            </w:r>
          </w:p>
        </w:tc>
        <w:tc>
          <w:tcPr>
            <w:tcW w:w="1271" w:type="dxa"/>
            <w:tcBorders>
              <w:top w:val="dotted" w:color="000000" w:sz="4" w:space="0"/>
              <w:left w:val="dotted" w:color="000000" w:sz="4" w:space="0"/>
              <w:bottom w:val="single" w:color="000000" w:sz="12" w:space="0"/>
              <w:right w:val="nil"/>
            </w:tcBorders>
            <w:shd w:val="clear" w:color="auto" w:fill="auto"/>
            <w:noWrap/>
            <w:vAlign w:val="center"/>
          </w:tcPr>
          <w:p w14:paraId="50C2EDE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97.5%</w:t>
            </w:r>
          </w:p>
        </w:tc>
      </w:tr>
    </w:tbl>
    <w:p w14:paraId="560CBC50">
      <w:pPr>
        <w:ind w:firstLine="640"/>
        <w:outlineLvl w:val="9"/>
        <w:rPr>
          <w:rFonts w:hint="default"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2.项目绩效自评情况</w:t>
      </w:r>
    </w:p>
    <w:p w14:paraId="5755DA82">
      <w:pPr>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农业农村厅业务维护经费项目支出绩效自评得分“97.2</w:t>
      </w:r>
      <w:r>
        <w:rPr>
          <w:rFonts w:hint="default" w:ascii="Times New Roman Regular" w:hAnsi="Times New Roman Regular" w:eastAsia="仿宋_GB2312" w:cs="Times New Roman Regular"/>
          <w:b w:val="0"/>
          <w:bCs w:val="0"/>
          <w:color w:val="auto"/>
          <w:kern w:val="2"/>
          <w:sz w:val="32"/>
          <w:szCs w:val="32"/>
          <w:highlight w:val="none"/>
          <w:lang w:val="en" w:eastAsia="zh-CN" w:bidi="ar-SA"/>
        </w:rPr>
        <w:t>6</w:t>
      </w: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分”、运行维护经费（其他运转类）项目支出绩效自评得分“94.20分”、其他事业发展资金项目支出绩效自评得分“94.42分”，详见附件3-5，绩效完成情况较好。各项目支出绩效自评主要指标得分率情况如下表：</w:t>
      </w:r>
    </w:p>
    <w:p w14:paraId="0BC4FB04">
      <w:pPr>
        <w:numPr>
          <w:ilvl w:val="0"/>
          <w:numId w:val="0"/>
        </w:numPr>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（1）业务维护经费项目</w:t>
      </w:r>
    </w:p>
    <w:tbl>
      <w:tblPr>
        <w:tblStyle w:val="12"/>
        <w:tblW w:w="8260" w:type="dxa"/>
        <w:tblInd w:w="12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1"/>
        <w:gridCol w:w="1784"/>
        <w:gridCol w:w="2593"/>
        <w:gridCol w:w="1038"/>
        <w:gridCol w:w="997"/>
        <w:gridCol w:w="1027"/>
      </w:tblGrid>
      <w:tr w14:paraId="75E8F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8260" w:type="dxa"/>
            <w:gridSpan w:val="6"/>
            <w:tcBorders>
              <w:top w:val="nil"/>
              <w:left w:val="nil"/>
              <w:bottom w:val="single" w:color="000000" w:sz="12" w:space="0"/>
              <w:right w:val="nil"/>
            </w:tcBorders>
            <w:shd w:val="clear" w:color="auto" w:fill="auto"/>
            <w:noWrap/>
            <w:vAlign w:val="center"/>
          </w:tcPr>
          <w:p w14:paraId="453C1C8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ascii="仿宋_GB2312" w:hAnsi="宋体" w:eastAsia="仿宋_GB2312" w:cs="仿宋_GB2312"/>
                <w:i w:val="0"/>
                <w:iCs w:val="0"/>
                <w:color w:val="auto"/>
                <w:sz w:val="21"/>
                <w:szCs w:val="21"/>
                <w:highlight w:val="none"/>
                <w:u w:val="none"/>
              </w:rPr>
            </w:pPr>
            <w:r>
              <w:rPr>
                <w:rFonts w:hint="eastAsia" w:ascii="Times New Roman Regular" w:hAnsi="Times New Roman Regular" w:eastAsia="仿宋_GB2312" w:cs="Times New Roman Regular"/>
                <w:b w:val="0"/>
                <w:bCs w:val="0"/>
                <w:color w:val="auto"/>
                <w:kern w:val="2"/>
                <w:sz w:val="28"/>
                <w:szCs w:val="28"/>
                <w:highlight w:val="none"/>
                <w:lang w:val="en-US" w:eastAsia="zh-CN" w:bidi="ar-SA"/>
              </w:rPr>
              <w:t>业务维护经费绩效自评</w:t>
            </w:r>
            <w:r>
              <w:rPr>
                <w:rFonts w:hint="eastAsia" w:ascii="仿宋_GB2312" w:hAnsi="宋体" w:eastAsia="仿宋_GB2312" w:cs="仿宋_GB2312"/>
                <w:i w:val="0"/>
                <w:iCs w:val="0"/>
                <w:color w:val="auto"/>
                <w:kern w:val="0"/>
                <w:sz w:val="28"/>
                <w:szCs w:val="28"/>
                <w:highlight w:val="none"/>
                <w:u w:val="none"/>
                <w:lang w:val="en-US" w:eastAsia="zh-CN" w:bidi="ar"/>
              </w:rPr>
              <w:t>指标得分率情况表</w:t>
            </w:r>
          </w:p>
        </w:tc>
      </w:tr>
      <w:tr w14:paraId="3730D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821" w:type="dxa"/>
            <w:tcBorders>
              <w:top w:val="single" w:color="000000" w:sz="12" w:space="0"/>
              <w:left w:val="nil"/>
              <w:bottom w:val="dotted" w:color="000000" w:sz="4" w:space="0"/>
              <w:right w:val="dotted" w:color="000000" w:sz="4" w:space="0"/>
            </w:tcBorders>
            <w:shd w:val="clear" w:color="auto" w:fill="auto"/>
            <w:noWrap/>
            <w:vAlign w:val="center"/>
          </w:tcPr>
          <w:p w14:paraId="70ECC97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序号</w:t>
            </w:r>
          </w:p>
        </w:tc>
        <w:tc>
          <w:tcPr>
            <w:tcW w:w="1784"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7C91E5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一级指标</w:t>
            </w:r>
          </w:p>
        </w:tc>
        <w:tc>
          <w:tcPr>
            <w:tcW w:w="2593"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ACDE09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二级指标</w:t>
            </w:r>
          </w:p>
        </w:tc>
        <w:tc>
          <w:tcPr>
            <w:tcW w:w="1038"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6BAACD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分值</w:t>
            </w:r>
          </w:p>
        </w:tc>
        <w:tc>
          <w:tcPr>
            <w:tcW w:w="997"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5F6237D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w:t>
            </w:r>
          </w:p>
        </w:tc>
        <w:tc>
          <w:tcPr>
            <w:tcW w:w="1027" w:type="dxa"/>
            <w:tcBorders>
              <w:top w:val="single" w:color="000000" w:sz="12" w:space="0"/>
              <w:left w:val="dotted" w:color="000000" w:sz="4" w:space="0"/>
              <w:bottom w:val="dotted" w:color="000000" w:sz="4" w:space="0"/>
              <w:right w:val="nil"/>
            </w:tcBorders>
            <w:shd w:val="clear" w:color="auto" w:fill="auto"/>
            <w:noWrap/>
            <w:vAlign w:val="center"/>
          </w:tcPr>
          <w:p w14:paraId="6CF8CF3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得分率</w:t>
            </w:r>
          </w:p>
        </w:tc>
      </w:tr>
      <w:tr w14:paraId="4F44D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3EAD00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w:t>
            </w:r>
          </w:p>
        </w:tc>
        <w:tc>
          <w:tcPr>
            <w:tcW w:w="4377" w:type="dxa"/>
            <w:gridSpan w:val="2"/>
            <w:tcBorders>
              <w:top w:val="dotted" w:color="000000" w:sz="4" w:space="0"/>
              <w:left w:val="dotted" w:color="000000" w:sz="4" w:space="0"/>
              <w:bottom w:val="dotted" w:color="000000" w:sz="4" w:space="0"/>
              <w:right w:val="dotted" w:color="000000" w:sz="4" w:space="0"/>
            </w:tcBorders>
            <w:shd w:val="clear" w:color="auto" w:fill="auto"/>
            <w:noWrap/>
            <w:vAlign w:val="center"/>
          </w:tcPr>
          <w:p w14:paraId="67B419F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预算执行率</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9813B4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F0BE59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7.2</w:t>
            </w:r>
            <w:r>
              <w:rPr>
                <w:rFonts w:hint="default" w:ascii="Times New Roman Regular" w:hAnsi="Times New Roman Regular" w:eastAsia="仿宋_GB2312" w:cs="Times New Roman Regular"/>
                <w:b w:val="0"/>
                <w:bCs w:val="0"/>
                <w:color w:val="auto"/>
                <w:kern w:val="2"/>
                <w:sz w:val="21"/>
                <w:szCs w:val="21"/>
                <w:highlight w:val="none"/>
                <w:lang w:val="en" w:eastAsia="zh-CN" w:bidi="ar-SA"/>
              </w:rPr>
              <w:t>6</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00D7709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72.</w:t>
            </w:r>
            <w:r>
              <w:rPr>
                <w:rFonts w:hint="default" w:ascii="Times New Roman Regular" w:hAnsi="Times New Roman Regular" w:eastAsia="仿宋_GB2312" w:cs="Times New Roman Regular"/>
                <w:b w:val="0"/>
                <w:bCs w:val="0"/>
                <w:color w:val="auto"/>
                <w:kern w:val="2"/>
                <w:sz w:val="21"/>
                <w:szCs w:val="21"/>
                <w:highlight w:val="none"/>
                <w:lang w:val="en" w:eastAsia="zh-CN" w:bidi="ar-SA"/>
              </w:rPr>
              <w:t>60</w:t>
            </w: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w:t>
            </w:r>
          </w:p>
        </w:tc>
      </w:tr>
      <w:tr w14:paraId="6C7D7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5E94205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434E1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E51AD1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数量</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312D1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30</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04CBE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30</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77DBF7B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55800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0779518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02F9A4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7B8489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质量</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F1EBC8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04601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7A6373C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BABE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71129B1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36593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5EA2BA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时效</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D5FE7F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8C4319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7DF75F8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5870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0204B0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0A8F4A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D819DD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成本</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5CB541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BEFD43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58045FC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54D92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5161BC0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40944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EDB6E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经济效益</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EC263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12</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6C4B07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12</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33CFFE1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C17A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54A8696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567C6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FCAF59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社会效益</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8F8497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ABDC9F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624D309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CFDA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30BFB13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62060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EB988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生态效益</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96C37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D72283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6B29AEA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5F3D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302779E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F8E887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95635A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可持续影响</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F4519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7BC93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52BBAF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52FA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21" w:type="dxa"/>
            <w:tcBorders>
              <w:top w:val="dotted" w:color="000000" w:sz="4" w:space="0"/>
              <w:left w:val="nil"/>
              <w:bottom w:val="dotted" w:color="000000" w:sz="4" w:space="0"/>
              <w:right w:val="dotted" w:color="000000" w:sz="4" w:space="0"/>
            </w:tcBorders>
            <w:shd w:val="clear" w:color="auto" w:fill="auto"/>
            <w:noWrap/>
            <w:vAlign w:val="center"/>
          </w:tcPr>
          <w:p w14:paraId="08B2B09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78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A6DF4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满意度</w:t>
            </w:r>
          </w:p>
        </w:tc>
        <w:tc>
          <w:tcPr>
            <w:tcW w:w="2593"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AF2CAD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服务对象满意度指标</w:t>
            </w:r>
          </w:p>
        </w:tc>
        <w:tc>
          <w:tcPr>
            <w:tcW w:w="1038"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DB908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7"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9BC8A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7" w:type="dxa"/>
            <w:tcBorders>
              <w:top w:val="dotted" w:color="000000" w:sz="4" w:space="0"/>
              <w:left w:val="dotted" w:color="000000" w:sz="4" w:space="0"/>
              <w:bottom w:val="dotted" w:color="000000" w:sz="4" w:space="0"/>
              <w:right w:val="nil"/>
            </w:tcBorders>
            <w:shd w:val="clear" w:color="auto" w:fill="auto"/>
            <w:noWrap/>
            <w:vAlign w:val="center"/>
          </w:tcPr>
          <w:p w14:paraId="15BEBB2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DEA9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821" w:type="dxa"/>
            <w:tcBorders>
              <w:top w:val="dotted" w:color="000000" w:sz="4" w:space="0"/>
              <w:left w:val="nil"/>
              <w:bottom w:val="single" w:color="000000" w:sz="12" w:space="0"/>
              <w:right w:val="dotted" w:color="000000" w:sz="4" w:space="0"/>
            </w:tcBorders>
            <w:shd w:val="clear" w:color="auto" w:fill="auto"/>
            <w:noWrap/>
            <w:vAlign w:val="center"/>
          </w:tcPr>
          <w:p w14:paraId="69A2E2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11</w:t>
            </w:r>
          </w:p>
        </w:tc>
        <w:tc>
          <w:tcPr>
            <w:tcW w:w="4377"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268FCF0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合计</w:t>
            </w:r>
          </w:p>
        </w:tc>
        <w:tc>
          <w:tcPr>
            <w:tcW w:w="1038"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3A93DA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w:t>
            </w:r>
          </w:p>
        </w:tc>
        <w:tc>
          <w:tcPr>
            <w:tcW w:w="997"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238DAA1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97.2</w:t>
            </w:r>
            <w:r>
              <w:rPr>
                <w:rFonts w:hint="default" w:ascii="Times New Roman Regular" w:hAnsi="Times New Roman Regular" w:eastAsia="仿宋_GB2312" w:cs="Times New Roman Regular"/>
                <w:b w:val="0"/>
                <w:bCs w:val="0"/>
                <w:color w:val="auto"/>
                <w:kern w:val="2"/>
                <w:sz w:val="21"/>
                <w:szCs w:val="21"/>
                <w:highlight w:val="none"/>
                <w:lang w:val="en" w:eastAsia="zh-CN" w:bidi="ar-SA"/>
              </w:rPr>
              <w:t>6</w:t>
            </w:r>
          </w:p>
        </w:tc>
        <w:tc>
          <w:tcPr>
            <w:tcW w:w="1027" w:type="dxa"/>
            <w:tcBorders>
              <w:top w:val="dotted" w:color="000000" w:sz="4" w:space="0"/>
              <w:left w:val="dotted" w:color="000000" w:sz="4" w:space="0"/>
              <w:bottom w:val="single" w:color="000000" w:sz="12" w:space="0"/>
              <w:right w:val="nil"/>
            </w:tcBorders>
            <w:shd w:val="clear" w:color="auto" w:fill="auto"/>
            <w:noWrap/>
            <w:vAlign w:val="center"/>
          </w:tcPr>
          <w:p w14:paraId="0B52509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97.</w:t>
            </w:r>
            <w:r>
              <w:rPr>
                <w:rFonts w:hint="default" w:ascii="Times New Roman Regular" w:hAnsi="Times New Roman Regular" w:eastAsia="仿宋_GB2312" w:cs="Times New Roman Regular"/>
                <w:b w:val="0"/>
                <w:bCs w:val="0"/>
                <w:color w:val="auto"/>
                <w:kern w:val="2"/>
                <w:sz w:val="21"/>
                <w:szCs w:val="21"/>
                <w:highlight w:val="none"/>
                <w:lang w:val="en" w:eastAsia="zh-CN" w:bidi="ar-SA"/>
              </w:rPr>
              <w:t>26</w:t>
            </w: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w:t>
            </w:r>
          </w:p>
        </w:tc>
      </w:tr>
    </w:tbl>
    <w:p w14:paraId="4BE4305B">
      <w:pPr>
        <w:numPr>
          <w:ilvl w:val="0"/>
          <w:numId w:val="0"/>
        </w:numPr>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default" w:ascii="Times New Roman Regular" w:hAnsi="Times New Roman Regular" w:eastAsia="仿宋_GB2312" w:cs="Times New Roman Regular"/>
          <w:b w:val="0"/>
          <w:bCs w:val="0"/>
          <w:color w:val="auto"/>
          <w:kern w:val="2"/>
          <w:sz w:val="32"/>
          <w:szCs w:val="32"/>
          <w:highlight w:val="none"/>
          <w:lang w:val="en-US" w:eastAsia="zh-CN" w:bidi="ar-SA"/>
        </w:rPr>
        <w:t>（2）</w:t>
      </w: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运行维护经费（其他运转类）项目</w:t>
      </w:r>
    </w:p>
    <w:tbl>
      <w:tblPr>
        <w:tblStyle w:val="12"/>
        <w:tblW w:w="8200" w:type="dxa"/>
        <w:tblInd w:w="9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5"/>
        <w:gridCol w:w="1771"/>
        <w:gridCol w:w="2574"/>
        <w:gridCol w:w="1030"/>
        <w:gridCol w:w="989"/>
        <w:gridCol w:w="1021"/>
      </w:tblGrid>
      <w:tr w14:paraId="701B7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tblHeader/>
        </w:trPr>
        <w:tc>
          <w:tcPr>
            <w:tcW w:w="8200" w:type="dxa"/>
            <w:gridSpan w:val="6"/>
            <w:tcBorders>
              <w:top w:val="nil"/>
              <w:left w:val="nil"/>
              <w:bottom w:val="single" w:color="000000" w:sz="12" w:space="0"/>
              <w:right w:val="nil"/>
            </w:tcBorders>
            <w:shd w:val="clear" w:color="auto" w:fill="auto"/>
            <w:noWrap/>
            <w:vAlign w:val="center"/>
          </w:tcPr>
          <w:p w14:paraId="6E28379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仿宋_GB2312" w:hAnsi="宋体" w:eastAsia="仿宋_GB2312" w:cs="仿宋_GB2312"/>
                <w:i w:val="0"/>
                <w:iCs w:val="0"/>
                <w:color w:val="auto"/>
                <w:sz w:val="21"/>
                <w:szCs w:val="21"/>
                <w:highlight w:val="none"/>
                <w:u w:val="none"/>
                <w:lang w:val="en-US"/>
              </w:rPr>
            </w:pPr>
            <w:r>
              <w:rPr>
                <w:rFonts w:hint="eastAsia" w:ascii="Times New Roman Regular" w:hAnsi="Times New Roman Regular" w:eastAsia="仿宋_GB2312" w:cs="Times New Roman Regular"/>
                <w:b w:val="0"/>
                <w:bCs w:val="0"/>
                <w:color w:val="auto"/>
                <w:kern w:val="2"/>
                <w:sz w:val="28"/>
                <w:szCs w:val="28"/>
                <w:highlight w:val="none"/>
                <w:lang w:val="en-US" w:eastAsia="zh-CN" w:bidi="ar-SA"/>
              </w:rPr>
              <w:t>运行维护经费绩效自评</w:t>
            </w:r>
            <w:r>
              <w:rPr>
                <w:rFonts w:hint="eastAsia" w:ascii="仿宋_GB2312" w:hAnsi="宋体" w:eastAsia="仿宋_GB2312" w:cs="仿宋_GB2312"/>
                <w:i w:val="0"/>
                <w:iCs w:val="0"/>
                <w:color w:val="auto"/>
                <w:kern w:val="0"/>
                <w:sz w:val="28"/>
                <w:szCs w:val="28"/>
                <w:highlight w:val="none"/>
                <w:u w:val="none"/>
                <w:lang w:val="en-US" w:eastAsia="zh-CN" w:bidi="ar"/>
              </w:rPr>
              <w:t>指标得分率情况表</w:t>
            </w:r>
          </w:p>
        </w:tc>
      </w:tr>
      <w:tr w14:paraId="4C7ED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blHeader/>
        </w:trPr>
        <w:tc>
          <w:tcPr>
            <w:tcW w:w="815" w:type="dxa"/>
            <w:tcBorders>
              <w:top w:val="single" w:color="000000" w:sz="12" w:space="0"/>
              <w:left w:val="nil"/>
              <w:bottom w:val="dotted" w:color="000000" w:sz="4" w:space="0"/>
              <w:right w:val="dotted" w:color="000000" w:sz="4" w:space="0"/>
            </w:tcBorders>
            <w:shd w:val="clear" w:color="auto" w:fill="auto"/>
            <w:noWrap/>
            <w:vAlign w:val="center"/>
          </w:tcPr>
          <w:p w14:paraId="2DA37EE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序号</w:t>
            </w:r>
          </w:p>
        </w:tc>
        <w:tc>
          <w:tcPr>
            <w:tcW w:w="1771"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1C2C7D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一级指标</w:t>
            </w:r>
          </w:p>
        </w:tc>
        <w:tc>
          <w:tcPr>
            <w:tcW w:w="2574"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1F36AA3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二级指标</w:t>
            </w:r>
          </w:p>
        </w:tc>
        <w:tc>
          <w:tcPr>
            <w:tcW w:w="1030"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29D0734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分值</w:t>
            </w:r>
          </w:p>
        </w:tc>
        <w:tc>
          <w:tcPr>
            <w:tcW w:w="989"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F018F1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w:t>
            </w:r>
          </w:p>
        </w:tc>
        <w:tc>
          <w:tcPr>
            <w:tcW w:w="1021" w:type="dxa"/>
            <w:tcBorders>
              <w:top w:val="single" w:color="000000" w:sz="12" w:space="0"/>
              <w:left w:val="dotted" w:color="000000" w:sz="4" w:space="0"/>
              <w:bottom w:val="dotted" w:color="000000" w:sz="4" w:space="0"/>
              <w:right w:val="nil"/>
            </w:tcBorders>
            <w:shd w:val="clear" w:color="auto" w:fill="auto"/>
            <w:noWrap/>
            <w:vAlign w:val="center"/>
          </w:tcPr>
          <w:p w14:paraId="2D6B83E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得分率</w:t>
            </w:r>
          </w:p>
        </w:tc>
      </w:tr>
      <w:tr w14:paraId="5C8BE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44D0ABC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w:t>
            </w:r>
          </w:p>
        </w:tc>
        <w:tc>
          <w:tcPr>
            <w:tcW w:w="4345" w:type="dxa"/>
            <w:gridSpan w:val="2"/>
            <w:tcBorders>
              <w:top w:val="dotted" w:color="000000" w:sz="4" w:space="0"/>
              <w:left w:val="dotted" w:color="000000" w:sz="4" w:space="0"/>
              <w:bottom w:val="dotted" w:color="000000" w:sz="4" w:space="0"/>
              <w:right w:val="dotted" w:color="000000" w:sz="4" w:space="0"/>
            </w:tcBorders>
            <w:shd w:val="clear" w:color="auto" w:fill="auto"/>
            <w:noWrap/>
            <w:vAlign w:val="center"/>
          </w:tcPr>
          <w:p w14:paraId="322C43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预算执行率</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F85953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BFC205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4.2</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72BA32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42.01%</w:t>
            </w:r>
          </w:p>
        </w:tc>
      </w:tr>
      <w:tr w14:paraId="2C45B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0D7466F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102004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D7340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数量</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17359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83893B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5B63F0D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23ABB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7C8A15C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4C9CE2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606E5F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质量</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858FD6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8F72C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511FB60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5E863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0DC768F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C85BF9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44BDAE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时效</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20E561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E621D5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71FC22E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06F25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78A66DF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55C6CC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44DEB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成本</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66CDF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ED03D4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0BD0747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DE59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4DFC520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CCF9FD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928CFF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经济效益</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0FED8A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89B24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068E72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09150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688E4F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30843F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D61BEC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社会效益</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116D98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24751D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44E1FF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41B0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3F4551E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9C0E24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2284FB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生态效益</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CDDF1A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116753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0E0B27A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5715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24C3A2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39A38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1D9F26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可持续影响</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A1824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F22FC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267A590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78FF3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5" w:type="dxa"/>
            <w:tcBorders>
              <w:top w:val="dotted" w:color="000000" w:sz="4" w:space="0"/>
              <w:left w:val="nil"/>
              <w:bottom w:val="dotted" w:color="000000" w:sz="4" w:space="0"/>
              <w:right w:val="dotted" w:color="000000" w:sz="4" w:space="0"/>
            </w:tcBorders>
            <w:shd w:val="clear" w:color="auto" w:fill="auto"/>
            <w:noWrap/>
            <w:vAlign w:val="center"/>
          </w:tcPr>
          <w:p w14:paraId="45CD4AB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771"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968A9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满意度</w:t>
            </w:r>
          </w:p>
        </w:tc>
        <w:tc>
          <w:tcPr>
            <w:tcW w:w="257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B13AE2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服务对象满意度指标</w:t>
            </w:r>
          </w:p>
        </w:tc>
        <w:tc>
          <w:tcPr>
            <w:tcW w:w="1030"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818117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8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8654F2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1" w:type="dxa"/>
            <w:tcBorders>
              <w:top w:val="dotted" w:color="000000" w:sz="4" w:space="0"/>
              <w:left w:val="dotted" w:color="000000" w:sz="4" w:space="0"/>
              <w:bottom w:val="dotted" w:color="000000" w:sz="4" w:space="0"/>
              <w:right w:val="nil"/>
            </w:tcBorders>
            <w:shd w:val="clear" w:color="auto" w:fill="auto"/>
            <w:noWrap/>
            <w:vAlign w:val="center"/>
          </w:tcPr>
          <w:p w14:paraId="5581C8F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71214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815" w:type="dxa"/>
            <w:tcBorders>
              <w:top w:val="dotted" w:color="000000" w:sz="4" w:space="0"/>
              <w:left w:val="nil"/>
              <w:bottom w:val="single" w:color="000000" w:sz="12" w:space="0"/>
              <w:right w:val="dotted" w:color="000000" w:sz="4" w:space="0"/>
            </w:tcBorders>
            <w:shd w:val="clear" w:color="auto" w:fill="auto"/>
            <w:noWrap/>
            <w:vAlign w:val="center"/>
          </w:tcPr>
          <w:p w14:paraId="58059DC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11</w:t>
            </w:r>
          </w:p>
        </w:tc>
        <w:tc>
          <w:tcPr>
            <w:tcW w:w="4345"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1256386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合计</w:t>
            </w:r>
          </w:p>
        </w:tc>
        <w:tc>
          <w:tcPr>
            <w:tcW w:w="1030"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4A69A3C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w:t>
            </w:r>
          </w:p>
        </w:tc>
        <w:tc>
          <w:tcPr>
            <w:tcW w:w="989"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5D5E050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94.2</w:t>
            </w:r>
          </w:p>
        </w:tc>
        <w:tc>
          <w:tcPr>
            <w:tcW w:w="1021" w:type="dxa"/>
            <w:tcBorders>
              <w:top w:val="dotted" w:color="000000" w:sz="4" w:space="0"/>
              <w:left w:val="dotted" w:color="000000" w:sz="4" w:space="0"/>
              <w:bottom w:val="single" w:color="000000" w:sz="12" w:space="0"/>
              <w:right w:val="nil"/>
            </w:tcBorders>
            <w:shd w:val="clear" w:color="auto" w:fill="auto"/>
            <w:noWrap/>
            <w:vAlign w:val="center"/>
          </w:tcPr>
          <w:p w14:paraId="621E565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94.20%</w:t>
            </w:r>
          </w:p>
        </w:tc>
      </w:tr>
    </w:tbl>
    <w:p w14:paraId="0B2AF12C">
      <w:pPr>
        <w:numPr>
          <w:ilvl w:val="0"/>
          <w:numId w:val="0"/>
        </w:numPr>
        <w:ind w:leftChars="200"/>
        <w:outlineLvl w:val="9"/>
        <w:rPr>
          <w:rFonts w:hint="default"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（3）其他事业发展资金项目</w:t>
      </w:r>
    </w:p>
    <w:tbl>
      <w:tblPr>
        <w:tblStyle w:val="12"/>
        <w:tblW w:w="8240" w:type="dxa"/>
        <w:tblInd w:w="74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1779"/>
        <w:gridCol w:w="2586"/>
        <w:gridCol w:w="1035"/>
        <w:gridCol w:w="994"/>
        <w:gridCol w:w="1028"/>
      </w:tblGrid>
      <w:tr w14:paraId="37930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blHeader/>
        </w:trPr>
        <w:tc>
          <w:tcPr>
            <w:tcW w:w="8240" w:type="dxa"/>
            <w:gridSpan w:val="6"/>
            <w:tcBorders>
              <w:top w:val="nil"/>
              <w:left w:val="nil"/>
              <w:bottom w:val="single" w:color="000000" w:sz="12" w:space="0"/>
              <w:right w:val="nil"/>
            </w:tcBorders>
            <w:shd w:val="clear" w:color="auto" w:fill="auto"/>
            <w:noWrap/>
            <w:vAlign w:val="center"/>
          </w:tcPr>
          <w:p w14:paraId="5DDDD5D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ascii="仿宋_GB2312" w:hAnsi="宋体" w:eastAsia="仿宋_GB2312" w:cs="仿宋_GB2312"/>
                <w:i w:val="0"/>
                <w:iCs w:val="0"/>
                <w:color w:val="auto"/>
                <w:sz w:val="21"/>
                <w:szCs w:val="21"/>
                <w:highlight w:val="none"/>
                <w:u w:val="none"/>
              </w:rPr>
            </w:pPr>
            <w:r>
              <w:rPr>
                <w:rFonts w:hint="eastAsia" w:ascii="Times New Roman Regular" w:hAnsi="Times New Roman Regular" w:eastAsia="仿宋_GB2312" w:cs="Times New Roman Regular"/>
                <w:b w:val="0"/>
                <w:bCs w:val="0"/>
                <w:color w:val="auto"/>
                <w:kern w:val="2"/>
                <w:sz w:val="28"/>
                <w:szCs w:val="28"/>
                <w:highlight w:val="none"/>
                <w:lang w:val="en-US" w:eastAsia="zh-CN" w:bidi="ar-SA"/>
              </w:rPr>
              <w:t>其他事业发展资金绩效自评</w:t>
            </w:r>
            <w:r>
              <w:rPr>
                <w:rFonts w:hint="eastAsia" w:ascii="仿宋_GB2312" w:hAnsi="宋体" w:eastAsia="仿宋_GB2312" w:cs="仿宋_GB2312"/>
                <w:i w:val="0"/>
                <w:iCs w:val="0"/>
                <w:color w:val="auto"/>
                <w:kern w:val="0"/>
                <w:sz w:val="28"/>
                <w:szCs w:val="28"/>
                <w:highlight w:val="none"/>
                <w:u w:val="none"/>
                <w:lang w:val="en-US" w:eastAsia="zh-CN" w:bidi="ar"/>
              </w:rPr>
              <w:t>指标得分率情况表</w:t>
            </w:r>
          </w:p>
        </w:tc>
      </w:tr>
      <w:tr w14:paraId="2D5D9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blHeader/>
        </w:trPr>
        <w:tc>
          <w:tcPr>
            <w:tcW w:w="818" w:type="dxa"/>
            <w:tcBorders>
              <w:top w:val="single" w:color="000000" w:sz="12" w:space="0"/>
              <w:left w:val="nil"/>
              <w:bottom w:val="dotted" w:color="000000" w:sz="4" w:space="0"/>
              <w:right w:val="dotted" w:color="000000" w:sz="4" w:space="0"/>
            </w:tcBorders>
            <w:shd w:val="clear" w:color="auto" w:fill="auto"/>
            <w:noWrap/>
            <w:vAlign w:val="center"/>
          </w:tcPr>
          <w:p w14:paraId="6B88364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序号</w:t>
            </w:r>
          </w:p>
        </w:tc>
        <w:tc>
          <w:tcPr>
            <w:tcW w:w="1779"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77A23F2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一级指标</w:t>
            </w:r>
          </w:p>
        </w:tc>
        <w:tc>
          <w:tcPr>
            <w:tcW w:w="2586"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3D5A2FA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二级指标</w:t>
            </w:r>
          </w:p>
        </w:tc>
        <w:tc>
          <w:tcPr>
            <w:tcW w:w="1035"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134A741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分值</w:t>
            </w:r>
          </w:p>
        </w:tc>
        <w:tc>
          <w:tcPr>
            <w:tcW w:w="994" w:type="dxa"/>
            <w:tcBorders>
              <w:top w:val="single" w:color="000000" w:sz="12" w:space="0"/>
              <w:left w:val="dotted" w:color="000000" w:sz="4" w:space="0"/>
              <w:bottom w:val="dotted" w:color="000000" w:sz="4" w:space="0"/>
              <w:right w:val="dotted" w:color="000000" w:sz="4" w:space="0"/>
            </w:tcBorders>
            <w:shd w:val="clear" w:color="auto" w:fill="auto"/>
            <w:noWrap/>
            <w:vAlign w:val="center"/>
          </w:tcPr>
          <w:p w14:paraId="485ED72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w:t>
            </w:r>
          </w:p>
        </w:tc>
        <w:tc>
          <w:tcPr>
            <w:tcW w:w="1028" w:type="dxa"/>
            <w:tcBorders>
              <w:top w:val="single" w:color="000000" w:sz="12" w:space="0"/>
              <w:left w:val="dotted" w:color="000000" w:sz="4" w:space="0"/>
              <w:bottom w:val="dotted" w:color="000000" w:sz="4" w:space="0"/>
              <w:right w:val="nil"/>
            </w:tcBorders>
            <w:shd w:val="clear" w:color="auto" w:fill="auto"/>
            <w:noWrap/>
            <w:vAlign w:val="center"/>
          </w:tcPr>
          <w:p w14:paraId="385541D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得分率</w:t>
            </w:r>
          </w:p>
        </w:tc>
      </w:tr>
      <w:tr w14:paraId="3E998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753B24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w:t>
            </w:r>
          </w:p>
        </w:tc>
        <w:tc>
          <w:tcPr>
            <w:tcW w:w="4365" w:type="dxa"/>
            <w:gridSpan w:val="2"/>
            <w:tcBorders>
              <w:top w:val="dotted" w:color="000000" w:sz="4" w:space="0"/>
              <w:left w:val="dotted" w:color="000000" w:sz="4" w:space="0"/>
              <w:bottom w:val="dotted" w:color="000000" w:sz="4" w:space="0"/>
              <w:right w:val="dotted" w:color="000000" w:sz="4" w:space="0"/>
            </w:tcBorders>
            <w:shd w:val="clear" w:color="auto" w:fill="auto"/>
            <w:noWrap/>
            <w:vAlign w:val="center"/>
          </w:tcPr>
          <w:p w14:paraId="73FDF47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预算执行率</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092D75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3E0CC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4.42</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40480DB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44.24%</w:t>
            </w:r>
          </w:p>
        </w:tc>
      </w:tr>
      <w:tr w14:paraId="262FA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04C92B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7DA9DC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7B909B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数量</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20A4BE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22.5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553A8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22.5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0335228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0AA9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0C429B8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3</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47B452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9C5565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质量</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8967FE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17.5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2B1EC1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17.5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5B3B87A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30C4E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748E6A0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4</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32959B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F758E4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时效</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F58597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62E6A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2.5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11E0DE3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211A9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6A573FD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C6FDE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产出</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52A42F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成本</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3DCD02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01A2B8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01ED617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0BFD3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7F4199C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6</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3F672C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B07A55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经济效益</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6AF50D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148E90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6B34DCB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4332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6766357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7</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E7553D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5FBECE8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社会效益</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69D8156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818A57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7E83A80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61EF6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285FC1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8</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65562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效益</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F1FF3B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可持续影响</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4EBF7DB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7F4C643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5</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144BB13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01C44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8" w:type="dxa"/>
            <w:tcBorders>
              <w:top w:val="dotted" w:color="000000" w:sz="4" w:space="0"/>
              <w:left w:val="nil"/>
              <w:bottom w:val="dotted" w:color="000000" w:sz="4" w:space="0"/>
              <w:right w:val="dotted" w:color="000000" w:sz="4" w:space="0"/>
            </w:tcBorders>
            <w:shd w:val="clear" w:color="auto" w:fill="auto"/>
            <w:noWrap/>
            <w:vAlign w:val="center"/>
          </w:tcPr>
          <w:p w14:paraId="698FE72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w:t>
            </w:r>
          </w:p>
        </w:tc>
        <w:tc>
          <w:tcPr>
            <w:tcW w:w="1779"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07F048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满意度</w:t>
            </w:r>
          </w:p>
        </w:tc>
        <w:tc>
          <w:tcPr>
            <w:tcW w:w="2586"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2B16179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服务对象满意度指标</w:t>
            </w:r>
          </w:p>
        </w:tc>
        <w:tc>
          <w:tcPr>
            <w:tcW w:w="1035"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107B42C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994" w:type="dxa"/>
            <w:tcBorders>
              <w:top w:val="dotted" w:color="000000" w:sz="4" w:space="0"/>
              <w:left w:val="dotted" w:color="000000" w:sz="4" w:space="0"/>
              <w:bottom w:val="dotted" w:color="000000" w:sz="4" w:space="0"/>
              <w:right w:val="dotted" w:color="000000" w:sz="4" w:space="0"/>
            </w:tcBorders>
            <w:shd w:val="clear" w:color="auto" w:fill="auto"/>
            <w:noWrap/>
            <w:vAlign w:val="center"/>
          </w:tcPr>
          <w:p w14:paraId="3B818E7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1028" w:type="dxa"/>
            <w:tcBorders>
              <w:top w:val="dotted" w:color="000000" w:sz="4" w:space="0"/>
              <w:left w:val="dotted" w:color="000000" w:sz="4" w:space="0"/>
              <w:bottom w:val="dotted" w:color="000000" w:sz="4" w:space="0"/>
              <w:right w:val="nil"/>
            </w:tcBorders>
            <w:shd w:val="clear" w:color="auto" w:fill="auto"/>
            <w:noWrap/>
            <w:vAlign w:val="center"/>
          </w:tcPr>
          <w:p w14:paraId="47C0E81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100.00%</w:t>
            </w:r>
          </w:p>
        </w:tc>
      </w:tr>
      <w:tr w14:paraId="1BD03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818" w:type="dxa"/>
            <w:tcBorders>
              <w:top w:val="dotted" w:color="000000" w:sz="4" w:space="0"/>
              <w:left w:val="nil"/>
              <w:bottom w:val="single" w:color="000000" w:sz="12" w:space="0"/>
              <w:right w:val="dotted" w:color="000000" w:sz="4" w:space="0"/>
            </w:tcBorders>
            <w:shd w:val="clear" w:color="auto" w:fill="auto"/>
            <w:noWrap/>
            <w:vAlign w:val="center"/>
          </w:tcPr>
          <w:p w14:paraId="7EFBAF5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w:t>
            </w:r>
          </w:p>
        </w:tc>
        <w:tc>
          <w:tcPr>
            <w:tcW w:w="4365" w:type="dxa"/>
            <w:gridSpan w:val="2"/>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01D8D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合计</w:t>
            </w:r>
          </w:p>
        </w:tc>
        <w:tc>
          <w:tcPr>
            <w:tcW w:w="1035"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550BB29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100</w:t>
            </w:r>
          </w:p>
        </w:tc>
        <w:tc>
          <w:tcPr>
            <w:tcW w:w="994" w:type="dxa"/>
            <w:tcBorders>
              <w:top w:val="dotted" w:color="000000" w:sz="4" w:space="0"/>
              <w:left w:val="dotted" w:color="000000" w:sz="4" w:space="0"/>
              <w:bottom w:val="single" w:color="000000" w:sz="12" w:space="0"/>
              <w:right w:val="dotted" w:color="000000" w:sz="4" w:space="0"/>
            </w:tcBorders>
            <w:shd w:val="clear" w:color="auto" w:fill="auto"/>
            <w:noWrap/>
            <w:vAlign w:val="center"/>
          </w:tcPr>
          <w:p w14:paraId="0E11EF7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94.42</w:t>
            </w:r>
          </w:p>
        </w:tc>
        <w:tc>
          <w:tcPr>
            <w:tcW w:w="1028" w:type="dxa"/>
            <w:tcBorders>
              <w:top w:val="dotted" w:color="000000" w:sz="4" w:space="0"/>
              <w:left w:val="dotted" w:color="000000" w:sz="4" w:space="0"/>
              <w:bottom w:val="single" w:color="000000" w:sz="12" w:space="0"/>
              <w:right w:val="nil"/>
            </w:tcBorders>
            <w:shd w:val="clear" w:color="auto" w:fill="auto"/>
            <w:noWrap/>
            <w:vAlign w:val="center"/>
          </w:tcPr>
          <w:p w14:paraId="35B0C80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Regular" w:hAnsi="Times New Roman Regular" w:eastAsia="仿宋_GB2312" w:cs="Times New Roman Regular"/>
                <w:b w:val="0"/>
                <w:bCs w:val="0"/>
                <w:color w:val="auto"/>
                <w:kern w:val="2"/>
                <w:sz w:val="21"/>
                <w:szCs w:val="21"/>
                <w:highlight w:val="none"/>
                <w:lang w:val="en-US" w:eastAsia="zh-CN" w:bidi="ar-SA"/>
              </w:rPr>
            </w:pPr>
            <w:r>
              <w:rPr>
                <w:rFonts w:hint="eastAsia" w:ascii="Times New Roman Regular" w:hAnsi="Times New Roman Regular" w:eastAsia="仿宋_GB2312" w:cs="Times New Roman Regular"/>
                <w:b w:val="0"/>
                <w:bCs w:val="0"/>
                <w:color w:val="auto"/>
                <w:kern w:val="2"/>
                <w:sz w:val="21"/>
                <w:szCs w:val="21"/>
                <w:highlight w:val="none"/>
                <w:lang w:val="en-US" w:eastAsia="zh-CN" w:bidi="ar-SA"/>
              </w:rPr>
              <w:t>94.42%</w:t>
            </w:r>
          </w:p>
        </w:tc>
      </w:tr>
    </w:tbl>
    <w:p w14:paraId="3679D8A5">
      <w:pPr>
        <w:keepNext w:val="0"/>
        <w:keepLines w:val="0"/>
        <w:pageBreakBefore w:val="0"/>
        <w:numPr>
          <w:ilvl w:val="0"/>
          <w:numId w:val="0"/>
        </w:numPr>
        <w:kinsoku/>
        <w:wordWrap/>
        <w:overflowPunct/>
        <w:topLinePunct w:val="0"/>
        <w:autoSpaceDE/>
        <w:autoSpaceDN/>
        <w:bidi w:val="0"/>
        <w:spacing w:line="560" w:lineRule="exact"/>
        <w:ind w:firstLine="640" w:firstLineChars="200"/>
        <w:outlineLvl w:val="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九、存在的问题及原因分析</w:t>
      </w:r>
    </w:p>
    <w:p w14:paraId="50C1115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1"/>
        <w:rPr>
          <w:rFonts w:hint="default" w:ascii="楷体_GB2312" w:hAnsi="楷体_GB2312" w:eastAsia="楷体_GB2312" w:cs="楷体_GB2312"/>
          <w:b/>
          <w:bCs/>
          <w:color w:val="auto"/>
          <w:sz w:val="32"/>
          <w:szCs w:val="32"/>
          <w:highlight w:val="none"/>
          <w:lang w:val="en-US" w:eastAsia="zh-CN"/>
        </w:rPr>
      </w:pPr>
      <w:bookmarkStart w:id="17" w:name="_Toc23723"/>
      <w:r>
        <w:rPr>
          <w:rFonts w:hint="eastAsia" w:ascii="楷体_GB2312" w:hAnsi="楷体_GB2312" w:eastAsia="楷体_GB2312" w:cs="楷体_GB2312"/>
          <w:b/>
          <w:bCs/>
          <w:color w:val="auto"/>
          <w:sz w:val="32"/>
          <w:szCs w:val="32"/>
          <w:highlight w:val="none"/>
          <w:lang w:val="en-US" w:eastAsia="zh-CN"/>
        </w:rPr>
        <w:t>（一）</w:t>
      </w:r>
      <w:bookmarkEnd w:id="17"/>
      <w:r>
        <w:rPr>
          <w:rFonts w:hint="eastAsia" w:ascii="楷体_GB2312" w:hAnsi="楷体_GB2312" w:eastAsia="楷体_GB2312" w:cs="楷体_GB2312"/>
          <w:b/>
          <w:bCs/>
          <w:color w:val="auto"/>
          <w:sz w:val="32"/>
          <w:szCs w:val="32"/>
          <w:highlight w:val="none"/>
          <w:lang w:val="en-US" w:eastAsia="zh-CN"/>
        </w:rPr>
        <w:t>绩效目标和指标设置不够细化</w:t>
      </w:r>
    </w:p>
    <w:p w14:paraId="76CC49AC">
      <w:pPr>
        <w:ind w:left="0" w:leftChars="0" w:firstLine="640" w:firstLineChars="200"/>
        <w:outlineLvl w:val="9"/>
        <w:rPr>
          <w:rFonts w:hint="eastAsia"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个别业务部门对绩效目标和指标认识和理解程度不够，设置绩效目标和指标未能与实际工作的目标任务有效结合，指标的数量、质量、时效、成本等不够细化，个别指标存在遗漏现象，不能全面反映工作成效和项目产出、效益等。</w:t>
      </w:r>
    </w:p>
    <w:p w14:paraId="21AFC7BE">
      <w:pPr>
        <w:ind w:left="0" w:leftChars="0" w:firstLine="640" w:firstLineChars="200"/>
        <w:outlineLvl w:val="9"/>
        <w:rPr>
          <w:rFonts w:hint="default" w:ascii="Times New Roman Regular" w:hAnsi="Times New Roman Regular" w:eastAsia="仿宋_GB2312" w:cs="Times New Roman Regular"/>
          <w:b w:val="0"/>
          <w:bCs w:val="0"/>
          <w:color w:val="auto"/>
          <w:kern w:val="2"/>
          <w:sz w:val="32"/>
          <w:szCs w:val="32"/>
          <w:highlight w:val="none"/>
          <w:lang w:val="en-US" w:eastAsia="zh-CN" w:bidi="ar-SA"/>
        </w:rPr>
      </w:pPr>
      <w:r>
        <w:rPr>
          <w:rFonts w:hint="eastAsia" w:ascii="Times New Roman Regular" w:hAnsi="Times New Roman Regular" w:eastAsia="仿宋_GB2312" w:cs="Times New Roman Regular"/>
          <w:b w:val="0"/>
          <w:bCs w:val="0"/>
          <w:color w:val="auto"/>
          <w:kern w:val="2"/>
          <w:sz w:val="32"/>
          <w:szCs w:val="32"/>
          <w:highlight w:val="none"/>
          <w:lang w:val="en-US" w:eastAsia="zh-CN" w:bidi="ar-SA"/>
        </w:rPr>
        <w:t>原因分析：个别业务部门对预算绩效管理相关文件学习不够，未能全面掌握绩效目标和指标的设置方法和指标值的取值标准，项目内容调整时未同步变更绩效目标和指标。</w:t>
      </w:r>
    </w:p>
    <w:p w14:paraId="01F89473">
      <w:pPr>
        <w:pStyle w:val="4"/>
        <w:keepNext w:val="0"/>
        <w:keepLines w:val="0"/>
        <w:pageBreakBefore w:val="0"/>
        <w:kinsoku/>
        <w:wordWrap/>
        <w:overflowPunct/>
        <w:topLinePunct w:val="0"/>
        <w:autoSpaceDE/>
        <w:autoSpaceDN/>
        <w:bidi w:val="0"/>
        <w:spacing w:line="560" w:lineRule="exact"/>
        <w:ind w:firstLine="643"/>
        <w:rPr>
          <w:rFonts w:hint="eastAsia" w:ascii="Times New Roman" w:hAnsi="Times New Roman" w:eastAsia="楷体_GB2312" w:cs="Times New Roman"/>
          <w:b/>
          <w:bCs/>
          <w:color w:val="auto"/>
          <w:kern w:val="0"/>
          <w:sz w:val="32"/>
          <w:szCs w:val="32"/>
          <w:highlight w:val="none"/>
          <w:lang w:val="en-US" w:eastAsia="zh-CN" w:bidi="ar-SA"/>
        </w:rPr>
      </w:pPr>
      <w:r>
        <w:rPr>
          <w:rFonts w:hint="eastAsia" w:ascii="Times New Roman" w:hAnsi="Times New Roman" w:eastAsia="楷体_GB2312" w:cs="Times New Roman"/>
          <w:b/>
          <w:bCs/>
          <w:color w:val="auto"/>
          <w:kern w:val="0"/>
          <w:sz w:val="32"/>
          <w:szCs w:val="32"/>
          <w:highlight w:val="none"/>
          <w:lang w:val="en-US" w:eastAsia="zh-CN" w:bidi="ar-SA"/>
        </w:rPr>
        <w:t>（</w:t>
      </w:r>
      <w:r>
        <w:rPr>
          <w:rFonts w:hint="eastAsia" w:ascii="Times New Roman" w:hAnsi="Times New Roman" w:cs="Times New Roman"/>
          <w:b/>
          <w:bCs/>
          <w:color w:val="auto"/>
          <w:kern w:val="0"/>
          <w:sz w:val="32"/>
          <w:szCs w:val="32"/>
          <w:highlight w:val="none"/>
          <w:lang w:val="en-US" w:eastAsia="zh-CN" w:bidi="ar-SA"/>
        </w:rPr>
        <w:t>二</w:t>
      </w:r>
      <w:r>
        <w:rPr>
          <w:rFonts w:hint="eastAsia" w:ascii="Times New Roman" w:hAnsi="Times New Roman" w:eastAsia="楷体_GB2312" w:cs="Times New Roman"/>
          <w:b/>
          <w:bCs/>
          <w:color w:val="auto"/>
          <w:kern w:val="0"/>
          <w:sz w:val="32"/>
          <w:szCs w:val="32"/>
          <w:highlight w:val="none"/>
          <w:lang w:val="en-US" w:eastAsia="zh-CN" w:bidi="ar-SA"/>
        </w:rPr>
        <w:t>）</w:t>
      </w:r>
      <w:r>
        <w:rPr>
          <w:rFonts w:hint="eastAsia" w:ascii="Times New Roman" w:hAnsi="Times New Roman" w:cs="Times New Roman"/>
          <w:b/>
          <w:bCs/>
          <w:color w:val="auto"/>
          <w:kern w:val="0"/>
          <w:sz w:val="32"/>
          <w:szCs w:val="32"/>
          <w:highlight w:val="none"/>
          <w:lang w:val="en-US" w:eastAsia="zh-CN" w:bidi="ar-SA"/>
        </w:rPr>
        <w:t>个别</w:t>
      </w:r>
      <w:r>
        <w:rPr>
          <w:rFonts w:hint="eastAsia" w:ascii="Times New Roman" w:hAnsi="Times New Roman" w:eastAsia="楷体_GB2312" w:cs="Times New Roman"/>
          <w:b/>
          <w:bCs/>
          <w:color w:val="auto"/>
          <w:kern w:val="0"/>
          <w:sz w:val="32"/>
          <w:szCs w:val="32"/>
          <w:highlight w:val="none"/>
          <w:lang w:val="en-US" w:eastAsia="zh-CN" w:bidi="ar-SA"/>
        </w:rPr>
        <w:t>项目资金预算执行率有待提高</w:t>
      </w:r>
    </w:p>
    <w:p w14:paraId="48E3F44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hint="eastAsia"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202</w:t>
      </w:r>
      <w:r>
        <w:rPr>
          <w:rFonts w:hint="eastAsia"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年一般公共预算</w:t>
      </w:r>
      <w:r>
        <w:rPr>
          <w:rFonts w:hint="eastAsia" w:eastAsia="仿宋_GB2312" w:cs="Times New Roman"/>
          <w:color w:val="auto"/>
          <w:sz w:val="32"/>
          <w:szCs w:val="32"/>
          <w:highlight w:val="none"/>
          <w:lang w:val="en-US" w:eastAsia="zh-CN"/>
        </w:rPr>
        <w:t>项目</w:t>
      </w:r>
      <w:r>
        <w:rPr>
          <w:rFonts w:hint="eastAsia" w:ascii="Times New Roman" w:hAnsi="Times New Roman" w:eastAsia="仿宋_GB2312" w:cs="Times New Roman"/>
          <w:color w:val="auto"/>
          <w:sz w:val="32"/>
          <w:szCs w:val="32"/>
          <w:highlight w:val="none"/>
          <w:lang w:val="en-US" w:eastAsia="zh-CN"/>
        </w:rPr>
        <w:t>支出全年预算数为55,582.81万元，决算数为35,702.92万元，执行率为64.23%。</w:t>
      </w:r>
      <w:r>
        <w:rPr>
          <w:rFonts w:hint="eastAsia" w:eastAsia="仿宋_GB2312" w:cs="Times New Roman"/>
          <w:color w:val="auto"/>
          <w:sz w:val="32"/>
          <w:szCs w:val="32"/>
          <w:highlight w:val="none"/>
          <w:lang w:val="en-US" w:eastAsia="zh-CN"/>
        </w:rPr>
        <w:t>存在个别项目</w:t>
      </w:r>
      <w:r>
        <w:rPr>
          <w:rFonts w:hint="eastAsia" w:ascii="Times New Roman" w:hAnsi="Times New Roman" w:eastAsia="仿宋_GB2312" w:cs="Times New Roman"/>
          <w:color w:val="auto"/>
          <w:sz w:val="32"/>
          <w:szCs w:val="32"/>
          <w:highlight w:val="none"/>
          <w:lang w:val="en-US" w:eastAsia="zh-CN"/>
        </w:rPr>
        <w:t>预算执行率低</w:t>
      </w:r>
      <w:r>
        <w:rPr>
          <w:rFonts w:hint="eastAsia" w:eastAsia="仿宋_GB2312" w:cs="Times New Roman"/>
          <w:color w:val="auto"/>
          <w:sz w:val="32"/>
          <w:szCs w:val="32"/>
          <w:highlight w:val="none"/>
          <w:lang w:val="en-US" w:eastAsia="zh-CN"/>
        </w:rPr>
        <w:t>问题</w:t>
      </w:r>
      <w:r>
        <w:rPr>
          <w:rFonts w:hint="eastAsia" w:ascii="Times New Roman" w:hAnsi="Times New Roman" w:eastAsia="仿宋_GB2312" w:cs="Times New Roman"/>
          <w:color w:val="auto"/>
          <w:sz w:val="32"/>
          <w:szCs w:val="32"/>
          <w:highlight w:val="none"/>
          <w:lang w:val="en-US" w:eastAsia="zh-CN"/>
        </w:rPr>
        <w:t>。</w:t>
      </w:r>
      <w:r>
        <w:rPr>
          <w:rFonts w:hint="eastAsia" w:eastAsia="仿宋_GB2312" w:cs="Times New Roman"/>
          <w:color w:val="auto"/>
          <w:sz w:val="32"/>
          <w:szCs w:val="32"/>
          <w:highlight w:val="none"/>
          <w:lang w:val="en-US" w:eastAsia="zh-CN"/>
        </w:rPr>
        <w:t>例如：湖南省畜牧兽医研究所“2023年中央国家保种场保护与畜禽生产性能测定资金”，预算金额77.00万元，决算金额21.67万元，执行率28.14%；湖南省动物疫病预防控制中心“现代农业产业技术体系建设与种业核心技术攻关资金”预算金额40.00万元，决算金额14.87万元，执行率37.19%。</w:t>
      </w:r>
    </w:p>
    <w:p w14:paraId="64A355F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hint="default" w:eastAsia="仿宋_GB2312" w:cs="Times New Roman"/>
          <w:color w:val="auto"/>
          <w:sz w:val="32"/>
          <w:szCs w:val="32"/>
          <w:highlight w:val="none"/>
          <w:lang w:val="en-US" w:eastAsia="zh-CN"/>
        </w:rPr>
      </w:pPr>
      <w:r>
        <w:rPr>
          <w:rFonts w:hint="default" w:eastAsia="仿宋_GB2312" w:cs="Times New Roman"/>
          <w:color w:val="auto"/>
          <w:sz w:val="32"/>
          <w:szCs w:val="32"/>
          <w:highlight w:val="none"/>
          <w:lang w:val="en-US" w:eastAsia="zh-CN"/>
        </w:rPr>
        <w:t>原因分析：</w:t>
      </w:r>
      <w:r>
        <w:rPr>
          <w:rFonts w:hint="eastAsia" w:eastAsia="仿宋_GB2312" w:cs="Times New Roman"/>
          <w:color w:val="auto"/>
          <w:sz w:val="32"/>
          <w:szCs w:val="32"/>
          <w:highlight w:val="none"/>
          <w:lang w:val="en-US" w:eastAsia="zh-CN"/>
        </w:rPr>
        <w:t>一是</w:t>
      </w:r>
      <w:r>
        <w:rPr>
          <w:rFonts w:hint="default" w:eastAsia="仿宋_GB2312" w:cs="Times New Roman"/>
          <w:color w:val="auto"/>
          <w:sz w:val="32"/>
          <w:szCs w:val="32"/>
          <w:highlight w:val="none"/>
          <w:lang w:val="en-US" w:eastAsia="zh-CN"/>
        </w:rPr>
        <w:t>部分项目系10月之后预算追加资金项目</w:t>
      </w:r>
      <w:r>
        <w:rPr>
          <w:rFonts w:hint="eastAsia" w:eastAsia="仿宋_GB2312" w:cs="Times New Roman"/>
          <w:color w:val="auto"/>
          <w:sz w:val="32"/>
          <w:szCs w:val="32"/>
          <w:highlight w:val="none"/>
          <w:lang w:val="en-US" w:eastAsia="zh-CN"/>
        </w:rPr>
        <w:t>，资金下达时间晚；二</w:t>
      </w:r>
      <w:r>
        <w:rPr>
          <w:rFonts w:hint="default" w:eastAsia="仿宋_GB2312" w:cs="Times New Roman"/>
          <w:color w:val="auto"/>
          <w:sz w:val="32"/>
          <w:szCs w:val="32"/>
          <w:highlight w:val="none"/>
          <w:lang w:val="en-US" w:eastAsia="zh-CN"/>
        </w:rPr>
        <w:t>是资金分配方案及实施方案上报较晚，相关项目任务和方案无法在预算年度内完全落实到位。</w:t>
      </w:r>
    </w:p>
    <w:p w14:paraId="338E0DC6">
      <w:pPr>
        <w:keepNext w:val="0"/>
        <w:keepLines w:val="0"/>
        <w:pageBreakBefore w:val="0"/>
        <w:kinsoku/>
        <w:wordWrap/>
        <w:overflowPunct/>
        <w:topLinePunct w:val="0"/>
        <w:autoSpaceDE/>
        <w:autoSpaceDN/>
        <w:bidi w:val="0"/>
        <w:spacing w:line="560" w:lineRule="exact"/>
        <w:ind w:firstLine="640"/>
        <w:outlineLvl w:val="0"/>
        <w:rPr>
          <w:rFonts w:eastAsia="黑体"/>
          <w:bCs/>
          <w:color w:val="auto"/>
          <w:sz w:val="32"/>
          <w:szCs w:val="32"/>
          <w:highlight w:val="none"/>
        </w:rPr>
      </w:pPr>
      <w:r>
        <w:rPr>
          <w:rFonts w:hint="eastAsia" w:eastAsia="黑体"/>
          <w:bCs/>
          <w:color w:val="auto"/>
          <w:sz w:val="32"/>
          <w:szCs w:val="32"/>
          <w:highlight w:val="none"/>
          <w:lang w:eastAsia="zh-CN"/>
        </w:rPr>
        <w:t>十</w:t>
      </w:r>
      <w:r>
        <w:rPr>
          <w:rFonts w:hint="eastAsia" w:eastAsia="黑体"/>
          <w:bCs/>
          <w:color w:val="auto"/>
          <w:sz w:val="32"/>
          <w:szCs w:val="32"/>
          <w:highlight w:val="none"/>
        </w:rPr>
        <w:t>、</w:t>
      </w:r>
      <w:r>
        <w:rPr>
          <w:rFonts w:eastAsia="黑体"/>
          <w:bCs/>
          <w:color w:val="auto"/>
          <w:sz w:val="32"/>
          <w:szCs w:val="32"/>
          <w:highlight w:val="none"/>
        </w:rPr>
        <w:t>下一步改进措施</w:t>
      </w:r>
    </w:p>
    <w:p w14:paraId="7B922B0F">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1"/>
        <w:rPr>
          <w:rFonts w:hint="default" w:ascii="楷体_GB2312" w:hAnsi="楷体_GB2312" w:eastAsia="楷体_GB2312" w:cs="楷体_GB2312"/>
          <w:b/>
          <w:bCs/>
          <w:color w:val="auto"/>
          <w:sz w:val="32"/>
          <w:szCs w:val="32"/>
          <w:highlight w:val="none"/>
          <w:lang w:val="en-US" w:eastAsia="zh-CN"/>
        </w:rPr>
      </w:pPr>
      <w:bookmarkStart w:id="18" w:name="_Toc25219"/>
      <w:bookmarkStart w:id="19" w:name="_Toc21389"/>
      <w:r>
        <w:rPr>
          <w:rFonts w:hint="eastAsia" w:ascii="楷体_GB2312" w:hAnsi="楷体_GB2312" w:eastAsia="楷体_GB2312" w:cs="楷体_GB2312"/>
          <w:color w:val="auto"/>
          <w:sz w:val="32"/>
          <w:szCs w:val="32"/>
          <w:highlight w:val="none"/>
        </w:rPr>
        <w:t>（</w:t>
      </w:r>
      <w:r>
        <w:rPr>
          <w:rFonts w:hint="eastAsia" w:ascii="楷体_GB2312" w:hAnsi="楷体_GB2312" w:eastAsia="楷体_GB2312" w:cs="楷体_GB2312"/>
          <w:b/>
          <w:bCs/>
          <w:color w:val="auto"/>
          <w:sz w:val="32"/>
          <w:szCs w:val="32"/>
          <w:highlight w:val="none"/>
          <w:lang w:val="en-US" w:eastAsia="zh-CN"/>
        </w:rPr>
        <w:t>一</w:t>
      </w:r>
      <w:r>
        <w:rPr>
          <w:rFonts w:hint="eastAsia" w:ascii="楷体_GB2312" w:hAnsi="楷体_GB2312" w:eastAsia="楷体_GB2312" w:cs="楷体_GB2312"/>
          <w:b/>
          <w:bCs/>
          <w:color w:val="auto"/>
          <w:sz w:val="32"/>
          <w:szCs w:val="32"/>
          <w:highlight w:val="none"/>
        </w:rPr>
        <w:t>）</w:t>
      </w:r>
      <w:bookmarkEnd w:id="18"/>
      <w:r>
        <w:rPr>
          <w:rFonts w:hint="eastAsia" w:ascii="楷体_GB2312" w:hAnsi="楷体_GB2312" w:eastAsia="楷体_GB2312" w:cs="楷体_GB2312"/>
          <w:b/>
          <w:bCs/>
          <w:color w:val="auto"/>
          <w:sz w:val="32"/>
          <w:szCs w:val="32"/>
          <w:highlight w:val="none"/>
          <w:lang w:val="en-US" w:eastAsia="zh-CN"/>
        </w:rPr>
        <w:t>加强学习培训，科学合理设置绩效目标</w:t>
      </w:r>
      <w:bookmarkEnd w:id="19"/>
    </w:p>
    <w:p w14:paraId="7BE7FF1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进一步加强绩效管理文件政策的学习和培训，树牢绩效理念，将预算绩效管理贯穿于工作始终。认真学习湖南省财政厅《湖南省预算绩效目标管理办法》（湘财绩〔2020〕6号）文件精神，按照“</w:t>
      </w:r>
      <w:r>
        <w:rPr>
          <w:rFonts w:eastAsia="仿宋_GB2312"/>
          <w:color w:val="auto"/>
          <w:sz w:val="32"/>
          <w:szCs w:val="32"/>
          <w:highlight w:val="none"/>
        </w:rPr>
        <w:t>指向明确</w:t>
      </w:r>
      <w:r>
        <w:rPr>
          <w:rFonts w:hint="eastAsia" w:eastAsia="仿宋_GB2312"/>
          <w:color w:val="auto"/>
          <w:sz w:val="32"/>
          <w:szCs w:val="32"/>
          <w:highlight w:val="none"/>
          <w:lang w:eastAsia="zh-CN"/>
        </w:rPr>
        <w:t>、</w:t>
      </w:r>
      <w:r>
        <w:rPr>
          <w:rFonts w:eastAsia="仿宋_GB2312"/>
          <w:color w:val="auto"/>
          <w:sz w:val="32"/>
          <w:szCs w:val="32"/>
          <w:highlight w:val="none"/>
        </w:rPr>
        <w:t>细化量化</w:t>
      </w:r>
      <w:r>
        <w:rPr>
          <w:rFonts w:hint="eastAsia" w:eastAsia="仿宋_GB2312"/>
          <w:color w:val="auto"/>
          <w:sz w:val="32"/>
          <w:szCs w:val="32"/>
          <w:highlight w:val="none"/>
          <w:lang w:eastAsia="zh-CN"/>
        </w:rPr>
        <w:t>、</w:t>
      </w:r>
      <w:r>
        <w:rPr>
          <w:rFonts w:eastAsia="仿宋_GB2312"/>
          <w:color w:val="auto"/>
          <w:sz w:val="32"/>
          <w:szCs w:val="32"/>
          <w:highlight w:val="none"/>
        </w:rPr>
        <w:t>合理可行</w:t>
      </w:r>
      <w:r>
        <w:rPr>
          <w:rFonts w:hint="eastAsia" w:eastAsia="仿宋_GB2312"/>
          <w:color w:val="auto"/>
          <w:sz w:val="32"/>
          <w:szCs w:val="32"/>
          <w:highlight w:val="none"/>
          <w:lang w:eastAsia="zh-CN"/>
        </w:rPr>
        <w:t>、</w:t>
      </w:r>
      <w:r>
        <w:rPr>
          <w:rFonts w:eastAsia="仿宋_GB2312"/>
          <w:color w:val="auto"/>
          <w:sz w:val="32"/>
          <w:szCs w:val="32"/>
          <w:highlight w:val="none"/>
        </w:rPr>
        <w:t>相应匹配</w:t>
      </w:r>
      <w:r>
        <w:rPr>
          <w:rFonts w:hint="eastAsia" w:ascii="仿宋_GB2312" w:hAnsi="仿宋_GB2312" w:eastAsia="仿宋_GB2312" w:cs="仿宋_GB2312"/>
          <w:b w:val="0"/>
          <w:bCs/>
          <w:color w:val="auto"/>
          <w:kern w:val="2"/>
          <w:sz w:val="32"/>
          <w:szCs w:val="32"/>
          <w:highlight w:val="none"/>
          <w:lang w:val="en-US" w:eastAsia="zh-CN" w:bidi="ar-SA"/>
        </w:rPr>
        <w:t>”原则，结合实际工作，科学合理设置绩效目标，做到细化、量化、可衡量。</w:t>
      </w:r>
    </w:p>
    <w:p w14:paraId="43F2CBE8">
      <w:pPr>
        <w:pStyle w:val="4"/>
        <w:keepNext w:val="0"/>
        <w:keepLines w:val="0"/>
        <w:pageBreakBefore w:val="0"/>
        <w:kinsoku/>
        <w:wordWrap/>
        <w:overflowPunct/>
        <w:topLinePunct w:val="0"/>
        <w:autoSpaceDE/>
        <w:autoSpaceDN/>
        <w:bidi w:val="0"/>
        <w:spacing w:line="560" w:lineRule="exact"/>
        <w:ind w:firstLine="643"/>
        <w:rPr>
          <w:rFonts w:ascii="Times New Roman" w:hAnsi="Times New Roman"/>
          <w:color w:val="auto"/>
          <w:sz w:val="32"/>
          <w:szCs w:val="32"/>
          <w:highlight w:val="none"/>
        </w:rPr>
      </w:pPr>
      <w:r>
        <w:rPr>
          <w:rFonts w:ascii="Times New Roman" w:hAnsi="Times New Roman"/>
          <w:color w:val="auto"/>
          <w:sz w:val="32"/>
          <w:szCs w:val="32"/>
          <w:highlight w:val="none"/>
        </w:rPr>
        <w:t>（</w:t>
      </w:r>
      <w:r>
        <w:rPr>
          <w:rFonts w:hint="eastAsia" w:ascii="Times New Roman" w:hAnsi="Times New Roman"/>
          <w:color w:val="auto"/>
          <w:sz w:val="32"/>
          <w:szCs w:val="32"/>
          <w:highlight w:val="none"/>
          <w:lang w:val="en-US" w:eastAsia="zh-CN"/>
        </w:rPr>
        <w:t>二</w:t>
      </w:r>
      <w:r>
        <w:rPr>
          <w:rFonts w:ascii="Times New Roman" w:hAnsi="Times New Roman"/>
          <w:color w:val="auto"/>
          <w:sz w:val="32"/>
          <w:szCs w:val="32"/>
          <w:highlight w:val="none"/>
        </w:rPr>
        <w:t>）</w:t>
      </w:r>
      <w:r>
        <w:rPr>
          <w:rFonts w:hint="eastAsia" w:ascii="Times New Roman" w:hAnsi="Times New Roman"/>
          <w:color w:val="auto"/>
          <w:sz w:val="32"/>
          <w:szCs w:val="32"/>
          <w:highlight w:val="none"/>
        </w:rPr>
        <w:t>进一步提高</w:t>
      </w:r>
      <w:r>
        <w:rPr>
          <w:rFonts w:hint="eastAsia" w:ascii="Times New Roman" w:hAnsi="Times New Roman"/>
          <w:color w:val="auto"/>
          <w:sz w:val="32"/>
          <w:szCs w:val="32"/>
          <w:highlight w:val="none"/>
          <w:lang w:eastAsia="zh-CN"/>
        </w:rPr>
        <w:t>预算</w:t>
      </w:r>
      <w:r>
        <w:rPr>
          <w:rFonts w:hint="eastAsia" w:ascii="Times New Roman" w:hAnsi="Times New Roman"/>
          <w:color w:val="auto"/>
          <w:sz w:val="32"/>
          <w:szCs w:val="32"/>
          <w:highlight w:val="none"/>
        </w:rPr>
        <w:t>资金执行率</w:t>
      </w:r>
    </w:p>
    <w:p w14:paraId="3226E33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center"/>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持续加强厅机关及省直单位各业务处室的沟通配合，加强项目</w:t>
      </w:r>
      <w:r>
        <w:rPr>
          <w:rFonts w:hint="eastAsia" w:eastAsia="仿宋_GB2312" w:cs="Times New Roman"/>
          <w:color w:val="auto"/>
          <w:sz w:val="32"/>
          <w:szCs w:val="32"/>
          <w:highlight w:val="none"/>
          <w:lang w:val="en-US" w:eastAsia="zh-CN"/>
        </w:rPr>
        <w:t>实施管理</w:t>
      </w:r>
      <w:r>
        <w:rPr>
          <w:rFonts w:hint="eastAsia" w:ascii="Times New Roman" w:hAnsi="Times New Roman" w:eastAsia="仿宋_GB2312" w:cs="Times New Roman"/>
          <w:color w:val="auto"/>
          <w:sz w:val="32"/>
          <w:szCs w:val="32"/>
          <w:highlight w:val="none"/>
          <w:lang w:val="en-US" w:eastAsia="zh-CN"/>
        </w:rPr>
        <w:t>，确保</w:t>
      </w:r>
      <w:r>
        <w:rPr>
          <w:rFonts w:hint="eastAsia" w:eastAsia="仿宋_GB2312" w:cs="Times New Roman"/>
          <w:color w:val="auto"/>
          <w:sz w:val="32"/>
          <w:szCs w:val="32"/>
          <w:highlight w:val="none"/>
          <w:lang w:val="en-US" w:eastAsia="zh-CN"/>
        </w:rPr>
        <w:t>各项目资金、</w:t>
      </w:r>
      <w:r>
        <w:rPr>
          <w:rFonts w:hint="eastAsia" w:ascii="Times New Roman" w:hAnsi="Times New Roman" w:eastAsia="仿宋_GB2312" w:cs="Times New Roman"/>
          <w:color w:val="auto"/>
          <w:sz w:val="32"/>
          <w:szCs w:val="32"/>
          <w:highlight w:val="none"/>
          <w:lang w:val="en-US" w:eastAsia="zh-CN"/>
        </w:rPr>
        <w:t>专项资金及时下达</w:t>
      </w:r>
      <w:r>
        <w:rPr>
          <w:rFonts w:hint="eastAsia" w:eastAsia="仿宋_GB2312" w:cs="Times New Roman"/>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按项目的实施方案和计划推动</w:t>
      </w:r>
      <w:bookmarkStart w:id="24" w:name="_GoBack"/>
      <w:bookmarkEnd w:id="24"/>
      <w:r>
        <w:rPr>
          <w:rFonts w:hint="eastAsia" w:ascii="仿宋_GB2312" w:hAnsi="仿宋_GB2312" w:eastAsia="仿宋_GB2312" w:cs="仿宋_GB2312"/>
          <w:color w:val="auto"/>
          <w:sz w:val="32"/>
          <w:szCs w:val="32"/>
          <w:highlight w:val="none"/>
          <w:lang w:val="en-US" w:eastAsia="zh-CN"/>
        </w:rPr>
        <w:t>项目落地，形成效益和成果。</w:t>
      </w:r>
      <w:r>
        <w:rPr>
          <w:rFonts w:hint="default" w:ascii="Times New Roman" w:hAnsi="Times New Roman" w:eastAsia="仿宋_GB2312" w:cs="Times New Roman"/>
          <w:color w:val="auto"/>
          <w:kern w:val="2"/>
          <w:sz w:val="32"/>
          <w:szCs w:val="32"/>
          <w:highlight w:val="none"/>
          <w:lang w:val="en-US" w:eastAsia="zh-CN" w:bidi="ar-SA"/>
        </w:rPr>
        <w:t>督促</w:t>
      </w:r>
      <w:r>
        <w:rPr>
          <w:rFonts w:hint="eastAsia" w:ascii="Times New Roman" w:hAnsi="Times New Roman" w:eastAsia="仿宋_GB2312" w:cs="Times New Roman"/>
          <w:color w:val="auto"/>
          <w:kern w:val="2"/>
          <w:sz w:val="32"/>
          <w:szCs w:val="32"/>
          <w:highlight w:val="none"/>
          <w:lang w:val="en-US" w:eastAsia="zh-CN" w:bidi="ar-SA"/>
        </w:rPr>
        <w:t>各业务处室</w:t>
      </w:r>
      <w:r>
        <w:rPr>
          <w:rFonts w:hint="default" w:ascii="Times New Roman" w:hAnsi="Times New Roman" w:eastAsia="仿宋_GB2312" w:cs="Times New Roman"/>
          <w:color w:val="auto"/>
          <w:kern w:val="2"/>
          <w:sz w:val="32"/>
          <w:szCs w:val="32"/>
          <w:highlight w:val="none"/>
          <w:lang w:val="en-US" w:eastAsia="zh-CN" w:bidi="ar-SA"/>
        </w:rPr>
        <w:t>采取切实可行措施，</w:t>
      </w:r>
      <w:r>
        <w:rPr>
          <w:rFonts w:hint="eastAsia" w:ascii="Times New Roman" w:hAnsi="Times New Roman" w:eastAsia="仿宋_GB2312" w:cs="Times New Roman"/>
          <w:color w:val="auto"/>
          <w:kern w:val="2"/>
          <w:sz w:val="32"/>
          <w:szCs w:val="32"/>
          <w:highlight w:val="none"/>
          <w:lang w:val="en-US" w:eastAsia="zh-CN" w:bidi="ar-SA"/>
        </w:rPr>
        <w:t>按时间节点、按项目进度</w:t>
      </w:r>
      <w:r>
        <w:rPr>
          <w:rFonts w:hint="default" w:ascii="Times New Roman" w:hAnsi="Times New Roman" w:eastAsia="仿宋_GB2312" w:cs="Times New Roman"/>
          <w:color w:val="auto"/>
          <w:kern w:val="2"/>
          <w:sz w:val="32"/>
          <w:szCs w:val="32"/>
          <w:highlight w:val="none"/>
          <w:lang w:val="en-US" w:eastAsia="zh-CN" w:bidi="ar-SA"/>
        </w:rPr>
        <w:t>用好用实各类预算资金，进一步调整、优化预算资金支出结构，加快推进预算执行进度，切实提高资金使用时效性和绩效。</w:t>
      </w:r>
    </w:p>
    <w:p w14:paraId="4C583755">
      <w:pPr>
        <w:keepNext w:val="0"/>
        <w:keepLines w:val="0"/>
        <w:pageBreakBefore w:val="0"/>
        <w:kinsoku/>
        <w:wordWrap/>
        <w:overflowPunct/>
        <w:topLinePunct w:val="0"/>
        <w:autoSpaceDE/>
        <w:autoSpaceDN/>
        <w:bidi w:val="0"/>
        <w:spacing w:line="560" w:lineRule="exact"/>
        <w:ind w:firstLine="640"/>
        <w:jc w:val="left"/>
        <w:outlineLvl w:val="0"/>
        <w:rPr>
          <w:rFonts w:eastAsia="黑体"/>
          <w:color w:val="auto"/>
          <w:sz w:val="32"/>
          <w:szCs w:val="32"/>
          <w:highlight w:val="none"/>
        </w:rPr>
      </w:pPr>
      <w:r>
        <w:rPr>
          <w:rFonts w:hint="eastAsia" w:eastAsia="黑体"/>
          <w:color w:val="auto"/>
          <w:sz w:val="32"/>
          <w:szCs w:val="32"/>
          <w:highlight w:val="none"/>
          <w:lang w:val="en-US" w:eastAsia="zh-CN"/>
        </w:rPr>
        <w:t>十一</w:t>
      </w:r>
      <w:r>
        <w:rPr>
          <w:rFonts w:hint="eastAsia" w:eastAsia="黑体"/>
          <w:color w:val="auto"/>
          <w:sz w:val="32"/>
          <w:szCs w:val="32"/>
          <w:highlight w:val="none"/>
        </w:rPr>
        <w:t>、</w:t>
      </w:r>
      <w:r>
        <w:rPr>
          <w:rFonts w:eastAsia="黑体"/>
          <w:color w:val="auto"/>
          <w:sz w:val="32"/>
          <w:szCs w:val="32"/>
          <w:highlight w:val="none"/>
        </w:rPr>
        <w:t>绩效自评结果拟应用和公开情况</w:t>
      </w:r>
    </w:p>
    <w:p w14:paraId="110D1C1B">
      <w:pPr>
        <w:spacing w:line="580" w:lineRule="exact"/>
        <w:ind w:firstLine="640"/>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一是</w:t>
      </w:r>
      <w:r>
        <w:rPr>
          <w:rFonts w:hint="default" w:ascii="Times New Roman" w:hAnsi="Times New Roman" w:eastAsia="仿宋_GB2312" w:cs="Times New Roman"/>
          <w:color w:val="auto"/>
          <w:kern w:val="2"/>
          <w:sz w:val="32"/>
          <w:szCs w:val="32"/>
          <w:highlight w:val="none"/>
          <w:lang w:val="en-US" w:eastAsia="zh-CN" w:bidi="ar-SA"/>
        </w:rPr>
        <w:t>针对绩效自评发现的问题，</w:t>
      </w:r>
      <w:r>
        <w:rPr>
          <w:rFonts w:hint="eastAsia" w:ascii="Times New Roman" w:hAnsi="Times New Roman" w:eastAsia="仿宋_GB2312" w:cs="Times New Roman"/>
          <w:color w:val="auto"/>
          <w:kern w:val="2"/>
          <w:sz w:val="32"/>
          <w:szCs w:val="32"/>
          <w:highlight w:val="none"/>
          <w:lang w:val="en-US" w:eastAsia="zh-CN" w:bidi="ar-SA"/>
        </w:rPr>
        <w:t>建立《问题清单》，要求各处室、各单位</w:t>
      </w:r>
      <w:r>
        <w:rPr>
          <w:rFonts w:hint="default" w:ascii="Times New Roman" w:hAnsi="Times New Roman" w:eastAsia="仿宋_GB2312" w:cs="Times New Roman"/>
          <w:color w:val="auto"/>
          <w:kern w:val="2"/>
          <w:sz w:val="32"/>
          <w:szCs w:val="32"/>
          <w:highlight w:val="none"/>
          <w:lang w:val="en-US" w:eastAsia="zh-CN" w:bidi="ar-SA"/>
        </w:rPr>
        <w:t>进行整改</w:t>
      </w:r>
      <w:r>
        <w:rPr>
          <w:rFonts w:hint="eastAsia" w:ascii="Times New Roman" w:hAnsi="Times New Roman" w:eastAsia="仿宋_GB2312" w:cs="Times New Roman"/>
          <w:color w:val="auto"/>
          <w:kern w:val="2"/>
          <w:sz w:val="32"/>
          <w:szCs w:val="32"/>
          <w:highlight w:val="none"/>
          <w:lang w:val="en-US" w:eastAsia="zh-CN" w:bidi="ar-SA"/>
        </w:rPr>
        <w:t>，并跟踪整改结果。二是将此次绩效自评结果</w:t>
      </w:r>
      <w:r>
        <w:rPr>
          <w:rFonts w:hint="default" w:ascii="Times New Roman" w:hAnsi="Times New Roman" w:eastAsia="仿宋_GB2312" w:cs="Times New Roman"/>
          <w:color w:val="auto"/>
          <w:kern w:val="2"/>
          <w:sz w:val="32"/>
          <w:szCs w:val="32"/>
          <w:highlight w:val="none"/>
          <w:lang w:val="en-US" w:eastAsia="zh-CN" w:bidi="ar-SA"/>
        </w:rPr>
        <w:t>作为部门绩效考核和下年度资金安排参考依据。</w:t>
      </w:r>
      <w:r>
        <w:rPr>
          <w:rFonts w:hint="eastAsia" w:ascii="Times New Roman" w:hAnsi="Times New Roman" w:eastAsia="仿宋_GB2312" w:cs="Times New Roman"/>
          <w:color w:val="auto"/>
          <w:kern w:val="2"/>
          <w:sz w:val="32"/>
          <w:szCs w:val="32"/>
          <w:highlight w:val="none"/>
          <w:lang w:val="en-US" w:eastAsia="zh-CN" w:bidi="ar-SA"/>
        </w:rPr>
        <w:t>三是根据要求将</w:t>
      </w:r>
      <w:r>
        <w:rPr>
          <w:rFonts w:hint="default" w:ascii="Times New Roman" w:hAnsi="Times New Roman" w:eastAsia="仿宋_GB2312" w:cs="Times New Roman"/>
          <w:color w:val="auto"/>
          <w:kern w:val="2"/>
          <w:sz w:val="32"/>
          <w:szCs w:val="32"/>
          <w:highlight w:val="none"/>
          <w:lang w:val="en-US" w:eastAsia="zh-CN" w:bidi="ar-SA"/>
        </w:rPr>
        <w:t>本报告进行公示。</w:t>
      </w:r>
    </w:p>
    <w:p w14:paraId="7558447B">
      <w:pPr>
        <w:spacing w:line="580" w:lineRule="exact"/>
        <w:ind w:firstLine="640"/>
        <w:rPr>
          <w:rFonts w:hint="default" w:ascii="Times New Roman" w:hAnsi="Times New Roman" w:eastAsia="仿宋_GB2312" w:cs="Times New Roman"/>
          <w:color w:val="auto"/>
          <w:kern w:val="2"/>
          <w:sz w:val="32"/>
          <w:szCs w:val="32"/>
          <w:highlight w:val="none"/>
          <w:lang w:val="en-US" w:eastAsia="zh-CN" w:bidi="ar-SA"/>
        </w:rPr>
      </w:pPr>
    </w:p>
    <w:p w14:paraId="6FAAF463">
      <w:pPr>
        <w:spacing w:line="580" w:lineRule="exact"/>
        <w:ind w:firstLine="640"/>
        <w:rPr>
          <w:rFonts w:hint="eastAsia" w:ascii="Times New Roman" w:hAnsi="Times New Roman" w:eastAsia="仿宋_GB2312" w:cs="Times New Roman"/>
          <w:color w:val="auto"/>
          <w:kern w:val="2"/>
          <w:sz w:val="32"/>
          <w:szCs w:val="32"/>
          <w:highlight w:val="none"/>
          <w:lang w:val="en-US" w:eastAsia="zh-CN" w:bidi="ar-SA"/>
        </w:rPr>
      </w:pPr>
      <w:bookmarkStart w:id="20" w:name="_Toc246"/>
      <w:r>
        <w:rPr>
          <w:rFonts w:hint="eastAsia" w:ascii="Times New Roman" w:hAnsi="Times New Roman" w:eastAsia="仿宋_GB2312" w:cs="Times New Roman"/>
          <w:color w:val="auto"/>
          <w:kern w:val="2"/>
          <w:sz w:val="32"/>
          <w:szCs w:val="32"/>
          <w:highlight w:val="none"/>
          <w:lang w:val="en-US" w:eastAsia="zh-CN" w:bidi="ar-SA"/>
        </w:rPr>
        <w:t>附件：</w:t>
      </w:r>
    </w:p>
    <w:p w14:paraId="49D5119F">
      <w:pPr>
        <w:spacing w:line="580" w:lineRule="exact"/>
        <w:ind w:firstLine="64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1.部门整体支出绩效评价基础数据表</w:t>
      </w:r>
      <w:bookmarkEnd w:id="20"/>
      <w:bookmarkStart w:id="21" w:name="_Toc15858"/>
    </w:p>
    <w:p w14:paraId="0972ECE4">
      <w:pPr>
        <w:spacing w:line="580" w:lineRule="exact"/>
        <w:ind w:firstLine="64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2.部门整体支出绩效评价指标表</w:t>
      </w:r>
      <w:bookmarkEnd w:id="21"/>
    </w:p>
    <w:p w14:paraId="2CD591F8">
      <w:pPr>
        <w:spacing w:line="580" w:lineRule="exact"/>
        <w:ind w:firstLine="640"/>
        <w:rPr>
          <w:rFonts w:hint="eastAsia" w:ascii="Times New Roman" w:hAnsi="Times New Roman" w:eastAsia="仿宋_GB2312" w:cs="Times New Roman"/>
          <w:color w:val="auto"/>
          <w:kern w:val="2"/>
          <w:sz w:val="32"/>
          <w:szCs w:val="32"/>
          <w:highlight w:val="none"/>
          <w:lang w:val="en-US" w:eastAsia="zh-CN" w:bidi="ar-SA"/>
        </w:rPr>
      </w:pPr>
      <w:bookmarkStart w:id="22" w:name="_Toc26596"/>
      <w:r>
        <w:rPr>
          <w:rFonts w:hint="eastAsia" w:ascii="Times New Roman" w:hAnsi="Times New Roman" w:eastAsia="仿宋_GB2312" w:cs="Times New Roman"/>
          <w:color w:val="auto"/>
          <w:kern w:val="2"/>
          <w:sz w:val="32"/>
          <w:szCs w:val="32"/>
          <w:highlight w:val="none"/>
          <w:lang w:val="en-US" w:eastAsia="zh-CN" w:bidi="ar-SA"/>
        </w:rPr>
        <w:t>3.业务工作经费项目支出绩效自评表</w:t>
      </w:r>
      <w:bookmarkEnd w:id="22"/>
      <w:bookmarkStart w:id="23" w:name="_Toc23756"/>
    </w:p>
    <w:p w14:paraId="13C95CB4">
      <w:pPr>
        <w:spacing w:line="580" w:lineRule="exact"/>
        <w:ind w:firstLine="64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4.</w:t>
      </w:r>
      <w:bookmarkEnd w:id="23"/>
      <w:r>
        <w:rPr>
          <w:rFonts w:hint="eastAsia" w:ascii="Times New Roman" w:hAnsi="Times New Roman" w:eastAsia="仿宋_GB2312" w:cs="Times New Roman"/>
          <w:color w:val="auto"/>
          <w:kern w:val="2"/>
          <w:sz w:val="32"/>
          <w:szCs w:val="32"/>
          <w:highlight w:val="none"/>
          <w:lang w:val="en-US" w:eastAsia="zh-CN" w:bidi="ar-SA"/>
        </w:rPr>
        <w:t>运行维护经费（其他运转类）项目支出绩效自评表</w:t>
      </w:r>
    </w:p>
    <w:p w14:paraId="4AC9A6F2">
      <w:pPr>
        <w:spacing w:line="580" w:lineRule="exact"/>
        <w:ind w:firstLine="64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5.其他事业发展资金项目支出绩效自评表</w:t>
      </w:r>
    </w:p>
    <w:p w14:paraId="287BC1FE">
      <w:pPr>
        <w:pStyle w:val="17"/>
        <w:jc w:val="center"/>
        <w:rPr>
          <w:color w:val="auto"/>
          <w:sz w:val="72"/>
          <w:szCs w:val="72"/>
          <w:highlight w:val="none"/>
        </w:rPr>
      </w:pPr>
    </w:p>
    <w:p w14:paraId="116BA69B">
      <w:pPr>
        <w:pStyle w:val="17"/>
        <w:jc w:val="center"/>
        <w:rPr>
          <w:color w:val="auto"/>
          <w:sz w:val="72"/>
          <w:szCs w:val="72"/>
          <w:highlight w:val="none"/>
        </w:rPr>
      </w:pPr>
    </w:p>
    <w:p w14:paraId="3894FAEB">
      <w:pPr>
        <w:jc w:val="left"/>
        <w:rPr>
          <w:rFonts w:cs="黑体" w:asciiTheme="minorEastAsia" w:hAnsiTheme="minorEastAsia"/>
          <w:color w:val="auto"/>
          <w:kern w:val="0"/>
          <w:sz w:val="32"/>
          <w:szCs w:val="32"/>
          <w:highlight w:val="none"/>
        </w:rPr>
        <w:sectPr>
          <w:pgSz w:w="11906" w:h="16838"/>
          <w:pgMar w:top="720" w:right="720" w:bottom="720" w:left="720" w:header="851" w:footer="992" w:gutter="0"/>
          <w:cols w:space="425" w:num="1"/>
          <w:docGrid w:type="linesAndChars" w:linePitch="312" w:charSpace="0"/>
        </w:sectPr>
      </w:pPr>
    </w:p>
    <w:tbl>
      <w:tblPr>
        <w:tblStyle w:val="12"/>
        <w:tblW w:w="98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250"/>
        <w:gridCol w:w="1090"/>
        <w:gridCol w:w="1090"/>
        <w:gridCol w:w="1090"/>
        <w:gridCol w:w="1090"/>
        <w:gridCol w:w="1090"/>
        <w:gridCol w:w="1188"/>
      </w:tblGrid>
      <w:tr w14:paraId="7D0B5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50" w:type="dxa"/>
            <w:tcBorders>
              <w:top w:val="nil"/>
              <w:left w:val="nil"/>
              <w:bottom w:val="nil"/>
              <w:right w:val="nil"/>
            </w:tcBorders>
            <w:shd w:val="clear" w:color="auto" w:fill="auto"/>
            <w:noWrap/>
            <w:tcMar>
              <w:top w:w="10" w:type="dxa"/>
              <w:left w:w="10" w:type="dxa"/>
              <w:right w:w="10" w:type="dxa"/>
            </w:tcMar>
            <w:vAlign w:val="center"/>
          </w:tcPr>
          <w:p w14:paraId="2F69B7FC">
            <w:pPr>
              <w:keepNext w:val="0"/>
              <w:keepLines w:val="0"/>
              <w:widowControl/>
              <w:suppressLineNumbers w:val="0"/>
              <w:jc w:val="left"/>
              <w:textAlignment w:val="center"/>
              <w:rPr>
                <w:rFonts w:ascii="黑体" w:hAnsi="宋体" w:eastAsia="黑体" w:cs="黑体"/>
                <w:i w:val="0"/>
                <w:color w:val="auto"/>
                <w:sz w:val="30"/>
                <w:szCs w:val="30"/>
                <w:highlight w:val="none"/>
                <w:u w:val="none"/>
              </w:rPr>
            </w:pPr>
            <w:r>
              <w:rPr>
                <w:rFonts w:hint="eastAsia" w:ascii="黑体" w:hAnsi="宋体" w:eastAsia="黑体" w:cs="黑体"/>
                <w:i w:val="0"/>
                <w:color w:val="auto"/>
                <w:kern w:val="0"/>
                <w:sz w:val="30"/>
                <w:szCs w:val="30"/>
                <w:highlight w:val="none"/>
                <w:u w:val="none"/>
                <w:lang w:val="en-US" w:eastAsia="zh-CN" w:bidi="ar"/>
              </w:rPr>
              <w:t>附件1</w:t>
            </w:r>
          </w:p>
        </w:tc>
        <w:tc>
          <w:tcPr>
            <w:tcW w:w="1090" w:type="dxa"/>
            <w:tcBorders>
              <w:top w:val="nil"/>
              <w:left w:val="nil"/>
              <w:bottom w:val="nil"/>
              <w:right w:val="nil"/>
            </w:tcBorders>
            <w:shd w:val="clear" w:color="auto" w:fill="auto"/>
            <w:noWrap/>
            <w:tcMar>
              <w:top w:w="10" w:type="dxa"/>
              <w:left w:w="10" w:type="dxa"/>
              <w:right w:w="10" w:type="dxa"/>
            </w:tcMar>
            <w:vAlign w:val="center"/>
          </w:tcPr>
          <w:p w14:paraId="607BB0F3">
            <w:pPr>
              <w:rPr>
                <w:rFonts w:hint="eastAsia" w:ascii="宋体" w:hAnsi="宋体" w:eastAsia="宋体" w:cs="宋体"/>
                <w:i w:val="0"/>
                <w:color w:val="auto"/>
                <w:sz w:val="24"/>
                <w:szCs w:val="24"/>
                <w:highlight w:val="none"/>
                <w:u w:val="none"/>
              </w:rPr>
            </w:pPr>
          </w:p>
        </w:tc>
        <w:tc>
          <w:tcPr>
            <w:tcW w:w="1090" w:type="dxa"/>
            <w:tcBorders>
              <w:top w:val="nil"/>
              <w:left w:val="nil"/>
              <w:bottom w:val="nil"/>
              <w:right w:val="nil"/>
            </w:tcBorders>
            <w:shd w:val="clear" w:color="auto" w:fill="auto"/>
            <w:noWrap/>
            <w:tcMar>
              <w:top w:w="10" w:type="dxa"/>
              <w:left w:w="10" w:type="dxa"/>
              <w:right w:w="10" w:type="dxa"/>
            </w:tcMar>
            <w:vAlign w:val="center"/>
          </w:tcPr>
          <w:p w14:paraId="2608C681">
            <w:pPr>
              <w:rPr>
                <w:rFonts w:hint="eastAsia" w:ascii="宋体" w:hAnsi="宋体" w:eastAsia="宋体" w:cs="宋体"/>
                <w:i w:val="0"/>
                <w:color w:val="auto"/>
                <w:sz w:val="24"/>
                <w:szCs w:val="24"/>
                <w:highlight w:val="none"/>
                <w:u w:val="none"/>
              </w:rPr>
            </w:pPr>
          </w:p>
        </w:tc>
        <w:tc>
          <w:tcPr>
            <w:tcW w:w="1090" w:type="dxa"/>
            <w:tcBorders>
              <w:top w:val="nil"/>
              <w:left w:val="nil"/>
              <w:bottom w:val="nil"/>
              <w:right w:val="nil"/>
            </w:tcBorders>
            <w:shd w:val="clear" w:color="auto" w:fill="auto"/>
            <w:noWrap/>
            <w:tcMar>
              <w:top w:w="10" w:type="dxa"/>
              <w:left w:w="10" w:type="dxa"/>
              <w:right w:w="10" w:type="dxa"/>
            </w:tcMar>
            <w:vAlign w:val="center"/>
          </w:tcPr>
          <w:p w14:paraId="53BA4454">
            <w:pPr>
              <w:rPr>
                <w:rFonts w:hint="eastAsia" w:ascii="宋体" w:hAnsi="宋体" w:eastAsia="宋体" w:cs="宋体"/>
                <w:i w:val="0"/>
                <w:color w:val="auto"/>
                <w:sz w:val="24"/>
                <w:szCs w:val="24"/>
                <w:highlight w:val="none"/>
                <w:u w:val="none"/>
              </w:rPr>
            </w:pPr>
          </w:p>
        </w:tc>
        <w:tc>
          <w:tcPr>
            <w:tcW w:w="1090" w:type="dxa"/>
            <w:tcBorders>
              <w:top w:val="nil"/>
              <w:left w:val="nil"/>
              <w:bottom w:val="nil"/>
              <w:right w:val="nil"/>
            </w:tcBorders>
            <w:shd w:val="clear" w:color="auto" w:fill="auto"/>
            <w:noWrap/>
            <w:tcMar>
              <w:top w:w="10" w:type="dxa"/>
              <w:left w:w="10" w:type="dxa"/>
              <w:right w:w="10" w:type="dxa"/>
            </w:tcMar>
            <w:vAlign w:val="center"/>
          </w:tcPr>
          <w:p w14:paraId="5E799D60">
            <w:pPr>
              <w:rPr>
                <w:rFonts w:hint="eastAsia" w:ascii="宋体" w:hAnsi="宋体" w:eastAsia="宋体" w:cs="宋体"/>
                <w:i w:val="0"/>
                <w:color w:val="auto"/>
                <w:sz w:val="24"/>
                <w:szCs w:val="24"/>
                <w:highlight w:val="none"/>
                <w:u w:val="none"/>
              </w:rPr>
            </w:pPr>
          </w:p>
        </w:tc>
        <w:tc>
          <w:tcPr>
            <w:tcW w:w="1090" w:type="dxa"/>
            <w:tcBorders>
              <w:top w:val="nil"/>
              <w:left w:val="nil"/>
              <w:bottom w:val="nil"/>
              <w:right w:val="nil"/>
            </w:tcBorders>
            <w:shd w:val="clear" w:color="auto" w:fill="auto"/>
            <w:noWrap/>
            <w:tcMar>
              <w:top w:w="10" w:type="dxa"/>
              <w:left w:w="10" w:type="dxa"/>
              <w:right w:w="10" w:type="dxa"/>
            </w:tcMar>
            <w:vAlign w:val="center"/>
          </w:tcPr>
          <w:p w14:paraId="41757373">
            <w:pPr>
              <w:rPr>
                <w:rFonts w:hint="eastAsia" w:ascii="宋体" w:hAnsi="宋体" w:eastAsia="宋体" w:cs="宋体"/>
                <w:i w:val="0"/>
                <w:color w:val="auto"/>
                <w:sz w:val="24"/>
                <w:szCs w:val="24"/>
                <w:highlight w:val="none"/>
                <w:u w:val="none"/>
              </w:rPr>
            </w:pPr>
          </w:p>
        </w:tc>
        <w:tc>
          <w:tcPr>
            <w:tcW w:w="1188" w:type="dxa"/>
            <w:tcBorders>
              <w:top w:val="nil"/>
              <w:left w:val="nil"/>
              <w:bottom w:val="nil"/>
              <w:right w:val="nil"/>
            </w:tcBorders>
            <w:shd w:val="clear" w:color="auto" w:fill="auto"/>
            <w:noWrap/>
            <w:tcMar>
              <w:top w:w="10" w:type="dxa"/>
              <w:left w:w="10" w:type="dxa"/>
              <w:right w:w="10" w:type="dxa"/>
            </w:tcMar>
            <w:vAlign w:val="center"/>
          </w:tcPr>
          <w:p w14:paraId="458DBB45">
            <w:pPr>
              <w:rPr>
                <w:rFonts w:hint="eastAsia" w:ascii="宋体" w:hAnsi="宋体" w:eastAsia="宋体" w:cs="宋体"/>
                <w:i w:val="0"/>
                <w:color w:val="auto"/>
                <w:sz w:val="24"/>
                <w:szCs w:val="24"/>
                <w:highlight w:val="none"/>
                <w:u w:val="none"/>
              </w:rPr>
            </w:pPr>
          </w:p>
        </w:tc>
      </w:tr>
      <w:tr w14:paraId="4CE3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9888" w:type="dxa"/>
            <w:gridSpan w:val="7"/>
            <w:tcBorders>
              <w:top w:val="nil"/>
              <w:left w:val="nil"/>
              <w:bottom w:val="nil"/>
              <w:right w:val="nil"/>
            </w:tcBorders>
            <w:shd w:val="clear" w:color="auto" w:fill="auto"/>
            <w:noWrap/>
            <w:tcMar>
              <w:top w:w="10" w:type="dxa"/>
              <w:left w:w="10" w:type="dxa"/>
              <w:right w:w="10" w:type="dxa"/>
            </w:tcMar>
            <w:vAlign w:val="center"/>
          </w:tcPr>
          <w:p w14:paraId="162C17D5">
            <w:pPr>
              <w:keepNext w:val="0"/>
              <w:keepLines w:val="0"/>
              <w:widowControl/>
              <w:suppressLineNumbers w:val="0"/>
              <w:jc w:val="center"/>
              <w:textAlignment w:val="center"/>
              <w:rPr>
                <w:rFonts w:ascii="方正大标宋简体" w:hAnsi="方正大标宋简体" w:eastAsia="方正大标宋简体" w:cs="方正大标宋简体"/>
                <w:i w:val="0"/>
                <w:color w:val="auto"/>
                <w:sz w:val="40"/>
                <w:szCs w:val="40"/>
                <w:highlight w:val="none"/>
                <w:u w:val="none"/>
              </w:rPr>
            </w:pPr>
            <w:r>
              <w:rPr>
                <w:rFonts w:hint="default" w:ascii="方正大标宋简体" w:hAnsi="方正大标宋简体" w:eastAsia="方正大标宋简体" w:cs="方正大标宋简体"/>
                <w:i w:val="0"/>
                <w:color w:val="auto"/>
                <w:kern w:val="0"/>
                <w:sz w:val="40"/>
                <w:szCs w:val="40"/>
                <w:highlight w:val="none"/>
                <w:u w:val="none"/>
                <w:lang w:val="en-US" w:eastAsia="zh-CN" w:bidi="ar"/>
              </w:rPr>
              <w:t>2023年度部门整体支出绩效评价基础数据表</w:t>
            </w:r>
          </w:p>
        </w:tc>
      </w:tr>
      <w:tr w14:paraId="6DC1A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E26643">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财政供养人员情况</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FA6C3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编制数</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1CB65F">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2023</w:t>
            </w:r>
            <w:r>
              <w:rPr>
                <w:rStyle w:val="23"/>
                <w:color w:val="auto"/>
                <w:highlight w:val="none"/>
                <w:lang w:val="en-US" w:eastAsia="zh-CN" w:bidi="ar"/>
              </w:rPr>
              <w:t>年实际在职人数</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26712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控制率</w:t>
            </w:r>
          </w:p>
        </w:tc>
      </w:tr>
      <w:tr w14:paraId="35528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B8799E">
            <w:pPr>
              <w:jc w:val="center"/>
              <w:rPr>
                <w:rFonts w:hint="eastAsia" w:ascii="宋体" w:hAnsi="宋体" w:eastAsia="宋体" w:cs="宋体"/>
                <w:i w:val="0"/>
                <w:color w:val="auto"/>
                <w:sz w:val="20"/>
                <w:szCs w:val="20"/>
                <w:highlight w:val="none"/>
                <w:u w:val="none"/>
              </w:rPr>
            </w:pP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2F2197">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1602</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DAB48F">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1459</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5D4C0A">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91%</w:t>
            </w:r>
          </w:p>
        </w:tc>
      </w:tr>
      <w:tr w14:paraId="13128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B6980E">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经费控制情况</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38A109">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2022</w:t>
            </w:r>
            <w:r>
              <w:rPr>
                <w:rStyle w:val="24"/>
                <w:color w:val="auto"/>
                <w:highlight w:val="none"/>
                <w:lang w:val="en-US" w:eastAsia="zh-CN" w:bidi="ar"/>
              </w:rPr>
              <w:t>年决算数</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CFB41E">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2023</w:t>
            </w:r>
            <w:r>
              <w:rPr>
                <w:rStyle w:val="24"/>
                <w:color w:val="auto"/>
                <w:highlight w:val="none"/>
                <w:lang w:val="en-US" w:eastAsia="zh-CN" w:bidi="ar"/>
              </w:rPr>
              <w:t>年预算数</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820587">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2023</w:t>
            </w:r>
            <w:r>
              <w:rPr>
                <w:rStyle w:val="24"/>
                <w:color w:val="auto"/>
                <w:highlight w:val="none"/>
                <w:lang w:val="en-US" w:eastAsia="zh-CN" w:bidi="ar"/>
              </w:rPr>
              <w:t>年决算数</w:t>
            </w:r>
          </w:p>
        </w:tc>
      </w:tr>
      <w:tr w14:paraId="68109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DB14B5">
            <w:pPr>
              <w:keepNext w:val="0"/>
              <w:keepLines w:val="0"/>
              <w:widowControl/>
              <w:suppressLineNumbers w:val="0"/>
              <w:jc w:val="left"/>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三公经费</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7BDFC5">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319.61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A43A7E">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501.88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64FFCA">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359.46 </w:t>
            </w:r>
          </w:p>
        </w:tc>
      </w:tr>
      <w:tr w14:paraId="355E1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463E74">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1.</w:t>
            </w:r>
            <w:r>
              <w:rPr>
                <w:rStyle w:val="25"/>
                <w:color w:val="auto"/>
                <w:highlight w:val="none"/>
                <w:lang w:val="en-US" w:eastAsia="zh-CN" w:bidi="ar"/>
              </w:rPr>
              <w:t>公务用车购置和维护经费</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4B1083">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292.96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79344F">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266.48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BB40D3">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239.01 </w:t>
            </w:r>
          </w:p>
        </w:tc>
      </w:tr>
      <w:tr w14:paraId="41955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9F242B">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w:t>
            </w:r>
            <w:r>
              <w:rPr>
                <w:rStyle w:val="25"/>
                <w:color w:val="auto"/>
                <w:highlight w:val="none"/>
                <w:lang w:val="en-US" w:eastAsia="zh-CN" w:bidi="ar"/>
              </w:rPr>
              <w:t>其中：公车购置</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764F3C">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92.35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B9121C">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49.58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4DB93E">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49.51 </w:t>
            </w:r>
          </w:p>
        </w:tc>
      </w:tr>
      <w:tr w14:paraId="32BD5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705966">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w:t>
            </w:r>
            <w:r>
              <w:rPr>
                <w:rStyle w:val="25"/>
                <w:color w:val="auto"/>
                <w:highlight w:val="none"/>
                <w:lang w:val="en-US" w:eastAsia="zh-CN" w:bidi="ar"/>
              </w:rPr>
              <w:t>公车运行维护</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7FAEBD">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200.61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E559E0">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216.90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50276E">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189.50 </w:t>
            </w:r>
          </w:p>
        </w:tc>
      </w:tr>
      <w:tr w14:paraId="3CB20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94700C">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2.</w:t>
            </w:r>
            <w:r>
              <w:rPr>
                <w:rStyle w:val="25"/>
                <w:color w:val="auto"/>
                <w:highlight w:val="none"/>
                <w:lang w:val="en-US" w:eastAsia="zh-CN" w:bidi="ar"/>
              </w:rPr>
              <w:t>出国经费</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853150">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E8EC9D">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111.00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823F2B">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87.86 </w:t>
            </w:r>
          </w:p>
        </w:tc>
      </w:tr>
      <w:tr w14:paraId="234CB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854C53">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3.</w:t>
            </w:r>
            <w:r>
              <w:rPr>
                <w:rStyle w:val="25"/>
                <w:color w:val="auto"/>
                <w:highlight w:val="none"/>
                <w:lang w:val="en-US" w:eastAsia="zh-CN" w:bidi="ar"/>
              </w:rPr>
              <w:t>公务接待</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AD2546">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26.65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F9EE32">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124.40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C343E5">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32.59 </w:t>
            </w:r>
          </w:p>
        </w:tc>
      </w:tr>
      <w:tr w14:paraId="36817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4D464C">
            <w:pPr>
              <w:keepNext w:val="0"/>
              <w:keepLines w:val="0"/>
              <w:widowControl/>
              <w:suppressLineNumbers w:val="0"/>
              <w:jc w:val="left"/>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项目支出：</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218E78">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58,629.62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6C9042">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55,582.81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057AAD">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35,702.91 </w:t>
            </w:r>
          </w:p>
        </w:tc>
      </w:tr>
      <w:tr w14:paraId="19C2B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7B7333">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1</w:t>
            </w:r>
            <w:r>
              <w:rPr>
                <w:rStyle w:val="25"/>
                <w:color w:val="auto"/>
                <w:highlight w:val="none"/>
                <w:lang w:val="en-US" w:eastAsia="zh-CN" w:bidi="ar"/>
              </w:rPr>
              <w:t>.业务工作经费</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1BAF05">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2,673.52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5CC6CC">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3,094.72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E897BA">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2,592.46 </w:t>
            </w:r>
          </w:p>
        </w:tc>
      </w:tr>
      <w:tr w14:paraId="2357D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C7868C">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2.</w:t>
            </w:r>
            <w:r>
              <w:rPr>
                <w:rStyle w:val="25"/>
                <w:color w:val="auto"/>
                <w:highlight w:val="none"/>
                <w:lang w:val="en-US" w:eastAsia="zh-CN" w:bidi="ar"/>
              </w:rPr>
              <w:t>运行维护经费（其他运转类）</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3A041E">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939.57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3F546E">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1,560.51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0C12A2">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1,229.15 </w:t>
            </w:r>
          </w:p>
        </w:tc>
      </w:tr>
      <w:tr w14:paraId="544E4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FF7A68">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3.</w:t>
            </w:r>
            <w:r>
              <w:rPr>
                <w:rStyle w:val="25"/>
                <w:color w:val="auto"/>
                <w:highlight w:val="none"/>
                <w:lang w:val="en-US" w:eastAsia="zh-CN" w:bidi="ar"/>
              </w:rPr>
              <w:t>其他事业发展资金</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9EA9B5">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28,783.26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F6C055">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31,091.04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62DDCE">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15,535.12 </w:t>
            </w:r>
          </w:p>
        </w:tc>
      </w:tr>
      <w:tr w14:paraId="201BC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8CDC41">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4.</w:t>
            </w:r>
            <w:r>
              <w:rPr>
                <w:rStyle w:val="25"/>
                <w:color w:val="auto"/>
                <w:highlight w:val="none"/>
                <w:lang w:val="en-US" w:eastAsia="zh-CN" w:bidi="ar"/>
              </w:rPr>
              <w:t>省级专项资金：</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20A063">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21,051.28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ECF449">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19,811.54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FB7CAF">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16,321.18 </w:t>
            </w:r>
          </w:p>
        </w:tc>
      </w:tr>
      <w:tr w14:paraId="1F5B0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8DCD55">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5.</w:t>
            </w:r>
            <w:r>
              <w:rPr>
                <w:rStyle w:val="25"/>
                <w:color w:val="auto"/>
                <w:highlight w:val="none"/>
                <w:lang w:val="en-US" w:eastAsia="zh-CN" w:bidi="ar"/>
              </w:rPr>
              <w:t>其他</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BAB009">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5,181.99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C91B62">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25.00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0D747A">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25.00 </w:t>
            </w:r>
          </w:p>
        </w:tc>
      </w:tr>
      <w:tr w14:paraId="44D23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77C47D">
            <w:pPr>
              <w:keepNext w:val="0"/>
              <w:keepLines w:val="0"/>
              <w:widowControl/>
              <w:suppressLineNumbers w:val="0"/>
              <w:jc w:val="left"/>
              <w:textAlignment w:val="center"/>
              <w:rPr>
                <w:rFonts w:hint="default" w:ascii="Times New Roman" w:hAnsi="Times New Roman" w:eastAsia="宋体" w:cs="Times New Roman"/>
                <w:b/>
                <w:i w:val="0"/>
                <w:color w:val="auto"/>
                <w:sz w:val="20"/>
                <w:szCs w:val="20"/>
                <w:highlight w:val="none"/>
                <w:u w:val="none"/>
              </w:rPr>
            </w:pPr>
            <w:r>
              <w:rPr>
                <w:rFonts w:hint="default" w:ascii="Times New Roman" w:hAnsi="Times New Roman" w:eastAsia="宋体" w:cs="Times New Roman"/>
                <w:b/>
                <w:i w:val="0"/>
                <w:color w:val="auto"/>
                <w:kern w:val="0"/>
                <w:sz w:val="20"/>
                <w:szCs w:val="20"/>
                <w:highlight w:val="none"/>
                <w:u w:val="none"/>
                <w:lang w:val="en-US" w:eastAsia="zh-CN" w:bidi="ar"/>
              </w:rPr>
              <w:t xml:space="preserve"> </w:t>
            </w:r>
            <w:r>
              <w:rPr>
                <w:rStyle w:val="26"/>
                <w:color w:val="auto"/>
                <w:highlight w:val="none"/>
                <w:lang w:val="en-US" w:eastAsia="zh-CN" w:bidi="ar"/>
              </w:rPr>
              <w:t>事业单位经营支出</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16F95D">
            <w:pPr>
              <w:jc w:val="center"/>
              <w:rPr>
                <w:rFonts w:hint="default" w:ascii="Times New Roman" w:hAnsi="Times New Roman" w:eastAsia="宋体" w:cs="Times New Roman"/>
                <w:b/>
                <w:i w:val="0"/>
                <w:color w:val="auto"/>
                <w:sz w:val="22"/>
                <w:szCs w:val="22"/>
                <w:highlight w:val="none"/>
                <w:u w:val="none"/>
              </w:rPr>
            </w:pP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5E6A86">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445.00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09A0BC">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488.37 </w:t>
            </w:r>
          </w:p>
        </w:tc>
      </w:tr>
      <w:tr w14:paraId="571FB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4D53A8">
            <w:pPr>
              <w:keepNext w:val="0"/>
              <w:keepLines w:val="0"/>
              <w:widowControl/>
              <w:suppressLineNumbers w:val="0"/>
              <w:jc w:val="left"/>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公用经费</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58F25E">
            <w:pPr>
              <w:keepNext w:val="0"/>
              <w:keepLines w:val="0"/>
              <w:widowControl/>
              <w:suppressLineNumbers w:val="0"/>
              <w:jc w:val="right"/>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5,306.94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EE3C53">
            <w:pPr>
              <w:keepNext w:val="0"/>
              <w:keepLines w:val="0"/>
              <w:widowControl/>
              <w:suppressLineNumbers w:val="0"/>
              <w:jc w:val="right"/>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5,062.87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61BF4F">
            <w:pPr>
              <w:keepNext w:val="0"/>
              <w:keepLines w:val="0"/>
              <w:widowControl/>
              <w:suppressLineNumbers w:val="0"/>
              <w:jc w:val="right"/>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4,610.85 </w:t>
            </w:r>
          </w:p>
        </w:tc>
      </w:tr>
      <w:tr w14:paraId="27E92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842DB1">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w:t>
            </w:r>
            <w:r>
              <w:rPr>
                <w:rStyle w:val="25"/>
                <w:color w:val="auto"/>
                <w:highlight w:val="none"/>
                <w:lang w:val="en-US" w:eastAsia="zh-CN" w:bidi="ar"/>
              </w:rPr>
              <w:t>其中：办公费、印刷费</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0DD468">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313.30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0E7EE8">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335.25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55321B">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331.49 </w:t>
            </w:r>
          </w:p>
        </w:tc>
      </w:tr>
      <w:tr w14:paraId="5AF0E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97A0C9">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w:t>
            </w:r>
            <w:r>
              <w:rPr>
                <w:rStyle w:val="25"/>
                <w:color w:val="auto"/>
                <w:highlight w:val="none"/>
                <w:lang w:val="en-US" w:eastAsia="zh-CN" w:bidi="ar"/>
              </w:rPr>
              <w:t>水费、电费、差旅费</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F8F144">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827.59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860CB0">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735.20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CE5D1A">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730.84 </w:t>
            </w:r>
          </w:p>
        </w:tc>
      </w:tr>
      <w:tr w14:paraId="53021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DCA659">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 xml:space="preserve">                  </w:t>
            </w:r>
            <w:r>
              <w:rPr>
                <w:rStyle w:val="25"/>
                <w:color w:val="auto"/>
                <w:highlight w:val="none"/>
                <w:lang w:val="en-US" w:eastAsia="zh-CN" w:bidi="ar"/>
              </w:rPr>
              <w:t>会议费、培训费</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00CFA5">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114.51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2C8BC3">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151.33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7D726E">
            <w:pPr>
              <w:keepNext w:val="0"/>
              <w:keepLines w:val="0"/>
              <w:widowControl/>
              <w:suppressLineNumbers w:val="0"/>
              <w:jc w:val="center"/>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52.32 </w:t>
            </w:r>
          </w:p>
        </w:tc>
      </w:tr>
      <w:tr w14:paraId="3C16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F9A405">
            <w:pPr>
              <w:keepNext w:val="0"/>
              <w:keepLines w:val="0"/>
              <w:widowControl/>
              <w:suppressLineNumbers w:val="0"/>
              <w:jc w:val="left"/>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政府采购金额</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97199B">
            <w:pPr>
              <w:keepNext w:val="0"/>
              <w:keepLines w:val="0"/>
              <w:widowControl/>
              <w:suppressLineNumbers w:val="0"/>
              <w:jc w:val="right"/>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33,510.58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21C168">
            <w:pPr>
              <w:keepNext w:val="0"/>
              <w:keepLines w:val="0"/>
              <w:widowControl/>
              <w:suppressLineNumbers w:val="0"/>
              <w:jc w:val="center"/>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21,773.73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DF1821">
            <w:pPr>
              <w:keepNext w:val="0"/>
              <w:keepLines w:val="0"/>
              <w:widowControl/>
              <w:suppressLineNumbers w:val="0"/>
              <w:jc w:val="right"/>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21,773.73 </w:t>
            </w:r>
          </w:p>
        </w:tc>
      </w:tr>
      <w:tr w14:paraId="2C60A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1D3C31">
            <w:pPr>
              <w:keepNext w:val="0"/>
              <w:keepLines w:val="0"/>
              <w:widowControl/>
              <w:suppressLineNumbers w:val="0"/>
              <w:jc w:val="left"/>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部门整体支出预算调整</w:t>
            </w:r>
            <w:r>
              <w:rPr>
                <w:rStyle w:val="27"/>
                <w:rFonts w:eastAsia="宋体"/>
                <w:color w:val="auto"/>
                <w:highlight w:val="none"/>
                <w:lang w:val="en-US" w:eastAsia="zh-CN" w:bidi="ar"/>
              </w:rPr>
              <w:t xml:space="preserve">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5CCF5D">
            <w:pPr>
              <w:keepNext w:val="0"/>
              <w:keepLines w:val="0"/>
              <w:widowControl/>
              <w:suppressLineNumbers w:val="0"/>
              <w:jc w:val="right"/>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 </w:t>
            </w:r>
          </w:p>
        </w:tc>
        <w:tc>
          <w:tcPr>
            <w:tcW w:w="218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EE7208">
            <w:pPr>
              <w:keepNext w:val="0"/>
              <w:keepLines w:val="0"/>
              <w:widowControl/>
              <w:suppressLineNumbers w:val="0"/>
              <w:jc w:val="right"/>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   </w:t>
            </w:r>
          </w:p>
        </w:tc>
        <w:tc>
          <w:tcPr>
            <w:tcW w:w="22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78B1E8">
            <w:pPr>
              <w:keepNext w:val="0"/>
              <w:keepLines w:val="0"/>
              <w:widowControl/>
              <w:suppressLineNumbers w:val="0"/>
              <w:jc w:val="right"/>
              <w:textAlignment w:val="center"/>
              <w:rPr>
                <w:rFonts w:hint="default" w:ascii="Times New Roman" w:hAnsi="Times New Roman" w:eastAsia="宋体" w:cs="Times New Roman"/>
                <w:b/>
                <w:i w:val="0"/>
                <w:color w:val="auto"/>
                <w:sz w:val="22"/>
                <w:szCs w:val="22"/>
                <w:highlight w:val="none"/>
                <w:u w:val="none"/>
              </w:rPr>
            </w:pPr>
            <w:r>
              <w:rPr>
                <w:rFonts w:hint="default" w:ascii="Times New Roman" w:hAnsi="Times New Roman" w:eastAsia="宋体" w:cs="Times New Roman"/>
                <w:b/>
                <w:i w:val="0"/>
                <w:color w:val="auto"/>
                <w:kern w:val="0"/>
                <w:sz w:val="22"/>
                <w:szCs w:val="22"/>
                <w:highlight w:val="none"/>
                <w:u w:val="none"/>
                <w:lang w:val="en-US" w:eastAsia="zh-CN" w:bidi="ar"/>
              </w:rPr>
              <w:t xml:space="preserve"> 24,562.89 </w:t>
            </w:r>
          </w:p>
        </w:tc>
      </w:tr>
      <w:tr w14:paraId="0C6B1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4F8165">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 xml:space="preserve">楼堂馆所控制情况 </w:t>
            </w:r>
          </w:p>
          <w:p w14:paraId="7CE0EC19">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（2023年完工项目）      </w:t>
            </w:r>
          </w:p>
        </w:tc>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F2AC2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批复规模（㎡）</w:t>
            </w:r>
          </w:p>
        </w:tc>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0C889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实际规模（㎡）</w:t>
            </w:r>
          </w:p>
        </w:tc>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FC3B5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规模控制率</w:t>
            </w:r>
          </w:p>
        </w:tc>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6DD11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预算投资（万元）</w:t>
            </w:r>
          </w:p>
        </w:tc>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12C32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实际投资（万元）</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BA652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投资概算控制率</w:t>
            </w:r>
          </w:p>
        </w:tc>
      </w:tr>
      <w:tr w14:paraId="0A3D8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9B2F78">
            <w:pPr>
              <w:jc w:val="center"/>
              <w:rPr>
                <w:rFonts w:hint="eastAsia" w:ascii="宋体" w:hAnsi="宋体" w:eastAsia="宋体" w:cs="宋体"/>
                <w:i w:val="0"/>
                <w:color w:val="auto"/>
                <w:sz w:val="20"/>
                <w:szCs w:val="20"/>
                <w:highlight w:val="none"/>
                <w:u w:val="none"/>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10F90E">
            <w:pPr>
              <w:jc w:val="center"/>
              <w:rPr>
                <w:rFonts w:hint="eastAsia" w:ascii="宋体" w:hAnsi="宋体" w:eastAsia="宋体" w:cs="宋体"/>
                <w:i w:val="0"/>
                <w:color w:val="auto"/>
                <w:sz w:val="22"/>
                <w:szCs w:val="22"/>
                <w:highlight w:val="none"/>
                <w:u w:val="none"/>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EF12B8">
            <w:pPr>
              <w:jc w:val="center"/>
              <w:rPr>
                <w:rFonts w:hint="eastAsia" w:ascii="宋体" w:hAnsi="宋体" w:eastAsia="宋体" w:cs="宋体"/>
                <w:i w:val="0"/>
                <w:color w:val="auto"/>
                <w:sz w:val="22"/>
                <w:szCs w:val="22"/>
                <w:highlight w:val="none"/>
                <w:u w:val="none"/>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D8E85B">
            <w:pPr>
              <w:jc w:val="center"/>
              <w:rPr>
                <w:rFonts w:hint="eastAsia" w:ascii="宋体" w:hAnsi="宋体" w:eastAsia="宋体" w:cs="宋体"/>
                <w:i w:val="0"/>
                <w:color w:val="auto"/>
                <w:sz w:val="22"/>
                <w:szCs w:val="22"/>
                <w:highlight w:val="none"/>
                <w:u w:val="none"/>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CB2C19">
            <w:pPr>
              <w:jc w:val="center"/>
              <w:rPr>
                <w:rFonts w:hint="eastAsia" w:ascii="宋体" w:hAnsi="宋体" w:eastAsia="宋体" w:cs="宋体"/>
                <w:i w:val="0"/>
                <w:color w:val="auto"/>
                <w:sz w:val="22"/>
                <w:szCs w:val="22"/>
                <w:highlight w:val="none"/>
                <w:u w:val="none"/>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664174">
            <w:pPr>
              <w:jc w:val="center"/>
              <w:rPr>
                <w:rFonts w:hint="eastAsia" w:ascii="宋体" w:hAnsi="宋体" w:eastAsia="宋体" w:cs="宋体"/>
                <w:i w:val="0"/>
                <w:color w:val="auto"/>
                <w:sz w:val="22"/>
                <w:szCs w:val="22"/>
                <w:highlight w:val="none"/>
                <w:u w:val="none"/>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09F2BF">
            <w:pPr>
              <w:jc w:val="center"/>
              <w:rPr>
                <w:rFonts w:hint="eastAsia" w:ascii="宋体" w:hAnsi="宋体" w:eastAsia="宋体" w:cs="宋体"/>
                <w:i w:val="0"/>
                <w:color w:val="auto"/>
                <w:sz w:val="22"/>
                <w:szCs w:val="22"/>
                <w:highlight w:val="none"/>
                <w:u w:val="none"/>
              </w:rPr>
            </w:pPr>
          </w:p>
        </w:tc>
      </w:tr>
      <w:tr w14:paraId="2B1CF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0399AA">
            <w:pPr>
              <w:jc w:val="center"/>
              <w:rPr>
                <w:rFonts w:hint="eastAsia" w:ascii="宋体" w:hAnsi="宋体" w:eastAsia="宋体" w:cs="宋体"/>
                <w:i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202D5C">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   </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D9E42A">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   </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BBBF63">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   </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95F6EE">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   </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B63465">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   </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C670E7">
            <w:pPr>
              <w:keepNext w:val="0"/>
              <w:keepLines w:val="0"/>
              <w:widowControl/>
              <w:suppressLineNumbers w:val="0"/>
              <w:jc w:val="right"/>
              <w:textAlignment w:val="center"/>
              <w:rPr>
                <w:rFonts w:hint="default" w:ascii="Times New Roman" w:hAnsi="Times New Roman" w:eastAsia="宋体" w:cs="Times New Roman"/>
                <w:i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 xml:space="preserve"> -   </w:t>
            </w:r>
          </w:p>
        </w:tc>
      </w:tr>
      <w:tr w14:paraId="6F9D2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0" w:hRule="atLeast"/>
        </w:trPr>
        <w:tc>
          <w:tcPr>
            <w:tcW w:w="32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1829C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厉行节约保障措施</w:t>
            </w:r>
          </w:p>
        </w:tc>
        <w:tc>
          <w:tcPr>
            <w:tcW w:w="6638"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440B84">
            <w:pPr>
              <w:keepNext w:val="0"/>
              <w:keepLines w:val="0"/>
              <w:widowControl/>
              <w:suppressLineNumbers w:val="0"/>
              <w:jc w:val="left"/>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1、加强项目管理，科学安排预算</w:t>
            </w:r>
          </w:p>
          <w:p w14:paraId="154A7799">
            <w:pPr>
              <w:keepNext w:val="0"/>
              <w:keepLines w:val="0"/>
              <w:widowControl/>
              <w:suppressLineNumbers w:val="0"/>
              <w:jc w:val="left"/>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贯彻落实上级过“紧日子”的要求，按照突出重点、集中力量办大事的原则，科学安排预算，将资金重点用于发展急需的重点领域。做好项目前期准备，建立项目动态调整机制，加强项目库管理，推进项目资金的使用效益。</w:t>
            </w:r>
          </w:p>
          <w:p w14:paraId="48513224">
            <w:pPr>
              <w:keepNext w:val="0"/>
              <w:keepLines w:val="0"/>
              <w:widowControl/>
              <w:suppressLineNumbers w:val="0"/>
              <w:jc w:val="left"/>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2、严格财务审核和监督</w:t>
            </w:r>
          </w:p>
          <w:p w14:paraId="5261354F">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加强财务审核和监督，从审核原始凭证入手，严格把关经费开支，严格落实报账审核流程操作，全年经费支出无重大不合规事项。严格规范单位公务支出行为，确保资金使用厉行节约、规范有效。</w:t>
            </w:r>
          </w:p>
        </w:tc>
      </w:tr>
      <w:tr w14:paraId="00CE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9888" w:type="dxa"/>
            <w:gridSpan w:val="7"/>
            <w:tcBorders>
              <w:top w:val="nil"/>
              <w:left w:val="nil"/>
              <w:bottom w:val="nil"/>
              <w:right w:val="nil"/>
            </w:tcBorders>
            <w:shd w:val="clear" w:color="auto" w:fill="auto"/>
            <w:tcMar>
              <w:top w:w="10" w:type="dxa"/>
              <w:left w:w="10" w:type="dxa"/>
              <w:right w:w="10" w:type="dxa"/>
            </w:tcMar>
            <w:vAlign w:val="center"/>
          </w:tcPr>
          <w:p w14:paraId="79626413">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说明：“项目支出”需要填报基本支出以外的所有项目支出情况，“公用经费”填报基本支出中的一般商品和服务支出。</w:t>
            </w:r>
          </w:p>
        </w:tc>
      </w:tr>
      <w:tr w14:paraId="14831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9888" w:type="dxa"/>
            <w:gridSpan w:val="7"/>
            <w:tcBorders>
              <w:top w:val="nil"/>
              <w:left w:val="nil"/>
              <w:bottom w:val="nil"/>
              <w:right w:val="nil"/>
            </w:tcBorders>
            <w:shd w:val="clear" w:color="auto" w:fill="auto"/>
            <w:noWrap/>
            <w:tcMar>
              <w:top w:w="10" w:type="dxa"/>
              <w:left w:w="10" w:type="dxa"/>
              <w:right w:w="10" w:type="dxa"/>
            </w:tcMar>
            <w:vAlign w:val="center"/>
          </w:tcPr>
          <w:p w14:paraId="44BBD321">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填表人：         填报日期：           联系电话：             单位负责人签字：</w:t>
            </w:r>
          </w:p>
        </w:tc>
      </w:tr>
    </w:tbl>
    <w:p w14:paraId="2FA56D63">
      <w:pPr>
        <w:pStyle w:val="2"/>
        <w:rPr>
          <w:color w:val="auto"/>
          <w:highlight w:val="none"/>
        </w:rPr>
        <w:sectPr>
          <w:pgSz w:w="11906" w:h="16838"/>
          <w:pgMar w:top="720" w:right="720" w:bottom="720" w:left="720" w:header="851" w:footer="992" w:gutter="0"/>
          <w:cols w:space="425" w:num="1"/>
          <w:docGrid w:type="linesAndChars" w:linePitch="312" w:charSpace="0"/>
        </w:sectPr>
      </w:pPr>
    </w:p>
    <w:tbl>
      <w:tblPr>
        <w:tblStyle w:val="12"/>
        <w:tblW w:w="153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5"/>
        <w:gridCol w:w="1215"/>
        <w:gridCol w:w="1263"/>
        <w:gridCol w:w="3108"/>
        <w:gridCol w:w="2527"/>
        <w:gridCol w:w="3140"/>
        <w:gridCol w:w="840"/>
        <w:gridCol w:w="1080"/>
        <w:gridCol w:w="1104"/>
      </w:tblGrid>
      <w:tr w14:paraId="3191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1095" w:type="dxa"/>
            <w:tcBorders>
              <w:top w:val="nil"/>
              <w:left w:val="nil"/>
              <w:bottom w:val="nil"/>
              <w:right w:val="nil"/>
            </w:tcBorders>
            <w:shd w:val="clear" w:color="auto" w:fill="auto"/>
            <w:noWrap/>
            <w:tcMar>
              <w:top w:w="10" w:type="dxa"/>
              <w:left w:w="10" w:type="dxa"/>
              <w:right w:w="10" w:type="dxa"/>
            </w:tcMar>
            <w:vAlign w:val="center"/>
          </w:tcPr>
          <w:p w14:paraId="756173F1">
            <w:pPr>
              <w:keepNext w:val="0"/>
              <w:keepLines w:val="0"/>
              <w:widowControl/>
              <w:suppressLineNumbers w:val="0"/>
              <w:jc w:val="left"/>
              <w:textAlignment w:val="center"/>
              <w:rPr>
                <w:rFonts w:ascii="黑体" w:hAnsi="宋体" w:eastAsia="黑体" w:cs="黑体"/>
                <w:i w:val="0"/>
                <w:color w:val="000000"/>
                <w:sz w:val="36"/>
                <w:szCs w:val="36"/>
                <w:u w:val="none"/>
              </w:rPr>
            </w:pPr>
            <w:r>
              <w:rPr>
                <w:rFonts w:hint="eastAsia" w:ascii="黑体" w:hAnsi="宋体" w:eastAsia="黑体" w:cs="黑体"/>
                <w:i w:val="0"/>
                <w:color w:val="000000"/>
                <w:kern w:val="0"/>
                <w:sz w:val="36"/>
                <w:szCs w:val="36"/>
                <w:u w:val="none"/>
                <w:lang w:val="en-US" w:eastAsia="zh-CN" w:bidi="ar"/>
              </w:rPr>
              <w:t>附件2</w:t>
            </w:r>
          </w:p>
        </w:tc>
        <w:tc>
          <w:tcPr>
            <w:tcW w:w="1215" w:type="dxa"/>
            <w:tcBorders>
              <w:top w:val="nil"/>
              <w:left w:val="nil"/>
              <w:bottom w:val="nil"/>
              <w:right w:val="nil"/>
            </w:tcBorders>
            <w:shd w:val="clear" w:color="auto" w:fill="auto"/>
            <w:noWrap/>
            <w:tcMar>
              <w:top w:w="10" w:type="dxa"/>
              <w:left w:w="10" w:type="dxa"/>
              <w:right w:w="10" w:type="dxa"/>
            </w:tcMar>
            <w:vAlign w:val="center"/>
          </w:tcPr>
          <w:p w14:paraId="65F58B28">
            <w:pPr>
              <w:keepNext w:val="0"/>
              <w:keepLines w:val="0"/>
              <w:widowControl/>
              <w:suppressLineNumbers w:val="0"/>
              <w:jc w:val="left"/>
              <w:textAlignment w:val="center"/>
              <w:rPr>
                <w:rFonts w:hint="eastAsia" w:ascii="黑体" w:hAnsi="宋体" w:eastAsia="黑体" w:cs="黑体"/>
                <w:i w:val="0"/>
                <w:color w:val="000000"/>
                <w:sz w:val="32"/>
                <w:szCs w:val="32"/>
                <w:u w:val="none"/>
              </w:rPr>
            </w:pPr>
          </w:p>
        </w:tc>
        <w:tc>
          <w:tcPr>
            <w:tcW w:w="1263" w:type="dxa"/>
            <w:tcBorders>
              <w:top w:val="nil"/>
              <w:left w:val="nil"/>
              <w:bottom w:val="nil"/>
              <w:right w:val="nil"/>
            </w:tcBorders>
            <w:shd w:val="clear" w:color="auto" w:fill="auto"/>
            <w:noWrap/>
            <w:tcMar>
              <w:top w:w="10" w:type="dxa"/>
              <w:left w:w="10" w:type="dxa"/>
              <w:right w:w="10" w:type="dxa"/>
            </w:tcMar>
            <w:vAlign w:val="center"/>
          </w:tcPr>
          <w:p w14:paraId="1DA1CB61">
            <w:pPr>
              <w:rPr>
                <w:rFonts w:hint="eastAsia" w:ascii="宋体" w:hAnsi="宋体" w:eastAsia="宋体" w:cs="宋体"/>
                <w:i w:val="0"/>
                <w:color w:val="000000"/>
                <w:sz w:val="24"/>
                <w:szCs w:val="24"/>
                <w:u w:val="none"/>
              </w:rPr>
            </w:pPr>
          </w:p>
        </w:tc>
        <w:tc>
          <w:tcPr>
            <w:tcW w:w="3108" w:type="dxa"/>
            <w:tcBorders>
              <w:top w:val="nil"/>
              <w:left w:val="nil"/>
              <w:bottom w:val="nil"/>
              <w:right w:val="nil"/>
            </w:tcBorders>
            <w:shd w:val="clear" w:color="auto" w:fill="auto"/>
            <w:noWrap/>
            <w:tcMar>
              <w:top w:w="10" w:type="dxa"/>
              <w:left w:w="10" w:type="dxa"/>
              <w:right w:w="10" w:type="dxa"/>
            </w:tcMar>
            <w:vAlign w:val="center"/>
          </w:tcPr>
          <w:p w14:paraId="63A845C1">
            <w:pPr>
              <w:rPr>
                <w:rFonts w:hint="eastAsia" w:ascii="宋体" w:hAnsi="宋体" w:eastAsia="宋体" w:cs="宋体"/>
                <w:i w:val="0"/>
                <w:color w:val="000000"/>
                <w:sz w:val="24"/>
                <w:szCs w:val="24"/>
                <w:u w:val="none"/>
              </w:rPr>
            </w:pPr>
          </w:p>
        </w:tc>
        <w:tc>
          <w:tcPr>
            <w:tcW w:w="2527" w:type="dxa"/>
            <w:tcBorders>
              <w:top w:val="nil"/>
              <w:left w:val="nil"/>
              <w:bottom w:val="nil"/>
              <w:right w:val="nil"/>
            </w:tcBorders>
            <w:shd w:val="clear" w:color="auto" w:fill="auto"/>
            <w:noWrap/>
            <w:tcMar>
              <w:top w:w="10" w:type="dxa"/>
              <w:left w:w="10" w:type="dxa"/>
              <w:right w:w="10" w:type="dxa"/>
            </w:tcMar>
            <w:vAlign w:val="center"/>
          </w:tcPr>
          <w:p w14:paraId="6C43024D">
            <w:pPr>
              <w:rPr>
                <w:rFonts w:hint="eastAsia" w:ascii="宋体" w:hAnsi="宋体" w:eastAsia="宋体" w:cs="宋体"/>
                <w:i w:val="0"/>
                <w:color w:val="000000"/>
                <w:sz w:val="24"/>
                <w:szCs w:val="24"/>
                <w:u w:val="none"/>
              </w:rPr>
            </w:pPr>
          </w:p>
        </w:tc>
        <w:tc>
          <w:tcPr>
            <w:tcW w:w="3140" w:type="dxa"/>
            <w:tcBorders>
              <w:top w:val="nil"/>
              <w:left w:val="nil"/>
              <w:bottom w:val="nil"/>
              <w:right w:val="nil"/>
            </w:tcBorders>
            <w:shd w:val="clear" w:color="auto" w:fill="auto"/>
            <w:noWrap/>
            <w:tcMar>
              <w:top w:w="10" w:type="dxa"/>
              <w:left w:w="10" w:type="dxa"/>
              <w:right w:w="10" w:type="dxa"/>
            </w:tcMar>
            <w:vAlign w:val="center"/>
          </w:tcPr>
          <w:p w14:paraId="61FC4968">
            <w:pPr>
              <w:rPr>
                <w:rFonts w:hint="eastAsia" w:ascii="宋体" w:hAnsi="宋体" w:eastAsia="宋体" w:cs="宋体"/>
                <w:i w:val="0"/>
                <w:color w:val="000000"/>
                <w:sz w:val="24"/>
                <w:szCs w:val="24"/>
                <w:u w:val="none"/>
              </w:rPr>
            </w:pPr>
          </w:p>
        </w:tc>
        <w:tc>
          <w:tcPr>
            <w:tcW w:w="840" w:type="dxa"/>
            <w:tcBorders>
              <w:top w:val="nil"/>
              <w:left w:val="nil"/>
              <w:bottom w:val="nil"/>
              <w:right w:val="nil"/>
            </w:tcBorders>
            <w:shd w:val="clear" w:color="auto" w:fill="auto"/>
            <w:noWrap/>
            <w:tcMar>
              <w:top w:w="10" w:type="dxa"/>
              <w:left w:w="10" w:type="dxa"/>
              <w:right w:w="10" w:type="dxa"/>
            </w:tcMar>
            <w:vAlign w:val="center"/>
          </w:tcPr>
          <w:p w14:paraId="688B58E6">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0" w:type="dxa"/>
              <w:left w:w="10" w:type="dxa"/>
              <w:right w:w="10" w:type="dxa"/>
            </w:tcMar>
            <w:vAlign w:val="center"/>
          </w:tcPr>
          <w:p w14:paraId="36B782A1">
            <w:pPr>
              <w:rPr>
                <w:rFonts w:hint="eastAsia" w:ascii="宋体" w:hAnsi="宋体" w:eastAsia="宋体" w:cs="宋体"/>
                <w:i w:val="0"/>
                <w:color w:val="000000"/>
                <w:sz w:val="24"/>
                <w:szCs w:val="24"/>
                <w:u w:val="none"/>
              </w:rPr>
            </w:pPr>
          </w:p>
        </w:tc>
        <w:tc>
          <w:tcPr>
            <w:tcW w:w="1104" w:type="dxa"/>
            <w:tcBorders>
              <w:top w:val="nil"/>
              <w:left w:val="nil"/>
              <w:bottom w:val="nil"/>
              <w:right w:val="nil"/>
            </w:tcBorders>
            <w:shd w:val="clear" w:color="auto" w:fill="auto"/>
            <w:noWrap/>
            <w:tcMar>
              <w:top w:w="10" w:type="dxa"/>
              <w:left w:w="10" w:type="dxa"/>
              <w:right w:w="10" w:type="dxa"/>
            </w:tcMar>
            <w:vAlign w:val="center"/>
          </w:tcPr>
          <w:p w14:paraId="5AAECF80">
            <w:pPr>
              <w:rPr>
                <w:rFonts w:hint="eastAsia" w:ascii="宋体" w:hAnsi="宋体" w:eastAsia="宋体" w:cs="宋体"/>
                <w:i w:val="0"/>
                <w:color w:val="000000"/>
                <w:sz w:val="24"/>
                <w:szCs w:val="24"/>
                <w:u w:val="none"/>
              </w:rPr>
            </w:pPr>
          </w:p>
        </w:tc>
      </w:tr>
      <w:tr w14:paraId="2A7DC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15372" w:type="dxa"/>
            <w:gridSpan w:val="9"/>
            <w:tcBorders>
              <w:top w:val="nil"/>
              <w:left w:val="nil"/>
              <w:bottom w:val="nil"/>
              <w:right w:val="nil"/>
            </w:tcBorders>
            <w:shd w:val="clear" w:color="auto" w:fill="auto"/>
            <w:noWrap/>
            <w:tcMar>
              <w:top w:w="10" w:type="dxa"/>
              <w:left w:w="10" w:type="dxa"/>
              <w:right w:w="10" w:type="dxa"/>
            </w:tcMar>
            <w:vAlign w:val="center"/>
          </w:tcPr>
          <w:p w14:paraId="796E0748">
            <w:pPr>
              <w:keepNext w:val="0"/>
              <w:keepLines w:val="0"/>
              <w:widowControl/>
              <w:suppressLineNumbers w:val="0"/>
              <w:jc w:val="center"/>
              <w:textAlignment w:val="center"/>
              <w:rPr>
                <w:rFonts w:ascii="方正大标宋简体" w:hAnsi="方正大标宋简体" w:eastAsia="方正大标宋简体" w:cs="方正大标宋简体"/>
                <w:i w:val="0"/>
                <w:color w:val="000000"/>
                <w:sz w:val="50"/>
                <w:szCs w:val="50"/>
                <w:u w:val="none"/>
              </w:rPr>
            </w:pPr>
            <w:r>
              <w:rPr>
                <w:rFonts w:hint="default" w:ascii="方正大标宋简体" w:hAnsi="方正大标宋简体" w:eastAsia="方正大标宋简体" w:cs="方正大标宋简体"/>
                <w:i w:val="0"/>
                <w:color w:val="000000"/>
                <w:kern w:val="0"/>
                <w:sz w:val="50"/>
                <w:szCs w:val="50"/>
                <w:u w:val="none"/>
                <w:lang w:val="en-US" w:eastAsia="zh-CN" w:bidi="ar"/>
              </w:rPr>
              <w:t>2023年度部门整体支出绩效自评表</w:t>
            </w:r>
          </w:p>
        </w:tc>
      </w:tr>
      <w:tr w14:paraId="78261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095"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6142D238">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省级预算部门名称</w:t>
            </w:r>
          </w:p>
        </w:tc>
        <w:tc>
          <w:tcPr>
            <w:tcW w:w="14277"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762253">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湖南省农业农村厅</w:t>
            </w:r>
          </w:p>
        </w:tc>
      </w:tr>
      <w:tr w14:paraId="785C0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F48C28">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年度预算申请</w:t>
            </w:r>
          </w:p>
          <w:p w14:paraId="32EB6BE1">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（万元）</w:t>
            </w:r>
          </w:p>
        </w:tc>
        <w:tc>
          <w:tcPr>
            <w:tcW w:w="24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1CAE25">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类型</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34F5AB">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年初预算数</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F07C8A">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全年预算数</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3D8228">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全年执行数</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D81B28">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分值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9EC734">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执行率</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F10382">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得分</w:t>
            </w:r>
          </w:p>
        </w:tc>
      </w:tr>
      <w:tr w14:paraId="2D54B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732695">
            <w:pPr>
              <w:jc w:val="center"/>
              <w:rPr>
                <w:rFonts w:hint="eastAsia" w:ascii="宋体" w:hAnsi="宋体" w:eastAsia="宋体" w:cs="宋体"/>
                <w:i w:val="0"/>
                <w:color w:val="000000"/>
                <w:sz w:val="24"/>
                <w:szCs w:val="24"/>
                <w:u w:val="none"/>
              </w:rPr>
            </w:pPr>
          </w:p>
        </w:tc>
        <w:tc>
          <w:tcPr>
            <w:tcW w:w="24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9B0EB9">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年度资金总额</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63F263">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809,072,745.99 </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F0DCBF">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1,172,308,461.53 </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B2226A">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879,188,966.95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C4F63B">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6C2A4F">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3F0E6A">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7.50 </w:t>
            </w:r>
          </w:p>
        </w:tc>
      </w:tr>
      <w:tr w14:paraId="0F078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530E1A">
            <w:pPr>
              <w:jc w:val="center"/>
              <w:rPr>
                <w:rFonts w:hint="eastAsia" w:ascii="宋体" w:hAnsi="宋体" w:eastAsia="宋体" w:cs="宋体"/>
                <w:i w:val="0"/>
                <w:color w:val="000000"/>
                <w:sz w:val="24"/>
                <w:szCs w:val="24"/>
                <w:u w:val="none"/>
              </w:rPr>
            </w:pP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E0F557">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按收入性质分：</w:t>
            </w:r>
          </w:p>
        </w:tc>
        <w:tc>
          <w:tcPr>
            <w:tcW w:w="61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B2065A">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按支出性质分：</w:t>
            </w:r>
          </w:p>
        </w:tc>
      </w:tr>
      <w:tr w14:paraId="6A607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A71802">
            <w:pPr>
              <w:jc w:val="center"/>
              <w:rPr>
                <w:rFonts w:hint="eastAsia" w:ascii="宋体" w:hAnsi="宋体" w:eastAsia="宋体" w:cs="宋体"/>
                <w:i w:val="0"/>
                <w:color w:val="000000"/>
                <w:sz w:val="24"/>
                <w:szCs w:val="24"/>
                <w:u w:val="none"/>
              </w:rPr>
            </w:pPr>
          </w:p>
        </w:tc>
        <w:tc>
          <w:tcPr>
            <w:tcW w:w="24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ED1CE9">
            <w:pP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其中：一般公共预算：</w:t>
            </w:r>
          </w:p>
        </w:tc>
        <w:tc>
          <w:tcPr>
            <w:tcW w:w="31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9A11ED">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610,816,500.00 </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85B804">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889,523,325.12 </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781468">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其中：基本支出：</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170DB9">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476,579,365.23 </w:t>
            </w:r>
          </w:p>
        </w:tc>
      </w:tr>
      <w:tr w14:paraId="44E75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32A9E6">
            <w:pPr>
              <w:jc w:val="center"/>
              <w:rPr>
                <w:rFonts w:hint="eastAsia" w:ascii="宋体" w:hAnsi="宋体" w:eastAsia="宋体" w:cs="宋体"/>
                <w:i w:val="0"/>
                <w:color w:val="000000"/>
                <w:sz w:val="24"/>
                <w:szCs w:val="24"/>
                <w:u w:val="none"/>
              </w:rPr>
            </w:pPr>
          </w:p>
        </w:tc>
        <w:tc>
          <w:tcPr>
            <w:tcW w:w="24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B2D89F">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事业收入</w:t>
            </w:r>
          </w:p>
        </w:tc>
        <w:tc>
          <w:tcPr>
            <w:tcW w:w="31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43C974">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33,710,600.00 </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E1B0B9">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43,027,438.55 </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3EEE6D">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项目支出：</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A6D832">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397,725,982.65 </w:t>
            </w:r>
          </w:p>
        </w:tc>
      </w:tr>
      <w:tr w14:paraId="74171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A143B3">
            <w:pPr>
              <w:jc w:val="center"/>
              <w:rPr>
                <w:rFonts w:hint="eastAsia" w:ascii="宋体" w:hAnsi="宋体" w:eastAsia="宋体" w:cs="宋体"/>
                <w:i w:val="0"/>
                <w:color w:val="000000"/>
                <w:sz w:val="24"/>
                <w:szCs w:val="24"/>
                <w:u w:val="none"/>
              </w:rPr>
            </w:pPr>
          </w:p>
        </w:tc>
        <w:tc>
          <w:tcPr>
            <w:tcW w:w="24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7C635A">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经营收入</w:t>
            </w:r>
          </w:p>
        </w:tc>
        <w:tc>
          <w:tcPr>
            <w:tcW w:w="31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CA3433">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3,823,600.00 </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87CA7C">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4,883,619.07 </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EC629C">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其中：基本建设类项目</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DE6582">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22,340,938.81 </w:t>
            </w:r>
          </w:p>
        </w:tc>
      </w:tr>
      <w:tr w14:paraId="52620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CB5687">
            <w:pPr>
              <w:jc w:val="center"/>
              <w:rPr>
                <w:rFonts w:hint="eastAsia" w:ascii="宋体" w:hAnsi="宋体" w:eastAsia="宋体" w:cs="宋体"/>
                <w:i w:val="0"/>
                <w:color w:val="000000"/>
                <w:sz w:val="24"/>
                <w:szCs w:val="24"/>
                <w:u w:val="none"/>
              </w:rPr>
            </w:pPr>
          </w:p>
        </w:tc>
        <w:tc>
          <w:tcPr>
            <w:tcW w:w="24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B884D9">
            <w:pP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其它收入：</w:t>
            </w:r>
          </w:p>
        </w:tc>
        <w:tc>
          <w:tcPr>
            <w:tcW w:w="31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70A283">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17,346,700.00 </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254C87">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23,886,944.27 </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81871D">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经营支出：</w:t>
            </w: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F0B81F">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4,883,619.07 </w:t>
            </w:r>
          </w:p>
        </w:tc>
      </w:tr>
      <w:tr w14:paraId="234BB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60F242">
            <w:pPr>
              <w:jc w:val="center"/>
              <w:rPr>
                <w:rFonts w:hint="eastAsia" w:ascii="宋体" w:hAnsi="宋体" w:eastAsia="宋体" w:cs="宋体"/>
                <w:i w:val="0"/>
                <w:color w:val="000000"/>
                <w:sz w:val="24"/>
                <w:szCs w:val="24"/>
                <w:u w:val="none"/>
              </w:rPr>
            </w:pPr>
          </w:p>
        </w:tc>
        <w:tc>
          <w:tcPr>
            <w:tcW w:w="24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F61610">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年初结转和结余  </w:t>
            </w:r>
          </w:p>
        </w:tc>
        <w:tc>
          <w:tcPr>
            <w:tcW w:w="31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78FE67">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143,375,345.99 </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FD72BC">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203,399,405.66 </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4C9C5F">
            <w:pPr>
              <w:rPr>
                <w:rFonts w:hint="eastAsia" w:ascii="宋体" w:hAnsi="宋体" w:eastAsia="宋体" w:cs="宋体"/>
                <w:i w:val="0"/>
                <w:color w:val="000000"/>
                <w:sz w:val="24"/>
                <w:szCs w:val="24"/>
                <w:u w:val="none"/>
              </w:rPr>
            </w:pP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FCCE8D">
            <w:pPr>
              <w:jc w:val="right"/>
              <w:rPr>
                <w:rFonts w:hint="eastAsia" w:ascii="宋体" w:hAnsi="宋体" w:eastAsia="宋体" w:cs="宋体"/>
                <w:i w:val="0"/>
                <w:color w:val="000000"/>
                <w:sz w:val="24"/>
                <w:szCs w:val="24"/>
                <w:u w:val="none"/>
              </w:rPr>
            </w:pPr>
          </w:p>
        </w:tc>
      </w:tr>
      <w:tr w14:paraId="35B5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53D617">
            <w:pPr>
              <w:jc w:val="center"/>
              <w:rPr>
                <w:rFonts w:hint="eastAsia" w:ascii="宋体" w:hAnsi="宋体" w:eastAsia="宋体" w:cs="宋体"/>
                <w:i w:val="0"/>
                <w:color w:val="000000"/>
                <w:sz w:val="24"/>
                <w:szCs w:val="24"/>
                <w:u w:val="none"/>
              </w:rPr>
            </w:pPr>
          </w:p>
        </w:tc>
        <w:tc>
          <w:tcPr>
            <w:tcW w:w="247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782FB3">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使用非财政拨款结余和专用结余</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D22B27">
            <w:pPr>
              <w:rPr>
                <w:rFonts w:hint="eastAsia" w:ascii="宋体" w:hAnsi="宋体" w:eastAsia="宋体" w:cs="宋体"/>
                <w:i w:val="0"/>
                <w:color w:val="000000"/>
                <w:sz w:val="24"/>
                <w:szCs w:val="24"/>
                <w:u w:val="none"/>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22E771">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7,587,728.86 </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5208D7">
            <w:pPr>
              <w:rPr>
                <w:rFonts w:hint="eastAsia" w:ascii="宋体" w:hAnsi="宋体" w:eastAsia="宋体" w:cs="宋体"/>
                <w:i w:val="0"/>
                <w:color w:val="000000"/>
                <w:sz w:val="24"/>
                <w:szCs w:val="24"/>
                <w:u w:val="none"/>
              </w:rPr>
            </w:pPr>
          </w:p>
        </w:tc>
        <w:tc>
          <w:tcPr>
            <w:tcW w:w="302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2B7BAE">
            <w:pPr>
              <w:jc w:val="center"/>
              <w:rPr>
                <w:rFonts w:hint="eastAsia" w:ascii="宋体" w:hAnsi="宋体" w:eastAsia="宋体" w:cs="宋体"/>
                <w:i w:val="0"/>
                <w:color w:val="000000"/>
                <w:sz w:val="24"/>
                <w:szCs w:val="24"/>
                <w:u w:val="none"/>
              </w:rPr>
            </w:pPr>
          </w:p>
        </w:tc>
      </w:tr>
      <w:tr w14:paraId="7ABBA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777E31">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年度总体目标</w:t>
            </w: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B78D944">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预期目标</w:t>
            </w:r>
          </w:p>
        </w:tc>
        <w:tc>
          <w:tcPr>
            <w:tcW w:w="61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26A48D">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实际完成情况</w:t>
            </w:r>
          </w:p>
        </w:tc>
      </w:tr>
      <w:tr w14:paraId="13D06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0" w:hRule="atLeast"/>
        </w:trPr>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D99ABA">
            <w:pPr>
              <w:jc w:val="center"/>
              <w:rPr>
                <w:rFonts w:hint="eastAsia" w:ascii="宋体" w:hAnsi="宋体" w:eastAsia="宋体" w:cs="宋体"/>
                <w:i w:val="0"/>
                <w:color w:val="000000"/>
                <w:sz w:val="24"/>
                <w:szCs w:val="24"/>
                <w:u w:val="none"/>
              </w:rPr>
            </w:pP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4090DB">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确保全省粮食播种面积、粮食产量、生猪出栏量稳定在上年水平，实现全省粮食、畜禽等重要农产品供应充足，供给有保障。2、促进全省粮食、畜禽、蔬菜、茶叶、水果、水产等十大农业优势特色产业向全产业链产值新增或达到、接近千亿目标迈进，逐步实现乡村产业兴旺，推进农村一、二、三产业融合发展。打造农业标杆龙头企业10个，培育省级以上农业龙头企业100个，创建省级农业产业强镇25个。3、加快农机装备研发与推广使用，推动农业科技创新与成果转化、加强农业资源与产地环境保护、加大农业生产社会化服务，提高农业规模化、机械化、信息化、标准化生产水平和专业化、社会化服务水平，发放农机购置补贴机具数7000（台、套）、省级示范家庭农场补贴600个等，开展农业社会化服务面积（万亩）≥100。4、构建完善现代农业产业体系、生产体系、农业经营体系，支持建立农业科研体系、农技推广体系、农产品质量安全体系、农作物疫病防控体系、农业执法体系建设，支持健全3个现代农业发展体系、支持农业农村发展补短板项目80个以上等，提升全省农业系统推进农业现代化的能力水平，补齐我省现代农业发展短板。5、对全国农业劳模和省部级农业劳模进行补助，落实农业劳模待遇政策，以当年上报人数准确按时发放劳模津贴补助。探索农村宅基地制度改革试点及其他农村改革政策经验，支持4个国家农村宅基地制度改革试点。6、创建100个以上省级美丽乡村示范村，按时完成美丽乡村建设，按标准发放美丽乡村示范村奖补，省级美丽乡村验收合格率达到80%，进一步改善农村人居环境。7、统筹整合中央和省级资金完成高标准农田建设面积460万亩。通过农田土地平整、土壤改良、灌溉排水与节水设施、田间机耕道、农田防护与生态环境保持、农田输配电、损毁工程修复和农田建设相关的其他工程内容等，有效改善项目区农业基础设施条件，提升农田灌溉排水和节水能力，提升耕地质量，提高粮食综合生产能力。</w:t>
            </w:r>
          </w:p>
        </w:tc>
        <w:tc>
          <w:tcPr>
            <w:tcW w:w="6164"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1E4E84">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上述绩效目标基本完成</w:t>
            </w:r>
          </w:p>
        </w:tc>
      </w:tr>
      <w:tr w14:paraId="24ED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1095"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1E2822D">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绩</w:t>
            </w:r>
          </w:p>
          <w:p w14:paraId="6C51B40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效</w:t>
            </w:r>
          </w:p>
          <w:p w14:paraId="0E35B80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指</w:t>
            </w:r>
          </w:p>
          <w:p w14:paraId="4A65DA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标</w:t>
            </w:r>
          </w:p>
        </w:tc>
        <w:tc>
          <w:tcPr>
            <w:tcW w:w="1215"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49093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一级指标</w:t>
            </w:r>
          </w:p>
        </w:tc>
        <w:tc>
          <w:tcPr>
            <w:tcW w:w="1263"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B8583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二级指标</w:t>
            </w:r>
          </w:p>
        </w:tc>
        <w:tc>
          <w:tcPr>
            <w:tcW w:w="3108"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8419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三级指标</w:t>
            </w:r>
          </w:p>
        </w:tc>
        <w:tc>
          <w:tcPr>
            <w:tcW w:w="2527"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5A9AD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年度指标值</w:t>
            </w:r>
          </w:p>
        </w:tc>
        <w:tc>
          <w:tcPr>
            <w:tcW w:w="314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5DD1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实际完成值</w:t>
            </w:r>
          </w:p>
        </w:tc>
        <w:tc>
          <w:tcPr>
            <w:tcW w:w="84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F1849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分值</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699A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得分</w:t>
            </w:r>
          </w:p>
        </w:tc>
        <w:tc>
          <w:tcPr>
            <w:tcW w:w="1104"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D954D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偏差原因分析及改进措施</w:t>
            </w:r>
          </w:p>
        </w:tc>
      </w:tr>
      <w:tr w14:paraId="3F9B8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B05458C">
            <w:pPr>
              <w:jc w:val="center"/>
              <w:rPr>
                <w:rFonts w:hint="eastAsia" w:ascii="宋体" w:hAnsi="宋体" w:eastAsia="宋体" w:cs="宋体"/>
                <w:i w:val="0"/>
                <w:color w:val="000000"/>
                <w:sz w:val="22"/>
                <w:szCs w:val="22"/>
                <w:u w:val="none"/>
              </w:rPr>
            </w:pPr>
          </w:p>
        </w:tc>
        <w:tc>
          <w:tcPr>
            <w:tcW w:w="1215" w:type="dxa"/>
            <w:vMerge w:val="restart"/>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6B790A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p w14:paraId="65524AD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（50分）</w:t>
            </w:r>
          </w:p>
        </w:tc>
        <w:tc>
          <w:tcPr>
            <w:tcW w:w="1263" w:type="dxa"/>
            <w:vMerge w:val="restart"/>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B7DF1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数量指标（29分）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6CD19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全省粮食产量</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E54E5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600亿斤左右</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7B5DB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613.6亿斤</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8E32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0D2A6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6DFB28">
            <w:pPr>
              <w:jc w:val="center"/>
              <w:rPr>
                <w:rFonts w:hint="eastAsia" w:ascii="宋体" w:hAnsi="宋体" w:eastAsia="宋体" w:cs="宋体"/>
                <w:i w:val="0"/>
                <w:color w:val="000000"/>
                <w:sz w:val="22"/>
                <w:szCs w:val="22"/>
                <w:u w:val="none"/>
              </w:rPr>
            </w:pPr>
          </w:p>
        </w:tc>
      </w:tr>
      <w:tr w14:paraId="56359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E0A1CC7">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F969690">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4A53ED8">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790E1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粮食种植面积</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E3A26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≥7100万亩</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8F9F4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7145.3万亩</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46A9D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CAA5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DD2255">
            <w:pPr>
              <w:jc w:val="center"/>
              <w:rPr>
                <w:rFonts w:hint="eastAsia" w:ascii="宋体" w:hAnsi="宋体" w:eastAsia="宋体" w:cs="宋体"/>
                <w:i w:val="0"/>
                <w:color w:val="000000"/>
                <w:sz w:val="22"/>
                <w:szCs w:val="22"/>
                <w:u w:val="none"/>
              </w:rPr>
            </w:pPr>
          </w:p>
        </w:tc>
      </w:tr>
      <w:tr w14:paraId="54998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8E571DC">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AE5C2C1">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285B303">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91425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建设高标准农田面积</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8AF2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≥345万亩</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B7876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345万亩</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67450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D3854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F330B2">
            <w:pPr>
              <w:jc w:val="center"/>
              <w:rPr>
                <w:rFonts w:hint="eastAsia" w:ascii="宋体" w:hAnsi="宋体" w:eastAsia="宋体" w:cs="宋体"/>
                <w:i w:val="0"/>
                <w:color w:val="000000"/>
                <w:sz w:val="22"/>
                <w:szCs w:val="22"/>
                <w:u w:val="none"/>
              </w:rPr>
            </w:pPr>
          </w:p>
        </w:tc>
      </w:tr>
      <w:tr w14:paraId="28641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AB2CD1A">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89ACD7F">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5032CC1">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E7FFC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生猪出栏量</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DDCD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≥5600万头</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DA9E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6300万头</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05B76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28FC4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D0E4A1">
            <w:pPr>
              <w:jc w:val="center"/>
              <w:rPr>
                <w:rFonts w:hint="eastAsia" w:ascii="宋体" w:hAnsi="宋体" w:eastAsia="宋体" w:cs="宋体"/>
                <w:i w:val="0"/>
                <w:color w:val="000000"/>
                <w:sz w:val="22"/>
                <w:szCs w:val="22"/>
                <w:u w:val="none"/>
              </w:rPr>
            </w:pPr>
          </w:p>
        </w:tc>
      </w:tr>
      <w:tr w14:paraId="305FC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C877B3A">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26CFD09B">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2F0E8DF0">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1F22F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创建省级美丽乡村数量（个）</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6141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041C3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CFFE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0813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96AB60">
            <w:pPr>
              <w:jc w:val="center"/>
              <w:rPr>
                <w:rFonts w:hint="eastAsia" w:ascii="宋体" w:hAnsi="宋体" w:eastAsia="宋体" w:cs="宋体"/>
                <w:i w:val="0"/>
                <w:color w:val="000000"/>
                <w:sz w:val="22"/>
                <w:szCs w:val="22"/>
                <w:u w:val="none"/>
              </w:rPr>
            </w:pPr>
          </w:p>
        </w:tc>
      </w:tr>
      <w:tr w14:paraId="62A1A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1FA0F84">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43116CAB">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69B63D99">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79456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创建省级农业产业强镇</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BFBF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5085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7F59C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DF10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vMerge w:val="restart"/>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3AC9B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因省政府政策调整，原项目发生变更，故不予扣分</w:t>
            </w:r>
          </w:p>
        </w:tc>
      </w:tr>
      <w:tr w14:paraId="07223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CD99C93">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462D84F0">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1A658D5B">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0E144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打造农业标杆龙头企业</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8F9D8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E934C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FBC9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57782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vMerge w:val="continue"/>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7E4708">
            <w:pPr>
              <w:jc w:val="left"/>
              <w:rPr>
                <w:rFonts w:hint="eastAsia" w:ascii="宋体" w:hAnsi="宋体" w:eastAsia="宋体" w:cs="宋体"/>
                <w:i w:val="0"/>
                <w:color w:val="000000"/>
                <w:sz w:val="22"/>
                <w:szCs w:val="22"/>
                <w:u w:val="none"/>
              </w:rPr>
            </w:pPr>
          </w:p>
        </w:tc>
      </w:tr>
      <w:tr w14:paraId="1CFF4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1FE1C41">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553CD04B">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20277F46">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8326C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培育省级以上农业龙头企业</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3FC02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8C848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2F67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329D7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vMerge w:val="continue"/>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CB6D70">
            <w:pPr>
              <w:jc w:val="left"/>
              <w:rPr>
                <w:rFonts w:hint="eastAsia" w:ascii="宋体" w:hAnsi="宋体" w:eastAsia="宋体" w:cs="宋体"/>
                <w:i w:val="0"/>
                <w:color w:val="000000"/>
                <w:sz w:val="22"/>
                <w:szCs w:val="22"/>
                <w:u w:val="none"/>
              </w:rPr>
            </w:pPr>
          </w:p>
        </w:tc>
      </w:tr>
      <w:tr w14:paraId="3C555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E4233E9">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52DAABD1">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685BB9E6">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30CA4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春节慰问全国、省部级农业劳模人次</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B05BE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900人左右</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7F557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836人</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8537E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A34E1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5560B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根据实际上报人数测算</w:t>
            </w:r>
          </w:p>
        </w:tc>
      </w:tr>
      <w:tr w14:paraId="2F101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49BA3A9">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B38E87B">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66FE93CC">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2B7B6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发放全国、省部级农业劳模困难补贴人次</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1E6ED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360人左右</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41683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279人</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45F1C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20541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6C373A">
            <w:pPr>
              <w:jc w:val="left"/>
              <w:rPr>
                <w:rFonts w:hint="eastAsia" w:ascii="宋体" w:hAnsi="宋体" w:eastAsia="宋体" w:cs="宋体"/>
                <w:i w:val="0"/>
                <w:color w:val="000000"/>
                <w:sz w:val="22"/>
                <w:szCs w:val="22"/>
                <w:u w:val="none"/>
              </w:rPr>
            </w:pPr>
          </w:p>
        </w:tc>
      </w:tr>
      <w:tr w14:paraId="715ED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AEB387E">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D4A30AF">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6126B160">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2F505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发放全国、省部级农业劳模荣誉津贴人次</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47C73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530人左右</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6E54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538人</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D9EC2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06291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114B21">
            <w:pPr>
              <w:jc w:val="left"/>
              <w:rPr>
                <w:rFonts w:hint="eastAsia" w:ascii="宋体" w:hAnsi="宋体" w:eastAsia="宋体" w:cs="宋体"/>
                <w:i w:val="0"/>
                <w:color w:val="000000"/>
                <w:sz w:val="22"/>
                <w:szCs w:val="22"/>
                <w:u w:val="none"/>
              </w:rPr>
            </w:pPr>
          </w:p>
        </w:tc>
      </w:tr>
      <w:tr w14:paraId="42D71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EF9D026">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1ADE0262">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29793CDF">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2F695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开展农产品质量安全监督抽查</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2D194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≥6000批次</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6CBFA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2.8万批次</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EF1E4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C317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664D56">
            <w:pPr>
              <w:jc w:val="left"/>
              <w:rPr>
                <w:rFonts w:hint="eastAsia" w:ascii="宋体" w:hAnsi="宋体" w:eastAsia="宋体" w:cs="宋体"/>
                <w:i w:val="0"/>
                <w:color w:val="000000"/>
                <w:sz w:val="22"/>
                <w:szCs w:val="22"/>
                <w:u w:val="none"/>
              </w:rPr>
            </w:pPr>
          </w:p>
        </w:tc>
      </w:tr>
      <w:tr w14:paraId="7F0A1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5BED45F">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292B4874">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C91AE8D">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D3AE1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开展农业社会化服务面积</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376E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≥100万亩</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C174A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477万亩</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03483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0351B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065AF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包含了中央资金完成的任务</w:t>
            </w:r>
          </w:p>
        </w:tc>
      </w:tr>
      <w:tr w14:paraId="4419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EDB84E0">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0698314">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23CB59D">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D2772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农机购置补贴机具数</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3442B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≥27500（台、套）</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CD13E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61731台套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E8E6D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E613B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0CEF1C">
            <w:pPr>
              <w:jc w:val="center"/>
              <w:rPr>
                <w:rFonts w:hint="eastAsia" w:ascii="宋体" w:hAnsi="宋体" w:eastAsia="宋体" w:cs="宋体"/>
                <w:i w:val="0"/>
                <w:color w:val="000000"/>
                <w:sz w:val="22"/>
                <w:szCs w:val="22"/>
                <w:u w:val="none"/>
              </w:rPr>
            </w:pPr>
          </w:p>
        </w:tc>
      </w:tr>
      <w:tr w14:paraId="30B3E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E67BE00">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6A3FE7A">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C27BA02">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9C6CE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支持国家农村宅基地制度改革试点县个数</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48381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2F67C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E1EDB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35FB4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20F9DC">
            <w:pPr>
              <w:jc w:val="center"/>
              <w:rPr>
                <w:rFonts w:hint="eastAsia" w:ascii="宋体" w:hAnsi="宋体" w:eastAsia="宋体" w:cs="宋体"/>
                <w:i w:val="0"/>
                <w:color w:val="000000"/>
                <w:sz w:val="22"/>
                <w:szCs w:val="22"/>
                <w:u w:val="none"/>
              </w:rPr>
            </w:pPr>
          </w:p>
        </w:tc>
      </w:tr>
      <w:tr w14:paraId="2F100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D6F619C">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4AF0503B">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6AA8C0DB">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AA0FD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支持健全现代农业发展体系个数</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28DC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F7504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640A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C272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0CE798">
            <w:pPr>
              <w:rPr>
                <w:rFonts w:hint="eastAsia" w:ascii="宋体" w:hAnsi="宋体" w:eastAsia="宋体" w:cs="宋体"/>
                <w:i w:val="0"/>
                <w:color w:val="000000"/>
                <w:sz w:val="22"/>
                <w:szCs w:val="22"/>
                <w:u w:val="none"/>
              </w:rPr>
            </w:pPr>
          </w:p>
        </w:tc>
      </w:tr>
      <w:tr w14:paraId="3EA95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47F178E">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40E4C2AE">
            <w:pPr>
              <w:jc w:val="center"/>
              <w:rPr>
                <w:rFonts w:hint="eastAsia" w:ascii="宋体" w:hAnsi="宋体" w:eastAsia="宋体" w:cs="宋体"/>
                <w:i w:val="0"/>
                <w:color w:val="000000"/>
                <w:sz w:val="22"/>
                <w:szCs w:val="22"/>
                <w:u w:val="none"/>
              </w:rPr>
            </w:pPr>
          </w:p>
        </w:tc>
        <w:tc>
          <w:tcPr>
            <w:tcW w:w="1263"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8914AF0">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EC99F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支持农业农村发展补短板项目个数</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6D633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8494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C919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EEE7B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93271A">
            <w:pPr>
              <w:rPr>
                <w:rFonts w:hint="eastAsia" w:ascii="宋体" w:hAnsi="宋体" w:eastAsia="宋体" w:cs="宋体"/>
                <w:i w:val="0"/>
                <w:color w:val="000000"/>
                <w:sz w:val="22"/>
                <w:szCs w:val="22"/>
                <w:u w:val="none"/>
              </w:rPr>
            </w:pPr>
          </w:p>
        </w:tc>
      </w:tr>
      <w:tr w14:paraId="77CC9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4EDCD02">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621498CF">
            <w:pPr>
              <w:jc w:val="center"/>
              <w:rPr>
                <w:rFonts w:hint="eastAsia" w:ascii="宋体" w:hAnsi="宋体" w:eastAsia="宋体" w:cs="宋体"/>
                <w:i w:val="0"/>
                <w:color w:val="000000"/>
                <w:sz w:val="22"/>
                <w:szCs w:val="22"/>
                <w:u w:val="none"/>
              </w:rPr>
            </w:pPr>
          </w:p>
        </w:tc>
        <w:tc>
          <w:tcPr>
            <w:tcW w:w="1263"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D4DB45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质量指标（8分）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0F836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创建省级美丽乡村验收合格率</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955E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3140" w:type="dxa"/>
            <w:tcBorders>
              <w:top w:val="nil"/>
              <w:left w:val="nil"/>
              <w:bottom w:val="nil"/>
              <w:right w:val="nil"/>
            </w:tcBorders>
            <w:shd w:val="clear" w:color="auto" w:fill="auto"/>
            <w:noWrap/>
            <w:tcMar>
              <w:top w:w="10" w:type="dxa"/>
              <w:left w:w="10" w:type="dxa"/>
              <w:right w:w="10" w:type="dxa"/>
            </w:tcMar>
            <w:vAlign w:val="center"/>
          </w:tcPr>
          <w:p w14:paraId="39840E4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61C3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75EC4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F6FD70">
            <w:pPr>
              <w:rPr>
                <w:rFonts w:hint="eastAsia" w:ascii="宋体" w:hAnsi="宋体" w:eastAsia="宋体" w:cs="宋体"/>
                <w:i w:val="0"/>
                <w:color w:val="000000"/>
                <w:sz w:val="22"/>
                <w:szCs w:val="22"/>
                <w:u w:val="none"/>
              </w:rPr>
            </w:pPr>
          </w:p>
        </w:tc>
      </w:tr>
      <w:tr w14:paraId="2D3A8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8009494">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43146C10">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04E6A7C">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50B8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发生重大转基因违法案件、重大农业污染事件、重大种子事故数量</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0598E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7D79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E674A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CD609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4E877E">
            <w:pPr>
              <w:rPr>
                <w:rFonts w:hint="eastAsia" w:ascii="宋体" w:hAnsi="宋体" w:eastAsia="宋体" w:cs="宋体"/>
                <w:i w:val="0"/>
                <w:color w:val="000000"/>
                <w:sz w:val="22"/>
                <w:szCs w:val="22"/>
                <w:u w:val="none"/>
              </w:rPr>
            </w:pPr>
          </w:p>
        </w:tc>
      </w:tr>
      <w:tr w14:paraId="5A332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A1681A0">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13B968AB">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019D2AF">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99E2D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建设高标准农田项目验收合格率</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4F33F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A4E9C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2147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F01F1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2138E7">
            <w:pPr>
              <w:rPr>
                <w:rFonts w:hint="eastAsia" w:ascii="宋体" w:hAnsi="宋体" w:eastAsia="宋体" w:cs="宋体"/>
                <w:i w:val="0"/>
                <w:color w:val="000000"/>
                <w:sz w:val="22"/>
                <w:szCs w:val="22"/>
                <w:u w:val="none"/>
              </w:rPr>
            </w:pPr>
          </w:p>
        </w:tc>
      </w:tr>
      <w:tr w14:paraId="0C3E1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993A7FC">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2063800">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15B8347">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A37D7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农产品加工产值与农业产值比达</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9779C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D46779">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5F276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71AC2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C539A5">
            <w:pPr>
              <w:rPr>
                <w:rFonts w:hint="eastAsia" w:ascii="宋体" w:hAnsi="宋体" w:eastAsia="宋体" w:cs="宋体"/>
                <w:i w:val="0"/>
                <w:color w:val="000000"/>
                <w:sz w:val="22"/>
                <w:szCs w:val="22"/>
                <w:u w:val="none"/>
              </w:rPr>
            </w:pPr>
          </w:p>
        </w:tc>
      </w:tr>
      <w:tr w14:paraId="38126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BC194D6">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75524CD">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12AE381">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D679B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农作物耕种收综合机械化率</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C35B7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E3BA8D">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9688A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7094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A07AA1">
            <w:pPr>
              <w:rPr>
                <w:rFonts w:hint="eastAsia" w:ascii="宋体" w:hAnsi="宋体" w:eastAsia="宋体" w:cs="宋体"/>
                <w:i w:val="0"/>
                <w:color w:val="000000"/>
                <w:sz w:val="22"/>
                <w:szCs w:val="22"/>
                <w:u w:val="none"/>
              </w:rPr>
            </w:pPr>
          </w:p>
        </w:tc>
      </w:tr>
      <w:tr w14:paraId="7DFE9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5723931">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44643324">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56AF865">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EB1BB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畜禽产品抽检合格率</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7213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≥97.5%</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4A032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4428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1FF1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4B9C4E">
            <w:pPr>
              <w:rPr>
                <w:rFonts w:hint="eastAsia" w:ascii="宋体" w:hAnsi="宋体" w:eastAsia="宋体" w:cs="宋体"/>
                <w:i w:val="0"/>
                <w:color w:val="000000"/>
                <w:sz w:val="22"/>
                <w:szCs w:val="22"/>
                <w:u w:val="none"/>
              </w:rPr>
            </w:pPr>
          </w:p>
        </w:tc>
      </w:tr>
      <w:tr w14:paraId="5666D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9D0C460">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44DC8303">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64CBF2F">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B5BA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畜禽免疫抗体合格率</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46E29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36A8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8836C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9DFE9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161BF3">
            <w:pPr>
              <w:rPr>
                <w:rFonts w:hint="eastAsia" w:ascii="宋体" w:hAnsi="宋体" w:eastAsia="宋体" w:cs="宋体"/>
                <w:i w:val="0"/>
                <w:color w:val="000000"/>
                <w:sz w:val="22"/>
                <w:szCs w:val="22"/>
                <w:u w:val="none"/>
              </w:rPr>
            </w:pPr>
          </w:p>
        </w:tc>
      </w:tr>
      <w:tr w14:paraId="21378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EDB501D">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5964F38C">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366404E">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0A26D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农业农村系统体系能力建设水平</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CC871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有所提高</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920AA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有所提高</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2969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F03DC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8B6022">
            <w:pPr>
              <w:rPr>
                <w:rFonts w:hint="eastAsia" w:ascii="宋体" w:hAnsi="宋体" w:eastAsia="宋体" w:cs="宋体"/>
                <w:i w:val="0"/>
                <w:color w:val="000000"/>
                <w:sz w:val="22"/>
                <w:szCs w:val="22"/>
                <w:u w:val="none"/>
              </w:rPr>
            </w:pPr>
          </w:p>
        </w:tc>
      </w:tr>
      <w:tr w14:paraId="0154C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925B845">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4ADF8B9E">
            <w:pPr>
              <w:jc w:val="center"/>
              <w:rPr>
                <w:rFonts w:hint="eastAsia" w:ascii="宋体" w:hAnsi="宋体" w:eastAsia="宋体" w:cs="宋体"/>
                <w:i w:val="0"/>
                <w:color w:val="000000"/>
                <w:sz w:val="22"/>
                <w:szCs w:val="22"/>
                <w:u w:val="none"/>
              </w:rPr>
            </w:pPr>
          </w:p>
        </w:tc>
        <w:tc>
          <w:tcPr>
            <w:tcW w:w="1263"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FB437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时效指标（5分）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41926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补贴发放时间</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4C05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12月31日前</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1B6E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12月31日前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DBD4B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1EF6D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314B1D">
            <w:pPr>
              <w:rPr>
                <w:rFonts w:hint="eastAsia" w:ascii="宋体" w:hAnsi="宋体" w:eastAsia="宋体" w:cs="宋体"/>
                <w:i w:val="0"/>
                <w:color w:val="000000"/>
                <w:sz w:val="22"/>
                <w:szCs w:val="22"/>
                <w:u w:val="none"/>
              </w:rPr>
            </w:pPr>
          </w:p>
        </w:tc>
      </w:tr>
      <w:tr w14:paraId="76415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16F4B12">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77375DBB">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8BFD49C">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4512C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建设高标准农田完成期限</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311CB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2023年6月底前</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1D60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2023年6月底前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23D9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509B0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031F07">
            <w:pPr>
              <w:rPr>
                <w:rFonts w:hint="eastAsia" w:ascii="宋体" w:hAnsi="宋体" w:eastAsia="宋体" w:cs="宋体"/>
                <w:i w:val="0"/>
                <w:color w:val="000000"/>
                <w:sz w:val="22"/>
                <w:szCs w:val="22"/>
                <w:u w:val="none"/>
              </w:rPr>
            </w:pPr>
          </w:p>
        </w:tc>
      </w:tr>
      <w:tr w14:paraId="14BCF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883FA51">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15E8BF5A">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02AFBCF">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716C7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农机购置补贴资金年度内资金兑付率</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6FFF7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4A44A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FF0C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7F2F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EDBD58">
            <w:pPr>
              <w:rPr>
                <w:rFonts w:hint="eastAsia" w:ascii="宋体" w:hAnsi="宋体" w:eastAsia="宋体" w:cs="宋体"/>
                <w:i w:val="0"/>
                <w:color w:val="000000"/>
                <w:sz w:val="22"/>
                <w:szCs w:val="22"/>
                <w:u w:val="none"/>
              </w:rPr>
            </w:pPr>
          </w:p>
        </w:tc>
      </w:tr>
      <w:tr w14:paraId="04FF2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8549238">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35BBE3D7">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A9DBA97">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EEA80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农业农村系统体系能力建设</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C1FF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2023年6月30日前</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5639F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2023年6月30日前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FFA3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B50ED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33F2D5">
            <w:pPr>
              <w:rPr>
                <w:rFonts w:hint="eastAsia" w:ascii="宋体" w:hAnsi="宋体" w:eastAsia="宋体" w:cs="宋体"/>
                <w:i w:val="0"/>
                <w:color w:val="000000"/>
                <w:sz w:val="22"/>
                <w:szCs w:val="22"/>
                <w:u w:val="none"/>
              </w:rPr>
            </w:pPr>
          </w:p>
        </w:tc>
      </w:tr>
      <w:tr w14:paraId="28D5D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EA09DD0">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2D7A507C">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9CFF83D">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F977D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省级美丽乡村建设完成时间</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9AD18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2023年12月底前</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333F9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2023年12月底前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501C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F539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3322B4">
            <w:pPr>
              <w:rPr>
                <w:rFonts w:hint="eastAsia" w:ascii="宋体" w:hAnsi="宋体" w:eastAsia="宋体" w:cs="宋体"/>
                <w:i w:val="0"/>
                <w:color w:val="000000"/>
                <w:sz w:val="22"/>
                <w:szCs w:val="22"/>
                <w:u w:val="none"/>
              </w:rPr>
            </w:pPr>
          </w:p>
        </w:tc>
      </w:tr>
      <w:tr w14:paraId="41EE2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96DBA39">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5ED430AF">
            <w:pPr>
              <w:jc w:val="center"/>
              <w:rPr>
                <w:rFonts w:hint="eastAsia" w:ascii="宋体" w:hAnsi="宋体" w:eastAsia="宋体" w:cs="宋体"/>
                <w:i w:val="0"/>
                <w:color w:val="000000"/>
                <w:sz w:val="22"/>
                <w:szCs w:val="22"/>
                <w:u w:val="none"/>
              </w:rPr>
            </w:pPr>
          </w:p>
        </w:tc>
        <w:tc>
          <w:tcPr>
            <w:tcW w:w="1263"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5D0E72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成本指标（8分）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1A958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百企培育奖补标准</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44AB7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40万-60万元/个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F4563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D7004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C657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4A57D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因省政府政策调整，原项目发生变更，故不予扣分</w:t>
            </w:r>
          </w:p>
        </w:tc>
      </w:tr>
      <w:tr w14:paraId="27F40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871A379">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24C31A05">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E57A449">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F280F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标杆龙头企业奖补标准</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1D864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400万元/个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4FE37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398C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71783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E159F5">
            <w:pPr>
              <w:jc w:val="center"/>
              <w:rPr>
                <w:rFonts w:hint="eastAsia" w:ascii="宋体" w:hAnsi="宋体" w:eastAsia="宋体" w:cs="宋体"/>
                <w:i w:val="0"/>
                <w:color w:val="000000"/>
                <w:sz w:val="22"/>
                <w:szCs w:val="22"/>
                <w:u w:val="none"/>
              </w:rPr>
            </w:pPr>
          </w:p>
        </w:tc>
      </w:tr>
      <w:tr w14:paraId="5D698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8765A40">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6BF5F271">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1E2CF7C">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D50EF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省级农业产业强镇奖补标准</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8A6E5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200万/个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7965B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1C8C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1FBBE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B46FA4">
            <w:pPr>
              <w:jc w:val="center"/>
              <w:rPr>
                <w:rFonts w:hint="eastAsia" w:ascii="宋体" w:hAnsi="宋体" w:eastAsia="宋体" w:cs="宋体"/>
                <w:i w:val="0"/>
                <w:color w:val="000000"/>
                <w:sz w:val="22"/>
                <w:szCs w:val="22"/>
                <w:u w:val="none"/>
              </w:rPr>
            </w:pPr>
          </w:p>
        </w:tc>
      </w:tr>
      <w:tr w14:paraId="6081A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D1A4934">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109E97D0">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92A2C07">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648E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省级示范家庭农场奖补标准</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6859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10万元/个；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8C74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B8D6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15BD2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4C9F0E">
            <w:pPr>
              <w:jc w:val="center"/>
              <w:rPr>
                <w:rFonts w:hint="eastAsia" w:ascii="宋体" w:hAnsi="宋体" w:eastAsia="宋体" w:cs="宋体"/>
                <w:i w:val="0"/>
                <w:color w:val="000000"/>
                <w:sz w:val="22"/>
                <w:szCs w:val="22"/>
                <w:u w:val="none"/>
              </w:rPr>
            </w:pPr>
          </w:p>
        </w:tc>
      </w:tr>
      <w:tr w14:paraId="634E0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9D4CE3D">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1809D6F3">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612271E">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71C5A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省级示范农民合作社奖补标准</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3D85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20万元/个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35F0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CC3A0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177D2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2D4C9A">
            <w:pPr>
              <w:jc w:val="center"/>
              <w:rPr>
                <w:rFonts w:hint="eastAsia" w:ascii="宋体" w:hAnsi="宋体" w:eastAsia="宋体" w:cs="宋体"/>
                <w:i w:val="0"/>
                <w:color w:val="000000"/>
                <w:sz w:val="22"/>
                <w:szCs w:val="22"/>
                <w:u w:val="none"/>
              </w:rPr>
            </w:pPr>
          </w:p>
        </w:tc>
      </w:tr>
      <w:tr w14:paraId="1652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A36ACD8">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7758B28B">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D65CFCF">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1D7EC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建设高标准农田财政资金亩均补助水平</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0E383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≥1600元（其中省级财政资金600元）</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D3D0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A1A2F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0DB29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FA5BDF">
            <w:pPr>
              <w:rPr>
                <w:rFonts w:hint="eastAsia" w:ascii="宋体" w:hAnsi="宋体" w:eastAsia="宋体" w:cs="宋体"/>
                <w:i w:val="0"/>
                <w:color w:val="000000"/>
                <w:sz w:val="22"/>
                <w:szCs w:val="22"/>
                <w:u w:val="none"/>
              </w:rPr>
            </w:pPr>
          </w:p>
        </w:tc>
      </w:tr>
      <w:tr w14:paraId="13F2C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FEA1358">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0012B8B9">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6A548F5">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F250A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农村人才培育与农村政策改革补助标准</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EC00E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不低于上年度</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B752E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与上年度保持一致</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AE0A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23C47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4EF7D6">
            <w:pPr>
              <w:rPr>
                <w:rFonts w:hint="eastAsia" w:ascii="宋体" w:hAnsi="宋体" w:eastAsia="宋体" w:cs="宋体"/>
                <w:i w:val="0"/>
                <w:color w:val="000000"/>
                <w:sz w:val="22"/>
                <w:szCs w:val="22"/>
                <w:u w:val="none"/>
              </w:rPr>
            </w:pPr>
          </w:p>
        </w:tc>
      </w:tr>
      <w:tr w14:paraId="7028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64EE44D">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nil"/>
              <w:right w:val="single" w:color="000000" w:sz="4" w:space="0"/>
            </w:tcBorders>
            <w:shd w:val="clear" w:color="auto" w:fill="auto"/>
            <w:tcMar>
              <w:top w:w="10" w:type="dxa"/>
              <w:left w:w="10" w:type="dxa"/>
              <w:right w:w="10" w:type="dxa"/>
            </w:tcMar>
            <w:vAlign w:val="center"/>
          </w:tcPr>
          <w:p w14:paraId="293A5479">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FBF2382">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037780">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省级美丽乡村示范村奖补标准</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7654A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100万元/个</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96D9D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F0F14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37C78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5366B0">
            <w:pPr>
              <w:rPr>
                <w:rFonts w:hint="eastAsia" w:ascii="宋体" w:hAnsi="宋体" w:eastAsia="宋体" w:cs="宋体"/>
                <w:i w:val="0"/>
                <w:color w:val="000000"/>
                <w:sz w:val="22"/>
                <w:szCs w:val="22"/>
                <w:u w:val="none"/>
              </w:rPr>
            </w:pPr>
          </w:p>
        </w:tc>
      </w:tr>
      <w:tr w14:paraId="69111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5A4504F">
            <w:pPr>
              <w:jc w:val="center"/>
              <w:rPr>
                <w:rFonts w:hint="eastAsia" w:ascii="宋体" w:hAnsi="宋体" w:eastAsia="宋体" w:cs="宋体"/>
                <w:i w:val="0"/>
                <w:color w:val="000000"/>
                <w:sz w:val="22"/>
                <w:szCs w:val="22"/>
                <w:u w:val="none"/>
              </w:rPr>
            </w:pPr>
          </w:p>
        </w:tc>
        <w:tc>
          <w:tcPr>
            <w:tcW w:w="1215"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75FF24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效益指标</w:t>
            </w:r>
          </w:p>
          <w:p w14:paraId="712D6EE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（30分）</w:t>
            </w:r>
          </w:p>
        </w:tc>
        <w:tc>
          <w:tcPr>
            <w:tcW w:w="1263"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040242B">
            <w:pPr>
              <w:keepNext w:val="0"/>
              <w:keepLines w:val="0"/>
              <w:widowControl/>
              <w:suppressLineNumbers w:val="0"/>
              <w:ind w:right="159" w:rightChars="76"/>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经济效益</w:t>
            </w:r>
          </w:p>
          <w:p w14:paraId="6460235F">
            <w:pPr>
              <w:keepNext w:val="0"/>
              <w:keepLines w:val="0"/>
              <w:widowControl/>
              <w:suppressLineNumbers w:val="0"/>
              <w:ind w:right="159" w:rightChars="76"/>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指标（7.5分）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C5036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粮油绿色高质高效创建示范基地亩均增收金额</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CFAC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≥100元</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12332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150元</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8BBC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76C5F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E29620">
            <w:pPr>
              <w:rPr>
                <w:rFonts w:hint="eastAsia" w:ascii="宋体" w:hAnsi="宋体" w:eastAsia="宋体" w:cs="宋体"/>
                <w:i w:val="0"/>
                <w:color w:val="000000"/>
                <w:sz w:val="22"/>
                <w:szCs w:val="22"/>
                <w:u w:val="none"/>
              </w:rPr>
            </w:pPr>
          </w:p>
        </w:tc>
      </w:tr>
      <w:tr w14:paraId="406B1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F6CFAB4">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FCA523E">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FA809EB">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ED92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全省农业优势特色产业全产业链产值</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3F14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≥13500亿元</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8949D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22700亿元</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365E9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FB57D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02F1A7">
            <w:pPr>
              <w:rPr>
                <w:rFonts w:hint="eastAsia" w:ascii="宋体" w:hAnsi="宋体" w:eastAsia="宋体" w:cs="宋体"/>
                <w:i w:val="0"/>
                <w:color w:val="000000"/>
                <w:sz w:val="22"/>
                <w:szCs w:val="22"/>
                <w:u w:val="none"/>
              </w:rPr>
            </w:pPr>
          </w:p>
        </w:tc>
      </w:tr>
      <w:tr w14:paraId="32116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CE369EA">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7ACFC9D">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62A93A6">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492C7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全省休闲农业实现营业收入</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8486F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≥450亿元</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A38FE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535亿元</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B0AAB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497E5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82A0B4">
            <w:pPr>
              <w:rPr>
                <w:rFonts w:hint="eastAsia" w:ascii="宋体" w:hAnsi="宋体" w:eastAsia="宋体" w:cs="宋体"/>
                <w:i w:val="0"/>
                <w:color w:val="000000"/>
                <w:sz w:val="22"/>
                <w:szCs w:val="22"/>
                <w:u w:val="none"/>
              </w:rPr>
            </w:pPr>
          </w:p>
        </w:tc>
      </w:tr>
      <w:tr w14:paraId="6836F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770367E">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349F95B">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EF595F2">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D4F05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生产经营者收入增长率</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DE2BE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3313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1E85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1F29B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4B093D">
            <w:pPr>
              <w:rPr>
                <w:rFonts w:hint="eastAsia" w:ascii="宋体" w:hAnsi="宋体" w:eastAsia="宋体" w:cs="宋体"/>
                <w:i w:val="0"/>
                <w:color w:val="000000"/>
                <w:sz w:val="22"/>
                <w:szCs w:val="22"/>
                <w:u w:val="none"/>
              </w:rPr>
            </w:pPr>
          </w:p>
        </w:tc>
      </w:tr>
      <w:tr w14:paraId="1B751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201C323">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7AAB994">
            <w:pPr>
              <w:jc w:val="center"/>
              <w:rPr>
                <w:rFonts w:hint="eastAsia" w:ascii="宋体" w:hAnsi="宋体" w:eastAsia="宋体" w:cs="宋体"/>
                <w:i w:val="0"/>
                <w:color w:val="000000"/>
                <w:sz w:val="22"/>
                <w:szCs w:val="22"/>
                <w:u w:val="none"/>
              </w:rPr>
            </w:pPr>
          </w:p>
        </w:tc>
        <w:tc>
          <w:tcPr>
            <w:tcW w:w="1263"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8A018C7">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社会效益</w:t>
            </w:r>
          </w:p>
          <w:p w14:paraId="2F6A5C0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指标（12分）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89D69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保障市场粮食、畜禽等重要农产品供应和价格情况</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C53F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价格稳定，总体平稳或波动较小</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A4FE5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价格稳定，总体平稳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787C0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DF3D3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919A3D">
            <w:pPr>
              <w:jc w:val="left"/>
              <w:rPr>
                <w:rFonts w:hint="eastAsia" w:ascii="宋体" w:hAnsi="宋体" w:eastAsia="宋体" w:cs="宋体"/>
                <w:i w:val="0"/>
                <w:color w:val="000000"/>
                <w:sz w:val="22"/>
                <w:szCs w:val="22"/>
                <w:u w:val="none"/>
              </w:rPr>
            </w:pPr>
          </w:p>
        </w:tc>
      </w:tr>
      <w:tr w14:paraId="7B6E2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9484F80">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C24D32C">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5D0B1A5">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BDF59C">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重要农产品供给保障</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947B9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稳产保供</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4A046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稳产保供</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E8B6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E72A0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EDAB1B">
            <w:pPr>
              <w:jc w:val="left"/>
              <w:rPr>
                <w:rFonts w:hint="eastAsia" w:ascii="宋体" w:hAnsi="宋体" w:eastAsia="宋体" w:cs="宋体"/>
                <w:i w:val="0"/>
                <w:color w:val="000000"/>
                <w:sz w:val="22"/>
                <w:szCs w:val="22"/>
                <w:u w:val="none"/>
              </w:rPr>
            </w:pPr>
          </w:p>
        </w:tc>
      </w:tr>
      <w:tr w14:paraId="42199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900A51F">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0481018">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4C2EDB4">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61831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接待游客</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1B794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≥1.6亿人次</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ECCF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2.15亿人次</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E016B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95726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F0446D">
            <w:pPr>
              <w:jc w:val="left"/>
              <w:rPr>
                <w:rFonts w:hint="eastAsia" w:ascii="宋体" w:hAnsi="宋体" w:eastAsia="宋体" w:cs="宋体"/>
                <w:i w:val="0"/>
                <w:color w:val="000000"/>
                <w:sz w:val="22"/>
                <w:szCs w:val="22"/>
                <w:u w:val="none"/>
              </w:rPr>
            </w:pPr>
          </w:p>
        </w:tc>
      </w:tr>
      <w:tr w14:paraId="0B9F2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993E244">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61268C4">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FC428D2">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ACDD0A">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带动农户</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243C5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≥10000户</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EFE39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≥10000户</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A6E98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90A1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95248A">
            <w:pPr>
              <w:jc w:val="left"/>
              <w:rPr>
                <w:rFonts w:hint="eastAsia" w:ascii="宋体" w:hAnsi="宋体" w:eastAsia="宋体" w:cs="宋体"/>
                <w:i w:val="0"/>
                <w:color w:val="000000"/>
                <w:sz w:val="22"/>
                <w:szCs w:val="22"/>
                <w:u w:val="none"/>
              </w:rPr>
            </w:pPr>
          </w:p>
        </w:tc>
      </w:tr>
      <w:tr w14:paraId="4A470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028B617">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65DFAFE">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E723E63">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D9AF6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农业劳模生活困难改善水平</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165D5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有效改善</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F1A64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有效改善</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E138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F4BDE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46DA2C">
            <w:pPr>
              <w:jc w:val="left"/>
              <w:rPr>
                <w:rFonts w:hint="eastAsia" w:ascii="宋体" w:hAnsi="宋体" w:eastAsia="宋体" w:cs="宋体"/>
                <w:i w:val="0"/>
                <w:color w:val="000000"/>
                <w:sz w:val="22"/>
                <w:szCs w:val="22"/>
                <w:u w:val="none"/>
              </w:rPr>
            </w:pPr>
          </w:p>
        </w:tc>
      </w:tr>
      <w:tr w14:paraId="1539F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7D24BAE">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946574A">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F371534">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D3F16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农业社会化服务水平情况</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312A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是否不断提高</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7E78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不断提高</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B6397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93AF7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973B7A">
            <w:pPr>
              <w:jc w:val="left"/>
              <w:rPr>
                <w:rFonts w:hint="eastAsia" w:ascii="宋体" w:hAnsi="宋体" w:eastAsia="宋体" w:cs="宋体"/>
                <w:i w:val="0"/>
                <w:color w:val="000000"/>
                <w:sz w:val="22"/>
                <w:szCs w:val="22"/>
                <w:u w:val="none"/>
              </w:rPr>
            </w:pPr>
          </w:p>
        </w:tc>
      </w:tr>
      <w:tr w14:paraId="21510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DB3ECB1">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5C28DBE">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5CB9C9B">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327D5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示范村村容村貌改善程度</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21B92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明显改善</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39E9B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明显改善</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D4256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E9EF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678D24">
            <w:pPr>
              <w:jc w:val="left"/>
              <w:rPr>
                <w:rFonts w:hint="eastAsia" w:ascii="宋体" w:hAnsi="宋体" w:eastAsia="宋体" w:cs="宋体"/>
                <w:i w:val="0"/>
                <w:color w:val="000000"/>
                <w:sz w:val="22"/>
                <w:szCs w:val="22"/>
                <w:u w:val="none"/>
              </w:rPr>
            </w:pPr>
          </w:p>
        </w:tc>
      </w:tr>
      <w:tr w14:paraId="495A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4D968CA">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E13AF64">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398B791">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B218C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现代农业发展短板问题</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8B899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有所解决</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6C75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有所解决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65377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883E2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258FB2">
            <w:pPr>
              <w:jc w:val="left"/>
              <w:rPr>
                <w:rFonts w:hint="eastAsia" w:ascii="宋体" w:hAnsi="宋体" w:eastAsia="宋体" w:cs="宋体"/>
                <w:i w:val="0"/>
                <w:color w:val="000000"/>
                <w:sz w:val="22"/>
                <w:szCs w:val="22"/>
                <w:u w:val="none"/>
              </w:rPr>
            </w:pPr>
          </w:p>
        </w:tc>
      </w:tr>
      <w:tr w14:paraId="66C04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0C7DBD1">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FDA2F9F">
            <w:pPr>
              <w:jc w:val="center"/>
              <w:rPr>
                <w:rFonts w:hint="eastAsia" w:ascii="宋体" w:hAnsi="宋体" w:eastAsia="宋体" w:cs="宋体"/>
                <w:i w:val="0"/>
                <w:color w:val="000000"/>
                <w:sz w:val="22"/>
                <w:szCs w:val="22"/>
                <w:u w:val="none"/>
              </w:rPr>
            </w:pPr>
          </w:p>
        </w:tc>
        <w:tc>
          <w:tcPr>
            <w:tcW w:w="1263"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9CC6A8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生态效益（3分）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984B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耕地质量</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F7A1A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逐步提升</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752F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逐步提升</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10D14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89CEC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1A5E6D">
            <w:pPr>
              <w:jc w:val="left"/>
              <w:rPr>
                <w:rFonts w:hint="eastAsia" w:ascii="宋体" w:hAnsi="宋体" w:eastAsia="宋体" w:cs="宋体"/>
                <w:i w:val="0"/>
                <w:color w:val="000000"/>
                <w:sz w:val="22"/>
                <w:szCs w:val="22"/>
                <w:u w:val="none"/>
              </w:rPr>
            </w:pPr>
          </w:p>
        </w:tc>
      </w:tr>
      <w:tr w14:paraId="565A5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20BF8CB">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A6169CB">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9D7C8E6">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C8A4E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全省农作物化肥施用量</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1654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零增长</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F05B1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零增长</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278C5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C459E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11AB8D">
            <w:pPr>
              <w:jc w:val="left"/>
              <w:rPr>
                <w:rFonts w:hint="eastAsia" w:ascii="宋体" w:hAnsi="宋体" w:eastAsia="宋体" w:cs="宋体"/>
                <w:i w:val="0"/>
                <w:color w:val="000000"/>
                <w:sz w:val="22"/>
                <w:szCs w:val="22"/>
                <w:u w:val="none"/>
              </w:rPr>
            </w:pPr>
          </w:p>
        </w:tc>
      </w:tr>
      <w:tr w14:paraId="66CD1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29F15CC">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FAD93A6">
            <w:pPr>
              <w:jc w:val="center"/>
              <w:rPr>
                <w:rFonts w:hint="eastAsia" w:ascii="宋体" w:hAnsi="宋体" w:eastAsia="宋体" w:cs="宋体"/>
                <w:i w:val="0"/>
                <w:color w:val="000000"/>
                <w:sz w:val="22"/>
                <w:szCs w:val="22"/>
                <w:u w:val="none"/>
              </w:rPr>
            </w:pPr>
          </w:p>
        </w:tc>
        <w:tc>
          <w:tcPr>
            <w:tcW w:w="1263"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2332AE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可持续影响指标（7.5分）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C9204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提升农田灌溉排水和节水能力</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CEE2B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不断提升</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E68DB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不断提升</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6B44F3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CF909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AC0681">
            <w:pPr>
              <w:rPr>
                <w:rFonts w:hint="eastAsia" w:ascii="宋体" w:hAnsi="宋体" w:eastAsia="宋体" w:cs="宋体"/>
                <w:i w:val="0"/>
                <w:color w:val="000000"/>
                <w:sz w:val="22"/>
                <w:szCs w:val="22"/>
                <w:u w:val="none"/>
              </w:rPr>
            </w:pPr>
          </w:p>
        </w:tc>
      </w:tr>
      <w:tr w14:paraId="71EBD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625EC72">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460A12E">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3A1FC3D">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1B817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项目区农业基础设施条件</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99E8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进一步改善</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D0F0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进一步改善</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850BA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11E0F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686260">
            <w:pPr>
              <w:rPr>
                <w:rFonts w:hint="eastAsia" w:ascii="宋体" w:hAnsi="宋体" w:eastAsia="宋体" w:cs="宋体"/>
                <w:i w:val="0"/>
                <w:color w:val="000000"/>
                <w:sz w:val="22"/>
                <w:szCs w:val="22"/>
                <w:u w:val="none"/>
              </w:rPr>
            </w:pPr>
          </w:p>
        </w:tc>
      </w:tr>
      <w:tr w14:paraId="67EEC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39E1DF6">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1FFD2F5">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281DA2C">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3B88E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现代农业发展短板问题有所解决，农业面源污染较上年减轻</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7849D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现代农业发展短板问题是否有所解决，农业面源污染较上年是否减轻</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8C510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有所减轻</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2DD3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BDAC8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2326D6">
            <w:pPr>
              <w:rPr>
                <w:rFonts w:hint="eastAsia" w:ascii="宋体" w:hAnsi="宋体" w:eastAsia="宋体" w:cs="宋体"/>
                <w:i w:val="0"/>
                <w:color w:val="000000"/>
                <w:sz w:val="22"/>
                <w:szCs w:val="22"/>
                <w:u w:val="none"/>
              </w:rPr>
            </w:pPr>
          </w:p>
        </w:tc>
      </w:tr>
      <w:tr w14:paraId="616A2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5270F9C">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C07A52B">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57C663B">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81065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耕地质量情况</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5174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逐步提升</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B036B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逐步提升</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7958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34408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217100">
            <w:pPr>
              <w:jc w:val="left"/>
              <w:rPr>
                <w:rFonts w:hint="eastAsia" w:ascii="宋体" w:hAnsi="宋体" w:eastAsia="宋体" w:cs="宋体"/>
                <w:i w:val="0"/>
                <w:color w:val="000000"/>
                <w:sz w:val="22"/>
                <w:szCs w:val="22"/>
                <w:u w:val="none"/>
              </w:rPr>
            </w:pPr>
          </w:p>
        </w:tc>
      </w:tr>
      <w:tr w14:paraId="2158C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F67CB5C">
            <w:pPr>
              <w:jc w:val="center"/>
              <w:rPr>
                <w:rFonts w:hint="eastAsia" w:ascii="宋体" w:hAnsi="宋体" w:eastAsia="宋体" w:cs="宋体"/>
                <w:i w:val="0"/>
                <w:color w:val="000000"/>
                <w:sz w:val="22"/>
                <w:szCs w:val="22"/>
                <w:u w:val="none"/>
              </w:rPr>
            </w:pPr>
          </w:p>
        </w:tc>
        <w:tc>
          <w:tcPr>
            <w:tcW w:w="121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FB8F100">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907E6D3">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25E254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农业农村现代化进程</w:t>
            </w:r>
          </w:p>
        </w:tc>
        <w:tc>
          <w:tcPr>
            <w:tcW w:w="2527"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FC6B0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进一步加快</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CFFD2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进一步加快</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B07F6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8B24D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3514A8">
            <w:pPr>
              <w:jc w:val="left"/>
              <w:rPr>
                <w:rFonts w:hint="eastAsia" w:ascii="宋体" w:hAnsi="宋体" w:eastAsia="宋体" w:cs="宋体"/>
                <w:i w:val="0"/>
                <w:color w:val="000000"/>
                <w:sz w:val="22"/>
                <w:szCs w:val="22"/>
                <w:u w:val="none"/>
              </w:rPr>
            </w:pPr>
          </w:p>
        </w:tc>
      </w:tr>
      <w:tr w14:paraId="6513C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383DC2B">
            <w:pPr>
              <w:jc w:val="center"/>
              <w:rPr>
                <w:rFonts w:hint="eastAsia" w:ascii="宋体" w:hAnsi="宋体" w:eastAsia="宋体" w:cs="宋体"/>
                <w:i w:val="0"/>
                <w:color w:val="000000"/>
                <w:sz w:val="22"/>
                <w:szCs w:val="22"/>
                <w:u w:val="none"/>
              </w:rPr>
            </w:pPr>
          </w:p>
        </w:tc>
        <w:tc>
          <w:tcPr>
            <w:tcW w:w="1215" w:type="dxa"/>
            <w:vMerge w:val="restart"/>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B05BBD">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满意度指标</w:t>
            </w:r>
          </w:p>
          <w:p w14:paraId="032101D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（10分）</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23242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服务对象满意度指标（10分）</w:t>
            </w: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9E401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受益农户满意度</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24820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314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DDD22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C5D1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F4CF6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AF524F">
            <w:pPr>
              <w:jc w:val="left"/>
              <w:rPr>
                <w:rFonts w:hint="eastAsia" w:ascii="宋体" w:hAnsi="宋体" w:eastAsia="宋体" w:cs="宋体"/>
                <w:i w:val="0"/>
                <w:color w:val="000000"/>
                <w:sz w:val="22"/>
                <w:szCs w:val="22"/>
                <w:u w:val="none"/>
              </w:rPr>
            </w:pPr>
          </w:p>
        </w:tc>
      </w:tr>
      <w:tr w14:paraId="3D9A8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0F1316B">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D53339">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060F14">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2A083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厅机关人员及直属单位人员满意度</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B31F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47A75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D397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9B4B5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1EE603">
            <w:pPr>
              <w:rPr>
                <w:rFonts w:hint="eastAsia" w:ascii="宋体" w:hAnsi="宋体" w:eastAsia="宋体" w:cs="宋体"/>
                <w:i w:val="0"/>
                <w:color w:val="000000"/>
                <w:sz w:val="22"/>
                <w:szCs w:val="22"/>
                <w:u w:val="none"/>
              </w:rPr>
            </w:pPr>
          </w:p>
        </w:tc>
      </w:tr>
      <w:tr w14:paraId="410B0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9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7315914">
            <w:pPr>
              <w:jc w:val="center"/>
              <w:rPr>
                <w:rFonts w:hint="eastAsia" w:ascii="宋体" w:hAnsi="宋体" w:eastAsia="宋体" w:cs="宋体"/>
                <w:i w:val="0"/>
                <w:color w:val="000000"/>
                <w:sz w:val="22"/>
                <w:szCs w:val="22"/>
                <w:u w:val="none"/>
              </w:rPr>
            </w:pPr>
          </w:p>
        </w:tc>
        <w:tc>
          <w:tcPr>
            <w:tcW w:w="1215" w:type="dxa"/>
            <w:vMerge w:val="continue"/>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1B0700">
            <w:pPr>
              <w:jc w:val="center"/>
              <w:rPr>
                <w:rFonts w:hint="eastAsia" w:ascii="宋体" w:hAnsi="宋体" w:eastAsia="宋体" w:cs="宋体"/>
                <w:i w:val="0"/>
                <w:color w:val="000000"/>
                <w:sz w:val="22"/>
                <w:szCs w:val="22"/>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79F9C6">
            <w:pPr>
              <w:jc w:val="center"/>
              <w:rPr>
                <w:rFonts w:hint="eastAsia" w:ascii="宋体" w:hAnsi="宋体" w:eastAsia="宋体" w:cs="宋体"/>
                <w:i w:val="0"/>
                <w:color w:val="000000"/>
                <w:sz w:val="22"/>
                <w:szCs w:val="22"/>
                <w:u w:val="none"/>
              </w:rPr>
            </w:pPr>
          </w:p>
        </w:tc>
        <w:tc>
          <w:tcPr>
            <w:tcW w:w="3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D9C2F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社会公众和群众满意度</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549C8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15B8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14F51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80" w:type="dxa"/>
            <w:tcBorders>
              <w:top w:val="nil"/>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9DEE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D5E133">
            <w:pPr>
              <w:rPr>
                <w:rFonts w:hint="eastAsia" w:ascii="宋体" w:hAnsi="宋体" w:eastAsia="宋体" w:cs="宋体"/>
                <w:i w:val="0"/>
                <w:color w:val="000000"/>
                <w:sz w:val="22"/>
                <w:szCs w:val="22"/>
                <w:u w:val="none"/>
              </w:rPr>
            </w:pPr>
          </w:p>
        </w:tc>
      </w:tr>
      <w:tr w14:paraId="61EDD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348"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534BD3">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总分</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7B3104">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780F25">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97.50 </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E1C6FC">
            <w:pPr>
              <w:rPr>
                <w:rFonts w:hint="eastAsia" w:ascii="宋体" w:hAnsi="宋体" w:eastAsia="宋体" w:cs="宋体"/>
                <w:b/>
                <w:i w:val="0"/>
                <w:color w:val="000000"/>
                <w:sz w:val="24"/>
                <w:szCs w:val="24"/>
                <w:u w:val="none"/>
              </w:rPr>
            </w:pPr>
          </w:p>
        </w:tc>
      </w:tr>
    </w:tbl>
    <w:p w14:paraId="526AC03B">
      <w:pPr>
        <w:pStyle w:val="2"/>
        <w:rPr>
          <w:color w:val="auto"/>
          <w:highlight w:val="none"/>
        </w:rPr>
      </w:pPr>
    </w:p>
    <w:p w14:paraId="2052CB11">
      <w:pPr>
        <w:pStyle w:val="2"/>
        <w:rPr>
          <w:color w:val="auto"/>
          <w:highlight w:val="none"/>
        </w:rPr>
      </w:pPr>
    </w:p>
    <w:p w14:paraId="13284521">
      <w:pPr>
        <w:pStyle w:val="2"/>
        <w:rPr>
          <w:color w:val="auto"/>
          <w:highlight w:val="none"/>
        </w:rPr>
      </w:pPr>
    </w:p>
    <w:p w14:paraId="0E1B0443">
      <w:pPr>
        <w:pStyle w:val="2"/>
        <w:rPr>
          <w:color w:val="auto"/>
          <w:highlight w:val="none"/>
        </w:rPr>
      </w:pPr>
    </w:p>
    <w:p w14:paraId="272191F7">
      <w:pPr>
        <w:pStyle w:val="2"/>
        <w:rPr>
          <w:color w:val="auto"/>
          <w:highlight w:val="none"/>
        </w:rPr>
      </w:pPr>
    </w:p>
    <w:p w14:paraId="7AAEB949">
      <w:pPr>
        <w:pStyle w:val="2"/>
        <w:rPr>
          <w:color w:val="auto"/>
          <w:highlight w:val="none"/>
        </w:rPr>
      </w:pPr>
    </w:p>
    <w:p w14:paraId="4C157A7F">
      <w:pPr>
        <w:pStyle w:val="2"/>
        <w:rPr>
          <w:color w:val="auto"/>
          <w:highlight w:val="none"/>
        </w:rPr>
      </w:pPr>
    </w:p>
    <w:p w14:paraId="63858A57">
      <w:pPr>
        <w:pStyle w:val="2"/>
        <w:rPr>
          <w:color w:val="auto"/>
          <w:highlight w:val="none"/>
        </w:rPr>
      </w:pPr>
    </w:p>
    <w:p w14:paraId="4A26634D">
      <w:pPr>
        <w:pStyle w:val="2"/>
        <w:rPr>
          <w:color w:val="auto"/>
          <w:highlight w:val="none"/>
        </w:rPr>
      </w:pPr>
    </w:p>
    <w:p w14:paraId="401CC29E">
      <w:pPr>
        <w:pStyle w:val="2"/>
        <w:rPr>
          <w:color w:val="auto"/>
          <w:highlight w:val="none"/>
        </w:rPr>
      </w:pPr>
    </w:p>
    <w:p w14:paraId="76C2FE08">
      <w:pPr>
        <w:pStyle w:val="2"/>
        <w:rPr>
          <w:color w:val="auto"/>
          <w:highlight w:val="none"/>
        </w:rPr>
      </w:pPr>
    </w:p>
    <w:p w14:paraId="1AAD8549">
      <w:pPr>
        <w:pStyle w:val="2"/>
        <w:rPr>
          <w:color w:val="auto"/>
          <w:highlight w:val="none"/>
        </w:rPr>
      </w:pPr>
    </w:p>
    <w:p w14:paraId="1D98DE21">
      <w:pPr>
        <w:pStyle w:val="2"/>
        <w:rPr>
          <w:color w:val="auto"/>
          <w:highlight w:val="none"/>
        </w:rPr>
      </w:pPr>
    </w:p>
    <w:tbl>
      <w:tblPr>
        <w:tblStyle w:val="12"/>
        <w:tblW w:w="154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85"/>
        <w:gridCol w:w="1308"/>
        <w:gridCol w:w="1065"/>
        <w:gridCol w:w="2170"/>
        <w:gridCol w:w="3672"/>
        <w:gridCol w:w="2280"/>
        <w:gridCol w:w="1308"/>
        <w:gridCol w:w="1185"/>
        <w:gridCol w:w="1261"/>
      </w:tblGrid>
      <w:tr w14:paraId="3B3F3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2493" w:type="dxa"/>
            <w:gridSpan w:val="2"/>
            <w:tcBorders>
              <w:top w:val="nil"/>
              <w:left w:val="nil"/>
              <w:bottom w:val="nil"/>
              <w:right w:val="nil"/>
            </w:tcBorders>
            <w:shd w:val="clear" w:color="auto" w:fill="auto"/>
            <w:noWrap/>
            <w:tcMar>
              <w:top w:w="10" w:type="dxa"/>
              <w:left w:w="10" w:type="dxa"/>
              <w:right w:w="10" w:type="dxa"/>
            </w:tcMar>
            <w:vAlign w:val="center"/>
          </w:tcPr>
          <w:p w14:paraId="024AE14B">
            <w:pPr>
              <w:keepNext w:val="0"/>
              <w:keepLines w:val="0"/>
              <w:widowControl/>
              <w:suppressLineNumbers w:val="0"/>
              <w:jc w:val="left"/>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附件3</w:t>
            </w:r>
          </w:p>
        </w:tc>
        <w:tc>
          <w:tcPr>
            <w:tcW w:w="1065" w:type="dxa"/>
            <w:tcBorders>
              <w:top w:val="nil"/>
              <w:left w:val="nil"/>
              <w:bottom w:val="nil"/>
              <w:right w:val="nil"/>
            </w:tcBorders>
            <w:shd w:val="clear" w:color="auto" w:fill="auto"/>
            <w:noWrap/>
            <w:tcMar>
              <w:top w:w="10" w:type="dxa"/>
              <w:left w:w="10" w:type="dxa"/>
              <w:right w:w="10" w:type="dxa"/>
            </w:tcMar>
            <w:vAlign w:val="center"/>
          </w:tcPr>
          <w:p w14:paraId="7558EB98">
            <w:pPr>
              <w:rPr>
                <w:rFonts w:hint="eastAsia" w:ascii="宋体" w:hAnsi="宋体" w:eastAsia="宋体" w:cs="宋体"/>
                <w:i w:val="0"/>
                <w:color w:val="000000"/>
                <w:sz w:val="24"/>
                <w:szCs w:val="24"/>
                <w:u w:val="none"/>
              </w:rPr>
            </w:pPr>
          </w:p>
        </w:tc>
        <w:tc>
          <w:tcPr>
            <w:tcW w:w="2170" w:type="dxa"/>
            <w:tcBorders>
              <w:top w:val="nil"/>
              <w:left w:val="nil"/>
              <w:bottom w:val="nil"/>
              <w:right w:val="nil"/>
            </w:tcBorders>
            <w:shd w:val="clear" w:color="auto" w:fill="auto"/>
            <w:noWrap/>
            <w:tcMar>
              <w:top w:w="10" w:type="dxa"/>
              <w:left w:w="10" w:type="dxa"/>
              <w:right w:w="10" w:type="dxa"/>
            </w:tcMar>
            <w:vAlign w:val="center"/>
          </w:tcPr>
          <w:p w14:paraId="22D3B1D9">
            <w:pPr>
              <w:rPr>
                <w:rFonts w:hint="eastAsia" w:ascii="宋体" w:hAnsi="宋体" w:eastAsia="宋体" w:cs="宋体"/>
                <w:i w:val="0"/>
                <w:color w:val="000000"/>
                <w:sz w:val="24"/>
                <w:szCs w:val="24"/>
                <w:u w:val="none"/>
              </w:rPr>
            </w:pPr>
          </w:p>
        </w:tc>
        <w:tc>
          <w:tcPr>
            <w:tcW w:w="3672" w:type="dxa"/>
            <w:tcBorders>
              <w:top w:val="nil"/>
              <w:left w:val="nil"/>
              <w:bottom w:val="nil"/>
              <w:right w:val="nil"/>
            </w:tcBorders>
            <w:shd w:val="clear" w:color="auto" w:fill="auto"/>
            <w:noWrap/>
            <w:tcMar>
              <w:top w:w="10" w:type="dxa"/>
              <w:left w:w="10" w:type="dxa"/>
              <w:right w:w="10" w:type="dxa"/>
            </w:tcMar>
            <w:vAlign w:val="center"/>
          </w:tcPr>
          <w:p w14:paraId="0F7C4DAC">
            <w:pPr>
              <w:rPr>
                <w:rFonts w:hint="eastAsia" w:ascii="宋体" w:hAnsi="宋体" w:eastAsia="宋体" w:cs="宋体"/>
                <w:i w:val="0"/>
                <w:color w:val="000000"/>
                <w:sz w:val="24"/>
                <w:szCs w:val="24"/>
                <w:u w:val="none"/>
              </w:rPr>
            </w:pPr>
          </w:p>
        </w:tc>
        <w:tc>
          <w:tcPr>
            <w:tcW w:w="2280" w:type="dxa"/>
            <w:tcBorders>
              <w:top w:val="nil"/>
              <w:left w:val="nil"/>
              <w:bottom w:val="nil"/>
              <w:right w:val="nil"/>
            </w:tcBorders>
            <w:shd w:val="clear" w:color="auto" w:fill="auto"/>
            <w:noWrap/>
            <w:tcMar>
              <w:top w:w="10" w:type="dxa"/>
              <w:left w:w="10" w:type="dxa"/>
              <w:right w:w="10" w:type="dxa"/>
            </w:tcMar>
            <w:vAlign w:val="center"/>
          </w:tcPr>
          <w:p w14:paraId="42314766">
            <w:pPr>
              <w:rPr>
                <w:rFonts w:hint="eastAsia" w:ascii="宋体" w:hAnsi="宋体" w:eastAsia="宋体" w:cs="宋体"/>
                <w:i w:val="0"/>
                <w:color w:val="000000"/>
                <w:sz w:val="24"/>
                <w:szCs w:val="24"/>
                <w:u w:val="none"/>
              </w:rPr>
            </w:pPr>
          </w:p>
        </w:tc>
        <w:tc>
          <w:tcPr>
            <w:tcW w:w="1308" w:type="dxa"/>
            <w:tcBorders>
              <w:top w:val="nil"/>
              <w:left w:val="nil"/>
              <w:bottom w:val="nil"/>
              <w:right w:val="nil"/>
            </w:tcBorders>
            <w:shd w:val="clear" w:color="auto" w:fill="auto"/>
            <w:noWrap/>
            <w:tcMar>
              <w:top w:w="10" w:type="dxa"/>
              <w:left w:w="10" w:type="dxa"/>
              <w:right w:w="10" w:type="dxa"/>
            </w:tcMar>
            <w:vAlign w:val="center"/>
          </w:tcPr>
          <w:p w14:paraId="38FD5FD6">
            <w:pPr>
              <w:rPr>
                <w:rFonts w:hint="eastAsia" w:ascii="宋体" w:hAnsi="宋体" w:eastAsia="宋体" w:cs="宋体"/>
                <w:i w:val="0"/>
                <w:color w:val="000000"/>
                <w:sz w:val="24"/>
                <w:szCs w:val="24"/>
                <w:u w:val="none"/>
              </w:rPr>
            </w:pPr>
          </w:p>
        </w:tc>
        <w:tc>
          <w:tcPr>
            <w:tcW w:w="1185" w:type="dxa"/>
            <w:tcBorders>
              <w:top w:val="nil"/>
              <w:left w:val="nil"/>
              <w:bottom w:val="nil"/>
              <w:right w:val="nil"/>
            </w:tcBorders>
            <w:shd w:val="clear" w:color="auto" w:fill="auto"/>
            <w:noWrap/>
            <w:tcMar>
              <w:top w:w="10" w:type="dxa"/>
              <w:left w:w="10" w:type="dxa"/>
              <w:right w:w="10" w:type="dxa"/>
            </w:tcMar>
            <w:vAlign w:val="center"/>
          </w:tcPr>
          <w:p w14:paraId="237DFB89">
            <w:pPr>
              <w:rPr>
                <w:rFonts w:hint="eastAsia" w:ascii="宋体" w:hAnsi="宋体" w:eastAsia="宋体" w:cs="宋体"/>
                <w:i w:val="0"/>
                <w:color w:val="000000"/>
                <w:sz w:val="24"/>
                <w:szCs w:val="24"/>
                <w:u w:val="none"/>
              </w:rPr>
            </w:pPr>
          </w:p>
        </w:tc>
        <w:tc>
          <w:tcPr>
            <w:tcW w:w="1261" w:type="dxa"/>
            <w:tcBorders>
              <w:top w:val="nil"/>
              <w:left w:val="nil"/>
              <w:bottom w:val="nil"/>
              <w:right w:val="nil"/>
            </w:tcBorders>
            <w:shd w:val="clear" w:color="auto" w:fill="auto"/>
            <w:noWrap/>
            <w:tcMar>
              <w:top w:w="10" w:type="dxa"/>
              <w:left w:w="10" w:type="dxa"/>
              <w:right w:w="10" w:type="dxa"/>
            </w:tcMar>
            <w:vAlign w:val="center"/>
          </w:tcPr>
          <w:p w14:paraId="02158422">
            <w:pPr>
              <w:rPr>
                <w:rFonts w:hint="eastAsia" w:ascii="宋体" w:hAnsi="宋体" w:eastAsia="宋体" w:cs="宋体"/>
                <w:i w:val="0"/>
                <w:color w:val="000000"/>
                <w:sz w:val="24"/>
                <w:szCs w:val="24"/>
                <w:u w:val="none"/>
              </w:rPr>
            </w:pPr>
          </w:p>
        </w:tc>
      </w:tr>
      <w:tr w14:paraId="7E371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5434" w:type="dxa"/>
            <w:gridSpan w:val="9"/>
            <w:tcBorders>
              <w:top w:val="nil"/>
              <w:left w:val="nil"/>
              <w:bottom w:val="nil"/>
              <w:right w:val="nil"/>
            </w:tcBorders>
            <w:shd w:val="clear" w:color="auto" w:fill="auto"/>
            <w:noWrap/>
            <w:tcMar>
              <w:top w:w="10" w:type="dxa"/>
              <w:left w:w="10" w:type="dxa"/>
              <w:right w:w="10" w:type="dxa"/>
            </w:tcMar>
            <w:vAlign w:val="center"/>
          </w:tcPr>
          <w:p w14:paraId="19FADA27">
            <w:pPr>
              <w:keepNext w:val="0"/>
              <w:keepLines w:val="0"/>
              <w:widowControl/>
              <w:suppressLineNumbers w:val="0"/>
              <w:jc w:val="center"/>
              <w:textAlignment w:val="center"/>
              <w:rPr>
                <w:rFonts w:ascii="方正大标宋简体" w:hAnsi="方正大标宋简体" w:eastAsia="方正大标宋简体" w:cs="方正大标宋简体"/>
                <w:i w:val="0"/>
                <w:color w:val="000000"/>
                <w:sz w:val="44"/>
                <w:szCs w:val="44"/>
                <w:u w:val="none"/>
              </w:rPr>
            </w:pPr>
            <w:r>
              <w:rPr>
                <w:rFonts w:hint="default" w:ascii="方正大标宋简体" w:hAnsi="方正大标宋简体" w:eastAsia="方正大标宋简体" w:cs="方正大标宋简体"/>
                <w:i w:val="0"/>
                <w:color w:val="000000"/>
                <w:kern w:val="0"/>
                <w:sz w:val="44"/>
                <w:szCs w:val="44"/>
                <w:u w:val="none"/>
                <w:lang w:val="en-US" w:eastAsia="zh-CN" w:bidi="ar"/>
              </w:rPr>
              <w:t>2023年度业务工作经费项目支出绩效自评表</w:t>
            </w:r>
          </w:p>
        </w:tc>
      </w:tr>
      <w:tr w14:paraId="01DC8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trPr>
        <w:tc>
          <w:tcPr>
            <w:tcW w:w="1185"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5FF5891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项目支</w:t>
            </w:r>
          </w:p>
          <w:p w14:paraId="739F53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出名称</w:t>
            </w:r>
          </w:p>
        </w:tc>
        <w:tc>
          <w:tcPr>
            <w:tcW w:w="14249"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781CB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业务工作经费</w:t>
            </w:r>
          </w:p>
        </w:tc>
      </w:tr>
      <w:tr w14:paraId="3B0FD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85"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0BDECDA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主管部门</w:t>
            </w:r>
          </w:p>
        </w:tc>
        <w:tc>
          <w:tcPr>
            <w:tcW w:w="8215"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5CB62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湖南省农业农村厅</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1132C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实施单位</w:t>
            </w:r>
          </w:p>
        </w:tc>
        <w:tc>
          <w:tcPr>
            <w:tcW w:w="3754"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B5D06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湖南省农业农村厅</w:t>
            </w:r>
          </w:p>
        </w:tc>
      </w:tr>
      <w:tr w14:paraId="1C64E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85" w:type="dxa"/>
            <w:vMerge w:val="restart"/>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5A1324D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项目资金（万元）</w:t>
            </w:r>
          </w:p>
        </w:tc>
        <w:tc>
          <w:tcPr>
            <w:tcW w:w="2373"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95EEC0">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2823A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年初预算数</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2580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全年预算数</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11050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全年执行数</w:t>
            </w:r>
          </w:p>
        </w:tc>
        <w:tc>
          <w:tcPr>
            <w:tcW w:w="13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0011B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分值</w:t>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8203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执行率</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87A5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得分</w:t>
            </w:r>
          </w:p>
        </w:tc>
      </w:tr>
      <w:tr w14:paraId="57C7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85" w:type="dxa"/>
            <w:vMerge w:val="continue"/>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07C9380C">
            <w:pPr>
              <w:jc w:val="center"/>
              <w:rPr>
                <w:rFonts w:hint="eastAsia" w:ascii="宋体" w:hAnsi="宋体" w:eastAsia="宋体" w:cs="宋体"/>
                <w:i w:val="0"/>
                <w:color w:val="000000"/>
                <w:sz w:val="22"/>
                <w:szCs w:val="22"/>
                <w:u w:val="none"/>
              </w:rPr>
            </w:pPr>
          </w:p>
        </w:tc>
        <w:tc>
          <w:tcPr>
            <w:tcW w:w="237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732F2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年度资金总额</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7560A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44,121,063.68 </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C8006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38,198,988.85 </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9EA95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27,726,342.58 </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D9BD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313FD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72.58%</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D134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7.26 </w:t>
            </w:r>
          </w:p>
        </w:tc>
      </w:tr>
      <w:tr w14:paraId="292A5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85" w:type="dxa"/>
            <w:vMerge w:val="continue"/>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10C08A9E">
            <w:pPr>
              <w:jc w:val="center"/>
              <w:rPr>
                <w:rFonts w:hint="eastAsia" w:ascii="宋体" w:hAnsi="宋体" w:eastAsia="宋体" w:cs="宋体"/>
                <w:i w:val="0"/>
                <w:color w:val="000000"/>
                <w:sz w:val="22"/>
                <w:szCs w:val="22"/>
                <w:u w:val="none"/>
              </w:rPr>
            </w:pPr>
          </w:p>
        </w:tc>
        <w:tc>
          <w:tcPr>
            <w:tcW w:w="237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4D310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其中：当年财政拨款</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E8BE2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15,437,600.00 </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ABA7F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15,837,600.00 </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1A0428">
            <w:pPr>
              <w:rPr>
                <w:rFonts w:hint="eastAsia" w:ascii="宋体" w:hAnsi="宋体" w:eastAsia="宋体" w:cs="宋体"/>
                <w:i w:val="0"/>
                <w:color w:val="000000"/>
                <w:sz w:val="22"/>
                <w:szCs w:val="22"/>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D3E1B2">
            <w:pPr>
              <w:rPr>
                <w:rFonts w:hint="eastAsia" w:ascii="宋体" w:hAnsi="宋体" w:eastAsia="宋体" w:cs="宋体"/>
                <w:i w:val="0"/>
                <w:color w:val="000000"/>
                <w:sz w:val="22"/>
                <w:szCs w:val="22"/>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9628A7">
            <w:pPr>
              <w:rPr>
                <w:rFonts w:hint="eastAsia" w:ascii="宋体" w:hAnsi="宋体" w:eastAsia="宋体" w:cs="宋体"/>
                <w:i w:val="0"/>
                <w:color w:val="000000"/>
                <w:sz w:val="22"/>
                <w:szCs w:val="22"/>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D035DE">
            <w:pPr>
              <w:rPr>
                <w:rFonts w:hint="eastAsia" w:ascii="宋体" w:hAnsi="宋体" w:eastAsia="宋体" w:cs="宋体"/>
                <w:i w:val="0"/>
                <w:color w:val="000000"/>
                <w:sz w:val="22"/>
                <w:szCs w:val="22"/>
                <w:u w:val="none"/>
              </w:rPr>
            </w:pPr>
          </w:p>
        </w:tc>
      </w:tr>
      <w:tr w14:paraId="2952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85" w:type="dxa"/>
            <w:vMerge w:val="continue"/>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1DF35852">
            <w:pPr>
              <w:jc w:val="center"/>
              <w:rPr>
                <w:rFonts w:hint="eastAsia" w:ascii="宋体" w:hAnsi="宋体" w:eastAsia="宋体" w:cs="宋体"/>
                <w:i w:val="0"/>
                <w:color w:val="000000"/>
                <w:sz w:val="22"/>
                <w:szCs w:val="22"/>
                <w:u w:val="none"/>
              </w:rPr>
            </w:pPr>
          </w:p>
        </w:tc>
        <w:tc>
          <w:tcPr>
            <w:tcW w:w="237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924F1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上年结转资金</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6343E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25,635,663.68 </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FF3CE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15,109,588.85 </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60D1D7">
            <w:pPr>
              <w:rPr>
                <w:rFonts w:hint="eastAsia" w:ascii="宋体" w:hAnsi="宋体" w:eastAsia="宋体" w:cs="宋体"/>
                <w:i w:val="0"/>
                <w:color w:val="000000"/>
                <w:sz w:val="22"/>
                <w:szCs w:val="22"/>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245915">
            <w:pPr>
              <w:rPr>
                <w:rFonts w:hint="eastAsia" w:ascii="宋体" w:hAnsi="宋体" w:eastAsia="宋体" w:cs="宋体"/>
                <w:i w:val="0"/>
                <w:color w:val="000000"/>
                <w:sz w:val="22"/>
                <w:szCs w:val="22"/>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FDFDBA3">
            <w:pPr>
              <w:rPr>
                <w:rFonts w:hint="eastAsia" w:ascii="宋体" w:hAnsi="宋体" w:eastAsia="宋体" w:cs="宋体"/>
                <w:i w:val="0"/>
                <w:color w:val="000000"/>
                <w:sz w:val="22"/>
                <w:szCs w:val="22"/>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83B205">
            <w:pPr>
              <w:rPr>
                <w:rFonts w:hint="eastAsia" w:ascii="宋体" w:hAnsi="宋体" w:eastAsia="宋体" w:cs="宋体"/>
                <w:i w:val="0"/>
                <w:color w:val="000000"/>
                <w:sz w:val="22"/>
                <w:szCs w:val="22"/>
                <w:u w:val="none"/>
              </w:rPr>
            </w:pPr>
          </w:p>
        </w:tc>
      </w:tr>
      <w:tr w14:paraId="0304B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85" w:type="dxa"/>
            <w:vMerge w:val="continue"/>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7CE58475">
            <w:pPr>
              <w:jc w:val="center"/>
              <w:rPr>
                <w:rFonts w:hint="eastAsia" w:ascii="宋体" w:hAnsi="宋体" w:eastAsia="宋体" w:cs="宋体"/>
                <w:i w:val="0"/>
                <w:color w:val="000000"/>
                <w:sz w:val="22"/>
                <w:szCs w:val="22"/>
                <w:u w:val="none"/>
              </w:rPr>
            </w:pPr>
          </w:p>
        </w:tc>
        <w:tc>
          <w:tcPr>
            <w:tcW w:w="237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F5BBE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其它资金</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2899F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3,047,800.00 </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E9763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7,251,800.00 </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32B982">
            <w:pPr>
              <w:rPr>
                <w:rFonts w:hint="eastAsia" w:ascii="宋体" w:hAnsi="宋体" w:eastAsia="宋体" w:cs="宋体"/>
                <w:i w:val="0"/>
                <w:color w:val="000000"/>
                <w:sz w:val="22"/>
                <w:szCs w:val="22"/>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83321D">
            <w:pPr>
              <w:rPr>
                <w:rFonts w:hint="eastAsia" w:ascii="宋体" w:hAnsi="宋体" w:eastAsia="宋体" w:cs="宋体"/>
                <w:i w:val="0"/>
                <w:color w:val="000000"/>
                <w:sz w:val="22"/>
                <w:szCs w:val="22"/>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DDE12D">
            <w:pPr>
              <w:rPr>
                <w:rFonts w:hint="eastAsia" w:ascii="宋体" w:hAnsi="宋体" w:eastAsia="宋体" w:cs="宋体"/>
                <w:i w:val="0"/>
                <w:color w:val="000000"/>
                <w:sz w:val="22"/>
                <w:szCs w:val="22"/>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4879D8">
            <w:pPr>
              <w:rPr>
                <w:rFonts w:hint="eastAsia" w:ascii="宋体" w:hAnsi="宋体" w:eastAsia="宋体" w:cs="宋体"/>
                <w:i w:val="0"/>
                <w:color w:val="000000"/>
                <w:sz w:val="22"/>
                <w:szCs w:val="22"/>
                <w:u w:val="none"/>
              </w:rPr>
            </w:pPr>
          </w:p>
        </w:tc>
      </w:tr>
      <w:tr w14:paraId="31B04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25319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年度总体目标</w:t>
            </w:r>
          </w:p>
        </w:tc>
        <w:tc>
          <w:tcPr>
            <w:tcW w:w="821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0E8A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预期目标</w:t>
            </w:r>
          </w:p>
        </w:tc>
        <w:tc>
          <w:tcPr>
            <w:tcW w:w="603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F2101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实际完成情况</w:t>
            </w:r>
          </w:p>
        </w:tc>
      </w:tr>
      <w:tr w14:paraId="13BF0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8A4A60">
            <w:pPr>
              <w:jc w:val="center"/>
              <w:rPr>
                <w:rFonts w:hint="eastAsia" w:ascii="宋体" w:hAnsi="宋体" w:eastAsia="宋体" w:cs="宋体"/>
                <w:i w:val="0"/>
                <w:color w:val="000000"/>
                <w:sz w:val="22"/>
                <w:szCs w:val="22"/>
                <w:u w:val="none"/>
              </w:rPr>
            </w:pPr>
          </w:p>
        </w:tc>
        <w:tc>
          <w:tcPr>
            <w:tcW w:w="8215"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6BD9F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健全现代农业产业体系。建立适应市场需求、多元有效的农产品供给体系。稳定发展粮食生产。大规模推进高标准农田建设，建立粮食生产功能区和重要农产品生产保护区；优化粮食品种结构，大力发展优质稻，适度发展优质专用旱粮；做大做强特色产业。加快养殖业转型发展。大力发展农产品加工业。培育大型企业集团，提升农产品加工业整体水平。健全农产品市场营销体系，支持优势产区产地批发市场建设，完善配套服务体系，加快发展电商等现代流通方式，延伸农业产业链，开发农业多种功能，发展休闲农业、乡村旅游和农村服务业，推动农村一、二、三产业融合发展；目标2：构建新型农业经营体系。稳定和完善以家庭承包经营为基础，统分结合的双层经营体制。全面完成农村土地承包经营权确权登记颁证工作。大力培育新型职业农民，造就高素质的新型农业生产经营队伍。大力培育发展新型农业经营主体，推进集体经营、合作经营、企业经营等多种形式的适度规模经营。创新农业社会化服务模式，搭建服务平台，加快推进农业生产全程社会化服务；目标3：完善农产品质量安全体系。加强农业产地环境治理。加大重金属污染耕地修复治理及农作物种植结构调整力度。推进农业标准化生产。建立和完善现代农业标准体系，大力推广环境友好、安全生态的标准化生产技术。加强品牌培育，培育一批名牌产品和驰名商标。健全农产品质量安全监管、检测、执法体系。推进农产品质量安全追溯、信用体系建设，健全农产品质量安全绩效考核和责任追究制度。目标4：强化现代农业支撑体系。加强农业科研基础研究和基础建设，加快科技成果转化和实用技术推广应用。加强农业知识产权保护，加快发展现代种业，支持种业基础性公益性研究。扶持国家级生猪、肉牛等核心育种场开展联合育种，加大畜禽地方品种资源保护和开发力度，加快现代渔业种业示范基地建设。加强农机化公共服务和农机应用基础设施建设，推进农业生产全程机械化。大力推进农业信息化，发展智慧农业，推进农业大数据应用，加快推进物联网示范应用，提升农业综合信息服务能力.</w:t>
            </w:r>
          </w:p>
        </w:tc>
        <w:tc>
          <w:tcPr>
            <w:tcW w:w="6034"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0E435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上述绩效目标基本完成</w:t>
            </w:r>
          </w:p>
        </w:tc>
      </w:tr>
      <w:tr w14:paraId="75888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1185"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D2A27E8">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绩</w:t>
            </w:r>
          </w:p>
          <w:p w14:paraId="0946818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效</w:t>
            </w:r>
          </w:p>
          <w:p w14:paraId="4693158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指</w:t>
            </w:r>
          </w:p>
          <w:p w14:paraId="47A4BF8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标</w:t>
            </w:r>
          </w:p>
        </w:tc>
        <w:tc>
          <w:tcPr>
            <w:tcW w:w="13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DAD3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一级指标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6FB58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二级指标</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D33C8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三级指标</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AD824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年度指标值</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321C6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实际完成值</w:t>
            </w:r>
          </w:p>
        </w:tc>
        <w:tc>
          <w:tcPr>
            <w:tcW w:w="13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283AF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分值</w:t>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EA32D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得分</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E75CD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偏差原因分析及</w:t>
            </w:r>
          </w:p>
          <w:p w14:paraId="7D1FC18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改进措施</w:t>
            </w:r>
          </w:p>
        </w:tc>
      </w:tr>
      <w:tr w14:paraId="37AEB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EF11F16">
            <w:pPr>
              <w:jc w:val="center"/>
              <w:rPr>
                <w:rFonts w:hint="eastAsia" w:ascii="宋体" w:hAnsi="宋体" w:eastAsia="宋体" w:cs="宋体"/>
                <w:i w:val="0"/>
                <w:color w:val="000000"/>
                <w:sz w:val="22"/>
                <w:szCs w:val="22"/>
                <w:u w:val="none"/>
              </w:rPr>
            </w:pPr>
          </w:p>
        </w:tc>
        <w:tc>
          <w:tcPr>
            <w:tcW w:w="130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422C44">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p w14:paraId="1BAB12A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（50分）</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84894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数量指标（30分）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0708C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绩效评价抽查项目比例</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2687C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EDDB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07410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9509A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8800D8">
            <w:pPr>
              <w:rPr>
                <w:rFonts w:hint="eastAsia" w:ascii="宋体" w:hAnsi="宋体" w:eastAsia="宋体" w:cs="宋体"/>
                <w:i w:val="0"/>
                <w:color w:val="000000"/>
                <w:sz w:val="22"/>
                <w:szCs w:val="22"/>
                <w:u w:val="none"/>
              </w:rPr>
            </w:pPr>
          </w:p>
        </w:tc>
      </w:tr>
      <w:tr w14:paraId="1B4AE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EA01479">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BDC64D">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82B528">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0CA5E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宣传活动次数</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34F4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BBCA5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F15BC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7E0D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4FCB8E">
            <w:pPr>
              <w:rPr>
                <w:rFonts w:hint="eastAsia" w:ascii="宋体" w:hAnsi="宋体" w:eastAsia="宋体" w:cs="宋体"/>
                <w:i w:val="0"/>
                <w:color w:val="000000"/>
                <w:sz w:val="22"/>
                <w:szCs w:val="22"/>
                <w:u w:val="none"/>
              </w:rPr>
            </w:pPr>
          </w:p>
        </w:tc>
      </w:tr>
      <w:tr w14:paraId="24EC5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A6080F8">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376F91">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5D23CA">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F57ED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制定修改农业相关制度</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45D73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F6FB7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≥10项</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7558D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DCA9B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288E9C">
            <w:pPr>
              <w:rPr>
                <w:rFonts w:hint="eastAsia" w:ascii="宋体" w:hAnsi="宋体" w:eastAsia="宋体" w:cs="宋体"/>
                <w:i w:val="0"/>
                <w:color w:val="000000"/>
                <w:sz w:val="22"/>
                <w:szCs w:val="22"/>
                <w:u w:val="none"/>
              </w:rPr>
            </w:pPr>
          </w:p>
        </w:tc>
      </w:tr>
      <w:tr w14:paraId="7425D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15C032D">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40EB0A">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653E97">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5318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项目规范化标准化建设</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1DD7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4407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≥10项</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85FBC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158D2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9B037F">
            <w:pPr>
              <w:rPr>
                <w:rFonts w:hint="eastAsia" w:ascii="宋体" w:hAnsi="宋体" w:eastAsia="宋体" w:cs="宋体"/>
                <w:i w:val="0"/>
                <w:color w:val="000000"/>
                <w:sz w:val="22"/>
                <w:szCs w:val="22"/>
                <w:u w:val="none"/>
              </w:rPr>
            </w:pPr>
          </w:p>
        </w:tc>
      </w:tr>
      <w:tr w14:paraId="30F83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8EB8567">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22F59F">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1394B5">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3474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定期组织学习</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9931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7E964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4CF8B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7267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2B16D2">
            <w:pPr>
              <w:rPr>
                <w:rFonts w:hint="eastAsia" w:ascii="宋体" w:hAnsi="宋体" w:eastAsia="宋体" w:cs="宋体"/>
                <w:i w:val="0"/>
                <w:color w:val="000000"/>
                <w:sz w:val="22"/>
                <w:szCs w:val="22"/>
                <w:u w:val="none"/>
              </w:rPr>
            </w:pPr>
          </w:p>
        </w:tc>
      </w:tr>
      <w:tr w14:paraId="5887E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AE17E0B">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6791D6">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2BBDB4">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B526B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培训进修人次</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2D7E4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≥100人次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2196A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≥100人次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000A3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8D33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ED3F77">
            <w:pPr>
              <w:rPr>
                <w:rFonts w:hint="eastAsia" w:ascii="宋体" w:hAnsi="宋体" w:eastAsia="宋体" w:cs="宋体"/>
                <w:i w:val="0"/>
                <w:color w:val="000000"/>
                <w:sz w:val="22"/>
                <w:szCs w:val="22"/>
                <w:u w:val="none"/>
              </w:rPr>
            </w:pPr>
          </w:p>
        </w:tc>
      </w:tr>
      <w:tr w14:paraId="6650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B4CE4B4">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B7F80E">
            <w:pPr>
              <w:jc w:val="center"/>
              <w:rPr>
                <w:rFonts w:hint="eastAsia" w:ascii="宋体" w:hAnsi="宋体" w:eastAsia="宋体" w:cs="宋体"/>
                <w:i w:val="0"/>
                <w:color w:val="000000"/>
                <w:sz w:val="22"/>
                <w:szCs w:val="22"/>
                <w:u w:val="none"/>
              </w:rPr>
            </w:pPr>
          </w:p>
        </w:tc>
        <w:tc>
          <w:tcPr>
            <w:tcW w:w="1065"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39BC16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质量指标（10分）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78EB4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制定制度符合要求</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00C6F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AB4D8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55A7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1D83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A25A6D">
            <w:pPr>
              <w:rPr>
                <w:rFonts w:hint="eastAsia" w:ascii="宋体" w:hAnsi="宋体" w:eastAsia="宋体" w:cs="宋体"/>
                <w:i w:val="0"/>
                <w:color w:val="000000"/>
                <w:sz w:val="22"/>
                <w:szCs w:val="22"/>
                <w:u w:val="none"/>
              </w:rPr>
            </w:pPr>
          </w:p>
        </w:tc>
      </w:tr>
      <w:tr w14:paraId="7901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734B7D7">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1FFB72">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4F6A6A8">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CF1A2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项目评审合格率</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8FE5A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74303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6F2AE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95C39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4E7DF7">
            <w:pPr>
              <w:rPr>
                <w:rFonts w:hint="eastAsia" w:ascii="宋体" w:hAnsi="宋体" w:eastAsia="宋体" w:cs="宋体"/>
                <w:i w:val="0"/>
                <w:color w:val="000000"/>
                <w:sz w:val="22"/>
                <w:szCs w:val="22"/>
                <w:u w:val="none"/>
              </w:rPr>
            </w:pPr>
          </w:p>
        </w:tc>
      </w:tr>
      <w:tr w14:paraId="554E4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5FC04E0">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374DA7">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4AB01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时效指标（5分）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CE208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工作完成率</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DC11C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539C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B561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40CA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31E001">
            <w:pPr>
              <w:rPr>
                <w:rFonts w:hint="eastAsia" w:ascii="宋体" w:hAnsi="宋体" w:eastAsia="宋体" w:cs="宋体"/>
                <w:i w:val="0"/>
                <w:color w:val="000000"/>
                <w:sz w:val="22"/>
                <w:szCs w:val="22"/>
                <w:u w:val="none"/>
              </w:rPr>
            </w:pPr>
          </w:p>
        </w:tc>
      </w:tr>
      <w:tr w14:paraId="06599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A0FAE04">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3B6DC7">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3E71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成本指标（5分）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D59C1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控制预算批复范围内</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E55F3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63664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328B7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49BA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C20B87">
            <w:pPr>
              <w:rPr>
                <w:rFonts w:hint="eastAsia" w:ascii="宋体" w:hAnsi="宋体" w:eastAsia="宋体" w:cs="宋体"/>
                <w:i w:val="0"/>
                <w:color w:val="000000"/>
                <w:sz w:val="22"/>
                <w:szCs w:val="22"/>
                <w:u w:val="none"/>
              </w:rPr>
            </w:pPr>
          </w:p>
        </w:tc>
      </w:tr>
      <w:tr w14:paraId="04D25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2DFAE24">
            <w:pPr>
              <w:jc w:val="center"/>
              <w:rPr>
                <w:rFonts w:hint="eastAsia" w:ascii="宋体" w:hAnsi="宋体" w:eastAsia="宋体" w:cs="宋体"/>
                <w:i w:val="0"/>
                <w:color w:val="000000"/>
                <w:sz w:val="22"/>
                <w:szCs w:val="22"/>
                <w:u w:val="none"/>
              </w:rPr>
            </w:pPr>
          </w:p>
        </w:tc>
        <w:tc>
          <w:tcPr>
            <w:tcW w:w="1308"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4DA90A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效益指标</w:t>
            </w:r>
          </w:p>
          <w:p w14:paraId="572D7AF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（30分）</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20CAA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经济效</w:t>
            </w:r>
          </w:p>
          <w:p w14:paraId="111BE0C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益指标（12分）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F45D2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绩效评价抽查项目比例</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05275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D9F5B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1F65B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9468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FD004D">
            <w:pPr>
              <w:rPr>
                <w:rFonts w:hint="eastAsia" w:ascii="宋体" w:hAnsi="宋体" w:eastAsia="宋体" w:cs="宋体"/>
                <w:i w:val="0"/>
                <w:color w:val="000000"/>
                <w:sz w:val="22"/>
                <w:szCs w:val="22"/>
                <w:u w:val="none"/>
              </w:rPr>
            </w:pPr>
          </w:p>
        </w:tc>
      </w:tr>
      <w:tr w14:paraId="10AE3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DBC6B51">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375034D">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8EDD10">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A0EC8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宣传活动次数</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60DB4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368EA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48951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F66E3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1C87CE">
            <w:pPr>
              <w:rPr>
                <w:rFonts w:hint="eastAsia" w:ascii="宋体" w:hAnsi="宋体" w:eastAsia="宋体" w:cs="宋体"/>
                <w:i w:val="0"/>
                <w:color w:val="000000"/>
                <w:sz w:val="22"/>
                <w:szCs w:val="22"/>
                <w:u w:val="none"/>
              </w:rPr>
            </w:pPr>
          </w:p>
        </w:tc>
      </w:tr>
      <w:tr w14:paraId="44F67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F48EDCB">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6DA26DE">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1A556A">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BAE83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制定修改农业相关制度</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8685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D11AD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≥10项</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A4C9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C831D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9BF97B">
            <w:pPr>
              <w:rPr>
                <w:rFonts w:hint="eastAsia" w:ascii="宋体" w:hAnsi="宋体" w:eastAsia="宋体" w:cs="宋体"/>
                <w:i w:val="0"/>
                <w:color w:val="000000"/>
                <w:sz w:val="22"/>
                <w:szCs w:val="22"/>
                <w:u w:val="none"/>
              </w:rPr>
            </w:pPr>
          </w:p>
        </w:tc>
      </w:tr>
      <w:tr w14:paraId="404F1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6237A43">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043531E">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4BD35F">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06E6F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项目规范化标准化建设</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6924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7E25A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≥10项</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EEB16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DF808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922CDB">
            <w:pPr>
              <w:rPr>
                <w:rFonts w:hint="eastAsia" w:ascii="宋体" w:hAnsi="宋体" w:eastAsia="宋体" w:cs="宋体"/>
                <w:i w:val="0"/>
                <w:color w:val="000000"/>
                <w:sz w:val="22"/>
                <w:szCs w:val="22"/>
                <w:u w:val="none"/>
              </w:rPr>
            </w:pPr>
          </w:p>
        </w:tc>
      </w:tr>
      <w:tr w14:paraId="00AD4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69687A2">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EC540C1">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DC4CFD">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2279D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定期组织学习</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37CA5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3A59E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F429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42866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376721">
            <w:pPr>
              <w:rPr>
                <w:rFonts w:hint="eastAsia" w:ascii="宋体" w:hAnsi="宋体" w:eastAsia="宋体" w:cs="宋体"/>
                <w:i w:val="0"/>
                <w:color w:val="000000"/>
                <w:sz w:val="22"/>
                <w:szCs w:val="22"/>
                <w:u w:val="none"/>
              </w:rPr>
            </w:pPr>
          </w:p>
        </w:tc>
      </w:tr>
      <w:tr w14:paraId="49A86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F00F719">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737A58B">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5FE326">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C817E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培训进修人次</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09F5F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≥100人次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35286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≥100人次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182C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4A4AC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FB0DB1">
            <w:pPr>
              <w:rPr>
                <w:rFonts w:hint="eastAsia" w:ascii="宋体" w:hAnsi="宋体" w:eastAsia="宋体" w:cs="宋体"/>
                <w:i w:val="0"/>
                <w:color w:val="000000"/>
                <w:sz w:val="22"/>
                <w:szCs w:val="22"/>
                <w:u w:val="none"/>
              </w:rPr>
            </w:pPr>
          </w:p>
        </w:tc>
      </w:tr>
      <w:tr w14:paraId="156A6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64DE366">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F4A5F2A">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B3767E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社会效益指标（6分）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2FB34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社会公信力</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6F002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逐步提高</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030D1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已提高</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CA74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C1809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073AE3">
            <w:pPr>
              <w:jc w:val="left"/>
              <w:rPr>
                <w:rFonts w:hint="eastAsia" w:ascii="宋体" w:hAnsi="宋体" w:eastAsia="宋体" w:cs="宋体"/>
                <w:i w:val="0"/>
                <w:color w:val="000000"/>
                <w:sz w:val="22"/>
                <w:szCs w:val="22"/>
                <w:u w:val="none"/>
              </w:rPr>
            </w:pPr>
          </w:p>
        </w:tc>
      </w:tr>
      <w:tr w14:paraId="76BC4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0A6EA00">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D3F4499">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07700F4">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生态效益指标</w:t>
            </w:r>
          </w:p>
          <w:p w14:paraId="3B6CDDC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460E0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农业农村现代化进程</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E51BA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进一步加快</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2AB0A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进一步加快</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FF58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D91BE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18F753">
            <w:pPr>
              <w:jc w:val="left"/>
              <w:rPr>
                <w:rFonts w:hint="eastAsia" w:ascii="宋体" w:hAnsi="宋体" w:eastAsia="宋体" w:cs="宋体"/>
                <w:i w:val="0"/>
                <w:color w:val="000000"/>
                <w:sz w:val="22"/>
                <w:szCs w:val="22"/>
                <w:u w:val="none"/>
              </w:rPr>
            </w:pPr>
          </w:p>
        </w:tc>
      </w:tr>
      <w:tr w14:paraId="25063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BCCE7C6">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29E32C6">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94E7F2B">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可持续影响指标</w:t>
            </w:r>
          </w:p>
          <w:p w14:paraId="2D09972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6AAE0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农业农村现代化进程</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67024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进一步加快</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DE144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进一步加快</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010D3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82DA5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E7C4A3">
            <w:pPr>
              <w:jc w:val="left"/>
              <w:rPr>
                <w:rFonts w:hint="eastAsia" w:ascii="宋体" w:hAnsi="宋体" w:eastAsia="宋体" w:cs="宋体"/>
                <w:i w:val="0"/>
                <w:color w:val="000000"/>
                <w:sz w:val="22"/>
                <w:szCs w:val="22"/>
                <w:u w:val="none"/>
              </w:rPr>
            </w:pPr>
          </w:p>
        </w:tc>
      </w:tr>
      <w:tr w14:paraId="0F5A8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2226ACD">
            <w:pPr>
              <w:jc w:val="center"/>
              <w:rPr>
                <w:rFonts w:hint="eastAsia" w:ascii="宋体" w:hAnsi="宋体" w:eastAsia="宋体" w:cs="宋体"/>
                <w:i w:val="0"/>
                <w:color w:val="000000"/>
                <w:sz w:val="22"/>
                <w:szCs w:val="22"/>
                <w:u w:val="none"/>
              </w:rPr>
            </w:pPr>
          </w:p>
        </w:tc>
        <w:tc>
          <w:tcPr>
            <w:tcW w:w="130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6808F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满意度指标</w:t>
            </w:r>
          </w:p>
          <w:p w14:paraId="6F3D04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（10分）</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BA4A4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服务对象满意度指标（10分)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D108B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机关干部满意度</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F011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1F1F5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6DA7F3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C28D23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89A085">
            <w:pPr>
              <w:rPr>
                <w:rFonts w:hint="eastAsia" w:ascii="宋体" w:hAnsi="宋体" w:eastAsia="宋体" w:cs="宋体"/>
                <w:i w:val="0"/>
                <w:color w:val="000000"/>
                <w:sz w:val="22"/>
                <w:szCs w:val="22"/>
                <w:u w:val="none"/>
              </w:rPr>
            </w:pPr>
          </w:p>
        </w:tc>
      </w:tr>
      <w:tr w14:paraId="35FF2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85"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4B0F2BA">
            <w:pPr>
              <w:jc w:val="center"/>
              <w:rPr>
                <w:rFonts w:hint="eastAsia" w:ascii="宋体" w:hAnsi="宋体" w:eastAsia="宋体" w:cs="宋体"/>
                <w:i w:val="0"/>
                <w:color w:val="000000"/>
                <w:sz w:val="22"/>
                <w:szCs w:val="22"/>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736751">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5737E2">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20133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受益群众满意度</w:t>
            </w:r>
          </w:p>
        </w:tc>
        <w:tc>
          <w:tcPr>
            <w:tcW w:w="36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02ABC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EF648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B9566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7C275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03A6C8">
            <w:pPr>
              <w:rPr>
                <w:rFonts w:hint="eastAsia" w:ascii="宋体" w:hAnsi="宋体" w:eastAsia="宋体" w:cs="宋体"/>
                <w:i w:val="0"/>
                <w:color w:val="000000"/>
                <w:sz w:val="22"/>
                <w:szCs w:val="22"/>
                <w:u w:val="none"/>
              </w:rPr>
            </w:pPr>
          </w:p>
        </w:tc>
      </w:tr>
      <w:tr w14:paraId="79E0A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168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DAEB1B">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总分</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634BE63">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 xml:space="preserve">100.00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231E9D">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 xml:space="preserve">97.26 </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145D171">
            <w:pPr>
              <w:rPr>
                <w:rFonts w:hint="eastAsia" w:ascii="宋体" w:hAnsi="宋体" w:eastAsia="宋体" w:cs="宋体"/>
                <w:b/>
                <w:i w:val="0"/>
                <w:color w:val="000000"/>
                <w:sz w:val="22"/>
                <w:szCs w:val="22"/>
                <w:u w:val="none"/>
              </w:rPr>
            </w:pPr>
          </w:p>
        </w:tc>
      </w:tr>
    </w:tbl>
    <w:p w14:paraId="172BD58F">
      <w:pPr>
        <w:pStyle w:val="2"/>
        <w:rPr>
          <w:color w:val="auto"/>
          <w:highlight w:val="none"/>
        </w:rPr>
        <w:sectPr>
          <w:pgSz w:w="16838" w:h="11906" w:orient="landscape"/>
          <w:pgMar w:top="720" w:right="720" w:bottom="720" w:left="720" w:header="851" w:footer="992" w:gutter="0"/>
          <w:cols w:space="425" w:num="1"/>
          <w:docGrid w:type="linesAndChars" w:linePitch="312" w:charSpace="0"/>
        </w:sectPr>
      </w:pPr>
    </w:p>
    <w:tbl>
      <w:tblPr>
        <w:tblStyle w:val="12"/>
        <w:tblW w:w="156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85"/>
        <w:gridCol w:w="1545"/>
        <w:gridCol w:w="1065"/>
        <w:gridCol w:w="2170"/>
        <w:gridCol w:w="2985"/>
        <w:gridCol w:w="2460"/>
        <w:gridCol w:w="1080"/>
        <w:gridCol w:w="1185"/>
        <w:gridCol w:w="1992"/>
      </w:tblGrid>
      <w:tr w14:paraId="0238F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2730" w:type="dxa"/>
            <w:gridSpan w:val="2"/>
            <w:tcBorders>
              <w:top w:val="nil"/>
              <w:left w:val="nil"/>
              <w:bottom w:val="nil"/>
              <w:right w:val="nil"/>
            </w:tcBorders>
            <w:shd w:val="clear" w:color="auto" w:fill="auto"/>
            <w:noWrap/>
            <w:tcMar>
              <w:top w:w="10" w:type="dxa"/>
              <w:left w:w="10" w:type="dxa"/>
              <w:right w:w="10" w:type="dxa"/>
            </w:tcMar>
            <w:vAlign w:val="center"/>
          </w:tcPr>
          <w:p w14:paraId="5F995B61">
            <w:pPr>
              <w:keepNext w:val="0"/>
              <w:keepLines w:val="0"/>
              <w:widowControl/>
              <w:suppressLineNumbers w:val="0"/>
              <w:jc w:val="left"/>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附件4</w:t>
            </w:r>
          </w:p>
        </w:tc>
        <w:tc>
          <w:tcPr>
            <w:tcW w:w="1065" w:type="dxa"/>
            <w:tcBorders>
              <w:top w:val="nil"/>
              <w:left w:val="nil"/>
              <w:bottom w:val="nil"/>
              <w:right w:val="nil"/>
            </w:tcBorders>
            <w:shd w:val="clear" w:color="auto" w:fill="auto"/>
            <w:noWrap/>
            <w:tcMar>
              <w:top w:w="10" w:type="dxa"/>
              <w:left w:w="10" w:type="dxa"/>
              <w:right w:w="10" w:type="dxa"/>
            </w:tcMar>
            <w:vAlign w:val="center"/>
          </w:tcPr>
          <w:p w14:paraId="7EFE0D89">
            <w:pPr>
              <w:rPr>
                <w:rFonts w:hint="eastAsia" w:ascii="宋体" w:hAnsi="宋体" w:eastAsia="宋体" w:cs="宋体"/>
                <w:i w:val="0"/>
                <w:color w:val="000000"/>
                <w:sz w:val="24"/>
                <w:szCs w:val="24"/>
                <w:u w:val="none"/>
              </w:rPr>
            </w:pPr>
          </w:p>
        </w:tc>
        <w:tc>
          <w:tcPr>
            <w:tcW w:w="2170" w:type="dxa"/>
            <w:tcBorders>
              <w:top w:val="nil"/>
              <w:left w:val="nil"/>
              <w:bottom w:val="nil"/>
              <w:right w:val="nil"/>
            </w:tcBorders>
            <w:shd w:val="clear" w:color="auto" w:fill="auto"/>
            <w:noWrap/>
            <w:tcMar>
              <w:top w:w="10" w:type="dxa"/>
              <w:left w:w="10" w:type="dxa"/>
              <w:right w:w="10" w:type="dxa"/>
            </w:tcMar>
            <w:vAlign w:val="center"/>
          </w:tcPr>
          <w:p w14:paraId="19E7CB11">
            <w:pPr>
              <w:rPr>
                <w:rFonts w:hint="eastAsia" w:ascii="宋体" w:hAnsi="宋体" w:eastAsia="宋体" w:cs="宋体"/>
                <w:i w:val="0"/>
                <w:color w:val="000000"/>
                <w:sz w:val="24"/>
                <w:szCs w:val="24"/>
                <w:u w:val="none"/>
              </w:rPr>
            </w:pPr>
          </w:p>
        </w:tc>
        <w:tc>
          <w:tcPr>
            <w:tcW w:w="2985" w:type="dxa"/>
            <w:tcBorders>
              <w:top w:val="nil"/>
              <w:left w:val="nil"/>
              <w:bottom w:val="nil"/>
              <w:right w:val="nil"/>
            </w:tcBorders>
            <w:shd w:val="clear" w:color="auto" w:fill="auto"/>
            <w:noWrap/>
            <w:tcMar>
              <w:top w:w="10" w:type="dxa"/>
              <w:left w:w="10" w:type="dxa"/>
              <w:right w:w="10" w:type="dxa"/>
            </w:tcMar>
            <w:vAlign w:val="center"/>
          </w:tcPr>
          <w:p w14:paraId="2121CEED">
            <w:pPr>
              <w:rPr>
                <w:rFonts w:hint="eastAsia" w:ascii="宋体" w:hAnsi="宋体" w:eastAsia="宋体" w:cs="宋体"/>
                <w:i w:val="0"/>
                <w:color w:val="000000"/>
                <w:sz w:val="24"/>
                <w:szCs w:val="24"/>
                <w:u w:val="none"/>
              </w:rPr>
            </w:pPr>
          </w:p>
        </w:tc>
        <w:tc>
          <w:tcPr>
            <w:tcW w:w="2460" w:type="dxa"/>
            <w:tcBorders>
              <w:top w:val="nil"/>
              <w:left w:val="nil"/>
              <w:bottom w:val="nil"/>
              <w:right w:val="nil"/>
            </w:tcBorders>
            <w:shd w:val="clear" w:color="auto" w:fill="auto"/>
            <w:noWrap/>
            <w:tcMar>
              <w:top w:w="10" w:type="dxa"/>
              <w:left w:w="10" w:type="dxa"/>
              <w:right w:w="10" w:type="dxa"/>
            </w:tcMar>
            <w:vAlign w:val="center"/>
          </w:tcPr>
          <w:p w14:paraId="0E5C1FD0">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0" w:type="dxa"/>
              <w:left w:w="10" w:type="dxa"/>
              <w:right w:w="10" w:type="dxa"/>
            </w:tcMar>
            <w:vAlign w:val="center"/>
          </w:tcPr>
          <w:p w14:paraId="3A9BCD2E">
            <w:pPr>
              <w:rPr>
                <w:rFonts w:hint="eastAsia" w:ascii="宋体" w:hAnsi="宋体" w:eastAsia="宋体" w:cs="宋体"/>
                <w:i w:val="0"/>
                <w:color w:val="000000"/>
                <w:sz w:val="24"/>
                <w:szCs w:val="24"/>
                <w:u w:val="none"/>
              </w:rPr>
            </w:pPr>
          </w:p>
        </w:tc>
        <w:tc>
          <w:tcPr>
            <w:tcW w:w="1185" w:type="dxa"/>
            <w:tcBorders>
              <w:top w:val="nil"/>
              <w:left w:val="nil"/>
              <w:bottom w:val="nil"/>
              <w:right w:val="nil"/>
            </w:tcBorders>
            <w:shd w:val="clear" w:color="auto" w:fill="auto"/>
            <w:noWrap/>
            <w:tcMar>
              <w:top w:w="10" w:type="dxa"/>
              <w:left w:w="10" w:type="dxa"/>
              <w:right w:w="10" w:type="dxa"/>
            </w:tcMar>
            <w:vAlign w:val="center"/>
          </w:tcPr>
          <w:p w14:paraId="1699EFE2">
            <w:pPr>
              <w:rPr>
                <w:rFonts w:hint="eastAsia" w:ascii="宋体" w:hAnsi="宋体" w:eastAsia="宋体" w:cs="宋体"/>
                <w:i w:val="0"/>
                <w:color w:val="000000"/>
                <w:sz w:val="24"/>
                <w:szCs w:val="24"/>
                <w:u w:val="none"/>
              </w:rPr>
            </w:pPr>
          </w:p>
        </w:tc>
        <w:tc>
          <w:tcPr>
            <w:tcW w:w="1992" w:type="dxa"/>
            <w:tcBorders>
              <w:top w:val="nil"/>
              <w:left w:val="nil"/>
              <w:bottom w:val="nil"/>
              <w:right w:val="nil"/>
            </w:tcBorders>
            <w:shd w:val="clear" w:color="auto" w:fill="auto"/>
            <w:noWrap/>
            <w:tcMar>
              <w:top w:w="10" w:type="dxa"/>
              <w:left w:w="10" w:type="dxa"/>
              <w:right w:w="10" w:type="dxa"/>
            </w:tcMar>
            <w:vAlign w:val="center"/>
          </w:tcPr>
          <w:p w14:paraId="2D291F8D">
            <w:pPr>
              <w:rPr>
                <w:rFonts w:hint="eastAsia" w:ascii="宋体" w:hAnsi="宋体" w:eastAsia="宋体" w:cs="宋体"/>
                <w:i w:val="0"/>
                <w:color w:val="000000"/>
                <w:sz w:val="24"/>
                <w:szCs w:val="24"/>
                <w:u w:val="none"/>
              </w:rPr>
            </w:pPr>
          </w:p>
        </w:tc>
      </w:tr>
      <w:tr w14:paraId="3AEB4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5667" w:type="dxa"/>
            <w:gridSpan w:val="9"/>
            <w:tcBorders>
              <w:top w:val="nil"/>
              <w:left w:val="nil"/>
              <w:bottom w:val="nil"/>
              <w:right w:val="nil"/>
            </w:tcBorders>
            <w:shd w:val="clear" w:color="auto" w:fill="auto"/>
            <w:noWrap/>
            <w:tcMar>
              <w:top w:w="10" w:type="dxa"/>
              <w:left w:w="10" w:type="dxa"/>
              <w:right w:w="10" w:type="dxa"/>
            </w:tcMar>
            <w:vAlign w:val="center"/>
          </w:tcPr>
          <w:p w14:paraId="5DAFB1FA">
            <w:pPr>
              <w:keepNext w:val="0"/>
              <w:keepLines w:val="0"/>
              <w:widowControl/>
              <w:suppressLineNumbers w:val="0"/>
              <w:jc w:val="center"/>
              <w:textAlignment w:val="center"/>
              <w:rPr>
                <w:rFonts w:ascii="方正大标宋简体" w:hAnsi="方正大标宋简体" w:eastAsia="方正大标宋简体" w:cs="方正大标宋简体"/>
                <w:i w:val="0"/>
                <w:color w:val="000000"/>
                <w:sz w:val="44"/>
                <w:szCs w:val="44"/>
                <w:u w:val="none"/>
              </w:rPr>
            </w:pPr>
            <w:r>
              <w:rPr>
                <w:rFonts w:hint="default" w:ascii="方正大标宋简体" w:hAnsi="方正大标宋简体" w:eastAsia="方正大标宋简体" w:cs="方正大标宋简体"/>
                <w:i w:val="0"/>
                <w:color w:val="000000"/>
                <w:kern w:val="0"/>
                <w:sz w:val="44"/>
                <w:szCs w:val="44"/>
                <w:u w:val="none"/>
                <w:lang w:val="en-US" w:eastAsia="zh-CN" w:bidi="ar"/>
              </w:rPr>
              <w:t>2023年度运行维护经费（其他运转类）项目支出绩效自评表</w:t>
            </w:r>
          </w:p>
        </w:tc>
      </w:tr>
      <w:tr w14:paraId="0EE00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trPr>
        <w:tc>
          <w:tcPr>
            <w:tcW w:w="1185"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49B49BA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项目支</w:t>
            </w:r>
          </w:p>
          <w:p w14:paraId="2F1929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出名称</w:t>
            </w:r>
          </w:p>
        </w:tc>
        <w:tc>
          <w:tcPr>
            <w:tcW w:w="14482"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63B9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运行维护经费（其他运转类）</w:t>
            </w:r>
          </w:p>
        </w:tc>
      </w:tr>
      <w:tr w14:paraId="7C93F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185"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711035A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主管部门</w:t>
            </w:r>
          </w:p>
        </w:tc>
        <w:tc>
          <w:tcPr>
            <w:tcW w:w="7765"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33A3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湖南省农业农村厅</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CD10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实施单位</w:t>
            </w:r>
          </w:p>
        </w:tc>
        <w:tc>
          <w:tcPr>
            <w:tcW w:w="4257"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F83B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湖南省农业农村厅</w:t>
            </w:r>
          </w:p>
        </w:tc>
      </w:tr>
      <w:tr w14:paraId="55259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185" w:type="dxa"/>
            <w:vMerge w:val="restart"/>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388C7A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项目资金（万元）</w:t>
            </w: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6DCC02">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488DC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年初预算数</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E8F92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全年预算数</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2E4FB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全年执行数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1250C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分值</w:t>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E9A6D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执行率</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35410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得分</w:t>
            </w:r>
          </w:p>
        </w:tc>
      </w:tr>
      <w:tr w14:paraId="3E90F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185" w:type="dxa"/>
            <w:vMerge w:val="continue"/>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70A04F75">
            <w:pPr>
              <w:jc w:val="center"/>
              <w:rPr>
                <w:rFonts w:hint="eastAsia" w:ascii="宋体" w:hAnsi="宋体" w:eastAsia="宋体" w:cs="宋体"/>
                <w:i w:val="0"/>
                <w:color w:val="000000"/>
                <w:sz w:val="22"/>
                <w:szCs w:val="22"/>
                <w:u w:val="none"/>
              </w:rPr>
            </w:pP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7E63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年度资金总额</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1677D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25,588,705.54 </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99934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32,240,183.20 </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6AD26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13,542,886.18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61B5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BCCC5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42.01%</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53D3C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4.20 </w:t>
            </w:r>
          </w:p>
        </w:tc>
      </w:tr>
      <w:tr w14:paraId="02AD5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185" w:type="dxa"/>
            <w:vMerge w:val="continue"/>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4332D871">
            <w:pPr>
              <w:jc w:val="center"/>
              <w:rPr>
                <w:rFonts w:hint="eastAsia" w:ascii="宋体" w:hAnsi="宋体" w:eastAsia="宋体" w:cs="宋体"/>
                <w:i w:val="0"/>
                <w:color w:val="000000"/>
                <w:sz w:val="22"/>
                <w:szCs w:val="22"/>
                <w:u w:val="none"/>
              </w:rPr>
            </w:pP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3D2DC9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其中：当年财政拨款</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AB546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15,540,400.00 </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ADEBA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14,440,400.00 </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DEE93B">
            <w:pP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278892">
            <w:pPr>
              <w:rPr>
                <w:rFonts w:hint="eastAsia" w:ascii="宋体" w:hAnsi="宋体" w:eastAsia="宋体" w:cs="宋体"/>
                <w:i w:val="0"/>
                <w:color w:val="000000"/>
                <w:sz w:val="22"/>
                <w:szCs w:val="22"/>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AD6CE1">
            <w:pPr>
              <w:rPr>
                <w:rFonts w:hint="eastAsia" w:ascii="宋体" w:hAnsi="宋体" w:eastAsia="宋体" w:cs="宋体"/>
                <w:i w:val="0"/>
                <w:color w:val="000000"/>
                <w:sz w:val="22"/>
                <w:szCs w:val="22"/>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6C0953">
            <w:pPr>
              <w:rPr>
                <w:rFonts w:hint="eastAsia" w:ascii="宋体" w:hAnsi="宋体" w:eastAsia="宋体" w:cs="宋体"/>
                <w:i w:val="0"/>
                <w:color w:val="000000"/>
                <w:sz w:val="22"/>
                <w:szCs w:val="22"/>
                <w:u w:val="none"/>
              </w:rPr>
            </w:pPr>
          </w:p>
        </w:tc>
      </w:tr>
      <w:tr w14:paraId="1A2E4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185" w:type="dxa"/>
            <w:vMerge w:val="continue"/>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2763B692">
            <w:pPr>
              <w:jc w:val="center"/>
              <w:rPr>
                <w:rFonts w:hint="eastAsia" w:ascii="宋体" w:hAnsi="宋体" w:eastAsia="宋体" w:cs="宋体"/>
                <w:i w:val="0"/>
                <w:color w:val="000000"/>
                <w:sz w:val="22"/>
                <w:szCs w:val="22"/>
                <w:u w:val="none"/>
              </w:rPr>
            </w:pP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D6F733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上年结转资金</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3D722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998,305.54 </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07D3F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1,165,083.20 </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EB91B2">
            <w:pP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31BB92">
            <w:pPr>
              <w:rPr>
                <w:rFonts w:hint="eastAsia" w:ascii="宋体" w:hAnsi="宋体" w:eastAsia="宋体" w:cs="宋体"/>
                <w:i w:val="0"/>
                <w:color w:val="000000"/>
                <w:sz w:val="22"/>
                <w:szCs w:val="22"/>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A13B33">
            <w:pPr>
              <w:rPr>
                <w:rFonts w:hint="eastAsia" w:ascii="宋体" w:hAnsi="宋体" w:eastAsia="宋体" w:cs="宋体"/>
                <w:i w:val="0"/>
                <w:color w:val="000000"/>
                <w:sz w:val="22"/>
                <w:szCs w:val="22"/>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9F9D81">
            <w:pPr>
              <w:rPr>
                <w:rFonts w:hint="eastAsia" w:ascii="宋体" w:hAnsi="宋体" w:eastAsia="宋体" w:cs="宋体"/>
                <w:i w:val="0"/>
                <w:color w:val="000000"/>
                <w:sz w:val="22"/>
                <w:szCs w:val="22"/>
                <w:u w:val="none"/>
              </w:rPr>
            </w:pPr>
          </w:p>
        </w:tc>
      </w:tr>
      <w:tr w14:paraId="35EF7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185" w:type="dxa"/>
            <w:vMerge w:val="continue"/>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6ABB2347">
            <w:pPr>
              <w:jc w:val="center"/>
              <w:rPr>
                <w:rFonts w:hint="eastAsia" w:ascii="宋体" w:hAnsi="宋体" w:eastAsia="宋体" w:cs="宋体"/>
                <w:i w:val="0"/>
                <w:color w:val="000000"/>
                <w:sz w:val="22"/>
                <w:szCs w:val="22"/>
                <w:u w:val="none"/>
              </w:rPr>
            </w:pP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AF27B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其它资金</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F043D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9,050,000.00 </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F2B7A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16,634,700.00 </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985163">
            <w:pP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878E22">
            <w:pPr>
              <w:rPr>
                <w:rFonts w:hint="eastAsia" w:ascii="宋体" w:hAnsi="宋体" w:eastAsia="宋体" w:cs="宋体"/>
                <w:i w:val="0"/>
                <w:color w:val="000000"/>
                <w:sz w:val="22"/>
                <w:szCs w:val="22"/>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04B525">
            <w:pPr>
              <w:rPr>
                <w:rFonts w:hint="eastAsia" w:ascii="宋体" w:hAnsi="宋体" w:eastAsia="宋体" w:cs="宋体"/>
                <w:i w:val="0"/>
                <w:color w:val="000000"/>
                <w:sz w:val="22"/>
                <w:szCs w:val="22"/>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744C52">
            <w:pPr>
              <w:rPr>
                <w:rFonts w:hint="eastAsia" w:ascii="宋体" w:hAnsi="宋体" w:eastAsia="宋体" w:cs="宋体"/>
                <w:i w:val="0"/>
                <w:color w:val="000000"/>
                <w:sz w:val="22"/>
                <w:szCs w:val="22"/>
                <w:u w:val="none"/>
              </w:rPr>
            </w:pPr>
          </w:p>
        </w:tc>
      </w:tr>
      <w:tr w14:paraId="04E98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CC9D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年度总体目标</w:t>
            </w:r>
          </w:p>
        </w:tc>
        <w:tc>
          <w:tcPr>
            <w:tcW w:w="776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5D8EB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预期目标</w:t>
            </w:r>
          </w:p>
        </w:tc>
        <w:tc>
          <w:tcPr>
            <w:tcW w:w="671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AB870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实际完成情况</w:t>
            </w:r>
          </w:p>
        </w:tc>
      </w:tr>
      <w:tr w14:paraId="4A002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2"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183CDB">
            <w:pPr>
              <w:jc w:val="center"/>
              <w:rPr>
                <w:rFonts w:hint="eastAsia" w:ascii="宋体" w:hAnsi="宋体" w:eastAsia="宋体" w:cs="宋体"/>
                <w:i w:val="0"/>
                <w:color w:val="000000"/>
                <w:sz w:val="22"/>
                <w:szCs w:val="22"/>
                <w:u w:val="none"/>
              </w:rPr>
            </w:pPr>
          </w:p>
        </w:tc>
        <w:tc>
          <w:tcPr>
            <w:tcW w:w="7765"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F1E71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办公设备及车辆采购，保障机关办公正常运行。</w:t>
            </w:r>
          </w:p>
        </w:tc>
        <w:tc>
          <w:tcPr>
            <w:tcW w:w="671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DAA71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上述绩效目标已完成。</w:t>
            </w:r>
          </w:p>
        </w:tc>
      </w:tr>
      <w:tr w14:paraId="25006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C9351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绩</w:t>
            </w:r>
          </w:p>
          <w:p w14:paraId="1D37DCE7">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效</w:t>
            </w:r>
          </w:p>
          <w:p w14:paraId="5854EDA7">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指</w:t>
            </w:r>
          </w:p>
          <w:p w14:paraId="16A3E04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标</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AE42F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一级指标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61EAB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二级指标</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7F6FC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三级指标</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2F76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年度指标值</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7BEE9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实际完成值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831FB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分值</w:t>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6F05E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得分</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662FE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偏差原因</w:t>
            </w:r>
          </w:p>
          <w:p w14:paraId="2811441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分析及</w:t>
            </w:r>
          </w:p>
          <w:p w14:paraId="341B47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改进措施</w:t>
            </w:r>
          </w:p>
        </w:tc>
      </w:tr>
      <w:tr w14:paraId="0D64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5900CE">
            <w:pPr>
              <w:jc w:val="center"/>
              <w:rPr>
                <w:rFonts w:hint="eastAsia" w:ascii="宋体" w:hAnsi="宋体" w:eastAsia="宋体" w:cs="宋体"/>
                <w:i w:val="0"/>
                <w:color w:val="000000"/>
                <w:sz w:val="22"/>
                <w:szCs w:val="22"/>
                <w:u w:val="none"/>
              </w:rPr>
            </w:pP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489F3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p w14:paraId="14ADB09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（50分）</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106A7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数量指标（20分）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8B9D9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采购办公设备</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A988E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0DF0B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9D66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49006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9BD432">
            <w:pPr>
              <w:rPr>
                <w:rFonts w:hint="eastAsia" w:ascii="宋体" w:hAnsi="宋体" w:eastAsia="宋体" w:cs="宋体"/>
                <w:i w:val="0"/>
                <w:color w:val="000000"/>
                <w:sz w:val="22"/>
                <w:szCs w:val="22"/>
                <w:u w:val="none"/>
              </w:rPr>
            </w:pPr>
          </w:p>
        </w:tc>
      </w:tr>
      <w:tr w14:paraId="5E835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70027E">
            <w:pPr>
              <w:jc w:val="center"/>
              <w:rPr>
                <w:rFonts w:hint="eastAsia" w:ascii="宋体" w:hAnsi="宋体" w:eastAsia="宋体" w:cs="宋体"/>
                <w:i w:val="0"/>
                <w:color w:val="000000"/>
                <w:sz w:val="22"/>
                <w:szCs w:val="22"/>
                <w:u w:val="none"/>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718680">
            <w:pPr>
              <w:jc w:val="center"/>
              <w:rPr>
                <w:rFonts w:hint="eastAsia" w:ascii="宋体" w:hAnsi="宋体" w:eastAsia="宋体" w:cs="宋体"/>
                <w:i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7016E1">
            <w:pPr>
              <w:jc w:val="center"/>
              <w:rPr>
                <w:rFonts w:hint="eastAsia" w:ascii="宋体" w:hAnsi="宋体" w:eastAsia="宋体" w:cs="宋体"/>
                <w:i w:val="0"/>
                <w:color w:val="000000"/>
                <w:sz w:val="22"/>
                <w:szCs w:val="22"/>
                <w:u w:val="none"/>
              </w:rPr>
            </w:pP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00CB7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采购公务用车</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F1D2D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1台</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75A86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E01044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BF1F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73FBDF">
            <w:pPr>
              <w:rPr>
                <w:rFonts w:hint="eastAsia" w:ascii="宋体" w:hAnsi="宋体" w:eastAsia="宋体" w:cs="宋体"/>
                <w:i w:val="0"/>
                <w:color w:val="000000"/>
                <w:sz w:val="22"/>
                <w:szCs w:val="22"/>
                <w:u w:val="none"/>
              </w:rPr>
            </w:pPr>
          </w:p>
        </w:tc>
      </w:tr>
      <w:tr w14:paraId="6429D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C01E97">
            <w:pPr>
              <w:jc w:val="center"/>
              <w:rPr>
                <w:rFonts w:hint="eastAsia" w:ascii="宋体" w:hAnsi="宋体" w:eastAsia="宋体" w:cs="宋体"/>
                <w:i w:val="0"/>
                <w:color w:val="000000"/>
                <w:sz w:val="22"/>
                <w:szCs w:val="22"/>
                <w:u w:val="none"/>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EB69E6">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1AE40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质量指标（10分）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196D3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办公设备使用年限</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A4AA7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高于文件规定</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143E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高于文件规定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B9967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E2ECB8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37F83F">
            <w:pPr>
              <w:rPr>
                <w:rFonts w:hint="eastAsia" w:ascii="宋体" w:hAnsi="宋体" w:eastAsia="宋体" w:cs="宋体"/>
                <w:i w:val="0"/>
                <w:color w:val="000000"/>
                <w:sz w:val="22"/>
                <w:szCs w:val="22"/>
                <w:u w:val="none"/>
              </w:rPr>
            </w:pPr>
          </w:p>
        </w:tc>
      </w:tr>
      <w:tr w14:paraId="49583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4E7570">
            <w:pPr>
              <w:jc w:val="center"/>
              <w:rPr>
                <w:rFonts w:hint="eastAsia" w:ascii="宋体" w:hAnsi="宋体" w:eastAsia="宋体" w:cs="宋体"/>
                <w:i w:val="0"/>
                <w:color w:val="000000"/>
                <w:sz w:val="22"/>
                <w:szCs w:val="22"/>
                <w:u w:val="none"/>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28E2B8">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3516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时效指标（10分）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15CF3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采购完成时间</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0E2C2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10月底前</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A5931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10月底前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62E4B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6575A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4F2D4C">
            <w:pPr>
              <w:rPr>
                <w:rFonts w:hint="eastAsia" w:ascii="宋体" w:hAnsi="宋体" w:eastAsia="宋体" w:cs="宋体"/>
                <w:i w:val="0"/>
                <w:color w:val="000000"/>
                <w:sz w:val="22"/>
                <w:szCs w:val="22"/>
                <w:u w:val="none"/>
              </w:rPr>
            </w:pPr>
          </w:p>
        </w:tc>
      </w:tr>
      <w:tr w14:paraId="30B5D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9E4847">
            <w:pPr>
              <w:jc w:val="center"/>
              <w:rPr>
                <w:rFonts w:hint="eastAsia" w:ascii="宋体" w:hAnsi="宋体" w:eastAsia="宋体" w:cs="宋体"/>
                <w:i w:val="0"/>
                <w:color w:val="000000"/>
                <w:sz w:val="22"/>
                <w:szCs w:val="22"/>
                <w:u w:val="none"/>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ADF8ED">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9154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成本指标（10分）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695CF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控制预算批复范围内</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6E619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7F352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9CD79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A9F5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D1C978">
            <w:pPr>
              <w:rPr>
                <w:rFonts w:hint="eastAsia" w:ascii="宋体" w:hAnsi="宋体" w:eastAsia="宋体" w:cs="宋体"/>
                <w:i w:val="0"/>
                <w:color w:val="000000"/>
                <w:sz w:val="22"/>
                <w:szCs w:val="22"/>
                <w:u w:val="none"/>
              </w:rPr>
            </w:pPr>
          </w:p>
        </w:tc>
      </w:tr>
      <w:tr w14:paraId="5A563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158822">
            <w:pPr>
              <w:jc w:val="center"/>
              <w:rPr>
                <w:rFonts w:hint="eastAsia" w:ascii="宋体" w:hAnsi="宋体" w:eastAsia="宋体" w:cs="宋体"/>
                <w:i w:val="0"/>
                <w:color w:val="000000"/>
                <w:sz w:val="22"/>
                <w:szCs w:val="22"/>
                <w:u w:val="none"/>
              </w:rPr>
            </w:pP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02814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效益指标</w:t>
            </w:r>
          </w:p>
          <w:p w14:paraId="51A86D3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（30分）</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A393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经济效益指标（10分）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6D625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采购办公设备</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EF83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D304D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DA2E6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EAA7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DCD85A">
            <w:pPr>
              <w:rPr>
                <w:rFonts w:hint="eastAsia" w:ascii="宋体" w:hAnsi="宋体" w:eastAsia="宋体" w:cs="宋体"/>
                <w:i w:val="0"/>
                <w:color w:val="000000"/>
                <w:sz w:val="22"/>
                <w:szCs w:val="22"/>
                <w:u w:val="none"/>
              </w:rPr>
            </w:pPr>
          </w:p>
        </w:tc>
      </w:tr>
      <w:tr w14:paraId="0265E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40E600">
            <w:pPr>
              <w:jc w:val="center"/>
              <w:rPr>
                <w:rFonts w:hint="eastAsia" w:ascii="宋体" w:hAnsi="宋体" w:eastAsia="宋体" w:cs="宋体"/>
                <w:i w:val="0"/>
                <w:color w:val="000000"/>
                <w:sz w:val="22"/>
                <w:szCs w:val="22"/>
                <w:u w:val="none"/>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4B4504">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1F085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社会效益指标（</w:t>
            </w:r>
            <w:r>
              <w:rPr>
                <w:rFonts w:hint="default" w:ascii="Times New Roman" w:hAnsi="Times New Roman" w:eastAsia="宋体" w:cs="Times New Roman"/>
                <w:i w:val="0"/>
                <w:color w:val="000000"/>
                <w:kern w:val="0"/>
                <w:sz w:val="22"/>
                <w:szCs w:val="22"/>
                <w:u w:val="none"/>
                <w:lang w:val="en-US" w:eastAsia="zh-CN" w:bidi="ar"/>
              </w:rPr>
              <w:t>10</w:t>
            </w:r>
            <w:r>
              <w:rPr>
                <w:rFonts w:hint="eastAsia" w:ascii="宋体" w:hAnsi="宋体" w:eastAsia="宋体" w:cs="宋体"/>
                <w:i w:val="0"/>
                <w:color w:val="000000"/>
                <w:kern w:val="0"/>
                <w:sz w:val="22"/>
                <w:szCs w:val="22"/>
                <w:u w:val="none"/>
                <w:lang w:val="en-US" w:eastAsia="zh-CN" w:bidi="ar"/>
              </w:rPr>
              <w:t>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2E6C1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保障机关正常运转</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62C6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保障到位</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7C0CA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保障到位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1E780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B8BE32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22A00D">
            <w:pPr>
              <w:jc w:val="left"/>
              <w:rPr>
                <w:rFonts w:hint="eastAsia" w:ascii="宋体" w:hAnsi="宋体" w:eastAsia="宋体" w:cs="宋体"/>
                <w:i w:val="0"/>
                <w:color w:val="000000"/>
                <w:sz w:val="22"/>
                <w:szCs w:val="22"/>
                <w:u w:val="none"/>
              </w:rPr>
            </w:pPr>
          </w:p>
        </w:tc>
      </w:tr>
      <w:tr w14:paraId="657A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470917">
            <w:pPr>
              <w:jc w:val="center"/>
              <w:rPr>
                <w:rFonts w:hint="eastAsia" w:ascii="宋体" w:hAnsi="宋体" w:eastAsia="宋体" w:cs="宋体"/>
                <w:i w:val="0"/>
                <w:color w:val="000000"/>
                <w:sz w:val="22"/>
                <w:szCs w:val="22"/>
                <w:u w:val="none"/>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7B161D">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CF28A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生态效益指标</w:t>
            </w:r>
          </w:p>
          <w:p w14:paraId="69766A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00C0A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081EA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86218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E5973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ECAC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B89130">
            <w:pPr>
              <w:jc w:val="left"/>
              <w:rPr>
                <w:rFonts w:hint="eastAsia" w:ascii="宋体" w:hAnsi="宋体" w:eastAsia="宋体" w:cs="宋体"/>
                <w:i w:val="0"/>
                <w:color w:val="000000"/>
                <w:sz w:val="22"/>
                <w:szCs w:val="22"/>
                <w:u w:val="none"/>
              </w:rPr>
            </w:pPr>
          </w:p>
        </w:tc>
      </w:tr>
      <w:tr w14:paraId="4349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64ECED">
            <w:pPr>
              <w:jc w:val="center"/>
              <w:rPr>
                <w:rFonts w:hint="eastAsia" w:ascii="宋体" w:hAnsi="宋体" w:eastAsia="宋体" w:cs="宋体"/>
                <w:i w:val="0"/>
                <w:color w:val="000000"/>
                <w:sz w:val="22"/>
                <w:szCs w:val="22"/>
                <w:u w:val="none"/>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ADDB69">
            <w:pPr>
              <w:jc w:val="center"/>
              <w:rPr>
                <w:rFonts w:hint="eastAsia" w:ascii="宋体" w:hAnsi="宋体" w:eastAsia="宋体" w:cs="宋体"/>
                <w:i w:val="0"/>
                <w:color w:val="000000"/>
                <w:sz w:val="22"/>
                <w:szCs w:val="22"/>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32B49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可持续影响指标（5分）</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2B33F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62042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2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92678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满足办公需求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FC1B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EB49AF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992"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F83A20F">
            <w:pPr>
              <w:jc w:val="left"/>
              <w:rPr>
                <w:rFonts w:hint="eastAsia" w:ascii="宋体" w:hAnsi="宋体" w:eastAsia="宋体" w:cs="宋体"/>
                <w:i w:val="0"/>
                <w:color w:val="000000"/>
                <w:sz w:val="22"/>
                <w:szCs w:val="22"/>
                <w:u w:val="none"/>
              </w:rPr>
            </w:pPr>
          </w:p>
        </w:tc>
      </w:tr>
      <w:tr w14:paraId="03F5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475970">
            <w:pPr>
              <w:jc w:val="center"/>
              <w:rPr>
                <w:rFonts w:hint="eastAsia" w:ascii="宋体" w:hAnsi="宋体" w:eastAsia="宋体" w:cs="宋体"/>
                <w:i w:val="0"/>
                <w:color w:val="000000"/>
                <w:sz w:val="22"/>
                <w:szCs w:val="22"/>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2BBF3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满意度指标</w:t>
            </w:r>
          </w:p>
          <w:p w14:paraId="0C545E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（10分）</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62EF0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服务对象满意度指标</w:t>
            </w:r>
          </w:p>
        </w:tc>
        <w:tc>
          <w:tcPr>
            <w:tcW w:w="21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6905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部机关人员满意度</w:t>
            </w:r>
          </w:p>
        </w:tc>
        <w:tc>
          <w:tcPr>
            <w:tcW w:w="2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DDD8F4">
            <w:pPr>
              <w:keepNext w:val="0"/>
              <w:keepLines w:val="0"/>
              <w:widowControl/>
              <w:suppressLineNumbers w:val="0"/>
              <w:jc w:val="center"/>
              <w:textAlignment w:val="center"/>
              <w:rPr>
                <w:rFonts w:ascii="Arial" w:hAnsi="Arial" w:eastAsia="宋体" w:cs="Arial"/>
                <w:i w:val="0"/>
                <w:color w:val="000000"/>
                <w:sz w:val="22"/>
                <w:szCs w:val="22"/>
                <w:u w:val="none"/>
              </w:rPr>
            </w:pPr>
            <w:r>
              <w:rPr>
                <w:rFonts w:hint="default" w:ascii="Arial" w:hAnsi="Arial" w:eastAsia="宋体" w:cs="Arial"/>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95%</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25CE4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768C6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F56A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992"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696FB7D">
            <w:pPr>
              <w:rPr>
                <w:rFonts w:hint="eastAsia" w:ascii="宋体" w:hAnsi="宋体" w:eastAsia="宋体" w:cs="宋体"/>
                <w:i w:val="0"/>
                <w:color w:val="000000"/>
                <w:sz w:val="22"/>
                <w:szCs w:val="22"/>
                <w:u w:val="none"/>
              </w:rPr>
            </w:pPr>
          </w:p>
        </w:tc>
      </w:tr>
      <w:tr w14:paraId="0C469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41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7E0BDD">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C00515">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100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53BB1A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 xml:space="preserve">94.20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B98D07">
            <w:pPr>
              <w:rPr>
                <w:rFonts w:hint="eastAsia" w:ascii="宋体" w:hAnsi="宋体" w:eastAsia="宋体" w:cs="宋体"/>
                <w:b/>
                <w:i w:val="0"/>
                <w:color w:val="000000"/>
                <w:sz w:val="22"/>
                <w:szCs w:val="22"/>
                <w:u w:val="none"/>
              </w:rPr>
            </w:pPr>
          </w:p>
        </w:tc>
      </w:tr>
    </w:tbl>
    <w:p w14:paraId="59F193DB">
      <w:pPr>
        <w:pStyle w:val="2"/>
        <w:rPr>
          <w:color w:val="auto"/>
          <w:highlight w:val="none"/>
        </w:rPr>
        <w:sectPr>
          <w:pgSz w:w="16838" w:h="11906" w:orient="landscape"/>
          <w:pgMar w:top="720" w:right="720" w:bottom="720" w:left="720" w:header="851" w:footer="992" w:gutter="0"/>
          <w:cols w:space="425" w:num="1"/>
          <w:docGrid w:type="linesAndChars" w:linePitch="312" w:charSpace="0"/>
        </w:sectPr>
      </w:pPr>
    </w:p>
    <w:tbl>
      <w:tblPr>
        <w:tblStyle w:val="12"/>
        <w:tblW w:w="1542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72"/>
        <w:gridCol w:w="1380"/>
        <w:gridCol w:w="1218"/>
        <w:gridCol w:w="2400"/>
        <w:gridCol w:w="3432"/>
        <w:gridCol w:w="1794"/>
        <w:gridCol w:w="1005"/>
        <w:gridCol w:w="1155"/>
        <w:gridCol w:w="1765"/>
      </w:tblGrid>
      <w:tr w14:paraId="4CCD2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1272" w:type="dxa"/>
            <w:tcBorders>
              <w:top w:val="nil"/>
              <w:left w:val="nil"/>
              <w:bottom w:val="nil"/>
              <w:right w:val="nil"/>
            </w:tcBorders>
            <w:shd w:val="clear" w:color="auto" w:fill="auto"/>
            <w:noWrap/>
            <w:tcMar>
              <w:top w:w="10" w:type="dxa"/>
              <w:left w:w="10" w:type="dxa"/>
              <w:right w:w="10" w:type="dxa"/>
            </w:tcMar>
            <w:vAlign w:val="center"/>
          </w:tcPr>
          <w:p w14:paraId="712F4BA6">
            <w:pPr>
              <w:keepNext w:val="0"/>
              <w:keepLines w:val="0"/>
              <w:widowControl/>
              <w:suppressLineNumbers w:val="0"/>
              <w:jc w:val="left"/>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附件5</w:t>
            </w:r>
          </w:p>
        </w:tc>
        <w:tc>
          <w:tcPr>
            <w:tcW w:w="1380" w:type="dxa"/>
            <w:tcBorders>
              <w:top w:val="nil"/>
              <w:left w:val="nil"/>
              <w:bottom w:val="nil"/>
              <w:right w:val="nil"/>
            </w:tcBorders>
            <w:shd w:val="clear" w:color="auto" w:fill="auto"/>
            <w:noWrap/>
            <w:tcMar>
              <w:top w:w="10" w:type="dxa"/>
              <w:left w:w="10" w:type="dxa"/>
              <w:right w:w="10" w:type="dxa"/>
            </w:tcMar>
            <w:vAlign w:val="center"/>
          </w:tcPr>
          <w:p w14:paraId="101307AE">
            <w:pPr>
              <w:rPr>
                <w:rFonts w:hint="eastAsia" w:ascii="宋体" w:hAnsi="宋体" w:eastAsia="宋体" w:cs="宋体"/>
                <w:i w:val="0"/>
                <w:color w:val="000000"/>
                <w:sz w:val="24"/>
                <w:szCs w:val="24"/>
                <w:u w:val="none"/>
              </w:rPr>
            </w:pPr>
          </w:p>
        </w:tc>
        <w:tc>
          <w:tcPr>
            <w:tcW w:w="1218" w:type="dxa"/>
            <w:tcBorders>
              <w:top w:val="nil"/>
              <w:left w:val="nil"/>
              <w:bottom w:val="nil"/>
              <w:right w:val="nil"/>
            </w:tcBorders>
            <w:shd w:val="clear" w:color="auto" w:fill="auto"/>
            <w:noWrap/>
            <w:tcMar>
              <w:top w:w="10" w:type="dxa"/>
              <w:left w:w="10" w:type="dxa"/>
              <w:right w:w="10" w:type="dxa"/>
            </w:tcMar>
            <w:vAlign w:val="center"/>
          </w:tcPr>
          <w:p w14:paraId="4F787AAE">
            <w:pPr>
              <w:rPr>
                <w:rFonts w:hint="eastAsia" w:ascii="宋体" w:hAnsi="宋体" w:eastAsia="宋体" w:cs="宋体"/>
                <w:i w:val="0"/>
                <w:color w:val="000000"/>
                <w:sz w:val="24"/>
                <w:szCs w:val="24"/>
                <w:u w:val="none"/>
              </w:rPr>
            </w:pPr>
          </w:p>
        </w:tc>
        <w:tc>
          <w:tcPr>
            <w:tcW w:w="2400" w:type="dxa"/>
            <w:tcBorders>
              <w:top w:val="nil"/>
              <w:left w:val="nil"/>
              <w:bottom w:val="nil"/>
              <w:right w:val="nil"/>
            </w:tcBorders>
            <w:shd w:val="clear" w:color="auto" w:fill="auto"/>
            <w:noWrap/>
            <w:tcMar>
              <w:top w:w="10" w:type="dxa"/>
              <w:left w:w="10" w:type="dxa"/>
              <w:right w:w="10" w:type="dxa"/>
            </w:tcMar>
            <w:vAlign w:val="center"/>
          </w:tcPr>
          <w:p w14:paraId="1A0FD8B4">
            <w:pPr>
              <w:rPr>
                <w:rFonts w:hint="eastAsia" w:ascii="宋体" w:hAnsi="宋体" w:eastAsia="宋体" w:cs="宋体"/>
                <w:i w:val="0"/>
                <w:color w:val="000000"/>
                <w:sz w:val="24"/>
                <w:szCs w:val="24"/>
                <w:u w:val="none"/>
              </w:rPr>
            </w:pPr>
          </w:p>
        </w:tc>
        <w:tc>
          <w:tcPr>
            <w:tcW w:w="3432" w:type="dxa"/>
            <w:tcBorders>
              <w:top w:val="nil"/>
              <w:left w:val="nil"/>
              <w:bottom w:val="nil"/>
              <w:right w:val="nil"/>
            </w:tcBorders>
            <w:shd w:val="clear" w:color="auto" w:fill="auto"/>
            <w:noWrap/>
            <w:tcMar>
              <w:top w:w="10" w:type="dxa"/>
              <w:left w:w="10" w:type="dxa"/>
              <w:right w:w="10" w:type="dxa"/>
            </w:tcMar>
            <w:vAlign w:val="center"/>
          </w:tcPr>
          <w:p w14:paraId="60EA23F4">
            <w:pPr>
              <w:rPr>
                <w:rFonts w:hint="eastAsia" w:ascii="宋体" w:hAnsi="宋体" w:eastAsia="宋体" w:cs="宋体"/>
                <w:i w:val="0"/>
                <w:color w:val="000000"/>
                <w:sz w:val="24"/>
                <w:szCs w:val="24"/>
                <w:u w:val="none"/>
              </w:rPr>
            </w:pPr>
          </w:p>
        </w:tc>
        <w:tc>
          <w:tcPr>
            <w:tcW w:w="1794" w:type="dxa"/>
            <w:tcBorders>
              <w:top w:val="nil"/>
              <w:left w:val="nil"/>
              <w:bottom w:val="nil"/>
              <w:right w:val="nil"/>
            </w:tcBorders>
            <w:shd w:val="clear" w:color="auto" w:fill="auto"/>
            <w:noWrap/>
            <w:tcMar>
              <w:top w:w="10" w:type="dxa"/>
              <w:left w:w="10" w:type="dxa"/>
              <w:right w:w="10" w:type="dxa"/>
            </w:tcMar>
            <w:vAlign w:val="center"/>
          </w:tcPr>
          <w:p w14:paraId="4E1F9F66">
            <w:pPr>
              <w:rPr>
                <w:rFonts w:hint="eastAsia" w:ascii="宋体" w:hAnsi="宋体" w:eastAsia="宋体" w:cs="宋体"/>
                <w:i w:val="0"/>
                <w:color w:val="000000"/>
                <w:sz w:val="24"/>
                <w:szCs w:val="24"/>
                <w:u w:val="none"/>
              </w:rPr>
            </w:pPr>
          </w:p>
        </w:tc>
        <w:tc>
          <w:tcPr>
            <w:tcW w:w="1005" w:type="dxa"/>
            <w:tcBorders>
              <w:top w:val="nil"/>
              <w:left w:val="nil"/>
              <w:bottom w:val="nil"/>
              <w:right w:val="nil"/>
            </w:tcBorders>
            <w:shd w:val="clear" w:color="auto" w:fill="auto"/>
            <w:noWrap/>
            <w:tcMar>
              <w:top w:w="10" w:type="dxa"/>
              <w:left w:w="10" w:type="dxa"/>
              <w:right w:w="10" w:type="dxa"/>
            </w:tcMar>
            <w:vAlign w:val="center"/>
          </w:tcPr>
          <w:p w14:paraId="075DAC60">
            <w:pPr>
              <w:rPr>
                <w:rFonts w:hint="eastAsia" w:ascii="宋体" w:hAnsi="宋体" w:eastAsia="宋体" w:cs="宋体"/>
                <w:i w:val="0"/>
                <w:color w:val="000000"/>
                <w:sz w:val="24"/>
                <w:szCs w:val="24"/>
                <w:u w:val="none"/>
              </w:rPr>
            </w:pPr>
          </w:p>
        </w:tc>
        <w:tc>
          <w:tcPr>
            <w:tcW w:w="1155" w:type="dxa"/>
            <w:tcBorders>
              <w:top w:val="nil"/>
              <w:left w:val="nil"/>
              <w:bottom w:val="nil"/>
              <w:right w:val="nil"/>
            </w:tcBorders>
            <w:shd w:val="clear" w:color="auto" w:fill="auto"/>
            <w:noWrap/>
            <w:tcMar>
              <w:top w:w="10" w:type="dxa"/>
              <w:left w:w="10" w:type="dxa"/>
              <w:right w:w="10" w:type="dxa"/>
            </w:tcMar>
            <w:vAlign w:val="center"/>
          </w:tcPr>
          <w:p w14:paraId="0B478CFD">
            <w:pPr>
              <w:rPr>
                <w:rFonts w:hint="eastAsia" w:ascii="宋体" w:hAnsi="宋体" w:eastAsia="宋体" w:cs="宋体"/>
                <w:i w:val="0"/>
                <w:color w:val="000000"/>
                <w:sz w:val="24"/>
                <w:szCs w:val="24"/>
                <w:u w:val="none"/>
              </w:rPr>
            </w:pPr>
          </w:p>
        </w:tc>
        <w:tc>
          <w:tcPr>
            <w:tcW w:w="1765" w:type="dxa"/>
            <w:tcBorders>
              <w:top w:val="nil"/>
              <w:left w:val="nil"/>
              <w:bottom w:val="nil"/>
              <w:right w:val="nil"/>
            </w:tcBorders>
            <w:shd w:val="clear" w:color="auto" w:fill="auto"/>
            <w:noWrap/>
            <w:tcMar>
              <w:top w:w="10" w:type="dxa"/>
              <w:left w:w="10" w:type="dxa"/>
              <w:right w:w="10" w:type="dxa"/>
            </w:tcMar>
            <w:vAlign w:val="center"/>
          </w:tcPr>
          <w:p w14:paraId="6B46DEA8">
            <w:pPr>
              <w:rPr>
                <w:rFonts w:hint="eastAsia" w:ascii="宋体" w:hAnsi="宋体" w:eastAsia="宋体" w:cs="宋体"/>
                <w:i w:val="0"/>
                <w:color w:val="000000"/>
                <w:sz w:val="24"/>
                <w:szCs w:val="24"/>
                <w:u w:val="none"/>
              </w:rPr>
            </w:pPr>
          </w:p>
        </w:tc>
      </w:tr>
      <w:tr w14:paraId="66246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5421" w:type="dxa"/>
            <w:gridSpan w:val="9"/>
            <w:tcBorders>
              <w:top w:val="nil"/>
              <w:left w:val="nil"/>
              <w:bottom w:val="nil"/>
              <w:right w:val="nil"/>
            </w:tcBorders>
            <w:shd w:val="clear" w:color="auto" w:fill="auto"/>
            <w:tcMar>
              <w:top w:w="10" w:type="dxa"/>
              <w:left w:w="10" w:type="dxa"/>
              <w:right w:w="10" w:type="dxa"/>
            </w:tcMar>
            <w:vAlign w:val="center"/>
          </w:tcPr>
          <w:p w14:paraId="2DB8AC73">
            <w:pPr>
              <w:keepNext w:val="0"/>
              <w:keepLines w:val="0"/>
              <w:widowControl/>
              <w:suppressLineNumbers w:val="0"/>
              <w:jc w:val="center"/>
              <w:textAlignment w:val="center"/>
              <w:rPr>
                <w:rFonts w:ascii="方正大标宋简体" w:hAnsi="方正大标宋简体" w:eastAsia="方正大标宋简体" w:cs="方正大标宋简体"/>
                <w:i w:val="0"/>
                <w:color w:val="000000"/>
                <w:sz w:val="50"/>
                <w:szCs w:val="50"/>
                <w:u w:val="none"/>
              </w:rPr>
            </w:pPr>
            <w:r>
              <w:rPr>
                <w:rFonts w:hint="default" w:ascii="方正大标宋简体" w:hAnsi="方正大标宋简体" w:eastAsia="方正大标宋简体" w:cs="方正大标宋简体"/>
                <w:i w:val="0"/>
                <w:color w:val="000000"/>
                <w:kern w:val="0"/>
                <w:sz w:val="50"/>
                <w:szCs w:val="50"/>
                <w:u w:val="none"/>
                <w:lang w:val="en-US" w:eastAsia="zh-CN" w:bidi="ar"/>
              </w:rPr>
              <w:t>2023年度其他事业发展资金项目支出绩效自评表</w:t>
            </w:r>
          </w:p>
        </w:tc>
      </w:tr>
      <w:tr w14:paraId="65F7D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272"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7C7F3FD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项目支</w:t>
            </w:r>
          </w:p>
          <w:p w14:paraId="0D2952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出名称</w:t>
            </w:r>
          </w:p>
        </w:tc>
        <w:tc>
          <w:tcPr>
            <w:tcW w:w="14149"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37C8F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其他事业发展资金</w:t>
            </w:r>
          </w:p>
        </w:tc>
      </w:tr>
      <w:tr w14:paraId="4E6BE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72" w:type="dxa"/>
            <w:tcBorders>
              <w:top w:val="single" w:color="000000" w:sz="4" w:space="0"/>
              <w:left w:val="single" w:color="000000" w:sz="4" w:space="0"/>
              <w:bottom w:val="single" w:color="000000" w:sz="4" w:space="0"/>
              <w:right w:val="nil"/>
            </w:tcBorders>
            <w:shd w:val="clear" w:color="auto" w:fill="auto"/>
            <w:tcMar>
              <w:top w:w="10" w:type="dxa"/>
              <w:left w:w="10" w:type="dxa"/>
              <w:right w:w="10" w:type="dxa"/>
            </w:tcMar>
            <w:vAlign w:val="center"/>
          </w:tcPr>
          <w:p w14:paraId="7C28AA8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主管部门</w:t>
            </w:r>
          </w:p>
        </w:tc>
        <w:tc>
          <w:tcPr>
            <w:tcW w:w="843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42AFA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湖南省农业农村厅</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64609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实施单位</w:t>
            </w: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F1F2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湖南省农业农村厅</w:t>
            </w:r>
          </w:p>
        </w:tc>
      </w:tr>
      <w:tr w14:paraId="5D43B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7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B533B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项目资金（万元）</w:t>
            </w: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0F5588">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649F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年初预算数</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C5F09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全年预算数</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53D7A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全年执行数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09BB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173B7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执行率</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8FA7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得分</w:t>
            </w:r>
          </w:p>
        </w:tc>
      </w:tr>
      <w:tr w14:paraId="402A2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A83BC4">
            <w:pPr>
              <w:jc w:val="center"/>
              <w:rPr>
                <w:rFonts w:hint="eastAsia" w:ascii="宋体" w:hAnsi="宋体" w:eastAsia="宋体" w:cs="宋体"/>
                <w:i w:val="0"/>
                <w:color w:val="000000"/>
                <w:sz w:val="22"/>
                <w:szCs w:val="22"/>
                <w:u w:val="none"/>
              </w:rPr>
            </w:pP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1DAE0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年度资金总额</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C54A7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181,737,892.19 </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BEE62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385,082,856.87 </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5880F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170,361,393.43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DF0C8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D47A9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44.24%</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F295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4.42 </w:t>
            </w:r>
          </w:p>
        </w:tc>
      </w:tr>
      <w:tr w14:paraId="49A48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7024E7">
            <w:pPr>
              <w:jc w:val="center"/>
              <w:rPr>
                <w:rFonts w:hint="eastAsia" w:ascii="宋体" w:hAnsi="宋体" w:eastAsia="宋体" w:cs="宋体"/>
                <w:i w:val="0"/>
                <w:color w:val="000000"/>
                <w:sz w:val="22"/>
                <w:szCs w:val="22"/>
                <w:u w:val="none"/>
              </w:rPr>
            </w:pP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87B21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其中：当年财政拨款</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399C4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6,854,900.00 </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CBDE3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157,062,300.00 </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872EEE">
            <w:pPr>
              <w:rPr>
                <w:rFonts w:hint="eastAsia" w:ascii="宋体" w:hAnsi="宋体" w:eastAsia="宋体" w:cs="宋体"/>
                <w:i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F9748C">
            <w:pPr>
              <w:rPr>
                <w:rFonts w:hint="eastAsia" w:ascii="宋体" w:hAnsi="宋体" w:eastAsia="宋体" w:cs="宋体"/>
                <w:i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3887C5">
            <w:pPr>
              <w:rPr>
                <w:rFonts w:hint="eastAsia" w:ascii="宋体" w:hAnsi="宋体" w:eastAsia="宋体" w:cs="宋体"/>
                <w:i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3344EE">
            <w:pPr>
              <w:rPr>
                <w:rFonts w:hint="eastAsia" w:ascii="宋体" w:hAnsi="宋体" w:eastAsia="宋体" w:cs="宋体"/>
                <w:i w:val="0"/>
                <w:color w:val="000000"/>
                <w:sz w:val="22"/>
                <w:szCs w:val="22"/>
                <w:u w:val="none"/>
              </w:rPr>
            </w:pPr>
          </w:p>
        </w:tc>
      </w:tr>
      <w:tr w14:paraId="78581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70CD62">
            <w:pPr>
              <w:jc w:val="center"/>
              <w:rPr>
                <w:rFonts w:hint="eastAsia" w:ascii="宋体" w:hAnsi="宋体" w:eastAsia="宋体" w:cs="宋体"/>
                <w:i w:val="0"/>
                <w:color w:val="000000"/>
                <w:sz w:val="22"/>
                <w:szCs w:val="22"/>
                <w:u w:val="none"/>
              </w:rPr>
            </w:pP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67B55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上年结转资金</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E9992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98,403,492.19 </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C4061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93,328,055.09 </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BE7BB6">
            <w:pPr>
              <w:rPr>
                <w:rFonts w:hint="eastAsia" w:ascii="宋体" w:hAnsi="宋体" w:eastAsia="宋体" w:cs="宋体"/>
                <w:i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694E2C">
            <w:pPr>
              <w:rPr>
                <w:rFonts w:hint="eastAsia" w:ascii="宋体" w:hAnsi="宋体" w:eastAsia="宋体" w:cs="宋体"/>
                <w:i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A28A53">
            <w:pPr>
              <w:rPr>
                <w:rFonts w:hint="eastAsia" w:ascii="宋体" w:hAnsi="宋体" w:eastAsia="宋体" w:cs="宋体"/>
                <w:i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C7A76C">
            <w:pPr>
              <w:rPr>
                <w:rFonts w:hint="eastAsia" w:ascii="宋体" w:hAnsi="宋体" w:eastAsia="宋体" w:cs="宋体"/>
                <w:i w:val="0"/>
                <w:color w:val="000000"/>
                <w:sz w:val="22"/>
                <w:szCs w:val="22"/>
                <w:u w:val="none"/>
              </w:rPr>
            </w:pPr>
          </w:p>
        </w:tc>
      </w:tr>
      <w:tr w14:paraId="35B74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2D2130">
            <w:pPr>
              <w:jc w:val="center"/>
              <w:rPr>
                <w:rFonts w:hint="eastAsia" w:ascii="宋体" w:hAnsi="宋体" w:eastAsia="宋体" w:cs="宋体"/>
                <w:i w:val="0"/>
                <w:color w:val="000000"/>
                <w:sz w:val="22"/>
                <w:szCs w:val="22"/>
                <w:u w:val="none"/>
              </w:rPr>
            </w:pP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FC27E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中央资金</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34B01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50,150,000.00 </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2C9D6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60,520,000.00 </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C2FEE1">
            <w:pPr>
              <w:rPr>
                <w:rFonts w:hint="eastAsia" w:ascii="宋体" w:hAnsi="宋体" w:eastAsia="宋体" w:cs="宋体"/>
                <w:i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2259A8">
            <w:pPr>
              <w:rPr>
                <w:rFonts w:hint="eastAsia" w:ascii="宋体" w:hAnsi="宋体" w:eastAsia="宋体" w:cs="宋体"/>
                <w:i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C5FB27">
            <w:pPr>
              <w:rPr>
                <w:rFonts w:hint="eastAsia" w:ascii="宋体" w:hAnsi="宋体" w:eastAsia="宋体" w:cs="宋体"/>
                <w:i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9ECC71">
            <w:pPr>
              <w:rPr>
                <w:rFonts w:hint="eastAsia" w:ascii="宋体" w:hAnsi="宋体" w:eastAsia="宋体" w:cs="宋体"/>
                <w:i w:val="0"/>
                <w:color w:val="000000"/>
                <w:sz w:val="22"/>
                <w:szCs w:val="22"/>
                <w:u w:val="none"/>
              </w:rPr>
            </w:pPr>
          </w:p>
        </w:tc>
      </w:tr>
      <w:tr w14:paraId="52B43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FE570F">
            <w:pPr>
              <w:jc w:val="center"/>
              <w:rPr>
                <w:rFonts w:hint="eastAsia" w:ascii="宋体" w:hAnsi="宋体" w:eastAsia="宋体" w:cs="宋体"/>
                <w:i w:val="0"/>
                <w:color w:val="000000"/>
                <w:sz w:val="22"/>
                <w:szCs w:val="22"/>
                <w:u w:val="none"/>
              </w:rPr>
            </w:pP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9D8D1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其他资金</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A3E30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26,329,500.00 </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1EBC9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74,172,501.78 </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3665CC">
            <w:pPr>
              <w:rPr>
                <w:rFonts w:hint="eastAsia" w:ascii="宋体" w:hAnsi="宋体" w:eastAsia="宋体" w:cs="宋体"/>
                <w:i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539050">
            <w:pPr>
              <w:rPr>
                <w:rFonts w:hint="eastAsia" w:ascii="宋体" w:hAnsi="宋体" w:eastAsia="宋体" w:cs="宋体"/>
                <w:i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E6655A">
            <w:pPr>
              <w:rPr>
                <w:rFonts w:hint="eastAsia" w:ascii="宋体" w:hAnsi="宋体" w:eastAsia="宋体" w:cs="宋体"/>
                <w:i w:val="0"/>
                <w:color w:val="000000"/>
                <w:sz w:val="22"/>
                <w:szCs w:val="22"/>
                <w:u w:val="none"/>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30C2C0">
            <w:pPr>
              <w:rPr>
                <w:rFonts w:hint="eastAsia" w:ascii="宋体" w:hAnsi="宋体" w:eastAsia="宋体" w:cs="宋体"/>
                <w:i w:val="0"/>
                <w:color w:val="000000"/>
                <w:sz w:val="22"/>
                <w:szCs w:val="22"/>
                <w:u w:val="none"/>
              </w:rPr>
            </w:pPr>
          </w:p>
        </w:tc>
      </w:tr>
      <w:tr w14:paraId="2415C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7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3A748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年度总体目标</w:t>
            </w:r>
          </w:p>
        </w:tc>
        <w:tc>
          <w:tcPr>
            <w:tcW w:w="843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B525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预期目标</w:t>
            </w:r>
          </w:p>
        </w:tc>
        <w:tc>
          <w:tcPr>
            <w:tcW w:w="5719"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3364A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实际完成情况</w:t>
            </w:r>
          </w:p>
        </w:tc>
      </w:tr>
      <w:tr w14:paraId="6D279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0" w:hRule="atLeast"/>
        </w:trPr>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4D4ABE">
            <w:pPr>
              <w:jc w:val="center"/>
              <w:rPr>
                <w:rFonts w:hint="eastAsia" w:ascii="宋体" w:hAnsi="宋体" w:eastAsia="宋体" w:cs="宋体"/>
                <w:i w:val="0"/>
                <w:color w:val="000000"/>
                <w:sz w:val="22"/>
                <w:szCs w:val="22"/>
                <w:u w:val="none"/>
              </w:rPr>
            </w:pPr>
          </w:p>
        </w:tc>
        <w:tc>
          <w:tcPr>
            <w:tcW w:w="843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BE36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开展高产且抗逆性好的棉花品种筛选，推进棉花生产全程机械化示范；继续开展旱粮 、特色油料、中药材等作物种质资源的收集、引进与创制，新品种培育；派遣12名长期农业专家和3名短期农业专家赴萨提供技术援助，重点开展蔬菜、果树、养殖等农业技术研究、示范、推广和培训工作；开展 湖南生物机电职业技术学院校园基本建设、大型维修及大型教学设备仪器采购；做好家禽禽流感和家畜口蹄疫开展强制免疫工作，开展主要动物疫病监测与流行病学调查等，及时掌握动物疫情情况，科学制定防疫政策等。</w:t>
            </w:r>
          </w:p>
        </w:tc>
        <w:tc>
          <w:tcPr>
            <w:tcW w:w="5719"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AE239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以上目标基本完成。</w:t>
            </w:r>
          </w:p>
        </w:tc>
      </w:tr>
      <w:tr w14:paraId="49588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C30ADC7">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绩</w:t>
            </w:r>
          </w:p>
          <w:p w14:paraId="54274CB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效</w:t>
            </w:r>
          </w:p>
          <w:p w14:paraId="43BB3EF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指</w:t>
            </w:r>
          </w:p>
          <w:p w14:paraId="079373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标</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FD608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一级指标</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92DC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二级指标</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A9F2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三级指标</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F7D7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年度指标值</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FAC3B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实际完成值</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9059C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C826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得分</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36E92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偏差原因分析及</w:t>
            </w:r>
          </w:p>
          <w:p w14:paraId="6FC7D2F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改进措施</w:t>
            </w:r>
          </w:p>
        </w:tc>
      </w:tr>
      <w:tr w14:paraId="627CB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AEF7683">
            <w:pPr>
              <w:jc w:val="center"/>
              <w:rPr>
                <w:rFonts w:hint="eastAsia" w:ascii="宋体" w:hAnsi="宋体" w:eastAsia="宋体" w:cs="宋体"/>
                <w:i w:val="0"/>
                <w:color w:val="000000"/>
                <w:sz w:val="22"/>
                <w:szCs w:val="22"/>
                <w:u w:val="none"/>
              </w:rPr>
            </w:pP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7A3BF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产出指标</w:t>
            </w:r>
          </w:p>
          <w:p w14:paraId="169FFC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（50分）</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D44CB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数量指标（22.5分）</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64B43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创制、引进棉花种质资源</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0067A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≥20份</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B56A8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676B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0901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E0DDFE">
            <w:pPr>
              <w:rPr>
                <w:rFonts w:hint="eastAsia" w:ascii="宋体" w:hAnsi="宋体" w:eastAsia="宋体" w:cs="宋体"/>
                <w:i w:val="0"/>
                <w:color w:val="000000"/>
                <w:sz w:val="22"/>
                <w:szCs w:val="22"/>
                <w:u w:val="none"/>
              </w:rPr>
            </w:pPr>
          </w:p>
        </w:tc>
      </w:tr>
      <w:tr w14:paraId="6A2D6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92B4609">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53C86B">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D15325">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5197A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创制、筛选旱粮、油料、中药材种质资源</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EEF9A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≥30份</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E412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0ECB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8166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1CF51F">
            <w:pPr>
              <w:rPr>
                <w:rFonts w:hint="eastAsia" w:ascii="宋体" w:hAnsi="宋体" w:eastAsia="宋体" w:cs="宋体"/>
                <w:i w:val="0"/>
                <w:color w:val="000000"/>
                <w:sz w:val="22"/>
                <w:szCs w:val="22"/>
                <w:u w:val="none"/>
              </w:rPr>
            </w:pPr>
          </w:p>
        </w:tc>
      </w:tr>
      <w:tr w14:paraId="74378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E8F8C41">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097EF5">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EF6900">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2DB77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派遣专家赴萨人数（长短期合计）</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2E702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≥15名</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D8E23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16名</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B728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06E4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F27E9F">
            <w:pPr>
              <w:rPr>
                <w:rFonts w:hint="eastAsia" w:ascii="宋体" w:hAnsi="宋体" w:eastAsia="宋体" w:cs="宋体"/>
                <w:i w:val="0"/>
                <w:color w:val="000000"/>
                <w:sz w:val="22"/>
                <w:szCs w:val="22"/>
                <w:u w:val="none"/>
              </w:rPr>
            </w:pPr>
          </w:p>
        </w:tc>
      </w:tr>
      <w:tr w14:paraId="10738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B6A1EE4">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098492">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DB7BCE">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75BB9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校园基本建设、大型维修及大型教学设备仪器采购数量</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DC481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满足校园建设需求</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689D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满足需求</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A681F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33AC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165D72">
            <w:pPr>
              <w:rPr>
                <w:rFonts w:hint="eastAsia" w:ascii="宋体" w:hAnsi="宋体" w:eastAsia="宋体" w:cs="宋体"/>
                <w:i w:val="0"/>
                <w:color w:val="000000"/>
                <w:sz w:val="22"/>
                <w:szCs w:val="22"/>
                <w:u w:val="none"/>
              </w:rPr>
            </w:pPr>
          </w:p>
        </w:tc>
      </w:tr>
      <w:tr w14:paraId="54714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4AE720E">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C4F9FB">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9AF49E">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6C695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开展种子质量监管专项检查</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B77AB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≥4次</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765D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0ED0A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B1F53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DEC3CF">
            <w:pPr>
              <w:rPr>
                <w:rFonts w:hint="eastAsia" w:ascii="宋体" w:hAnsi="宋体" w:eastAsia="宋体" w:cs="宋体"/>
                <w:i w:val="0"/>
                <w:color w:val="000000"/>
                <w:sz w:val="22"/>
                <w:szCs w:val="22"/>
                <w:u w:val="none"/>
              </w:rPr>
            </w:pPr>
          </w:p>
        </w:tc>
      </w:tr>
      <w:tr w14:paraId="6D6B1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8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DE52945">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F8C1F2">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6CC0FD">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7AB33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采购禽流感灭活疫苗  、猪O型口蹄疫灭活疫苗、猪O型口蹄疫合成肽疫苗、牛羊口蹄疫苗O型-A型灭活疫苗四种疫苗。</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DC831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计划量</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C2B2D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14055.4万毫升</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87C4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929E18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D7CD7F">
            <w:pPr>
              <w:rPr>
                <w:rFonts w:hint="eastAsia" w:ascii="宋体" w:hAnsi="宋体" w:eastAsia="宋体" w:cs="宋体"/>
                <w:i w:val="0"/>
                <w:color w:val="000000"/>
                <w:sz w:val="22"/>
                <w:szCs w:val="22"/>
                <w:u w:val="none"/>
              </w:rPr>
            </w:pPr>
          </w:p>
        </w:tc>
      </w:tr>
      <w:tr w14:paraId="7B7CF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56F56DD">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9183E1">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A8790F">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AA496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动物防疫样品检测份数</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3C270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≥40000份</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7E271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80100份</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F1897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DCC1C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7E35C1">
            <w:pPr>
              <w:rPr>
                <w:rFonts w:hint="eastAsia" w:ascii="宋体" w:hAnsi="宋体" w:eastAsia="宋体" w:cs="宋体"/>
                <w:i w:val="0"/>
                <w:color w:val="000000"/>
                <w:sz w:val="22"/>
                <w:szCs w:val="22"/>
                <w:u w:val="none"/>
              </w:rPr>
            </w:pPr>
          </w:p>
        </w:tc>
      </w:tr>
      <w:tr w14:paraId="2550F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F60329B">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08F511">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0BB95F">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06DB0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培训动物疫病疫情监测人员</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B1FE9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≥100人</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FE29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154人</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BAB9E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5C72F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BF806C">
            <w:pPr>
              <w:rPr>
                <w:rFonts w:hint="eastAsia" w:ascii="宋体" w:hAnsi="宋体" w:eastAsia="宋体" w:cs="宋体"/>
                <w:i w:val="0"/>
                <w:color w:val="000000"/>
                <w:sz w:val="22"/>
                <w:szCs w:val="22"/>
                <w:u w:val="none"/>
              </w:rPr>
            </w:pPr>
          </w:p>
        </w:tc>
      </w:tr>
      <w:tr w14:paraId="60AF8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8340ECA">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0BE4C2">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99D5A0">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2A161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水产科学研究所发表科技论文数量</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9DB34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1-2篇</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BCEC3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4F1C3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DE03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67602B">
            <w:pPr>
              <w:rPr>
                <w:rFonts w:hint="eastAsia" w:ascii="宋体" w:hAnsi="宋体" w:eastAsia="宋体" w:cs="宋体"/>
                <w:i w:val="0"/>
                <w:color w:val="000000"/>
                <w:sz w:val="22"/>
                <w:szCs w:val="22"/>
                <w:u w:val="none"/>
              </w:rPr>
            </w:pPr>
          </w:p>
        </w:tc>
      </w:tr>
      <w:tr w14:paraId="4D641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9262675">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37E676">
            <w:pPr>
              <w:jc w:val="center"/>
              <w:rPr>
                <w:rFonts w:hint="eastAsia" w:ascii="宋体" w:hAnsi="宋体" w:eastAsia="宋体" w:cs="宋体"/>
                <w:i w:val="0"/>
                <w:color w:val="000000"/>
                <w:sz w:val="22"/>
                <w:szCs w:val="22"/>
                <w:u w:val="none"/>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5E3E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质量指标（17.5分）</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F3F9B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棉花生产全程机械化示范区</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DF411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≥50亩</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C114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100亩</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0ECFB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C3122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E03F2F">
            <w:pPr>
              <w:rPr>
                <w:rFonts w:hint="eastAsia" w:ascii="宋体" w:hAnsi="宋体" w:eastAsia="宋体" w:cs="宋体"/>
                <w:i w:val="0"/>
                <w:color w:val="000000"/>
                <w:sz w:val="22"/>
                <w:szCs w:val="22"/>
                <w:u w:val="none"/>
              </w:rPr>
            </w:pPr>
          </w:p>
        </w:tc>
      </w:tr>
      <w:tr w14:paraId="513AE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6AB6FAD">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603909">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9486B6">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57DAE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赴萨技术指导、培训合格率</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6B944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A85F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26FDB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55F12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C47748">
            <w:pPr>
              <w:rPr>
                <w:rFonts w:hint="eastAsia" w:ascii="宋体" w:hAnsi="宋体" w:eastAsia="宋体" w:cs="宋体"/>
                <w:i w:val="0"/>
                <w:color w:val="000000"/>
                <w:sz w:val="22"/>
                <w:szCs w:val="22"/>
                <w:u w:val="none"/>
              </w:rPr>
            </w:pPr>
          </w:p>
        </w:tc>
      </w:tr>
      <w:tr w14:paraId="01B43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D59A563">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947A98">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F9A7E0">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AC3B7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家禽禽流感和家畜口蹄疫强制免疫密度</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A83E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20C0A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0.93</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C5F1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93BB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C86A35">
            <w:pPr>
              <w:rPr>
                <w:rFonts w:hint="eastAsia" w:ascii="宋体" w:hAnsi="宋体" w:eastAsia="宋体" w:cs="宋体"/>
                <w:i w:val="0"/>
                <w:color w:val="000000"/>
                <w:sz w:val="22"/>
                <w:szCs w:val="22"/>
                <w:u w:val="none"/>
              </w:rPr>
            </w:pPr>
          </w:p>
        </w:tc>
      </w:tr>
      <w:tr w14:paraId="70FF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24C6FF1">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F1C519">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27F0C0">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2C21A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病原学和血清学检测结果准确率</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2C3B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AD6B7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09235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DFAA3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81A748">
            <w:pPr>
              <w:rPr>
                <w:rFonts w:hint="eastAsia" w:ascii="宋体" w:hAnsi="宋体" w:eastAsia="宋体" w:cs="宋体"/>
                <w:i w:val="0"/>
                <w:color w:val="000000"/>
                <w:sz w:val="22"/>
                <w:szCs w:val="22"/>
                <w:u w:val="none"/>
              </w:rPr>
            </w:pPr>
          </w:p>
        </w:tc>
      </w:tr>
      <w:tr w14:paraId="66FFA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A5DD16D">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F58C25">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7D9317">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B7B51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农作物种子检测样品准确率</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85298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6DDF6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8B01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B58F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F394BD">
            <w:pPr>
              <w:rPr>
                <w:rFonts w:hint="eastAsia" w:ascii="宋体" w:hAnsi="宋体" w:eastAsia="宋体" w:cs="宋体"/>
                <w:i w:val="0"/>
                <w:color w:val="000000"/>
                <w:sz w:val="22"/>
                <w:szCs w:val="22"/>
                <w:u w:val="none"/>
              </w:rPr>
            </w:pPr>
          </w:p>
        </w:tc>
      </w:tr>
      <w:tr w14:paraId="5B47C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B622AD5">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76A0BB">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3037D6">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097D4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水产科学研究所发表科技论文质量</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F2D78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达到核心及SCI</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B52DF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达到核心及SCI</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40B4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60EB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9BBF44">
            <w:pPr>
              <w:rPr>
                <w:rFonts w:hint="eastAsia" w:ascii="宋体" w:hAnsi="宋体" w:eastAsia="宋体" w:cs="宋体"/>
                <w:i w:val="0"/>
                <w:color w:val="000000"/>
                <w:sz w:val="22"/>
                <w:szCs w:val="22"/>
                <w:u w:val="none"/>
              </w:rPr>
            </w:pPr>
          </w:p>
        </w:tc>
      </w:tr>
      <w:tr w14:paraId="09FD1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7DC7B21">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8FA64E">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36C1A2">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28C08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采购验收合格率</w:t>
            </w:r>
          </w:p>
        </w:tc>
        <w:tc>
          <w:tcPr>
            <w:tcW w:w="3432"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D5BC9F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EEB2B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CAD97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1A47E0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7D5D1FD">
            <w:pPr>
              <w:rPr>
                <w:rFonts w:hint="eastAsia" w:ascii="宋体" w:hAnsi="宋体" w:eastAsia="宋体" w:cs="宋体"/>
                <w:i w:val="0"/>
                <w:color w:val="000000"/>
                <w:sz w:val="22"/>
                <w:szCs w:val="22"/>
                <w:u w:val="none"/>
              </w:rPr>
            </w:pPr>
          </w:p>
        </w:tc>
      </w:tr>
      <w:tr w14:paraId="41427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0883AA1">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706164">
            <w:pPr>
              <w:jc w:val="center"/>
              <w:rPr>
                <w:rFonts w:hint="eastAsia" w:ascii="宋体" w:hAnsi="宋体" w:eastAsia="宋体" w:cs="宋体"/>
                <w:i w:val="0"/>
                <w:color w:val="000000"/>
                <w:sz w:val="22"/>
                <w:szCs w:val="22"/>
                <w:u w:val="none"/>
              </w:rPr>
            </w:pPr>
          </w:p>
        </w:tc>
        <w:tc>
          <w:tcPr>
            <w:tcW w:w="1218" w:type="dxa"/>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775B1A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时效指标（2.5分）</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D5E16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工作完成进度</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643DF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1B5BE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695C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C0443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34EEB6">
            <w:pPr>
              <w:rPr>
                <w:rFonts w:hint="eastAsia" w:ascii="宋体" w:hAnsi="宋体" w:eastAsia="宋体" w:cs="宋体"/>
                <w:i w:val="0"/>
                <w:color w:val="000000"/>
                <w:sz w:val="22"/>
                <w:szCs w:val="22"/>
                <w:u w:val="none"/>
              </w:rPr>
            </w:pPr>
          </w:p>
        </w:tc>
      </w:tr>
      <w:tr w14:paraId="67FD6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C20F815">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93866A">
            <w:pPr>
              <w:jc w:val="center"/>
              <w:rPr>
                <w:rFonts w:hint="eastAsia" w:ascii="宋体" w:hAnsi="宋体" w:eastAsia="宋体" w:cs="宋体"/>
                <w:i w:val="0"/>
                <w:color w:val="000000"/>
                <w:sz w:val="22"/>
                <w:szCs w:val="22"/>
                <w:u w:val="none"/>
              </w:rPr>
            </w:pPr>
          </w:p>
        </w:tc>
        <w:tc>
          <w:tcPr>
            <w:tcW w:w="1218"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4DA556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成本指标（7.5分）</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B7327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控制预算批复范围内</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8EE5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C4FA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9AD87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911F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10EF4B">
            <w:pPr>
              <w:rPr>
                <w:rFonts w:hint="eastAsia" w:ascii="宋体" w:hAnsi="宋体" w:eastAsia="宋体" w:cs="宋体"/>
                <w:i w:val="0"/>
                <w:color w:val="000000"/>
                <w:sz w:val="22"/>
                <w:szCs w:val="22"/>
                <w:u w:val="none"/>
              </w:rPr>
            </w:pPr>
          </w:p>
        </w:tc>
      </w:tr>
      <w:tr w14:paraId="09734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97A9490">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C46B6A">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D08C936">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542DB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棉油双直播示范区棉田用工节约</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C69E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≥3个/亩</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2C4BD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4个/亩</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6756E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7A573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09D637">
            <w:pPr>
              <w:rPr>
                <w:rFonts w:hint="eastAsia" w:ascii="宋体" w:hAnsi="宋体" w:eastAsia="宋体" w:cs="宋体"/>
                <w:i w:val="0"/>
                <w:color w:val="000000"/>
                <w:sz w:val="22"/>
                <w:szCs w:val="22"/>
                <w:u w:val="none"/>
              </w:rPr>
            </w:pPr>
          </w:p>
        </w:tc>
      </w:tr>
      <w:tr w14:paraId="6A9F2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50BB1A7">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E91EAC">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9EFAAD2">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DA25B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甘薯、油菜、百合等作物栽培新技术生产成本降低</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D6BA1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909B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ED363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2F8EA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CC477A">
            <w:pPr>
              <w:rPr>
                <w:rFonts w:hint="eastAsia" w:ascii="宋体" w:hAnsi="宋体" w:eastAsia="宋体" w:cs="宋体"/>
                <w:i w:val="0"/>
                <w:color w:val="000000"/>
                <w:sz w:val="22"/>
                <w:szCs w:val="22"/>
                <w:u w:val="none"/>
              </w:rPr>
            </w:pPr>
          </w:p>
        </w:tc>
      </w:tr>
      <w:tr w14:paraId="54585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21E1302C">
            <w:pPr>
              <w:jc w:val="center"/>
              <w:rPr>
                <w:rFonts w:hint="eastAsia" w:ascii="宋体" w:hAnsi="宋体" w:eastAsia="宋体" w:cs="宋体"/>
                <w:i w:val="0"/>
                <w:color w:val="000000"/>
                <w:sz w:val="22"/>
                <w:szCs w:val="22"/>
                <w:u w:val="none"/>
              </w:rPr>
            </w:pP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EAB1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效益指标（30分）</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63EEF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经济效</w:t>
            </w:r>
          </w:p>
          <w:p w14:paraId="67D7A5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益指标（10分）</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3714B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棉花新品种、新技术节本增效</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43400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≥300元/亩</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09C0E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350元/亩</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2605E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73DAF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BFF7F3">
            <w:pPr>
              <w:jc w:val="left"/>
              <w:rPr>
                <w:rFonts w:hint="eastAsia" w:ascii="宋体" w:hAnsi="宋体" w:eastAsia="宋体" w:cs="宋体"/>
                <w:i w:val="0"/>
                <w:color w:val="000000"/>
                <w:sz w:val="22"/>
                <w:szCs w:val="22"/>
                <w:u w:val="none"/>
              </w:rPr>
            </w:pPr>
          </w:p>
        </w:tc>
      </w:tr>
      <w:tr w14:paraId="51464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3F179F23">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9479E8">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66C089">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D4D4A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甘薯、油菜、花生新品种增产</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7773E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0AB7D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AF891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40A5E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BCB0A4">
            <w:pPr>
              <w:jc w:val="left"/>
              <w:rPr>
                <w:rFonts w:hint="eastAsia" w:ascii="宋体" w:hAnsi="宋体" w:eastAsia="宋体" w:cs="宋体"/>
                <w:i w:val="0"/>
                <w:color w:val="000000"/>
                <w:sz w:val="22"/>
                <w:szCs w:val="22"/>
                <w:u w:val="none"/>
              </w:rPr>
            </w:pPr>
          </w:p>
        </w:tc>
      </w:tr>
      <w:tr w14:paraId="593DA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77D7A41">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989900">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B9B170">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7A346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援助地农民收入增加</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43F66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≥50万元</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AA6B2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102万元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4E179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CF366D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7FB90F">
            <w:pPr>
              <w:jc w:val="left"/>
              <w:rPr>
                <w:rFonts w:hint="eastAsia" w:ascii="宋体" w:hAnsi="宋体" w:eastAsia="宋体" w:cs="宋体"/>
                <w:i w:val="0"/>
                <w:color w:val="000000"/>
                <w:sz w:val="22"/>
                <w:szCs w:val="22"/>
                <w:u w:val="none"/>
              </w:rPr>
            </w:pPr>
          </w:p>
        </w:tc>
      </w:tr>
      <w:tr w14:paraId="51E7C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98D60FB">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D17D97">
            <w:pPr>
              <w:jc w:val="center"/>
              <w:rPr>
                <w:rFonts w:hint="eastAsia" w:ascii="宋体" w:hAnsi="宋体" w:eastAsia="宋体" w:cs="宋体"/>
                <w:i w:val="0"/>
                <w:color w:val="000000"/>
                <w:sz w:val="22"/>
                <w:szCs w:val="22"/>
                <w:u w:val="none"/>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4D2AA8">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社会效</w:t>
            </w:r>
          </w:p>
          <w:p w14:paraId="375C478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益指标（15分）</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EB5DC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保障农业用种安全</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6D061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保障农业用种安全</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B82A7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优秀</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D94D91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53D9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63695D">
            <w:pPr>
              <w:jc w:val="left"/>
              <w:rPr>
                <w:rFonts w:hint="eastAsia" w:ascii="宋体" w:hAnsi="宋体" w:eastAsia="宋体" w:cs="宋体"/>
                <w:i w:val="0"/>
                <w:color w:val="000000"/>
                <w:sz w:val="22"/>
                <w:szCs w:val="22"/>
                <w:u w:val="none"/>
              </w:rPr>
            </w:pPr>
          </w:p>
        </w:tc>
      </w:tr>
      <w:tr w14:paraId="5891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90D022F">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68509E">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B9DBAF">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C8093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确保口蹄疫和高致病性禽流感等优先防治病种疫情保持平稳</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7D82B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保持平稳，确保无疫情发生</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A2F4A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无疫情发生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F6974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22DC5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FF18BE">
            <w:pPr>
              <w:rPr>
                <w:rFonts w:hint="eastAsia" w:ascii="宋体" w:hAnsi="宋体" w:eastAsia="宋体" w:cs="宋体"/>
                <w:i w:val="0"/>
                <w:color w:val="000000"/>
                <w:sz w:val="22"/>
                <w:szCs w:val="22"/>
                <w:u w:val="none"/>
              </w:rPr>
            </w:pPr>
          </w:p>
        </w:tc>
      </w:tr>
      <w:tr w14:paraId="3C06B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68F12D00">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18B63E">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000F4C">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CF69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社会公信力</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F5384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逐步提高</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596C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已提高</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7A6D3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6F6A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4A7BF4">
            <w:pPr>
              <w:rPr>
                <w:rFonts w:hint="eastAsia" w:ascii="宋体" w:hAnsi="宋体" w:eastAsia="宋体" w:cs="宋体"/>
                <w:i w:val="0"/>
                <w:color w:val="000000"/>
                <w:sz w:val="22"/>
                <w:szCs w:val="22"/>
                <w:u w:val="none"/>
              </w:rPr>
            </w:pPr>
          </w:p>
        </w:tc>
      </w:tr>
      <w:tr w14:paraId="2ACD4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7B33A54">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6A1EED">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6D3EDF">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D37EE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做好棉花“百千万”示范片创建工作</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33315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做好创建工作</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FC70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已完成创建工作</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4BB2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BCFE2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9CC1DD">
            <w:pPr>
              <w:rPr>
                <w:rFonts w:hint="eastAsia" w:ascii="宋体" w:hAnsi="宋体" w:eastAsia="宋体" w:cs="宋体"/>
                <w:i w:val="0"/>
                <w:color w:val="000000"/>
                <w:sz w:val="22"/>
                <w:szCs w:val="22"/>
                <w:u w:val="none"/>
              </w:rPr>
            </w:pPr>
          </w:p>
        </w:tc>
      </w:tr>
      <w:tr w14:paraId="48FA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A8E51CE">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67D67C">
            <w:pPr>
              <w:jc w:val="center"/>
              <w:rPr>
                <w:rFonts w:hint="eastAsia" w:ascii="宋体" w:hAnsi="宋体" w:eastAsia="宋体" w:cs="宋体"/>
                <w:i w:val="0"/>
                <w:color w:val="000000"/>
                <w:sz w:val="22"/>
                <w:szCs w:val="22"/>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03D97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可持续影响指标（5分）</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3569D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农业农村现代化进程</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A1C07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进一步加快</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74785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符合</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A6E02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4D4317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99A913">
            <w:pPr>
              <w:jc w:val="left"/>
              <w:rPr>
                <w:rFonts w:hint="eastAsia" w:ascii="宋体" w:hAnsi="宋体" w:eastAsia="宋体" w:cs="宋体"/>
                <w:i w:val="0"/>
                <w:color w:val="000000"/>
                <w:sz w:val="22"/>
                <w:szCs w:val="22"/>
                <w:u w:val="none"/>
              </w:rPr>
            </w:pPr>
          </w:p>
        </w:tc>
      </w:tr>
      <w:tr w14:paraId="10BDC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7AC96C58">
            <w:pPr>
              <w:jc w:val="center"/>
              <w:rPr>
                <w:rFonts w:hint="eastAsia" w:ascii="宋体" w:hAnsi="宋体" w:eastAsia="宋体" w:cs="宋体"/>
                <w:i w:val="0"/>
                <w:color w:val="000000"/>
                <w:sz w:val="22"/>
                <w:szCs w:val="22"/>
                <w:u w:val="none"/>
              </w:rPr>
            </w:pP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11F8A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满意度指标</w:t>
            </w:r>
          </w:p>
          <w:p w14:paraId="316E900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（10分）</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4703B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服务对象满意度指标（10分）</w:t>
            </w: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7B7F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受益群众满意度</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BC2E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04807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0DDCE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160F1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1B58DF">
            <w:pPr>
              <w:rPr>
                <w:rFonts w:hint="eastAsia" w:ascii="宋体" w:hAnsi="宋体" w:eastAsia="宋体" w:cs="宋体"/>
                <w:i w:val="0"/>
                <w:color w:val="000000"/>
                <w:sz w:val="22"/>
                <w:szCs w:val="22"/>
                <w:u w:val="none"/>
              </w:rPr>
            </w:pPr>
          </w:p>
        </w:tc>
      </w:tr>
      <w:tr w14:paraId="0DE78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72" w:type="dxa"/>
            <w:tcBorders>
              <w:top w:val="nil"/>
              <w:left w:val="single" w:color="000000" w:sz="4" w:space="0"/>
              <w:bottom w:val="nil"/>
              <w:right w:val="nil"/>
            </w:tcBorders>
            <w:shd w:val="clear" w:color="auto" w:fill="auto"/>
            <w:tcMar>
              <w:top w:w="10" w:type="dxa"/>
              <w:left w:w="10" w:type="dxa"/>
              <w:right w:w="10" w:type="dxa"/>
            </w:tcMar>
            <w:vAlign w:val="center"/>
          </w:tcPr>
          <w:p w14:paraId="4DDF7821">
            <w:pPr>
              <w:jc w:val="center"/>
              <w:rPr>
                <w:rFonts w:hint="eastAsia" w:ascii="宋体" w:hAnsi="宋体" w:eastAsia="宋体" w:cs="宋体"/>
                <w:i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F446D9">
            <w:pPr>
              <w:jc w:val="center"/>
              <w:rPr>
                <w:rFonts w:hint="eastAsia" w:ascii="宋体" w:hAnsi="宋体" w:eastAsia="宋体" w:cs="宋体"/>
                <w:i w:val="0"/>
                <w:color w:val="000000"/>
                <w:sz w:val="22"/>
                <w:szCs w:val="22"/>
                <w:u w:val="none"/>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E6684C">
            <w:pPr>
              <w:jc w:val="center"/>
              <w:rPr>
                <w:rFonts w:hint="eastAsia" w:ascii="宋体" w:hAnsi="宋体" w:eastAsia="宋体" w:cs="宋体"/>
                <w:i w:val="0"/>
                <w:color w:val="000000"/>
                <w:sz w:val="22"/>
                <w:szCs w:val="22"/>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A41A5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社会公众满意度</w:t>
            </w:r>
          </w:p>
        </w:tc>
        <w:tc>
          <w:tcPr>
            <w:tcW w:w="34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50F2F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7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9D4757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96DDA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357446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DF7BD6">
            <w:pPr>
              <w:rPr>
                <w:rFonts w:hint="eastAsia" w:ascii="宋体" w:hAnsi="宋体" w:eastAsia="宋体" w:cs="宋体"/>
                <w:i w:val="0"/>
                <w:color w:val="000000"/>
                <w:sz w:val="22"/>
                <w:szCs w:val="22"/>
                <w:u w:val="none"/>
              </w:rPr>
            </w:pPr>
          </w:p>
        </w:tc>
      </w:tr>
      <w:tr w14:paraId="25AF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2" w:hRule="atLeast"/>
        </w:trPr>
        <w:tc>
          <w:tcPr>
            <w:tcW w:w="11496"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885EF1">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B214FB">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CB8A09">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 xml:space="preserve">94.42 </w:t>
            </w:r>
          </w:p>
        </w:tc>
        <w:tc>
          <w:tcPr>
            <w:tcW w:w="1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AE5445">
            <w:pPr>
              <w:rPr>
                <w:rFonts w:hint="eastAsia" w:ascii="宋体" w:hAnsi="宋体" w:eastAsia="宋体" w:cs="宋体"/>
                <w:b/>
                <w:i w:val="0"/>
                <w:color w:val="000000"/>
                <w:sz w:val="22"/>
                <w:szCs w:val="22"/>
                <w:u w:val="none"/>
              </w:rPr>
            </w:pPr>
          </w:p>
        </w:tc>
      </w:tr>
    </w:tbl>
    <w:p w14:paraId="22D0529A">
      <w:pPr>
        <w:pStyle w:val="2"/>
        <w:rPr>
          <w:color w:val="auto"/>
          <w:highlight w:val="none"/>
        </w:rPr>
      </w:pPr>
    </w:p>
    <w:sectPr>
      <w:pgSz w:w="16838" w:h="11906" w:orient="landscape"/>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2412049-BC31-4934-AD77-AF26271E5C2C}"/>
  </w:font>
  <w:font w:name="黑体">
    <w:panose1 w:val="02010609060101010101"/>
    <w:charset w:val="86"/>
    <w:family w:val="auto"/>
    <w:pitch w:val="default"/>
    <w:sig w:usb0="800002BF" w:usb1="38CF7CFA" w:usb2="00000016" w:usb3="00000000" w:csb0="00040001" w:csb1="00000000"/>
    <w:embedRegular r:id="rId2" w:fontKey="{566146DE-3698-4457-ABA0-7CBF7D1E4D2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3C20E1D0-3382-46E4-A332-BF8C231D69B1}"/>
  </w:font>
  <w:font w:name="Cambria">
    <w:panose1 w:val="02040503050406030204"/>
    <w:charset w:val="00"/>
    <w:family w:val="roman"/>
    <w:pitch w:val="default"/>
    <w:sig w:usb0="A00002EF" w:usb1="4000004B" w:usb2="00000000" w:usb3="00000000" w:csb0="2000019F" w:csb1="00000000"/>
  </w:font>
  <w:font w:name="方正小标宋_GBK">
    <w:altName w:val="微软雅黑"/>
    <w:panose1 w:val="02000000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7181A38B-A4E7-4680-BC24-ABEE164BC4AF}"/>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Times New Roman Regular">
    <w:altName w:val="Times New Roman"/>
    <w:panose1 w:val="02020603050405020304"/>
    <w:charset w:val="00"/>
    <w:family w:val="auto"/>
    <w:pitch w:val="default"/>
    <w:sig w:usb0="00000000" w:usb1="00000000" w:usb2="00000009" w:usb3="00000000" w:csb0="400001FF" w:csb1="FFFF0000"/>
    <w:embedRegular r:id="rId5" w:fontKey="{25BA215F-401E-4657-B605-D9CB1D0D3B36}"/>
  </w:font>
  <w:font w:name="方正小标宋简体">
    <w:panose1 w:val="02000000000000000000"/>
    <w:charset w:val="86"/>
    <w:family w:val="script"/>
    <w:pitch w:val="default"/>
    <w:sig w:usb0="00000001" w:usb1="08000000" w:usb2="00000000" w:usb3="00000000" w:csb0="00040000" w:csb1="00000000"/>
    <w:embedRegular r:id="rId6" w:fontKey="{F79A4697-A956-4735-9CEE-B9A7E421FCC9}"/>
  </w:font>
  <w:font w:name="方正大标宋简体">
    <w:altName w:val="微软雅黑"/>
    <w:panose1 w:val="00000000000000000000"/>
    <w:charset w:val="00"/>
    <w:family w:val="auto"/>
    <w:pitch w:val="default"/>
    <w:sig w:usb0="00000000" w:usb1="00000000" w:usb2="00000000" w:usb3="00000000" w:csb0="00000000" w:csb1="00000000"/>
    <w:embedRegular r:id="rId7" w:fontKey="{38A5ED3A-7FC0-4D93-B193-D28E675D7271}"/>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8E9C8"/>
    <w:multiLevelType w:val="singleLevel"/>
    <w:tmpl w:val="97F8E9C8"/>
    <w:lvl w:ilvl="0" w:tentative="0">
      <w:start w:val="7"/>
      <w:numFmt w:val="chineseCounting"/>
      <w:suff w:val="nothing"/>
      <w:lvlText w:val="%1、"/>
      <w:lvlJc w:val="left"/>
      <w:rPr>
        <w:rFonts w:hint="eastAsia"/>
      </w:rPr>
    </w:lvl>
  </w:abstractNum>
  <w:abstractNum w:abstractNumId="1">
    <w:nsid w:val="9D90515E"/>
    <w:multiLevelType w:val="singleLevel"/>
    <w:tmpl w:val="9D90515E"/>
    <w:lvl w:ilvl="0" w:tentative="0">
      <w:start w:val="6"/>
      <w:numFmt w:val="decimal"/>
      <w:suff w:val="nothing"/>
      <w:lvlText w:val="（%1）"/>
      <w:lvlJc w:val="left"/>
    </w:lvl>
  </w:abstractNum>
  <w:abstractNum w:abstractNumId="2">
    <w:nsid w:val="CBC82D2C"/>
    <w:multiLevelType w:val="singleLevel"/>
    <w:tmpl w:val="CBC82D2C"/>
    <w:lvl w:ilvl="0" w:tentative="0">
      <w:start w:val="2"/>
      <w:numFmt w:val="decimal"/>
      <w:suff w:val="nothing"/>
      <w:lvlText w:val="%1、"/>
      <w:lvlJc w:val="left"/>
      <w:pPr>
        <w:ind w:left="-10"/>
      </w:pPr>
    </w:lvl>
  </w:abstractNum>
  <w:abstractNum w:abstractNumId="3">
    <w:nsid w:val="E4DD86AE"/>
    <w:multiLevelType w:val="singleLevel"/>
    <w:tmpl w:val="E4DD86AE"/>
    <w:lvl w:ilvl="0" w:tentative="0">
      <w:start w:val="1"/>
      <w:numFmt w:val="decimal"/>
      <w:suff w:val="nothing"/>
      <w:lvlText w:val="%1、"/>
      <w:lvlJc w:val="left"/>
      <w:pPr>
        <w:ind w:left="-10"/>
      </w:pPr>
    </w:lvl>
  </w:abstractNum>
  <w:abstractNum w:abstractNumId="4">
    <w:nsid w:val="F7435567"/>
    <w:multiLevelType w:val="singleLevel"/>
    <w:tmpl w:val="F7435567"/>
    <w:lvl w:ilvl="0" w:tentative="0">
      <w:start w:val="1"/>
      <w:numFmt w:val="chineseCounting"/>
      <w:suff w:val="nothing"/>
      <w:lvlText w:val="（%1）"/>
      <w:lvlJc w:val="left"/>
      <w:rPr>
        <w:rFonts w:hint="eastAsia"/>
      </w:rPr>
    </w:lvl>
  </w:abstractNum>
  <w:abstractNum w:abstractNumId="5">
    <w:nsid w:val="373518C1"/>
    <w:multiLevelType w:val="multilevel"/>
    <w:tmpl w:val="373518C1"/>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C0B6D99"/>
    <w:multiLevelType w:val="singleLevel"/>
    <w:tmpl w:val="6C0B6D99"/>
    <w:lvl w:ilvl="0" w:tentative="0">
      <w:start w:val="7"/>
      <w:numFmt w:val="decimal"/>
      <w:suff w:val="nothing"/>
      <w:lvlText w:val="%1、"/>
      <w:lvlJc w:val="left"/>
      <w:pPr>
        <w:ind w:left="40"/>
      </w:pPr>
    </w:lvl>
  </w:abstractNum>
  <w:num w:numId="1">
    <w:abstractNumId w:val="5"/>
  </w:num>
  <w:num w:numId="2">
    <w:abstractNumId w:val="6"/>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3ZGExZjYwMTI4YmMyMDhjZTQxZmYxZDI0ZTcyMmYifQ=="/>
  </w:docVars>
  <w:rsids>
    <w:rsidRoot w:val="004506F9"/>
    <w:rsid w:val="0002229B"/>
    <w:rsid w:val="000273BD"/>
    <w:rsid w:val="00040CBC"/>
    <w:rsid w:val="000415B7"/>
    <w:rsid w:val="00041E3F"/>
    <w:rsid w:val="00055DAA"/>
    <w:rsid w:val="00061F7B"/>
    <w:rsid w:val="000658A3"/>
    <w:rsid w:val="00074155"/>
    <w:rsid w:val="000A3F69"/>
    <w:rsid w:val="00103957"/>
    <w:rsid w:val="00152C6D"/>
    <w:rsid w:val="00162D39"/>
    <w:rsid w:val="001678BD"/>
    <w:rsid w:val="00182373"/>
    <w:rsid w:val="001A67DB"/>
    <w:rsid w:val="001C3C29"/>
    <w:rsid w:val="001D51E5"/>
    <w:rsid w:val="001E080D"/>
    <w:rsid w:val="001E53D0"/>
    <w:rsid w:val="001F0C3B"/>
    <w:rsid w:val="00202C82"/>
    <w:rsid w:val="00214427"/>
    <w:rsid w:val="00226CB7"/>
    <w:rsid w:val="00264552"/>
    <w:rsid w:val="00264EF9"/>
    <w:rsid w:val="00265724"/>
    <w:rsid w:val="0027426B"/>
    <w:rsid w:val="002E0A30"/>
    <w:rsid w:val="003130C4"/>
    <w:rsid w:val="00316C4B"/>
    <w:rsid w:val="0032192B"/>
    <w:rsid w:val="003479BD"/>
    <w:rsid w:val="0037197D"/>
    <w:rsid w:val="003768D5"/>
    <w:rsid w:val="003926B9"/>
    <w:rsid w:val="003C47E6"/>
    <w:rsid w:val="003C4FC2"/>
    <w:rsid w:val="00416E61"/>
    <w:rsid w:val="0042790C"/>
    <w:rsid w:val="004506F9"/>
    <w:rsid w:val="004717A2"/>
    <w:rsid w:val="00473DF3"/>
    <w:rsid w:val="00487911"/>
    <w:rsid w:val="00491741"/>
    <w:rsid w:val="004B0CEE"/>
    <w:rsid w:val="00500E5F"/>
    <w:rsid w:val="005122EF"/>
    <w:rsid w:val="0051441A"/>
    <w:rsid w:val="00517C33"/>
    <w:rsid w:val="00517D5F"/>
    <w:rsid w:val="00523644"/>
    <w:rsid w:val="0054069E"/>
    <w:rsid w:val="00544866"/>
    <w:rsid w:val="005767CC"/>
    <w:rsid w:val="00590D9F"/>
    <w:rsid w:val="00595D26"/>
    <w:rsid w:val="005A74E6"/>
    <w:rsid w:val="005B404E"/>
    <w:rsid w:val="005D4D55"/>
    <w:rsid w:val="005E2CFB"/>
    <w:rsid w:val="005F2103"/>
    <w:rsid w:val="005F3D1C"/>
    <w:rsid w:val="0062378F"/>
    <w:rsid w:val="00641842"/>
    <w:rsid w:val="00651EEC"/>
    <w:rsid w:val="00686673"/>
    <w:rsid w:val="00691E8C"/>
    <w:rsid w:val="006A22C4"/>
    <w:rsid w:val="006A351B"/>
    <w:rsid w:val="006B0422"/>
    <w:rsid w:val="006C1B53"/>
    <w:rsid w:val="006D7730"/>
    <w:rsid w:val="006E5284"/>
    <w:rsid w:val="006F3EB5"/>
    <w:rsid w:val="00702E34"/>
    <w:rsid w:val="00704395"/>
    <w:rsid w:val="00710FE7"/>
    <w:rsid w:val="00717621"/>
    <w:rsid w:val="00720FF1"/>
    <w:rsid w:val="00727A53"/>
    <w:rsid w:val="00787B42"/>
    <w:rsid w:val="007C4539"/>
    <w:rsid w:val="007F3657"/>
    <w:rsid w:val="00812ED5"/>
    <w:rsid w:val="008277D9"/>
    <w:rsid w:val="0084478C"/>
    <w:rsid w:val="0086638C"/>
    <w:rsid w:val="008A3E8D"/>
    <w:rsid w:val="009237C4"/>
    <w:rsid w:val="00944C48"/>
    <w:rsid w:val="00950252"/>
    <w:rsid w:val="00967F5D"/>
    <w:rsid w:val="009A0F95"/>
    <w:rsid w:val="009B3ADF"/>
    <w:rsid w:val="009C3B52"/>
    <w:rsid w:val="009E6817"/>
    <w:rsid w:val="009E6E9A"/>
    <w:rsid w:val="00A01D2B"/>
    <w:rsid w:val="00A42218"/>
    <w:rsid w:val="00A70249"/>
    <w:rsid w:val="00A70B02"/>
    <w:rsid w:val="00A71D9F"/>
    <w:rsid w:val="00A92E9F"/>
    <w:rsid w:val="00AB18FF"/>
    <w:rsid w:val="00B33BEA"/>
    <w:rsid w:val="00B57C9F"/>
    <w:rsid w:val="00B63572"/>
    <w:rsid w:val="00B845B3"/>
    <w:rsid w:val="00B85D8B"/>
    <w:rsid w:val="00BB4A40"/>
    <w:rsid w:val="00BD6C3E"/>
    <w:rsid w:val="00BE3674"/>
    <w:rsid w:val="00C10681"/>
    <w:rsid w:val="00C3049A"/>
    <w:rsid w:val="00C31B1E"/>
    <w:rsid w:val="00C77645"/>
    <w:rsid w:val="00CE04C3"/>
    <w:rsid w:val="00CE76A0"/>
    <w:rsid w:val="00D148C6"/>
    <w:rsid w:val="00D17A8A"/>
    <w:rsid w:val="00D415BA"/>
    <w:rsid w:val="00D63780"/>
    <w:rsid w:val="00D644EE"/>
    <w:rsid w:val="00DD06FF"/>
    <w:rsid w:val="00DD5FE9"/>
    <w:rsid w:val="00E00C7A"/>
    <w:rsid w:val="00E37D6C"/>
    <w:rsid w:val="00E55B68"/>
    <w:rsid w:val="00E561AE"/>
    <w:rsid w:val="00E67BE6"/>
    <w:rsid w:val="00E8683C"/>
    <w:rsid w:val="00EA2B72"/>
    <w:rsid w:val="00F74360"/>
    <w:rsid w:val="00FB462F"/>
    <w:rsid w:val="00FE16FA"/>
    <w:rsid w:val="00FE328A"/>
    <w:rsid w:val="00FE6269"/>
    <w:rsid w:val="00FF5CD6"/>
    <w:rsid w:val="01DB069D"/>
    <w:rsid w:val="021E1950"/>
    <w:rsid w:val="067C2CE2"/>
    <w:rsid w:val="08017336"/>
    <w:rsid w:val="097223DF"/>
    <w:rsid w:val="099C5FB6"/>
    <w:rsid w:val="09C34EA8"/>
    <w:rsid w:val="0BFF65D1"/>
    <w:rsid w:val="0E9F5D02"/>
    <w:rsid w:val="1051628A"/>
    <w:rsid w:val="14F60B69"/>
    <w:rsid w:val="15FA253C"/>
    <w:rsid w:val="1BE16609"/>
    <w:rsid w:val="1D97DEFF"/>
    <w:rsid w:val="1DFF72E5"/>
    <w:rsid w:val="1EFC6F07"/>
    <w:rsid w:val="1F8A064B"/>
    <w:rsid w:val="21B772DD"/>
    <w:rsid w:val="221E7E8E"/>
    <w:rsid w:val="23642120"/>
    <w:rsid w:val="2841110C"/>
    <w:rsid w:val="2A8F7DE1"/>
    <w:rsid w:val="2B5E6A7F"/>
    <w:rsid w:val="2BCD09FE"/>
    <w:rsid w:val="2F754F65"/>
    <w:rsid w:val="2FDF85B8"/>
    <w:rsid w:val="2FFFEE04"/>
    <w:rsid w:val="311173D6"/>
    <w:rsid w:val="34BF14C2"/>
    <w:rsid w:val="34DF85B0"/>
    <w:rsid w:val="368D66EC"/>
    <w:rsid w:val="386F2832"/>
    <w:rsid w:val="397F78D8"/>
    <w:rsid w:val="3B8F36BC"/>
    <w:rsid w:val="3BB17F36"/>
    <w:rsid w:val="3BFE3A3F"/>
    <w:rsid w:val="3C0C234B"/>
    <w:rsid w:val="3C1A3F7A"/>
    <w:rsid w:val="3DFF2571"/>
    <w:rsid w:val="3ED74101"/>
    <w:rsid w:val="3FD34F1A"/>
    <w:rsid w:val="40802A86"/>
    <w:rsid w:val="440A74CF"/>
    <w:rsid w:val="4432667E"/>
    <w:rsid w:val="44A92666"/>
    <w:rsid w:val="46076520"/>
    <w:rsid w:val="491FF225"/>
    <w:rsid w:val="4ADB41BE"/>
    <w:rsid w:val="4BF24FF1"/>
    <w:rsid w:val="4D5D0B38"/>
    <w:rsid w:val="4DD04346"/>
    <w:rsid w:val="4ECC37C8"/>
    <w:rsid w:val="4F3557F0"/>
    <w:rsid w:val="4FFD214C"/>
    <w:rsid w:val="51372A35"/>
    <w:rsid w:val="549D1486"/>
    <w:rsid w:val="56235FD6"/>
    <w:rsid w:val="56EE05F0"/>
    <w:rsid w:val="572826DE"/>
    <w:rsid w:val="5777D4F5"/>
    <w:rsid w:val="57CA4BA6"/>
    <w:rsid w:val="593706DC"/>
    <w:rsid w:val="59DD8326"/>
    <w:rsid w:val="5CD832DB"/>
    <w:rsid w:val="5D2EAFC7"/>
    <w:rsid w:val="5DE84DA1"/>
    <w:rsid w:val="5DEF592A"/>
    <w:rsid w:val="5FC6BB1E"/>
    <w:rsid w:val="5FD50630"/>
    <w:rsid w:val="5FF720F1"/>
    <w:rsid w:val="62626ABE"/>
    <w:rsid w:val="654B38B1"/>
    <w:rsid w:val="66305F7A"/>
    <w:rsid w:val="66F87236"/>
    <w:rsid w:val="679B2D2A"/>
    <w:rsid w:val="67FF5C0B"/>
    <w:rsid w:val="6C4C3D89"/>
    <w:rsid w:val="6D8F52DB"/>
    <w:rsid w:val="6EDB02BC"/>
    <w:rsid w:val="6EFC0924"/>
    <w:rsid w:val="6F2671E6"/>
    <w:rsid w:val="6FB74722"/>
    <w:rsid w:val="6FEF8B7E"/>
    <w:rsid w:val="71A6591B"/>
    <w:rsid w:val="71FE5346"/>
    <w:rsid w:val="737D59BA"/>
    <w:rsid w:val="738E2016"/>
    <w:rsid w:val="7506040F"/>
    <w:rsid w:val="75585C89"/>
    <w:rsid w:val="75746871"/>
    <w:rsid w:val="759E0038"/>
    <w:rsid w:val="763B01BA"/>
    <w:rsid w:val="76975CAD"/>
    <w:rsid w:val="776B295A"/>
    <w:rsid w:val="77C37683"/>
    <w:rsid w:val="787146D0"/>
    <w:rsid w:val="79FF515B"/>
    <w:rsid w:val="7E9329B6"/>
    <w:rsid w:val="7E9E1962"/>
    <w:rsid w:val="7E9F11B4"/>
    <w:rsid w:val="7F37EC1E"/>
    <w:rsid w:val="7F753893"/>
    <w:rsid w:val="7F7DCD9D"/>
    <w:rsid w:val="7F970A6F"/>
    <w:rsid w:val="7FC1FFF3"/>
    <w:rsid w:val="7FC69637"/>
    <w:rsid w:val="7FDF8620"/>
    <w:rsid w:val="7FFB242F"/>
    <w:rsid w:val="7FFDB408"/>
    <w:rsid w:val="7FFE4EEB"/>
    <w:rsid w:val="95FB2B98"/>
    <w:rsid w:val="9A639BC2"/>
    <w:rsid w:val="9FF7D786"/>
    <w:rsid w:val="A7E79164"/>
    <w:rsid w:val="ABBFB23D"/>
    <w:rsid w:val="B7FB2DEF"/>
    <w:rsid w:val="BEFA2E3C"/>
    <w:rsid w:val="BF76693C"/>
    <w:rsid w:val="C3B4DA5A"/>
    <w:rsid w:val="CBFF70E0"/>
    <w:rsid w:val="CFF50B82"/>
    <w:rsid w:val="CFFFAD89"/>
    <w:rsid w:val="DFC74F0C"/>
    <w:rsid w:val="DFFE359E"/>
    <w:rsid w:val="DFFE4FFD"/>
    <w:rsid w:val="EEABED75"/>
    <w:rsid w:val="EFDFC56F"/>
    <w:rsid w:val="F56FDF51"/>
    <w:rsid w:val="F6B69F17"/>
    <w:rsid w:val="F757B47C"/>
    <w:rsid w:val="F7770927"/>
    <w:rsid w:val="F77F1D61"/>
    <w:rsid w:val="F7FED3A9"/>
    <w:rsid w:val="F8C9DB26"/>
    <w:rsid w:val="F97E8EAE"/>
    <w:rsid w:val="FB36E1A6"/>
    <w:rsid w:val="FB3BE134"/>
    <w:rsid w:val="FCFF4275"/>
    <w:rsid w:val="FD7FEEEA"/>
    <w:rsid w:val="FDFF2895"/>
    <w:rsid w:val="FDFFB577"/>
    <w:rsid w:val="FEEA50FE"/>
    <w:rsid w:val="FF7D47A9"/>
    <w:rsid w:val="FFCF21CB"/>
    <w:rsid w:val="FFFF1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outlineLvl w:val="0"/>
    </w:pPr>
    <w:rPr>
      <w:rFonts w:ascii="黑体" w:eastAsia="黑体"/>
      <w:b/>
      <w:bCs/>
      <w:kern w:val="44"/>
      <w:szCs w:val="44"/>
    </w:rPr>
  </w:style>
  <w:style w:type="paragraph" w:styleId="4">
    <w:name w:val="heading 2"/>
    <w:basedOn w:val="1"/>
    <w:next w:val="1"/>
    <w:qFormat/>
    <w:uiPriority w:val="9"/>
    <w:pPr>
      <w:outlineLvl w:val="1"/>
    </w:pPr>
    <w:rPr>
      <w:rFonts w:ascii="楷体_GB2312" w:hAnsi="Cambria" w:eastAsia="楷体_GB2312"/>
      <w:b/>
      <w:bCs/>
      <w:kern w:val="0"/>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6"/>
    <w:unhideWhenUsed/>
    <w:qFormat/>
    <w:uiPriority w:val="99"/>
    <w:pPr>
      <w:tabs>
        <w:tab w:val="center" w:pos="4153"/>
        <w:tab w:val="right" w:pos="8306"/>
      </w:tabs>
      <w:snapToGrid w:val="0"/>
      <w:jc w:val="left"/>
    </w:pPr>
    <w:rPr>
      <w:sz w:val="18"/>
      <w:szCs w:val="18"/>
    </w:rPr>
  </w:style>
  <w:style w:type="paragraph" w:styleId="5">
    <w:name w:val="Normal Indent"/>
    <w:basedOn w:val="1"/>
    <w:qFormat/>
    <w:uiPriority w:val="0"/>
    <w:pPr>
      <w:spacing w:line="500" w:lineRule="exact"/>
    </w:pPr>
    <w:rPr>
      <w:sz w:val="28"/>
      <w:szCs w:val="20"/>
    </w:rPr>
  </w:style>
  <w:style w:type="paragraph" w:styleId="6">
    <w:name w:val="Body Text Indent"/>
    <w:basedOn w:val="1"/>
    <w:next w:val="5"/>
    <w:unhideWhenUsed/>
    <w:qFormat/>
    <w:uiPriority w:val="99"/>
    <w:pPr>
      <w:widowControl/>
      <w:spacing w:after="120"/>
      <w:ind w:left="420" w:leftChars="200"/>
      <w:jc w:val="left"/>
    </w:pPr>
    <w:rPr>
      <w:rFonts w:ascii="宋体" w:hAnsi="宋体" w:eastAsia="宋体" w:cs="宋体"/>
      <w:kern w:val="0"/>
      <w:sz w:val="24"/>
    </w:rPr>
  </w:style>
  <w:style w:type="paragraph" w:styleId="7">
    <w:name w:val="Balloon Text"/>
    <w:basedOn w:val="1"/>
    <w:link w:val="19"/>
    <w:semiHidden/>
    <w:unhideWhenUsed/>
    <w:qFormat/>
    <w:uiPriority w:val="99"/>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Subtitle"/>
    <w:next w:val="1"/>
    <w:qFormat/>
    <w:uiPriority w:val="0"/>
    <w:pPr>
      <w:spacing w:line="580" w:lineRule="exact"/>
      <w:jc w:val="center"/>
      <w:outlineLvl w:val="0"/>
    </w:pPr>
    <w:rPr>
      <w:rFonts w:ascii="宋体" w:hAnsi="Cambria" w:eastAsia="宋体" w:cs="Times New Roman"/>
      <w:b/>
      <w:bCs/>
      <w:kern w:val="28"/>
      <w:sz w:val="44"/>
      <w:szCs w:val="32"/>
      <w:lang w:val="en-US" w:eastAsia="zh-CN" w:bidi="ar-SA"/>
    </w:rPr>
  </w:style>
  <w:style w:type="paragraph" w:styleId="10">
    <w:name w:val="footnote text"/>
    <w:basedOn w:val="1"/>
    <w:next w:val="11"/>
    <w:semiHidden/>
    <w:qFormat/>
    <w:uiPriority w:val="0"/>
    <w:pPr>
      <w:snapToGrid w:val="0"/>
      <w:jc w:val="left"/>
    </w:pPr>
    <w:rPr>
      <w:sz w:val="18"/>
      <w:szCs w:val="18"/>
    </w:rPr>
  </w:style>
  <w:style w:type="paragraph" w:styleId="11">
    <w:name w:val="Body Text First Indent 2"/>
    <w:basedOn w:val="6"/>
    <w:next w:val="7"/>
    <w:unhideWhenUsed/>
    <w:qFormat/>
    <w:uiPriority w:val="99"/>
    <w:pPr>
      <w:ind w:firstLine="420" w:firstLineChars="200"/>
    </w:p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页眉 Char"/>
    <w:basedOn w:val="14"/>
    <w:link w:val="8"/>
    <w:qFormat/>
    <w:uiPriority w:val="99"/>
    <w:rPr>
      <w:sz w:val="18"/>
      <w:szCs w:val="18"/>
    </w:rPr>
  </w:style>
  <w:style w:type="character" w:customStyle="1" w:styleId="16">
    <w:name w:val="页脚 Char"/>
    <w:basedOn w:val="14"/>
    <w:link w:val="2"/>
    <w:qFormat/>
    <w:uiPriority w:val="99"/>
    <w:rPr>
      <w:sz w:val="18"/>
      <w:szCs w:val="18"/>
    </w:rPr>
  </w:style>
  <w:style w:type="paragraph" w:customStyle="1" w:styleId="17">
    <w:name w:val="Default"/>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paragraph" w:styleId="18">
    <w:name w:val="List Paragraph"/>
    <w:basedOn w:val="1"/>
    <w:qFormat/>
    <w:uiPriority w:val="34"/>
    <w:pPr>
      <w:ind w:firstLine="420" w:firstLineChars="200"/>
    </w:pPr>
  </w:style>
  <w:style w:type="character" w:customStyle="1" w:styleId="19">
    <w:name w:val="批注框文本 Char"/>
    <w:basedOn w:val="14"/>
    <w:link w:val="7"/>
    <w:semiHidden/>
    <w:qFormat/>
    <w:uiPriority w:val="99"/>
    <w:rPr>
      <w:sz w:val="18"/>
      <w:szCs w:val="18"/>
    </w:rPr>
  </w:style>
  <w:style w:type="character" w:customStyle="1" w:styleId="20">
    <w:name w:val="font01"/>
    <w:basedOn w:val="14"/>
    <w:qFormat/>
    <w:uiPriority w:val="0"/>
    <w:rPr>
      <w:rFonts w:hint="eastAsia" w:ascii="宋体" w:hAnsi="宋体" w:eastAsia="宋体" w:cs="宋体"/>
      <w:color w:val="000000"/>
      <w:sz w:val="22"/>
      <w:szCs w:val="22"/>
      <w:u w:val="none"/>
    </w:rPr>
  </w:style>
  <w:style w:type="character" w:customStyle="1" w:styleId="21">
    <w:name w:val="font21"/>
    <w:basedOn w:val="14"/>
    <w:qFormat/>
    <w:uiPriority w:val="0"/>
    <w:rPr>
      <w:rFonts w:hint="eastAsia" w:ascii="宋体" w:hAnsi="宋体" w:eastAsia="宋体" w:cs="宋体"/>
      <w:color w:val="000000"/>
      <w:sz w:val="24"/>
      <w:szCs w:val="24"/>
      <w:u w:val="none"/>
    </w:rPr>
  </w:style>
  <w:style w:type="character" w:customStyle="1" w:styleId="22">
    <w:name w:val="font11"/>
    <w:basedOn w:val="14"/>
    <w:qFormat/>
    <w:uiPriority w:val="0"/>
    <w:rPr>
      <w:rFonts w:hint="eastAsia" w:ascii="宋体" w:hAnsi="宋体" w:eastAsia="宋体" w:cs="宋体"/>
      <w:color w:val="000000"/>
      <w:sz w:val="24"/>
      <w:szCs w:val="24"/>
      <w:u w:val="none"/>
    </w:rPr>
  </w:style>
  <w:style w:type="character" w:customStyle="1" w:styleId="23">
    <w:name w:val="font41"/>
    <w:basedOn w:val="14"/>
    <w:qFormat/>
    <w:uiPriority w:val="0"/>
    <w:rPr>
      <w:rFonts w:hint="eastAsia" w:ascii="宋体" w:hAnsi="宋体" w:eastAsia="宋体" w:cs="宋体"/>
      <w:color w:val="000000"/>
      <w:sz w:val="22"/>
      <w:szCs w:val="22"/>
      <w:u w:val="none"/>
    </w:rPr>
  </w:style>
  <w:style w:type="character" w:customStyle="1" w:styleId="24">
    <w:name w:val="font141"/>
    <w:basedOn w:val="14"/>
    <w:qFormat/>
    <w:uiPriority w:val="0"/>
    <w:rPr>
      <w:rFonts w:hint="eastAsia" w:ascii="宋体" w:hAnsi="宋体" w:eastAsia="宋体" w:cs="宋体"/>
      <w:b/>
      <w:color w:val="000000"/>
      <w:sz w:val="22"/>
      <w:szCs w:val="22"/>
      <w:u w:val="none"/>
    </w:rPr>
  </w:style>
  <w:style w:type="character" w:customStyle="1" w:styleId="25">
    <w:name w:val="font131"/>
    <w:basedOn w:val="14"/>
    <w:qFormat/>
    <w:uiPriority w:val="0"/>
    <w:rPr>
      <w:rFonts w:hint="eastAsia" w:ascii="宋体" w:hAnsi="宋体" w:eastAsia="宋体" w:cs="宋体"/>
      <w:color w:val="000000"/>
      <w:sz w:val="20"/>
      <w:szCs w:val="20"/>
      <w:u w:val="none"/>
    </w:rPr>
  </w:style>
  <w:style w:type="character" w:customStyle="1" w:styleId="26">
    <w:name w:val="font121"/>
    <w:basedOn w:val="14"/>
    <w:qFormat/>
    <w:uiPriority w:val="0"/>
    <w:rPr>
      <w:rFonts w:hint="eastAsia" w:ascii="宋体" w:hAnsi="宋体" w:eastAsia="宋体" w:cs="宋体"/>
      <w:b/>
      <w:color w:val="000000"/>
      <w:sz w:val="20"/>
      <w:szCs w:val="20"/>
      <w:u w:val="none"/>
    </w:rPr>
  </w:style>
  <w:style w:type="character" w:customStyle="1" w:styleId="27">
    <w:name w:val="font31"/>
    <w:basedOn w:val="14"/>
    <w:qFormat/>
    <w:uiPriority w:val="0"/>
    <w:rPr>
      <w:rFonts w:hint="default" w:ascii="Times New Roman" w:hAnsi="Times New Roman" w:cs="Times New Roman"/>
      <w:b/>
      <w:color w:val="000000"/>
      <w:sz w:val="20"/>
      <w:szCs w:val="20"/>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91</Pages>
  <Words>40206</Words>
  <Characters>55239</Characters>
  <Lines>63</Lines>
  <Paragraphs>18</Paragraphs>
  <TotalTime>13</TotalTime>
  <ScaleCrop>false</ScaleCrop>
  <LinksUpToDate>false</LinksUpToDate>
  <CharactersWithSpaces>55878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2020-07-09T02:32:00Z</dcterms:created>
  <dc:creator>李航 null</dc:creator>
  <cp:lastModifiedBy>Rocy</cp:lastModifiedBy>
  <cp:lastPrinted>2024-08-09T10:20:00Z</cp:lastPrinted>
  <dcterms:modified xsi:type="dcterms:W3CDTF">2024-08-30T10:30:31Z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95BE3F389EAB4B8FB64856291CC759D3_13</vt:lpwstr>
  </property>
</Properties>
</file>